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25</wp:posOffset>
            </wp:positionV>
            <wp:extent cx="7552918" cy="2039175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18" cy="203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Australian Customs Notice No. 2019/36</w:t>
      </w:r>
    </w:p>
    <w:p>
      <w:pPr>
        <w:spacing w:before="118"/>
        <w:ind w:left="1533" w:right="1563" w:firstLine="0"/>
        <w:jc w:val="center"/>
        <w:rPr>
          <w:sz w:val="40"/>
        </w:rPr>
      </w:pPr>
      <w:bookmarkStart w:name="Luxury Car Tax (LCT) on re-imported, ref" w:id="1"/>
      <w:bookmarkEnd w:id="1"/>
      <w:r>
        <w:rPr/>
      </w:r>
      <w:r>
        <w:rPr>
          <w:color w:val="956D23"/>
          <w:sz w:val="40"/>
        </w:rPr>
        <w:t>Luxury Car Tax (LCT) on re-imported, refurbished vehicles</w:t>
      </w:r>
    </w:p>
    <w:p>
      <w:pPr>
        <w:spacing w:before="243"/>
        <w:ind w:left="1116" w:right="0" w:firstLine="0"/>
        <w:jc w:val="left"/>
        <w:rPr>
          <w:b/>
          <w:sz w:val="24"/>
        </w:rPr>
      </w:pPr>
      <w:bookmarkStart w:name="Non-taxable re-importations of refurbish" w:id="2"/>
      <w:bookmarkEnd w:id="2"/>
      <w:r>
        <w:rPr/>
      </w:r>
      <w:r>
        <w:rPr>
          <w:b/>
          <w:color w:val="956D23"/>
          <w:sz w:val="24"/>
        </w:rPr>
        <w:t>Non-taxable re-importations of refurbished luxury cars</w:t>
      </w:r>
    </w:p>
    <w:p>
      <w:pPr>
        <w:spacing w:line="266" w:lineRule="auto" w:before="177"/>
        <w:ind w:left="1132" w:right="1354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A New Tax System (Luxury Car Tax) Act 1999 </w:t>
      </w:r>
      <w:r>
        <w:rPr>
          <w:sz w:val="20"/>
        </w:rPr>
        <w:t>has been amended to remove liability for luxury car tax on cars that are exported and then re-imported following service, repair or refurbishment overseas.</w:t>
      </w:r>
    </w:p>
    <w:p>
      <w:pPr>
        <w:spacing w:before="176"/>
        <w:ind w:left="1132" w:right="0" w:firstLine="0"/>
        <w:jc w:val="left"/>
        <w:rPr>
          <w:sz w:val="20"/>
        </w:rPr>
      </w:pPr>
      <w:r>
        <w:rPr>
          <w:sz w:val="20"/>
        </w:rPr>
        <w:t>An importation of a car is a </w:t>
      </w:r>
      <w:r>
        <w:rPr>
          <w:rFonts w:ascii="Arial-BoldItalicMT"/>
          <w:b/>
          <w:i/>
          <w:sz w:val="20"/>
        </w:rPr>
        <w:t>non-taxable re-importation </w:t>
      </w:r>
      <w:r>
        <w:rPr>
          <w:sz w:val="20"/>
        </w:rPr>
        <w:t>if: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853" w:val="left" w:leader="none"/>
        </w:tabs>
        <w:spacing w:line="240" w:lineRule="auto" w:before="0" w:after="0"/>
        <w:ind w:left="1852" w:right="0" w:hanging="361"/>
        <w:jc w:val="left"/>
        <w:rPr>
          <w:sz w:val="20"/>
        </w:rPr>
      </w:pPr>
      <w:r>
        <w:rPr>
          <w:sz w:val="20"/>
        </w:rPr>
        <w:t>The car was exported from the indirect tax zone</w:t>
      </w:r>
      <w:r>
        <w:rPr>
          <w:position w:val="6"/>
          <w:sz w:val="13"/>
        </w:rPr>
        <w:t>1 </w:t>
      </w:r>
      <w:r>
        <w:rPr>
          <w:sz w:val="20"/>
        </w:rPr>
        <w:t>and is returned to the indirect tax zone;</w:t>
      </w:r>
      <w:r>
        <w:rPr>
          <w:spacing w:val="-2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853" w:val="left" w:leader="none"/>
        </w:tabs>
        <w:spacing w:line="266" w:lineRule="auto" w:before="0" w:after="0"/>
        <w:ind w:left="1852" w:right="1154" w:hanging="360"/>
        <w:jc w:val="left"/>
        <w:rPr>
          <w:sz w:val="20"/>
        </w:rPr>
      </w:pPr>
      <w:r>
        <w:rPr>
          <w:sz w:val="20"/>
        </w:rPr>
        <w:t>The car has been subject to any treatment, industrial processing, repair, renovation, alteration or any other process since its export;</w:t>
      </w:r>
      <w:r>
        <w:rPr>
          <w:spacing w:val="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</w:tabs>
        <w:spacing w:line="266" w:lineRule="auto" w:before="176" w:after="0"/>
        <w:ind w:left="1852" w:right="1414" w:hanging="360"/>
        <w:jc w:val="left"/>
        <w:rPr>
          <w:sz w:val="20"/>
        </w:rPr>
      </w:pPr>
      <w:r>
        <w:rPr>
          <w:sz w:val="20"/>
        </w:rPr>
        <w:t>The ownership of the car has not changed in the period beginning immediately before the car was exported and ending at the time it is returned to the indirect tax</w:t>
      </w:r>
      <w:r>
        <w:rPr>
          <w:spacing w:val="-9"/>
          <w:sz w:val="20"/>
        </w:rPr>
        <w:t> </w:t>
      </w:r>
      <w:r>
        <w:rPr>
          <w:sz w:val="20"/>
        </w:rPr>
        <w:t>zone.</w:t>
      </w:r>
    </w:p>
    <w:p>
      <w:pPr>
        <w:pStyle w:val="BodyText"/>
        <w:spacing w:line="266" w:lineRule="auto" w:before="173"/>
        <w:ind w:left="1132" w:right="1664"/>
      </w:pPr>
      <w:r>
        <w:rPr/>
        <w:t>Importers should enter the exemption code ‘</w:t>
      </w:r>
      <w:r>
        <w:rPr>
          <w:b/>
        </w:rPr>
        <w:t>L720</w:t>
      </w:r>
      <w:r>
        <w:rPr/>
        <w:t>’ when completing their N10 import declaration for the affected vehicle.</w:t>
      </w:r>
    </w:p>
    <w:p>
      <w:pPr>
        <w:pStyle w:val="BodyText"/>
        <w:spacing w:line="266" w:lineRule="auto" w:before="176"/>
        <w:ind w:left="1132" w:right="1208"/>
      </w:pPr>
      <w:r>
        <w:rPr>
          <w:b/>
        </w:rPr>
        <w:t>Application </w:t>
      </w:r>
      <w:r>
        <w:rPr/>
        <w:t>- the amendment applies in relation to re-importations occurring on or after 1 January 2019 and will be applied retrospectively.</w:t>
      </w:r>
    </w:p>
    <w:p>
      <w:pPr>
        <w:pStyle w:val="BodyText"/>
        <w:spacing w:line="264" w:lineRule="auto" w:before="178"/>
        <w:ind w:left="1132" w:right="1130"/>
      </w:pPr>
      <w:r>
        <w:rPr/>
        <w:t>For those that have paid LCT on an affected vehicle between 1 January 2019 and 1 October 2019, information on how to obtain a refund will be communicated through a separate Australian Customs Notice in the near future.</w:t>
      </w:r>
    </w:p>
    <w:p>
      <w:pPr>
        <w:pStyle w:val="BodyText"/>
        <w:spacing w:line="264" w:lineRule="auto" w:before="180"/>
        <w:ind w:left="1132" w:right="3378"/>
      </w:pPr>
      <w:r>
        <w:rPr/>
        <w:t>For further information on the change, visit the Australian Taxation Office website at </w:t>
      </w:r>
      <w:hyperlink r:id="rId6">
        <w:r>
          <w:rPr/>
          <w:t>www.ato.gov.au/business/luxury-car-tax/when-lct-applies/importing-a-luxury-car/</w:t>
        </w:r>
      </w:hyperlink>
    </w:p>
    <w:p>
      <w:pPr>
        <w:pStyle w:val="BodyText"/>
        <w:spacing w:line="432" w:lineRule="exact" w:before="22"/>
        <w:ind w:left="1132" w:right="9504"/>
      </w:pPr>
      <w:r>
        <w:rPr/>
        <w:t>[signed] Susan</w:t>
      </w:r>
      <w:r>
        <w:rPr>
          <w:spacing w:val="-8"/>
        </w:rPr>
        <w:t> </w:t>
      </w:r>
      <w:r>
        <w:rPr/>
        <w:t>Turville</w:t>
      </w:r>
    </w:p>
    <w:p>
      <w:pPr>
        <w:pStyle w:val="BodyText"/>
        <w:spacing w:before="98"/>
        <w:ind w:left="1132"/>
      </w:pPr>
      <w:r>
        <w:rPr/>
        <w:t>A/g Assistant Secretary</w:t>
      </w:r>
    </w:p>
    <w:p>
      <w:pPr>
        <w:pStyle w:val="BodyText"/>
        <w:spacing w:line="264" w:lineRule="auto" w:before="25"/>
        <w:ind w:left="1132" w:right="7378"/>
      </w:pPr>
      <w:r>
        <w:rPr/>
        <w:t>Customs and Border Revenue Branch Canberra ACT</w:t>
      </w:r>
    </w:p>
    <w:p>
      <w:pPr>
        <w:pStyle w:val="BodyText"/>
        <w:spacing w:before="180"/>
        <w:ind w:left="1132"/>
      </w:pPr>
      <w:r>
        <w:rPr/>
        <w:t>3 October 2019</w:t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56.630001pt;margin-top:9.808808pt;width:144pt;height:.4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3"/>
        <w:ind w:left="1132"/>
      </w:pPr>
      <w:r>
        <w:rPr>
          <w:position w:val="6"/>
          <w:sz w:val="13"/>
        </w:rPr>
        <w:t>1 </w:t>
      </w:r>
      <w:r>
        <w:rPr/>
        <w:t>‘Indirect tax zone’ means Australia, but does not include external territories and certain offshore areas.</w:t>
      </w: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32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shd w:fill="07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  <w:tab/>
        <w:t>Australia’s customs</w:t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  <w:t>service</w:t>
        <w:tab/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1852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to.gov.au/business/luxury-car-tax/when-lct-applies/importing-a-luxury-car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Border Force</dc:creator>
  <cp:keywords>LCT, luxury vehicles, reimportations, refurbished</cp:keywords>
  <dc:subject>Luxury Car Tax on reimported, refurbished luxury vehicles</dc:subject>
  <dc:title>ACN Advise 2019-36</dc:title>
  <dcterms:created xsi:type="dcterms:W3CDTF">2020-12-09T22:59:37Z</dcterms:created>
  <dcterms:modified xsi:type="dcterms:W3CDTF">2020-12-09T22:59:37Z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