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9"/>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-2049122</wp:posOffset>
            </wp:positionV>
            <wp:extent cx="7559675" cy="204836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2048367"/>
                    </a:xfrm>
                    <a:prstGeom prst="rect">
                      <a:avLst/>
                    </a:prstGeom>
                  </pic:spPr>
                </pic:pic>
              </a:graphicData>
            </a:graphic>
          </wp:anchor>
        </w:drawing>
      </w:r>
      <w:r>
        <w:rPr>
          <w:color w:val="082144"/>
        </w:rPr>
        <w:t>Australian Customs Notice No. 2019/43</w:t>
      </w:r>
    </w:p>
    <w:p>
      <w:pPr>
        <w:spacing w:before="118"/>
        <w:ind w:left="1666" w:right="1698" w:firstLine="0"/>
        <w:jc w:val="center"/>
        <w:rPr>
          <w:sz w:val="40"/>
        </w:rPr>
      </w:pPr>
      <w:r>
        <w:rPr>
          <w:color w:val="956D23"/>
          <w:sz w:val="40"/>
        </w:rPr>
        <w:t>Kava and Prohibited Substances changes to the Prohibited Exports and Imports Regulations</w:t>
      </w:r>
    </w:p>
    <w:p>
      <w:pPr>
        <w:spacing w:line="264" w:lineRule="auto" w:before="181"/>
        <w:ind w:left="1133" w:right="1341" w:firstLine="0"/>
        <w:jc w:val="left"/>
        <w:rPr>
          <w:sz w:val="20"/>
        </w:rPr>
      </w:pPr>
      <w:r>
        <w:rPr>
          <w:sz w:val="20"/>
        </w:rPr>
        <w:t>On 17 December 2019 the </w:t>
      </w:r>
      <w:r>
        <w:rPr>
          <w:i/>
          <w:sz w:val="20"/>
        </w:rPr>
        <w:t>Customs (Prohibited Imports) (Kava) Approval 2019 </w:t>
      </w:r>
      <w:r>
        <w:rPr>
          <w:sz w:val="20"/>
        </w:rPr>
        <w:t>(the Approval), and the </w:t>
      </w:r>
      <w:r>
        <w:rPr>
          <w:i/>
          <w:sz w:val="20"/>
        </w:rPr>
        <w:t>Customs Legislation Amendment (Prohibited Exports and Imports) Regulations 2019 </w:t>
      </w:r>
      <w:r>
        <w:rPr>
          <w:sz w:val="20"/>
        </w:rPr>
        <w:t>(the Amendment) will come into effect.</w:t>
      </w:r>
    </w:p>
    <w:p>
      <w:pPr>
        <w:pStyle w:val="BodyText"/>
        <w:spacing w:before="1"/>
        <w:rPr>
          <w:sz w:val="21"/>
        </w:rPr>
      </w:pPr>
    </w:p>
    <w:p>
      <w:pPr>
        <w:pStyle w:val="Heading1"/>
      </w:pPr>
      <w:r>
        <w:rPr>
          <w:color w:val="956D23"/>
        </w:rPr>
        <w:t>The Approval – Kava – Personal Importation Pilot</w:t>
      </w:r>
    </w:p>
    <w:p>
      <w:pPr>
        <w:pStyle w:val="BodyText"/>
        <w:spacing w:line="264" w:lineRule="auto" w:before="179"/>
        <w:ind w:left="1133" w:right="1140"/>
      </w:pPr>
      <w:r>
        <w:rPr/>
        <w:t>The Approval eases the restrictions on the importation of kava by increasing the quantity of kava that may be imported for personal use from 2 kilograms to 4 kilograms.</w:t>
      </w:r>
    </w:p>
    <w:p>
      <w:pPr>
        <w:pStyle w:val="BodyText"/>
        <w:spacing w:line="264" w:lineRule="auto" w:before="181"/>
        <w:ind w:left="1133" w:right="1285"/>
      </w:pPr>
      <w:r>
        <w:rPr/>
        <w:t>From 17 December 2019 the Approval enables the personal importation into Australia of kava that is in root or dried form, or in the form of a beverage obtained by aqueous suspension of kava root in cold water only, by passengers aged over 18 years who have arrived in Australia by ship or aircraft and have imported the kava in their accompanied personal effects.</w:t>
      </w:r>
    </w:p>
    <w:p>
      <w:pPr>
        <w:pStyle w:val="BodyText"/>
        <w:spacing w:before="9"/>
      </w:pPr>
    </w:p>
    <w:p>
      <w:pPr>
        <w:pStyle w:val="Heading1"/>
      </w:pPr>
      <w:r>
        <w:rPr>
          <w:color w:val="956D23"/>
        </w:rPr>
        <w:t>The Amendment – Prohibited Substances</w:t>
      </w:r>
    </w:p>
    <w:p>
      <w:pPr>
        <w:spacing w:line="264" w:lineRule="auto" w:before="177"/>
        <w:ind w:left="1133" w:right="1351" w:firstLine="0"/>
        <w:jc w:val="left"/>
        <w:rPr>
          <w:sz w:val="20"/>
        </w:rPr>
      </w:pPr>
      <w:r>
        <w:rPr>
          <w:sz w:val="20"/>
        </w:rPr>
        <w:t>Australia is a signatory to the United Nations Commission on Narcotic Drugs for the </w:t>
      </w:r>
      <w:r>
        <w:rPr>
          <w:i/>
          <w:sz w:val="20"/>
        </w:rPr>
        <w:t>Single Convention on Narcotic Drugs of 1961</w:t>
      </w:r>
      <w:r>
        <w:rPr>
          <w:sz w:val="20"/>
        </w:rPr>
        <w:t>, as amended by the </w:t>
      </w:r>
      <w:r>
        <w:rPr>
          <w:i/>
          <w:sz w:val="20"/>
        </w:rPr>
        <w:t>1972 Protocol, </w:t>
      </w:r>
      <w:r>
        <w:rPr>
          <w:sz w:val="20"/>
        </w:rPr>
        <w:t>the </w:t>
      </w:r>
      <w:r>
        <w:rPr>
          <w:i/>
          <w:sz w:val="20"/>
        </w:rPr>
        <w:t>Convention on Psychotropic Substances of 1971 </w:t>
      </w:r>
      <w:r>
        <w:rPr>
          <w:sz w:val="20"/>
        </w:rPr>
        <w:t>and the </w:t>
      </w:r>
      <w:r>
        <w:rPr>
          <w:i/>
          <w:sz w:val="20"/>
        </w:rPr>
        <w:t>United Nations Convention against Illicit Traffic in Narcotic Drugs and Psychotropic Substances 1988 </w:t>
      </w:r>
      <w:r>
        <w:rPr>
          <w:sz w:val="20"/>
        </w:rPr>
        <w:t>(the Narcotic Conventions).</w:t>
      </w:r>
    </w:p>
    <w:p>
      <w:pPr>
        <w:spacing w:line="264" w:lineRule="auto" w:before="183"/>
        <w:ind w:left="1133" w:right="1385" w:firstLine="0"/>
        <w:jc w:val="left"/>
        <w:rPr>
          <w:sz w:val="20"/>
        </w:rPr>
      </w:pPr>
      <w:r>
        <w:rPr>
          <w:sz w:val="20"/>
        </w:rPr>
        <w:t>The amendments set out in the table below will ensure Australia’s continuing compliance with the Narcotic Conventions by adding the newly scheduled substances to the </w:t>
      </w:r>
      <w:r>
        <w:rPr>
          <w:i/>
          <w:sz w:val="20"/>
        </w:rPr>
        <w:t>Customs (Prohibited Exports) Regulations 1958 </w:t>
      </w:r>
      <w:r>
        <w:rPr>
          <w:sz w:val="20"/>
        </w:rPr>
        <w:t>(the Prohibited Exports Regulations) and the </w:t>
      </w:r>
      <w:r>
        <w:rPr>
          <w:i/>
          <w:sz w:val="20"/>
        </w:rPr>
        <w:t>Customs (Prohibited Imports) Regulations 1956 </w:t>
      </w:r>
      <w:r>
        <w:rPr>
          <w:sz w:val="20"/>
        </w:rPr>
        <w:t>(the Prohibited Imports Regulations). This will minimise diversion and misuse of these substances.</w:t>
      </w:r>
    </w:p>
    <w:p>
      <w:pPr>
        <w:pStyle w:val="BodyText"/>
        <w:rPr>
          <w:sz w:val="21"/>
        </w:rPr>
      </w:pPr>
    </w:p>
    <w:p>
      <w:pPr>
        <w:pStyle w:val="Heading2"/>
      </w:pPr>
      <w:r>
        <w:rPr>
          <w:color w:val="956D23"/>
        </w:rPr>
        <w:t>The Prohibited Exports Regulations – Schedule 8 (Drugs)</w:t>
      </w:r>
    </w:p>
    <w:p>
      <w:pPr>
        <w:pStyle w:val="BodyText"/>
        <w:spacing w:before="6"/>
        <w:rPr>
          <w:b/>
          <w:sz w:val="10"/>
        </w:rPr>
      </w:pPr>
    </w:p>
    <w:tbl>
      <w:tblPr>
        <w:tblW w:w="0" w:type="auto"/>
        <w:jc w:val="left"/>
        <w:tblInd w:w="1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9"/>
        <w:gridCol w:w="3121"/>
        <w:gridCol w:w="1940"/>
      </w:tblGrid>
      <w:tr>
        <w:trPr>
          <w:trHeight w:val="553" w:hRule="atLeast"/>
        </w:trPr>
        <w:tc>
          <w:tcPr>
            <w:tcW w:w="4569" w:type="dxa"/>
            <w:tcBorders>
              <w:top w:val="single" w:sz="4" w:space="0" w:color="000000"/>
              <w:left w:val="single" w:sz="4" w:space="0" w:color="000000"/>
            </w:tcBorders>
            <w:shd w:val="clear" w:color="auto" w:fill="082144"/>
          </w:tcPr>
          <w:p>
            <w:pPr>
              <w:pStyle w:val="TableParagraph"/>
              <w:spacing w:before="176"/>
              <w:rPr>
                <w:b/>
                <w:sz w:val="20"/>
              </w:rPr>
            </w:pPr>
            <w:r>
              <w:rPr>
                <w:b/>
                <w:color w:val="FFFFFF"/>
                <w:sz w:val="20"/>
              </w:rPr>
              <w:t>Substance</w:t>
            </w:r>
          </w:p>
        </w:tc>
        <w:tc>
          <w:tcPr>
            <w:tcW w:w="3121" w:type="dxa"/>
            <w:tcBorders>
              <w:top w:val="single" w:sz="4" w:space="0" w:color="000000"/>
            </w:tcBorders>
            <w:shd w:val="clear" w:color="auto" w:fill="082144"/>
          </w:tcPr>
          <w:p>
            <w:pPr>
              <w:pStyle w:val="TableParagraph"/>
              <w:spacing w:before="176"/>
              <w:ind w:left="0" w:right="405"/>
              <w:jc w:val="right"/>
              <w:rPr>
                <w:b/>
                <w:sz w:val="20"/>
              </w:rPr>
            </w:pPr>
            <w:r>
              <w:rPr>
                <w:b/>
                <w:color w:val="FFFFFF"/>
                <w:sz w:val="20"/>
              </w:rPr>
              <w:t>Part</w:t>
            </w:r>
          </w:p>
        </w:tc>
        <w:tc>
          <w:tcPr>
            <w:tcW w:w="1940" w:type="dxa"/>
            <w:tcBorders>
              <w:top w:val="single" w:sz="4" w:space="0" w:color="000000"/>
              <w:right w:val="single" w:sz="4" w:space="0" w:color="000000"/>
            </w:tcBorders>
            <w:shd w:val="clear" w:color="auto" w:fill="082144"/>
          </w:tcPr>
          <w:p>
            <w:pPr>
              <w:pStyle w:val="TableParagraph"/>
              <w:spacing w:before="176"/>
              <w:ind w:left="324" w:right="348"/>
              <w:jc w:val="center"/>
              <w:rPr>
                <w:b/>
                <w:sz w:val="20"/>
              </w:rPr>
            </w:pPr>
            <w:r>
              <w:rPr>
                <w:b/>
                <w:color w:val="FFFFFF"/>
                <w:sz w:val="20"/>
              </w:rPr>
              <w:t>Item Number</w:t>
            </w:r>
          </w:p>
        </w:tc>
      </w:tr>
      <w:tr>
        <w:trPr>
          <w:trHeight w:val="482" w:hRule="atLeast"/>
        </w:trPr>
        <w:tc>
          <w:tcPr>
            <w:tcW w:w="4569" w:type="dxa"/>
            <w:tcBorders>
              <w:left w:val="single" w:sz="4" w:space="0" w:color="000000"/>
            </w:tcBorders>
          </w:tcPr>
          <w:p>
            <w:pPr>
              <w:pStyle w:val="TableParagraph"/>
              <w:spacing w:before="118"/>
              <w:rPr>
                <w:sz w:val="20"/>
              </w:rPr>
            </w:pPr>
            <w:r>
              <w:rPr>
                <w:sz w:val="20"/>
              </w:rPr>
              <w:t>Cyclopropylfentanyl</w:t>
            </w:r>
          </w:p>
        </w:tc>
        <w:tc>
          <w:tcPr>
            <w:tcW w:w="3121" w:type="dxa"/>
          </w:tcPr>
          <w:p>
            <w:pPr>
              <w:pStyle w:val="TableParagraph"/>
              <w:spacing w:before="118"/>
              <w:ind w:left="0" w:right="332"/>
              <w:jc w:val="right"/>
              <w:rPr>
                <w:sz w:val="20"/>
              </w:rPr>
            </w:pPr>
            <w:r>
              <w:rPr>
                <w:sz w:val="20"/>
              </w:rPr>
              <w:t>Part 1</w:t>
            </w:r>
          </w:p>
        </w:tc>
        <w:tc>
          <w:tcPr>
            <w:tcW w:w="1940" w:type="dxa"/>
            <w:tcBorders>
              <w:right w:val="single" w:sz="4" w:space="0" w:color="000000"/>
            </w:tcBorders>
          </w:tcPr>
          <w:p>
            <w:pPr>
              <w:pStyle w:val="TableParagraph"/>
              <w:spacing w:before="118"/>
              <w:ind w:left="323" w:right="348"/>
              <w:jc w:val="center"/>
              <w:rPr>
                <w:sz w:val="20"/>
              </w:rPr>
            </w:pPr>
            <w:r>
              <w:rPr>
                <w:sz w:val="20"/>
              </w:rPr>
              <w:t>27C</w:t>
            </w:r>
          </w:p>
        </w:tc>
      </w:tr>
      <w:tr>
        <w:trPr>
          <w:trHeight w:val="493" w:hRule="atLeast"/>
        </w:trPr>
        <w:tc>
          <w:tcPr>
            <w:tcW w:w="4569" w:type="dxa"/>
            <w:tcBorders>
              <w:left w:val="single" w:sz="4" w:space="0" w:color="000000"/>
            </w:tcBorders>
          </w:tcPr>
          <w:p>
            <w:pPr>
              <w:pStyle w:val="TableParagraph"/>
              <w:rPr>
                <w:sz w:val="20"/>
              </w:rPr>
            </w:pPr>
            <w:r>
              <w:rPr>
                <w:sz w:val="20"/>
              </w:rPr>
              <w:t>Methoxyacetylfentanyl</w:t>
            </w:r>
          </w:p>
        </w:tc>
        <w:tc>
          <w:tcPr>
            <w:tcW w:w="3121" w:type="dxa"/>
          </w:tcPr>
          <w:p>
            <w:pPr>
              <w:pStyle w:val="TableParagraph"/>
              <w:ind w:left="0" w:right="332"/>
              <w:jc w:val="right"/>
              <w:rPr>
                <w:sz w:val="20"/>
              </w:rPr>
            </w:pPr>
            <w:r>
              <w:rPr>
                <w:sz w:val="20"/>
              </w:rPr>
              <w:t>Part 1</w:t>
            </w:r>
          </w:p>
        </w:tc>
        <w:tc>
          <w:tcPr>
            <w:tcW w:w="1940" w:type="dxa"/>
            <w:tcBorders>
              <w:right w:val="single" w:sz="4" w:space="0" w:color="000000"/>
            </w:tcBorders>
          </w:tcPr>
          <w:p>
            <w:pPr>
              <w:pStyle w:val="TableParagraph"/>
              <w:ind w:left="324" w:right="346"/>
              <w:jc w:val="center"/>
              <w:rPr>
                <w:sz w:val="20"/>
              </w:rPr>
            </w:pPr>
            <w:r>
              <w:rPr>
                <w:sz w:val="20"/>
              </w:rPr>
              <w:t>64A</w:t>
            </w:r>
          </w:p>
        </w:tc>
      </w:tr>
      <w:tr>
        <w:trPr>
          <w:trHeight w:val="493" w:hRule="atLeast"/>
        </w:trPr>
        <w:tc>
          <w:tcPr>
            <w:tcW w:w="4569" w:type="dxa"/>
            <w:tcBorders>
              <w:left w:val="single" w:sz="4" w:space="0" w:color="000000"/>
            </w:tcBorders>
          </w:tcPr>
          <w:p>
            <w:pPr>
              <w:pStyle w:val="TableParagraph"/>
              <w:spacing w:before="128"/>
              <w:rPr>
                <w:sz w:val="20"/>
              </w:rPr>
            </w:pPr>
            <w:r>
              <w:rPr>
                <w:sz w:val="20"/>
              </w:rPr>
              <w:t>Orthofluorofentanyl</w:t>
            </w:r>
          </w:p>
        </w:tc>
        <w:tc>
          <w:tcPr>
            <w:tcW w:w="3121" w:type="dxa"/>
          </w:tcPr>
          <w:p>
            <w:pPr>
              <w:pStyle w:val="TableParagraph"/>
              <w:spacing w:before="128"/>
              <w:ind w:left="0" w:right="332"/>
              <w:jc w:val="right"/>
              <w:rPr>
                <w:sz w:val="20"/>
              </w:rPr>
            </w:pPr>
            <w:r>
              <w:rPr>
                <w:sz w:val="20"/>
              </w:rPr>
              <w:t>Part 1</w:t>
            </w:r>
          </w:p>
        </w:tc>
        <w:tc>
          <w:tcPr>
            <w:tcW w:w="1940" w:type="dxa"/>
            <w:tcBorders>
              <w:right w:val="single" w:sz="4" w:space="0" w:color="000000"/>
            </w:tcBorders>
          </w:tcPr>
          <w:p>
            <w:pPr>
              <w:pStyle w:val="TableParagraph"/>
              <w:spacing w:before="128"/>
              <w:ind w:left="324" w:right="346"/>
              <w:jc w:val="center"/>
              <w:rPr>
                <w:sz w:val="20"/>
              </w:rPr>
            </w:pPr>
            <w:r>
              <w:rPr>
                <w:sz w:val="20"/>
              </w:rPr>
              <w:t>88B</w:t>
            </w:r>
          </w:p>
        </w:tc>
      </w:tr>
      <w:tr>
        <w:trPr>
          <w:trHeight w:val="504" w:hRule="atLeast"/>
        </w:trPr>
        <w:tc>
          <w:tcPr>
            <w:tcW w:w="4569" w:type="dxa"/>
            <w:tcBorders>
              <w:left w:val="single" w:sz="4" w:space="0" w:color="000000"/>
              <w:bottom w:val="single" w:sz="4" w:space="0" w:color="000000"/>
            </w:tcBorders>
          </w:tcPr>
          <w:p>
            <w:pPr>
              <w:pStyle w:val="TableParagraph"/>
              <w:rPr>
                <w:sz w:val="20"/>
              </w:rPr>
            </w:pPr>
            <w:r>
              <w:rPr>
                <w:sz w:val="20"/>
              </w:rPr>
              <w:t>Parafluorobutyrylfentanyl</w:t>
            </w:r>
          </w:p>
        </w:tc>
        <w:tc>
          <w:tcPr>
            <w:tcW w:w="3121" w:type="dxa"/>
            <w:tcBorders>
              <w:bottom w:val="single" w:sz="4" w:space="0" w:color="000000"/>
            </w:tcBorders>
          </w:tcPr>
          <w:p>
            <w:pPr>
              <w:pStyle w:val="TableParagraph"/>
              <w:ind w:left="0" w:right="332"/>
              <w:jc w:val="right"/>
              <w:rPr>
                <w:sz w:val="20"/>
              </w:rPr>
            </w:pPr>
            <w:r>
              <w:rPr>
                <w:sz w:val="20"/>
              </w:rPr>
              <w:t>Part 1</w:t>
            </w:r>
          </w:p>
        </w:tc>
        <w:tc>
          <w:tcPr>
            <w:tcW w:w="1940" w:type="dxa"/>
            <w:tcBorders>
              <w:bottom w:val="single" w:sz="4" w:space="0" w:color="000000"/>
              <w:right w:val="single" w:sz="4" w:space="0" w:color="000000"/>
            </w:tcBorders>
          </w:tcPr>
          <w:p>
            <w:pPr>
              <w:pStyle w:val="TableParagraph"/>
              <w:ind w:left="324" w:right="346"/>
              <w:jc w:val="center"/>
              <w:rPr>
                <w:sz w:val="20"/>
              </w:rPr>
            </w:pPr>
            <w:r>
              <w:rPr>
                <w:sz w:val="20"/>
              </w:rPr>
              <w:t>90A</w:t>
            </w:r>
          </w:p>
        </w:tc>
      </w:tr>
    </w:tbl>
    <w:p>
      <w:pPr>
        <w:pStyle w:val="BodyText"/>
        <w:rPr>
          <w:b/>
        </w:rPr>
      </w:pPr>
    </w:p>
    <w:p>
      <w:pPr>
        <w:pStyle w:val="BodyText"/>
        <w:rPr>
          <w:b/>
        </w:rPr>
      </w:pPr>
    </w:p>
    <w:p>
      <w:pPr>
        <w:pStyle w:val="BodyText"/>
        <w:spacing w:before="7"/>
        <w:rPr>
          <w:b/>
          <w:sz w:val="29"/>
        </w:rPr>
      </w:pPr>
    </w:p>
    <w:p>
      <w:pPr>
        <w:tabs>
          <w:tab w:pos="4364" w:val="left" w:leader="none"/>
          <w:tab w:pos="11908" w:val="left" w:leader="none"/>
        </w:tabs>
        <w:spacing w:before="92"/>
        <w:ind w:left="0" w:right="-15" w:firstLine="0"/>
        <w:jc w:val="left"/>
        <w:rPr>
          <w:rFonts w:ascii="Arial-BoldItalicMT" w:hAnsi="Arial-BoldItalicMT"/>
          <w:b/>
          <w:i/>
          <w:sz w:val="24"/>
        </w:rPr>
      </w:pPr>
      <w:r>
        <w:rPr>
          <w:rFonts w:ascii="Times New Roman" w:hAnsi="Times New Roman"/>
          <w:color w:val="FFFFFF"/>
          <w:sz w:val="24"/>
          <w:shd w:fill="082144" w:color="auto" w:val="clear"/>
        </w:rPr>
        <w:t> </w:t>
        <w:tab/>
      </w:r>
      <w:r>
        <w:rPr>
          <w:rFonts w:ascii="Arial-BoldItalicMT" w:hAnsi="Arial-BoldItalicMT"/>
          <w:b/>
          <w:i/>
          <w:color w:val="FFFFFF"/>
          <w:sz w:val="24"/>
          <w:shd w:fill="082144" w:color="auto" w:val="clear"/>
        </w:rPr>
        <w:t>Australia’s customs</w:t>
      </w:r>
      <w:r>
        <w:rPr>
          <w:rFonts w:ascii="Arial-BoldItalicMT" w:hAnsi="Arial-BoldItalicMT"/>
          <w:b/>
          <w:i/>
          <w:color w:val="FFFFFF"/>
          <w:spacing w:val="-11"/>
          <w:sz w:val="24"/>
          <w:shd w:fill="082144" w:color="auto" w:val="clear"/>
        </w:rPr>
        <w:t> </w:t>
      </w:r>
      <w:r>
        <w:rPr>
          <w:rFonts w:ascii="Arial-BoldItalicMT" w:hAnsi="Arial-BoldItalicMT"/>
          <w:b/>
          <w:i/>
          <w:color w:val="FFFFFF"/>
          <w:sz w:val="24"/>
          <w:shd w:fill="08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spacing w:before="9"/>
        <w:rPr>
          <w:rFonts w:ascii="Arial-BoldItalicMT"/>
          <w:b/>
          <w:i/>
          <w:sz w:val="16"/>
        </w:rPr>
      </w:pPr>
    </w:p>
    <w:tbl>
      <w:tblPr>
        <w:tblW w:w="0" w:type="auto"/>
        <w:jc w:val="left"/>
        <w:tblInd w:w="1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81"/>
        <w:gridCol w:w="1109"/>
        <w:gridCol w:w="1941"/>
      </w:tblGrid>
      <w:tr>
        <w:trPr>
          <w:trHeight w:val="552" w:hRule="atLeast"/>
        </w:trPr>
        <w:tc>
          <w:tcPr>
            <w:tcW w:w="6581" w:type="dxa"/>
            <w:tcBorders>
              <w:top w:val="single" w:sz="4" w:space="0" w:color="000000"/>
              <w:left w:val="single" w:sz="4" w:space="0" w:color="000000"/>
            </w:tcBorders>
            <w:shd w:val="clear" w:color="auto" w:fill="082144"/>
          </w:tcPr>
          <w:p>
            <w:pPr>
              <w:pStyle w:val="TableParagraph"/>
              <w:spacing w:before="175"/>
              <w:rPr>
                <w:b/>
                <w:sz w:val="20"/>
              </w:rPr>
            </w:pPr>
            <w:r>
              <w:rPr>
                <w:b/>
                <w:color w:val="FFFFFF"/>
                <w:sz w:val="20"/>
              </w:rPr>
              <w:t>Substance</w:t>
            </w:r>
          </w:p>
        </w:tc>
        <w:tc>
          <w:tcPr>
            <w:tcW w:w="1109" w:type="dxa"/>
            <w:tcBorders>
              <w:top w:val="single" w:sz="4" w:space="0" w:color="000000"/>
            </w:tcBorders>
            <w:shd w:val="clear" w:color="auto" w:fill="082144"/>
          </w:tcPr>
          <w:p>
            <w:pPr>
              <w:pStyle w:val="TableParagraph"/>
              <w:spacing w:before="175"/>
              <w:ind w:left="222" w:right="311"/>
              <w:jc w:val="center"/>
              <w:rPr>
                <w:b/>
                <w:sz w:val="20"/>
              </w:rPr>
            </w:pPr>
            <w:r>
              <w:rPr>
                <w:b/>
                <w:color w:val="FFFFFF"/>
                <w:sz w:val="20"/>
              </w:rPr>
              <w:t>Part</w:t>
            </w:r>
          </w:p>
        </w:tc>
        <w:tc>
          <w:tcPr>
            <w:tcW w:w="1941" w:type="dxa"/>
            <w:tcBorders>
              <w:top w:val="single" w:sz="4" w:space="0" w:color="000000"/>
              <w:right w:val="single" w:sz="4" w:space="0" w:color="000000"/>
            </w:tcBorders>
            <w:shd w:val="clear" w:color="auto" w:fill="082144"/>
          </w:tcPr>
          <w:p>
            <w:pPr>
              <w:pStyle w:val="TableParagraph"/>
              <w:spacing w:before="175"/>
              <w:ind w:left="324" w:right="349"/>
              <w:jc w:val="center"/>
              <w:rPr>
                <w:b/>
                <w:sz w:val="20"/>
              </w:rPr>
            </w:pPr>
            <w:r>
              <w:rPr>
                <w:b/>
                <w:color w:val="FFFFFF"/>
                <w:sz w:val="20"/>
              </w:rPr>
              <w:t>Item Number</w:t>
            </w:r>
          </w:p>
        </w:tc>
      </w:tr>
      <w:tr>
        <w:trPr>
          <w:trHeight w:val="481" w:hRule="atLeast"/>
        </w:trPr>
        <w:tc>
          <w:tcPr>
            <w:tcW w:w="6581" w:type="dxa"/>
            <w:tcBorders>
              <w:left w:val="single" w:sz="4" w:space="0" w:color="000000"/>
            </w:tcBorders>
          </w:tcPr>
          <w:p>
            <w:pPr>
              <w:pStyle w:val="TableParagraph"/>
              <w:spacing w:before="117"/>
              <w:rPr>
                <w:sz w:val="20"/>
              </w:rPr>
            </w:pPr>
            <w:r>
              <w:rPr>
                <w:sz w:val="20"/>
              </w:rPr>
              <w:t>ADB-CHMINACA - otherwise known as MAB-CHMINACA</w:t>
            </w:r>
          </w:p>
        </w:tc>
        <w:tc>
          <w:tcPr>
            <w:tcW w:w="1109" w:type="dxa"/>
          </w:tcPr>
          <w:p>
            <w:pPr>
              <w:pStyle w:val="TableParagraph"/>
              <w:spacing w:before="117"/>
              <w:ind w:left="223" w:right="311"/>
              <w:jc w:val="center"/>
              <w:rPr>
                <w:sz w:val="20"/>
              </w:rPr>
            </w:pPr>
            <w:r>
              <w:rPr>
                <w:sz w:val="20"/>
              </w:rPr>
              <w:t>Part 2</w:t>
            </w:r>
          </w:p>
        </w:tc>
        <w:tc>
          <w:tcPr>
            <w:tcW w:w="1941" w:type="dxa"/>
            <w:tcBorders>
              <w:right w:val="single" w:sz="4" w:space="0" w:color="000000"/>
            </w:tcBorders>
          </w:tcPr>
          <w:p>
            <w:pPr>
              <w:pStyle w:val="TableParagraph"/>
              <w:spacing w:before="117"/>
              <w:ind w:left="324" w:right="347"/>
              <w:jc w:val="center"/>
              <w:rPr>
                <w:sz w:val="20"/>
              </w:rPr>
            </w:pPr>
            <w:r>
              <w:rPr>
                <w:sz w:val="20"/>
              </w:rPr>
              <w:t>1AB</w:t>
            </w:r>
          </w:p>
        </w:tc>
      </w:tr>
      <w:tr>
        <w:trPr>
          <w:trHeight w:val="493" w:hRule="atLeast"/>
        </w:trPr>
        <w:tc>
          <w:tcPr>
            <w:tcW w:w="6581" w:type="dxa"/>
            <w:tcBorders>
              <w:left w:val="single" w:sz="4" w:space="0" w:color="000000"/>
            </w:tcBorders>
          </w:tcPr>
          <w:p>
            <w:pPr>
              <w:pStyle w:val="TableParagraph"/>
              <w:rPr>
                <w:sz w:val="20"/>
              </w:rPr>
            </w:pPr>
            <w:r>
              <w:rPr>
                <w:sz w:val="20"/>
              </w:rPr>
              <w:t>ADB-FUBINACA</w:t>
            </w:r>
          </w:p>
        </w:tc>
        <w:tc>
          <w:tcPr>
            <w:tcW w:w="1109" w:type="dxa"/>
          </w:tcPr>
          <w:p>
            <w:pPr>
              <w:pStyle w:val="TableParagraph"/>
              <w:ind w:left="223" w:right="311"/>
              <w:jc w:val="center"/>
              <w:rPr>
                <w:sz w:val="20"/>
              </w:rPr>
            </w:pPr>
            <w:r>
              <w:rPr>
                <w:sz w:val="20"/>
              </w:rPr>
              <w:t>Part 2</w:t>
            </w:r>
          </w:p>
        </w:tc>
        <w:tc>
          <w:tcPr>
            <w:tcW w:w="1941" w:type="dxa"/>
            <w:tcBorders>
              <w:right w:val="single" w:sz="4" w:space="0" w:color="000000"/>
            </w:tcBorders>
          </w:tcPr>
          <w:p>
            <w:pPr>
              <w:pStyle w:val="TableParagraph"/>
              <w:ind w:left="324" w:right="347"/>
              <w:jc w:val="center"/>
              <w:rPr>
                <w:sz w:val="20"/>
              </w:rPr>
            </w:pPr>
            <w:r>
              <w:rPr>
                <w:sz w:val="20"/>
              </w:rPr>
              <w:t>1AC</w:t>
            </w:r>
          </w:p>
        </w:tc>
      </w:tr>
      <w:tr>
        <w:trPr>
          <w:trHeight w:val="493" w:hRule="atLeast"/>
        </w:trPr>
        <w:tc>
          <w:tcPr>
            <w:tcW w:w="6581" w:type="dxa"/>
            <w:tcBorders>
              <w:left w:val="single" w:sz="4" w:space="0" w:color="000000"/>
            </w:tcBorders>
          </w:tcPr>
          <w:p>
            <w:pPr>
              <w:pStyle w:val="TableParagraph"/>
              <w:spacing w:before="128"/>
              <w:rPr>
                <w:sz w:val="20"/>
              </w:rPr>
            </w:pPr>
            <w:r>
              <w:rPr>
                <w:sz w:val="20"/>
              </w:rPr>
              <w:t>CUMYL-4CN-BINACA</w:t>
            </w:r>
          </w:p>
        </w:tc>
        <w:tc>
          <w:tcPr>
            <w:tcW w:w="1109" w:type="dxa"/>
          </w:tcPr>
          <w:p>
            <w:pPr>
              <w:pStyle w:val="TableParagraph"/>
              <w:spacing w:before="128"/>
              <w:ind w:left="223" w:right="311"/>
              <w:jc w:val="center"/>
              <w:rPr>
                <w:sz w:val="20"/>
              </w:rPr>
            </w:pPr>
            <w:r>
              <w:rPr>
                <w:sz w:val="20"/>
              </w:rPr>
              <w:t>Part 2</w:t>
            </w:r>
          </w:p>
        </w:tc>
        <w:tc>
          <w:tcPr>
            <w:tcW w:w="1941" w:type="dxa"/>
            <w:tcBorders>
              <w:right w:val="single" w:sz="4" w:space="0" w:color="000000"/>
            </w:tcBorders>
          </w:tcPr>
          <w:p>
            <w:pPr>
              <w:pStyle w:val="TableParagraph"/>
              <w:spacing w:before="128"/>
              <w:ind w:left="324" w:right="347"/>
              <w:jc w:val="center"/>
              <w:rPr>
                <w:sz w:val="20"/>
              </w:rPr>
            </w:pPr>
            <w:r>
              <w:rPr>
                <w:sz w:val="20"/>
              </w:rPr>
              <w:t>6A</w:t>
            </w:r>
          </w:p>
        </w:tc>
      </w:tr>
      <w:tr>
        <w:trPr>
          <w:trHeight w:val="493" w:hRule="atLeast"/>
        </w:trPr>
        <w:tc>
          <w:tcPr>
            <w:tcW w:w="6581" w:type="dxa"/>
            <w:tcBorders>
              <w:left w:val="single" w:sz="4" w:space="0" w:color="000000"/>
            </w:tcBorders>
          </w:tcPr>
          <w:p>
            <w:pPr>
              <w:pStyle w:val="TableParagraph"/>
              <w:rPr>
                <w:sz w:val="20"/>
              </w:rPr>
            </w:pPr>
            <w:r>
              <w:rPr>
                <w:sz w:val="20"/>
              </w:rPr>
              <w:t>N-ethylnorpentylone otherwise known as ephylone</w:t>
            </w:r>
          </w:p>
        </w:tc>
        <w:tc>
          <w:tcPr>
            <w:tcW w:w="1109" w:type="dxa"/>
          </w:tcPr>
          <w:p>
            <w:pPr>
              <w:pStyle w:val="TableParagraph"/>
              <w:ind w:left="223" w:right="311"/>
              <w:jc w:val="center"/>
              <w:rPr>
                <w:sz w:val="20"/>
              </w:rPr>
            </w:pPr>
            <w:r>
              <w:rPr>
                <w:sz w:val="20"/>
              </w:rPr>
              <w:t>Part 2</w:t>
            </w:r>
          </w:p>
        </w:tc>
        <w:tc>
          <w:tcPr>
            <w:tcW w:w="1941" w:type="dxa"/>
            <w:tcBorders>
              <w:right w:val="single" w:sz="4" w:space="0" w:color="000000"/>
            </w:tcBorders>
          </w:tcPr>
          <w:p>
            <w:pPr>
              <w:pStyle w:val="TableParagraph"/>
              <w:ind w:left="324" w:right="349"/>
              <w:jc w:val="center"/>
              <w:rPr>
                <w:sz w:val="20"/>
              </w:rPr>
            </w:pPr>
            <w:r>
              <w:rPr>
                <w:sz w:val="20"/>
              </w:rPr>
              <w:t>12AAA</w:t>
            </w:r>
          </w:p>
        </w:tc>
      </w:tr>
      <w:tr>
        <w:trPr>
          <w:trHeight w:val="493" w:hRule="atLeast"/>
        </w:trPr>
        <w:tc>
          <w:tcPr>
            <w:tcW w:w="6581" w:type="dxa"/>
            <w:tcBorders>
              <w:left w:val="single" w:sz="4" w:space="0" w:color="000000"/>
            </w:tcBorders>
          </w:tcPr>
          <w:p>
            <w:pPr>
              <w:pStyle w:val="TableParagraph"/>
              <w:spacing w:before="128"/>
              <w:rPr>
                <w:sz w:val="20"/>
              </w:rPr>
            </w:pPr>
            <w:r>
              <w:rPr>
                <w:sz w:val="20"/>
              </w:rPr>
              <w:t>FUB-AMB - otherwise known as MMB-FUBINACA or AMB-FUBINACA</w:t>
            </w:r>
          </w:p>
        </w:tc>
        <w:tc>
          <w:tcPr>
            <w:tcW w:w="1109" w:type="dxa"/>
          </w:tcPr>
          <w:p>
            <w:pPr>
              <w:pStyle w:val="TableParagraph"/>
              <w:spacing w:before="128"/>
              <w:ind w:left="223" w:right="311"/>
              <w:jc w:val="center"/>
              <w:rPr>
                <w:sz w:val="20"/>
              </w:rPr>
            </w:pPr>
            <w:r>
              <w:rPr>
                <w:sz w:val="20"/>
              </w:rPr>
              <w:t>Part 2</w:t>
            </w:r>
          </w:p>
        </w:tc>
        <w:tc>
          <w:tcPr>
            <w:tcW w:w="1941" w:type="dxa"/>
            <w:tcBorders>
              <w:right w:val="single" w:sz="4" w:space="0" w:color="000000"/>
            </w:tcBorders>
          </w:tcPr>
          <w:p>
            <w:pPr>
              <w:pStyle w:val="TableParagraph"/>
              <w:spacing w:before="128"/>
              <w:ind w:left="324" w:right="347"/>
              <w:jc w:val="center"/>
              <w:rPr>
                <w:sz w:val="20"/>
              </w:rPr>
            </w:pPr>
            <w:r>
              <w:rPr>
                <w:sz w:val="20"/>
              </w:rPr>
              <w:t>13AC</w:t>
            </w:r>
          </w:p>
        </w:tc>
      </w:tr>
      <w:tr>
        <w:trPr>
          <w:trHeight w:val="493" w:hRule="atLeast"/>
        </w:trPr>
        <w:tc>
          <w:tcPr>
            <w:tcW w:w="6581" w:type="dxa"/>
            <w:tcBorders>
              <w:left w:val="single" w:sz="4" w:space="0" w:color="000000"/>
            </w:tcBorders>
          </w:tcPr>
          <w:p>
            <w:pPr>
              <w:pStyle w:val="TableParagraph"/>
              <w:rPr>
                <w:sz w:val="20"/>
              </w:rPr>
            </w:pPr>
            <w:r>
              <w:rPr>
                <w:sz w:val="20"/>
              </w:rPr>
              <w:t>Alpha-phenylacetoacetamide - otherwise known as APAA</w:t>
            </w:r>
          </w:p>
        </w:tc>
        <w:tc>
          <w:tcPr>
            <w:tcW w:w="1109" w:type="dxa"/>
          </w:tcPr>
          <w:p>
            <w:pPr>
              <w:pStyle w:val="TableParagraph"/>
              <w:ind w:left="223" w:right="311"/>
              <w:jc w:val="center"/>
              <w:rPr>
                <w:sz w:val="20"/>
              </w:rPr>
            </w:pPr>
            <w:r>
              <w:rPr>
                <w:sz w:val="20"/>
              </w:rPr>
              <w:t>Part 3</w:t>
            </w:r>
          </w:p>
        </w:tc>
        <w:tc>
          <w:tcPr>
            <w:tcW w:w="1941" w:type="dxa"/>
            <w:tcBorders>
              <w:right w:val="single" w:sz="4" w:space="0" w:color="000000"/>
            </w:tcBorders>
          </w:tcPr>
          <w:p>
            <w:pPr>
              <w:pStyle w:val="TableParagraph"/>
              <w:ind w:left="324" w:right="347"/>
              <w:jc w:val="center"/>
              <w:rPr>
                <w:sz w:val="20"/>
              </w:rPr>
            </w:pPr>
            <w:r>
              <w:rPr>
                <w:sz w:val="20"/>
              </w:rPr>
              <w:t>1AA</w:t>
            </w:r>
          </w:p>
        </w:tc>
      </w:tr>
      <w:tr>
        <w:trPr>
          <w:trHeight w:val="493" w:hRule="atLeast"/>
        </w:trPr>
        <w:tc>
          <w:tcPr>
            <w:tcW w:w="6581" w:type="dxa"/>
            <w:tcBorders>
              <w:left w:val="single" w:sz="4" w:space="0" w:color="000000"/>
            </w:tcBorders>
          </w:tcPr>
          <w:p>
            <w:pPr>
              <w:pStyle w:val="TableParagraph"/>
              <w:spacing w:before="129"/>
              <w:rPr>
                <w:sz w:val="20"/>
              </w:rPr>
            </w:pPr>
            <w:r>
              <w:rPr>
                <w:sz w:val="20"/>
              </w:rPr>
              <w:t>3,4-MDP-2-P methyl glycidate - otherwise known as PMK glycidate</w:t>
            </w:r>
          </w:p>
        </w:tc>
        <w:tc>
          <w:tcPr>
            <w:tcW w:w="1109" w:type="dxa"/>
          </w:tcPr>
          <w:p>
            <w:pPr>
              <w:pStyle w:val="TableParagraph"/>
              <w:spacing w:before="129"/>
              <w:ind w:left="223" w:right="311"/>
              <w:jc w:val="center"/>
              <w:rPr>
                <w:sz w:val="20"/>
              </w:rPr>
            </w:pPr>
            <w:r>
              <w:rPr>
                <w:sz w:val="20"/>
              </w:rPr>
              <w:t>Part 3</w:t>
            </w:r>
          </w:p>
        </w:tc>
        <w:tc>
          <w:tcPr>
            <w:tcW w:w="1941" w:type="dxa"/>
            <w:tcBorders>
              <w:right w:val="single" w:sz="4" w:space="0" w:color="000000"/>
            </w:tcBorders>
          </w:tcPr>
          <w:p>
            <w:pPr>
              <w:pStyle w:val="TableParagraph"/>
              <w:spacing w:before="129"/>
              <w:ind w:left="324" w:right="347"/>
              <w:jc w:val="center"/>
              <w:rPr>
                <w:sz w:val="20"/>
              </w:rPr>
            </w:pPr>
            <w:r>
              <w:rPr>
                <w:sz w:val="20"/>
              </w:rPr>
              <w:t>17A</w:t>
            </w:r>
          </w:p>
        </w:tc>
      </w:tr>
      <w:tr>
        <w:trPr>
          <w:trHeight w:val="372" w:hRule="atLeast"/>
        </w:trPr>
        <w:tc>
          <w:tcPr>
            <w:tcW w:w="6581" w:type="dxa"/>
            <w:tcBorders>
              <w:left w:val="single" w:sz="4" w:space="0" w:color="000000"/>
            </w:tcBorders>
          </w:tcPr>
          <w:p>
            <w:pPr>
              <w:pStyle w:val="TableParagraph"/>
              <w:spacing w:line="225" w:lineRule="exact"/>
              <w:rPr>
                <w:sz w:val="20"/>
              </w:rPr>
            </w:pPr>
            <w:r>
              <w:rPr>
                <w:sz w:val="20"/>
              </w:rPr>
              <w:t>3,4-MDP-2-P methyl glycidic acid - otherwise known as PMK glycidic</w:t>
            </w:r>
          </w:p>
        </w:tc>
        <w:tc>
          <w:tcPr>
            <w:tcW w:w="1109" w:type="dxa"/>
          </w:tcPr>
          <w:p>
            <w:pPr>
              <w:pStyle w:val="TableParagraph"/>
              <w:spacing w:before="1"/>
              <w:ind w:left="0"/>
              <w:rPr>
                <w:rFonts w:ascii="Arial-BoldItalicMT"/>
                <w:b/>
                <w:i/>
                <w:sz w:val="22"/>
              </w:rPr>
            </w:pPr>
          </w:p>
          <w:p>
            <w:pPr>
              <w:pStyle w:val="TableParagraph"/>
              <w:spacing w:line="97" w:lineRule="exact" w:before="0"/>
              <w:ind w:left="223" w:right="311"/>
              <w:jc w:val="center"/>
              <w:rPr>
                <w:sz w:val="20"/>
              </w:rPr>
            </w:pPr>
            <w:r>
              <w:rPr>
                <w:sz w:val="20"/>
              </w:rPr>
              <w:t>Part 3</w:t>
            </w:r>
          </w:p>
        </w:tc>
        <w:tc>
          <w:tcPr>
            <w:tcW w:w="1941" w:type="dxa"/>
            <w:tcBorders>
              <w:right w:val="single" w:sz="4" w:space="0" w:color="000000"/>
            </w:tcBorders>
          </w:tcPr>
          <w:p>
            <w:pPr>
              <w:pStyle w:val="TableParagraph"/>
              <w:spacing w:before="1"/>
              <w:ind w:left="0"/>
              <w:rPr>
                <w:rFonts w:ascii="Arial-BoldItalicMT"/>
                <w:b/>
                <w:i/>
                <w:sz w:val="22"/>
              </w:rPr>
            </w:pPr>
          </w:p>
          <w:p>
            <w:pPr>
              <w:pStyle w:val="TableParagraph"/>
              <w:spacing w:line="97" w:lineRule="exact" w:before="0"/>
              <w:ind w:left="324" w:right="347"/>
              <w:jc w:val="center"/>
              <w:rPr>
                <w:sz w:val="20"/>
              </w:rPr>
            </w:pPr>
            <w:r>
              <w:rPr>
                <w:sz w:val="20"/>
              </w:rPr>
              <w:t>17B</w:t>
            </w:r>
          </w:p>
        </w:tc>
      </w:tr>
      <w:tr>
        <w:trPr>
          <w:trHeight w:val="384" w:hRule="atLeast"/>
        </w:trPr>
        <w:tc>
          <w:tcPr>
            <w:tcW w:w="6581" w:type="dxa"/>
            <w:tcBorders>
              <w:left w:val="single" w:sz="4" w:space="0" w:color="000000"/>
              <w:bottom w:val="single" w:sz="4" w:space="0" w:color="000000"/>
            </w:tcBorders>
          </w:tcPr>
          <w:p>
            <w:pPr>
              <w:pStyle w:val="TableParagraph"/>
              <w:spacing w:before="7"/>
              <w:rPr>
                <w:sz w:val="20"/>
              </w:rPr>
            </w:pPr>
            <w:r>
              <w:rPr>
                <w:sz w:val="20"/>
              </w:rPr>
              <w:t>acid</w:t>
            </w:r>
          </w:p>
        </w:tc>
        <w:tc>
          <w:tcPr>
            <w:tcW w:w="1109" w:type="dxa"/>
            <w:tcBorders>
              <w:bottom w:val="single" w:sz="4" w:space="0" w:color="000000"/>
            </w:tcBorders>
          </w:tcPr>
          <w:p>
            <w:pPr>
              <w:pStyle w:val="TableParagraph"/>
              <w:spacing w:before="0"/>
              <w:ind w:left="0"/>
              <w:rPr>
                <w:rFonts w:ascii="Times New Roman"/>
                <w:sz w:val="18"/>
              </w:rPr>
            </w:pPr>
          </w:p>
        </w:tc>
        <w:tc>
          <w:tcPr>
            <w:tcW w:w="1941" w:type="dxa"/>
            <w:tcBorders>
              <w:bottom w:val="single" w:sz="4" w:space="0" w:color="000000"/>
              <w:right w:val="single" w:sz="4" w:space="0" w:color="000000"/>
            </w:tcBorders>
          </w:tcPr>
          <w:p>
            <w:pPr>
              <w:pStyle w:val="TableParagraph"/>
              <w:spacing w:before="0"/>
              <w:ind w:left="0"/>
              <w:rPr>
                <w:rFonts w:ascii="Times New Roman"/>
                <w:sz w:val="18"/>
              </w:rPr>
            </w:pPr>
          </w:p>
        </w:tc>
      </w:tr>
    </w:tbl>
    <w:p>
      <w:pPr>
        <w:pStyle w:val="BodyText"/>
        <w:spacing w:before="6"/>
        <w:rPr>
          <w:rFonts w:ascii="Arial-BoldItalicMT"/>
          <w:b/>
          <w:i/>
          <w:sz w:val="12"/>
        </w:rPr>
      </w:pPr>
    </w:p>
    <w:p>
      <w:pPr>
        <w:pStyle w:val="Heading2"/>
        <w:spacing w:before="93"/>
      </w:pPr>
      <w:r>
        <w:rPr>
          <w:color w:val="956D23"/>
        </w:rPr>
        <w:t>The Prohibited Imports Regulations – Schedule 4 (Drugs)</w:t>
      </w:r>
    </w:p>
    <w:p>
      <w:pPr>
        <w:pStyle w:val="BodyText"/>
        <w:spacing w:before="8"/>
        <w:rPr>
          <w:b/>
          <w:sz w:val="10"/>
        </w:rPr>
      </w:pPr>
    </w:p>
    <w:tbl>
      <w:tblPr>
        <w:tblW w:w="0" w:type="auto"/>
        <w:jc w:val="left"/>
        <w:tblInd w:w="1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2"/>
        <w:gridCol w:w="2313"/>
      </w:tblGrid>
      <w:tr>
        <w:trPr>
          <w:trHeight w:val="551" w:hRule="atLeast"/>
        </w:trPr>
        <w:tc>
          <w:tcPr>
            <w:tcW w:w="7322" w:type="dxa"/>
            <w:tcBorders>
              <w:top w:val="single" w:sz="4" w:space="0" w:color="000000"/>
              <w:left w:val="single" w:sz="4" w:space="0" w:color="000000"/>
            </w:tcBorders>
            <w:shd w:val="clear" w:color="auto" w:fill="082144"/>
          </w:tcPr>
          <w:p>
            <w:pPr>
              <w:pStyle w:val="TableParagraph"/>
              <w:spacing w:before="174"/>
              <w:rPr>
                <w:b/>
                <w:sz w:val="20"/>
              </w:rPr>
            </w:pPr>
            <w:r>
              <w:rPr>
                <w:b/>
                <w:color w:val="FFFFFF"/>
                <w:sz w:val="20"/>
              </w:rPr>
              <w:t>Substance</w:t>
            </w:r>
          </w:p>
        </w:tc>
        <w:tc>
          <w:tcPr>
            <w:tcW w:w="2313" w:type="dxa"/>
            <w:tcBorders>
              <w:top w:val="single" w:sz="4" w:space="0" w:color="000000"/>
              <w:right w:val="single" w:sz="4" w:space="0" w:color="000000"/>
            </w:tcBorders>
            <w:shd w:val="clear" w:color="auto" w:fill="082144"/>
          </w:tcPr>
          <w:p>
            <w:pPr>
              <w:pStyle w:val="TableParagraph"/>
              <w:spacing w:before="174"/>
              <w:ind w:left="695" w:right="350"/>
              <w:jc w:val="center"/>
              <w:rPr>
                <w:b/>
                <w:sz w:val="20"/>
              </w:rPr>
            </w:pPr>
            <w:r>
              <w:rPr>
                <w:b/>
                <w:color w:val="FFFFFF"/>
                <w:sz w:val="20"/>
              </w:rPr>
              <w:t>Item Number</w:t>
            </w:r>
          </w:p>
        </w:tc>
      </w:tr>
      <w:tr>
        <w:trPr>
          <w:trHeight w:val="482" w:hRule="atLeast"/>
        </w:trPr>
        <w:tc>
          <w:tcPr>
            <w:tcW w:w="7322" w:type="dxa"/>
            <w:tcBorders>
              <w:left w:val="single" w:sz="4" w:space="0" w:color="000000"/>
            </w:tcBorders>
          </w:tcPr>
          <w:p>
            <w:pPr>
              <w:pStyle w:val="TableParagraph"/>
              <w:spacing w:before="117"/>
              <w:rPr>
                <w:sz w:val="20"/>
              </w:rPr>
            </w:pPr>
            <w:r>
              <w:rPr>
                <w:sz w:val="20"/>
              </w:rPr>
              <w:t>ADB-CHMINACA (otherwise known as MAB-CHMINACA</w:t>
            </w:r>
          </w:p>
        </w:tc>
        <w:tc>
          <w:tcPr>
            <w:tcW w:w="2313" w:type="dxa"/>
            <w:tcBorders>
              <w:right w:val="single" w:sz="4" w:space="0" w:color="000000"/>
            </w:tcBorders>
          </w:tcPr>
          <w:p>
            <w:pPr>
              <w:pStyle w:val="TableParagraph"/>
              <w:spacing w:before="117"/>
              <w:ind w:left="694" w:right="350"/>
              <w:jc w:val="center"/>
              <w:rPr>
                <w:sz w:val="20"/>
              </w:rPr>
            </w:pPr>
            <w:r>
              <w:rPr>
                <w:sz w:val="20"/>
              </w:rPr>
              <w:t>4D</w:t>
            </w:r>
          </w:p>
        </w:tc>
      </w:tr>
      <w:tr>
        <w:trPr>
          <w:trHeight w:val="493" w:hRule="atLeast"/>
        </w:trPr>
        <w:tc>
          <w:tcPr>
            <w:tcW w:w="7322" w:type="dxa"/>
            <w:tcBorders>
              <w:left w:val="single" w:sz="4" w:space="0" w:color="000000"/>
            </w:tcBorders>
          </w:tcPr>
          <w:p>
            <w:pPr>
              <w:pStyle w:val="TableParagraph"/>
              <w:spacing w:before="128"/>
              <w:rPr>
                <w:sz w:val="20"/>
              </w:rPr>
            </w:pPr>
            <w:r>
              <w:rPr>
                <w:sz w:val="20"/>
              </w:rPr>
              <w:t>ADB-FUBINACA</w:t>
            </w:r>
          </w:p>
        </w:tc>
        <w:tc>
          <w:tcPr>
            <w:tcW w:w="2313" w:type="dxa"/>
            <w:tcBorders>
              <w:right w:val="single" w:sz="4" w:space="0" w:color="000000"/>
            </w:tcBorders>
          </w:tcPr>
          <w:p>
            <w:pPr>
              <w:pStyle w:val="TableParagraph"/>
              <w:spacing w:before="128"/>
              <w:ind w:left="693" w:right="350"/>
              <w:jc w:val="center"/>
              <w:rPr>
                <w:sz w:val="20"/>
              </w:rPr>
            </w:pPr>
            <w:r>
              <w:rPr>
                <w:sz w:val="20"/>
              </w:rPr>
              <w:t>4E</w:t>
            </w:r>
          </w:p>
        </w:tc>
      </w:tr>
      <w:tr>
        <w:trPr>
          <w:trHeight w:val="493" w:hRule="atLeast"/>
        </w:trPr>
        <w:tc>
          <w:tcPr>
            <w:tcW w:w="7322" w:type="dxa"/>
            <w:tcBorders>
              <w:left w:val="single" w:sz="4" w:space="0" w:color="000000"/>
            </w:tcBorders>
          </w:tcPr>
          <w:p>
            <w:pPr>
              <w:pStyle w:val="TableParagraph"/>
              <w:rPr>
                <w:sz w:val="20"/>
              </w:rPr>
            </w:pPr>
            <w:r>
              <w:rPr>
                <w:sz w:val="20"/>
              </w:rPr>
              <w:t>Alpha-phenylacetoacetamide - otherwise known as APAA</w:t>
            </w:r>
          </w:p>
        </w:tc>
        <w:tc>
          <w:tcPr>
            <w:tcW w:w="2313" w:type="dxa"/>
            <w:tcBorders>
              <w:right w:val="single" w:sz="4" w:space="0" w:color="000000"/>
            </w:tcBorders>
          </w:tcPr>
          <w:p>
            <w:pPr>
              <w:pStyle w:val="TableParagraph"/>
              <w:ind w:left="693" w:right="350"/>
              <w:jc w:val="center"/>
              <w:rPr>
                <w:sz w:val="20"/>
              </w:rPr>
            </w:pPr>
            <w:r>
              <w:rPr>
                <w:sz w:val="20"/>
              </w:rPr>
              <w:t>11AA</w:t>
            </w:r>
          </w:p>
        </w:tc>
      </w:tr>
      <w:tr>
        <w:trPr>
          <w:trHeight w:val="493" w:hRule="atLeast"/>
        </w:trPr>
        <w:tc>
          <w:tcPr>
            <w:tcW w:w="7322" w:type="dxa"/>
            <w:tcBorders>
              <w:left w:val="single" w:sz="4" w:space="0" w:color="000000"/>
            </w:tcBorders>
          </w:tcPr>
          <w:p>
            <w:pPr>
              <w:pStyle w:val="TableParagraph"/>
              <w:spacing w:before="129"/>
              <w:rPr>
                <w:sz w:val="20"/>
              </w:rPr>
            </w:pPr>
            <w:r>
              <w:rPr>
                <w:sz w:val="20"/>
              </w:rPr>
              <w:t>CUMYL-4CN-BINACA</w:t>
            </w:r>
          </w:p>
        </w:tc>
        <w:tc>
          <w:tcPr>
            <w:tcW w:w="2313" w:type="dxa"/>
            <w:tcBorders>
              <w:right w:val="single" w:sz="4" w:space="0" w:color="000000"/>
            </w:tcBorders>
          </w:tcPr>
          <w:p>
            <w:pPr>
              <w:pStyle w:val="TableParagraph"/>
              <w:spacing w:before="129"/>
              <w:ind w:left="695" w:right="350"/>
              <w:jc w:val="center"/>
              <w:rPr>
                <w:sz w:val="20"/>
              </w:rPr>
            </w:pPr>
            <w:r>
              <w:rPr>
                <w:sz w:val="20"/>
              </w:rPr>
              <w:t>49FA</w:t>
            </w:r>
          </w:p>
        </w:tc>
      </w:tr>
      <w:tr>
        <w:trPr>
          <w:trHeight w:val="492" w:hRule="atLeast"/>
        </w:trPr>
        <w:tc>
          <w:tcPr>
            <w:tcW w:w="7322" w:type="dxa"/>
            <w:tcBorders>
              <w:left w:val="single" w:sz="4" w:space="0" w:color="000000"/>
            </w:tcBorders>
          </w:tcPr>
          <w:p>
            <w:pPr>
              <w:pStyle w:val="TableParagraph"/>
              <w:rPr>
                <w:sz w:val="20"/>
              </w:rPr>
            </w:pPr>
            <w:r>
              <w:rPr>
                <w:sz w:val="20"/>
              </w:rPr>
              <w:t>Cyclopropylfentanyl</w:t>
            </w:r>
          </w:p>
        </w:tc>
        <w:tc>
          <w:tcPr>
            <w:tcW w:w="2313" w:type="dxa"/>
            <w:tcBorders>
              <w:right w:val="single" w:sz="4" w:space="0" w:color="000000"/>
            </w:tcBorders>
          </w:tcPr>
          <w:p>
            <w:pPr>
              <w:pStyle w:val="TableParagraph"/>
              <w:ind w:left="694" w:right="350"/>
              <w:jc w:val="center"/>
              <w:rPr>
                <w:sz w:val="20"/>
              </w:rPr>
            </w:pPr>
            <w:r>
              <w:rPr>
                <w:sz w:val="20"/>
              </w:rPr>
              <w:t>49H</w:t>
            </w:r>
          </w:p>
        </w:tc>
      </w:tr>
      <w:tr>
        <w:trPr>
          <w:trHeight w:val="493" w:hRule="atLeast"/>
        </w:trPr>
        <w:tc>
          <w:tcPr>
            <w:tcW w:w="7322" w:type="dxa"/>
            <w:tcBorders>
              <w:left w:val="single" w:sz="4" w:space="0" w:color="000000"/>
            </w:tcBorders>
          </w:tcPr>
          <w:p>
            <w:pPr>
              <w:pStyle w:val="TableParagraph"/>
              <w:rPr>
                <w:sz w:val="20"/>
              </w:rPr>
            </w:pPr>
            <w:r>
              <w:rPr>
                <w:sz w:val="20"/>
              </w:rPr>
              <w:t>N-ethylnorpentylone - otherwise known as ephylone</w:t>
            </w:r>
          </w:p>
        </w:tc>
        <w:tc>
          <w:tcPr>
            <w:tcW w:w="2313" w:type="dxa"/>
            <w:tcBorders>
              <w:right w:val="single" w:sz="4" w:space="0" w:color="000000"/>
            </w:tcBorders>
          </w:tcPr>
          <w:p>
            <w:pPr>
              <w:pStyle w:val="TableParagraph"/>
              <w:ind w:left="693" w:right="350"/>
              <w:jc w:val="center"/>
              <w:rPr>
                <w:sz w:val="20"/>
              </w:rPr>
            </w:pPr>
            <w:r>
              <w:rPr>
                <w:sz w:val="20"/>
              </w:rPr>
              <w:t>87AA</w:t>
            </w:r>
          </w:p>
        </w:tc>
      </w:tr>
      <w:tr>
        <w:trPr>
          <w:trHeight w:val="493" w:hRule="atLeast"/>
        </w:trPr>
        <w:tc>
          <w:tcPr>
            <w:tcW w:w="7322" w:type="dxa"/>
            <w:tcBorders>
              <w:left w:val="single" w:sz="4" w:space="0" w:color="000000"/>
            </w:tcBorders>
          </w:tcPr>
          <w:p>
            <w:pPr>
              <w:pStyle w:val="TableParagraph"/>
              <w:spacing w:before="128"/>
              <w:rPr>
                <w:sz w:val="20"/>
              </w:rPr>
            </w:pPr>
            <w:r>
              <w:rPr>
                <w:sz w:val="20"/>
              </w:rPr>
              <w:t>FUB-AMB - otherwise known as MMB-FUBINACA or AMB-FUBINACA</w:t>
            </w:r>
          </w:p>
        </w:tc>
        <w:tc>
          <w:tcPr>
            <w:tcW w:w="2313" w:type="dxa"/>
            <w:tcBorders>
              <w:right w:val="single" w:sz="4" w:space="0" w:color="000000"/>
            </w:tcBorders>
          </w:tcPr>
          <w:p>
            <w:pPr>
              <w:pStyle w:val="TableParagraph"/>
              <w:spacing w:before="128"/>
              <w:ind w:left="693" w:right="350"/>
              <w:jc w:val="center"/>
              <w:rPr>
                <w:sz w:val="20"/>
              </w:rPr>
            </w:pPr>
            <w:r>
              <w:rPr>
                <w:sz w:val="20"/>
              </w:rPr>
              <w:t>97DA</w:t>
            </w:r>
          </w:p>
        </w:tc>
      </w:tr>
      <w:tr>
        <w:trPr>
          <w:trHeight w:val="493" w:hRule="atLeast"/>
        </w:trPr>
        <w:tc>
          <w:tcPr>
            <w:tcW w:w="7322" w:type="dxa"/>
            <w:tcBorders>
              <w:left w:val="single" w:sz="4" w:space="0" w:color="000000"/>
            </w:tcBorders>
          </w:tcPr>
          <w:p>
            <w:pPr>
              <w:pStyle w:val="TableParagraph"/>
              <w:rPr>
                <w:sz w:val="20"/>
              </w:rPr>
            </w:pPr>
            <w:r>
              <w:rPr>
                <w:sz w:val="20"/>
              </w:rPr>
              <w:t>3,4-MDP-2-P methyl glycidate - otherwise known as PMK glycidate</w:t>
            </w:r>
          </w:p>
        </w:tc>
        <w:tc>
          <w:tcPr>
            <w:tcW w:w="2313" w:type="dxa"/>
            <w:tcBorders>
              <w:right w:val="single" w:sz="4" w:space="0" w:color="000000"/>
            </w:tcBorders>
          </w:tcPr>
          <w:p>
            <w:pPr>
              <w:pStyle w:val="TableParagraph"/>
              <w:ind w:left="695" w:right="350"/>
              <w:jc w:val="center"/>
              <w:rPr>
                <w:sz w:val="20"/>
              </w:rPr>
            </w:pPr>
            <w:r>
              <w:rPr>
                <w:sz w:val="20"/>
              </w:rPr>
              <w:t>127A</w:t>
            </w:r>
          </w:p>
        </w:tc>
      </w:tr>
      <w:tr>
        <w:trPr>
          <w:trHeight w:val="493" w:hRule="atLeast"/>
        </w:trPr>
        <w:tc>
          <w:tcPr>
            <w:tcW w:w="7322" w:type="dxa"/>
            <w:tcBorders>
              <w:left w:val="single" w:sz="4" w:space="0" w:color="000000"/>
            </w:tcBorders>
          </w:tcPr>
          <w:p>
            <w:pPr>
              <w:pStyle w:val="TableParagraph"/>
              <w:spacing w:before="128"/>
              <w:rPr>
                <w:sz w:val="20"/>
              </w:rPr>
            </w:pPr>
            <w:r>
              <w:rPr>
                <w:sz w:val="20"/>
              </w:rPr>
              <w:t>3,4-MDP-2-P methyl glycidic acid - otherwise known as PMK glycidic acid</w:t>
            </w:r>
          </w:p>
        </w:tc>
        <w:tc>
          <w:tcPr>
            <w:tcW w:w="2313" w:type="dxa"/>
            <w:tcBorders>
              <w:right w:val="single" w:sz="4" w:space="0" w:color="000000"/>
            </w:tcBorders>
          </w:tcPr>
          <w:p>
            <w:pPr>
              <w:pStyle w:val="TableParagraph"/>
              <w:spacing w:before="128"/>
              <w:ind w:left="695" w:right="350"/>
              <w:jc w:val="center"/>
              <w:rPr>
                <w:sz w:val="20"/>
              </w:rPr>
            </w:pPr>
            <w:r>
              <w:rPr>
                <w:sz w:val="20"/>
              </w:rPr>
              <w:t>127B</w:t>
            </w:r>
          </w:p>
        </w:tc>
      </w:tr>
      <w:tr>
        <w:trPr>
          <w:trHeight w:val="492" w:hRule="atLeast"/>
        </w:trPr>
        <w:tc>
          <w:tcPr>
            <w:tcW w:w="7322" w:type="dxa"/>
            <w:tcBorders>
              <w:left w:val="single" w:sz="4" w:space="0" w:color="000000"/>
            </w:tcBorders>
          </w:tcPr>
          <w:p>
            <w:pPr>
              <w:pStyle w:val="TableParagraph"/>
              <w:rPr>
                <w:sz w:val="20"/>
              </w:rPr>
            </w:pPr>
            <w:r>
              <w:rPr>
                <w:sz w:val="20"/>
              </w:rPr>
              <w:t>Methoxyacetylfentanyl</w:t>
            </w:r>
          </w:p>
        </w:tc>
        <w:tc>
          <w:tcPr>
            <w:tcW w:w="2313" w:type="dxa"/>
            <w:tcBorders>
              <w:right w:val="single" w:sz="4" w:space="0" w:color="000000"/>
            </w:tcBorders>
          </w:tcPr>
          <w:p>
            <w:pPr>
              <w:pStyle w:val="TableParagraph"/>
              <w:ind w:left="693" w:right="350"/>
              <w:jc w:val="center"/>
              <w:rPr>
                <w:sz w:val="20"/>
              </w:rPr>
            </w:pPr>
            <w:r>
              <w:rPr>
                <w:sz w:val="20"/>
              </w:rPr>
              <w:t>139AB</w:t>
            </w:r>
          </w:p>
        </w:tc>
      </w:tr>
      <w:tr>
        <w:trPr>
          <w:trHeight w:val="493" w:hRule="atLeast"/>
        </w:trPr>
        <w:tc>
          <w:tcPr>
            <w:tcW w:w="7322" w:type="dxa"/>
            <w:tcBorders>
              <w:left w:val="single" w:sz="4" w:space="0" w:color="000000"/>
            </w:tcBorders>
          </w:tcPr>
          <w:p>
            <w:pPr>
              <w:pStyle w:val="TableParagraph"/>
              <w:rPr>
                <w:sz w:val="20"/>
              </w:rPr>
            </w:pPr>
            <w:r>
              <w:rPr>
                <w:sz w:val="20"/>
              </w:rPr>
              <w:t>Orthofluorofentanyl</w:t>
            </w:r>
          </w:p>
        </w:tc>
        <w:tc>
          <w:tcPr>
            <w:tcW w:w="2313" w:type="dxa"/>
            <w:tcBorders>
              <w:right w:val="single" w:sz="4" w:space="0" w:color="000000"/>
            </w:tcBorders>
          </w:tcPr>
          <w:p>
            <w:pPr>
              <w:pStyle w:val="TableParagraph"/>
              <w:ind w:left="695" w:right="350"/>
              <w:jc w:val="center"/>
              <w:rPr>
                <w:sz w:val="20"/>
              </w:rPr>
            </w:pPr>
            <w:r>
              <w:rPr>
                <w:sz w:val="20"/>
              </w:rPr>
              <w:t>173B</w:t>
            </w:r>
          </w:p>
        </w:tc>
      </w:tr>
      <w:tr>
        <w:trPr>
          <w:trHeight w:val="493" w:hRule="atLeast"/>
        </w:trPr>
        <w:tc>
          <w:tcPr>
            <w:tcW w:w="7322" w:type="dxa"/>
            <w:tcBorders>
              <w:left w:val="single" w:sz="4" w:space="0" w:color="000000"/>
            </w:tcBorders>
          </w:tcPr>
          <w:p>
            <w:pPr>
              <w:pStyle w:val="TableParagraph"/>
              <w:spacing w:before="128"/>
              <w:rPr>
                <w:sz w:val="20"/>
              </w:rPr>
            </w:pPr>
            <w:r>
              <w:rPr>
                <w:sz w:val="20"/>
              </w:rPr>
              <w:t>Parafluorobutyrylfentanyl</w:t>
            </w:r>
          </w:p>
        </w:tc>
        <w:tc>
          <w:tcPr>
            <w:tcW w:w="2313" w:type="dxa"/>
            <w:tcBorders>
              <w:right w:val="single" w:sz="4" w:space="0" w:color="000000"/>
            </w:tcBorders>
          </w:tcPr>
          <w:p>
            <w:pPr>
              <w:pStyle w:val="TableParagraph"/>
              <w:spacing w:before="128"/>
              <w:ind w:left="695" w:right="350"/>
              <w:jc w:val="center"/>
              <w:rPr>
                <w:sz w:val="20"/>
              </w:rPr>
            </w:pPr>
            <w:r>
              <w:rPr>
                <w:sz w:val="20"/>
              </w:rPr>
              <w:t>177A</w:t>
            </w:r>
          </w:p>
        </w:tc>
      </w:tr>
      <w:tr>
        <w:trPr>
          <w:trHeight w:val="504" w:hRule="atLeast"/>
        </w:trPr>
        <w:tc>
          <w:tcPr>
            <w:tcW w:w="7322" w:type="dxa"/>
            <w:tcBorders>
              <w:left w:val="single" w:sz="4" w:space="0" w:color="000000"/>
              <w:bottom w:val="single" w:sz="4" w:space="0" w:color="000000"/>
            </w:tcBorders>
          </w:tcPr>
          <w:p>
            <w:pPr>
              <w:pStyle w:val="TableParagraph"/>
              <w:rPr>
                <w:sz w:val="20"/>
              </w:rPr>
            </w:pPr>
            <w:r>
              <w:rPr>
                <w:sz w:val="20"/>
              </w:rPr>
              <w:t>Thalidomide*</w:t>
            </w:r>
          </w:p>
        </w:tc>
        <w:tc>
          <w:tcPr>
            <w:tcW w:w="2313" w:type="dxa"/>
            <w:tcBorders>
              <w:bottom w:val="single" w:sz="4" w:space="0" w:color="000000"/>
              <w:right w:val="single" w:sz="4" w:space="0" w:color="000000"/>
            </w:tcBorders>
          </w:tcPr>
          <w:p>
            <w:pPr>
              <w:pStyle w:val="TableParagraph"/>
              <w:ind w:left="695" w:right="350"/>
              <w:jc w:val="center"/>
              <w:rPr>
                <w:sz w:val="20"/>
              </w:rPr>
            </w:pPr>
            <w:r>
              <w:rPr>
                <w:sz w:val="20"/>
              </w:rPr>
              <w:t>224A</w:t>
            </w:r>
          </w:p>
        </w:tc>
      </w:tr>
    </w:tbl>
    <w:p>
      <w:pPr>
        <w:pStyle w:val="BodyText"/>
        <w:spacing w:line="264" w:lineRule="auto" w:before="177"/>
        <w:ind w:left="1274" w:right="1421" w:hanging="142"/>
      </w:pPr>
      <w:r>
        <w:rPr/>
        <w:t>* Domestically, Australia has rescheduled thalidomide and preparations containing thalidomide from Schedule 8 of the Prohibited Imports Regulations to Schedule 4 of the Prohibited Imports Regulations to enable travellers who legitimately use thalidomide under prescription to enter Australia without having to obtain import permission under regulation 5.</w:t>
      </w:r>
    </w:p>
    <w:p>
      <w:pPr>
        <w:spacing w:after="0" w:line="264" w:lineRule="auto"/>
        <w:sectPr>
          <w:headerReference w:type="default" r:id="rId6"/>
          <w:footerReference w:type="default" r:id="rId7"/>
          <w:pgSz w:w="11910" w:h="16840"/>
          <w:pgMar w:header="1150" w:footer="663" w:top="1640" w:bottom="860" w:left="0" w:right="0"/>
          <w:pgNumType w:start="2"/>
        </w:sectPr>
      </w:pPr>
    </w:p>
    <w:p>
      <w:pPr>
        <w:pStyle w:val="Heading1"/>
        <w:spacing w:before="191"/>
      </w:pPr>
      <w:r>
        <w:rPr>
          <w:color w:val="956D23"/>
        </w:rPr>
        <w:t>Repealed provisions - Prohibited Imports Regulations</w:t>
      </w:r>
    </w:p>
    <w:p>
      <w:pPr>
        <w:pStyle w:val="BodyText"/>
        <w:spacing w:before="7"/>
        <w:rPr>
          <w:b/>
        </w:rPr>
      </w:pPr>
    </w:p>
    <w:p>
      <w:pPr>
        <w:pStyle w:val="Heading2"/>
      </w:pPr>
      <w:r>
        <w:rPr/>
        <w:pict>
          <v:group style="position:absolute;margin-left:56.664001pt;margin-top:17.659889pt;width:482.05pt;height:78.6pt;mso-position-horizontal-relative:page;mso-position-vertical-relative:paragraph;z-index:-15728128;mso-wrap-distance-left:0;mso-wrap-distance-right:0" coordorigin="1133,353" coordsize="9641,1572">
            <v:shape style="position:absolute;left:1145;top:362;width:9619;height:555" coordorigin="1145,363" coordsize="9619,555" path="m3546,363l1145,363,1145,917,3546,917,3546,363xm10764,363l3546,363,3546,917,10764,917,10764,363xe" filled="true" fillcolor="#082144" stroked="false">
              <v:path arrowok="t"/>
              <v:fill type="solid"/>
            </v:shape>
            <v:shape style="position:absolute;left:1133;top:353;width:9641;height:1572" coordorigin="1133,353" coordsize="9641,1572" path="m3543,353l1143,353,1133,353,1133,363,1133,917,1143,917,1143,363,3543,363,3543,353xm3553,353l3543,353,3543,363,3553,363,3553,353xm10774,917l10764,917,10764,1916,3543,1916,3539,1916,3529,1916,1143,1916,1143,917,1133,917,1133,1916,1133,1925,1143,1925,3529,1925,3539,1925,3543,1925,10764,1925,10774,1925,10774,1916,10774,917xm10774,353l10764,353,3553,353,3553,363,10764,363,10764,917,10774,917,10774,363,10774,353xe" filled="true" fillcolor="#000000" stroked="false">
              <v:path arrowok="t"/>
              <v:fill type="solid"/>
            </v:shape>
            <v:shape style="position:absolute;left:3653;top:1041;width:6959;height:729" type="#_x0000_t202" filled="false" stroked="false">
              <v:textbox inset="0,0,0,0">
                <w:txbxContent>
                  <w:p>
                    <w:pPr>
                      <w:spacing w:line="264" w:lineRule="auto" w:before="0"/>
                      <w:ind w:left="0" w:right="2" w:firstLine="0"/>
                      <w:jc w:val="left"/>
                      <w:rPr>
                        <w:sz w:val="20"/>
                      </w:rPr>
                    </w:pPr>
                    <w:r>
                      <w:rPr>
                        <w:sz w:val="20"/>
                      </w:rPr>
                      <w:t>This will reduce regulatory burden on importers and delays for shortages or for time critical patients. The border control is no longer considered necessary as part of the National Antimicrobial Research Strategy 2015-2019.</w:t>
                    </w:r>
                  </w:p>
                </w:txbxContent>
              </v:textbox>
              <w10:wrap type="none"/>
            </v:shape>
            <v:shape style="position:absolute;left:1248;top:1293;width:928;height:223" type="#_x0000_t202" filled="false" stroked="false">
              <v:textbox inset="0,0,0,0">
                <w:txbxContent>
                  <w:p>
                    <w:pPr>
                      <w:spacing w:line="223" w:lineRule="exact" w:before="0"/>
                      <w:ind w:left="0" w:right="0" w:firstLine="0"/>
                      <w:jc w:val="left"/>
                      <w:rPr>
                        <w:sz w:val="20"/>
                      </w:rPr>
                    </w:pPr>
                    <w:r>
                      <w:rPr>
                        <w:sz w:val="20"/>
                      </w:rPr>
                      <w:t>Antibiotics</w:t>
                    </w:r>
                  </w:p>
                </w:txbxContent>
              </v:textbox>
              <w10:wrap type="none"/>
            </v:shape>
            <v:shape style="position:absolute;left:6795;top:544;width:740;height:223" type="#_x0000_t202" filled="false" stroked="false">
              <v:textbox inset="0,0,0,0">
                <w:txbxContent>
                  <w:p>
                    <w:pPr>
                      <w:spacing w:line="223" w:lineRule="exact" w:before="0"/>
                      <w:ind w:left="0" w:right="0" w:firstLine="0"/>
                      <w:jc w:val="left"/>
                      <w:rPr>
                        <w:b/>
                        <w:sz w:val="20"/>
                      </w:rPr>
                    </w:pPr>
                    <w:r>
                      <w:rPr>
                        <w:b/>
                        <w:color w:val="FFFFFF"/>
                        <w:sz w:val="20"/>
                      </w:rPr>
                      <w:t>Reason</w:t>
                    </w:r>
                  </w:p>
                </w:txbxContent>
              </v:textbox>
              <w10:wrap type="none"/>
            </v:shape>
            <v:shape style="position:absolute;left:1248;top:544;width:1028;height:223" type="#_x0000_t202" filled="false" stroked="false">
              <v:textbox inset="0,0,0,0">
                <w:txbxContent>
                  <w:p>
                    <w:pPr>
                      <w:spacing w:line="223" w:lineRule="exact" w:before="0"/>
                      <w:ind w:left="0" w:right="0" w:firstLine="0"/>
                      <w:jc w:val="left"/>
                      <w:rPr>
                        <w:b/>
                        <w:sz w:val="20"/>
                      </w:rPr>
                    </w:pPr>
                    <w:r>
                      <w:rPr>
                        <w:b/>
                        <w:color w:val="FFFFFF"/>
                        <w:sz w:val="20"/>
                      </w:rPr>
                      <w:t>Substance</w:t>
                    </w:r>
                  </w:p>
                </w:txbxContent>
              </v:textbox>
              <w10:wrap type="none"/>
            </v:shape>
            <w10:wrap type="topAndBottom"/>
          </v:group>
        </w:pict>
      </w:r>
      <w:r>
        <w:rPr>
          <w:color w:val="956D23"/>
        </w:rPr>
        <w:t>Regulation 5A (Importation of antibiotic substances*)</w:t>
      </w:r>
    </w:p>
    <w:p>
      <w:pPr>
        <w:pStyle w:val="ListParagraph"/>
        <w:numPr>
          <w:ilvl w:val="0"/>
          <w:numId w:val="1"/>
        </w:numPr>
        <w:tabs>
          <w:tab w:pos="1261" w:val="left" w:leader="none"/>
        </w:tabs>
        <w:spacing w:line="240" w:lineRule="auto" w:before="150" w:after="0"/>
        <w:ind w:left="1260" w:right="0" w:hanging="128"/>
        <w:jc w:val="left"/>
        <w:rPr>
          <w:sz w:val="19"/>
        </w:rPr>
      </w:pPr>
      <w:r>
        <w:rPr>
          <w:sz w:val="19"/>
        </w:rPr>
        <w:t>Regulation 5F (Reason for refusal to be given) is also repealed as consequential to the repeal of regulation</w:t>
      </w:r>
      <w:r>
        <w:rPr>
          <w:spacing w:val="-15"/>
          <w:sz w:val="19"/>
        </w:rPr>
        <w:t> </w:t>
      </w:r>
      <w:r>
        <w:rPr>
          <w:sz w:val="19"/>
        </w:rPr>
        <w:t>5A.</w:t>
      </w:r>
    </w:p>
    <w:p>
      <w:pPr>
        <w:pStyle w:val="BodyText"/>
        <w:spacing w:before="6"/>
        <w:rPr>
          <w:sz w:val="22"/>
        </w:rPr>
      </w:pPr>
    </w:p>
    <w:p>
      <w:pPr>
        <w:spacing w:before="0"/>
        <w:ind w:left="1133" w:right="1341" w:firstLine="0"/>
        <w:jc w:val="left"/>
        <w:rPr>
          <w:b/>
          <w:sz w:val="20"/>
        </w:rPr>
      </w:pPr>
      <w:r>
        <w:rPr>
          <w:b/>
          <w:color w:val="956D23"/>
          <w:sz w:val="20"/>
        </w:rPr>
        <w:t>Schedule 8 (Goods the importation of which is prohibited if permission is not granted under regulation 5G)</w:t>
      </w:r>
    </w:p>
    <w:p>
      <w:pPr>
        <w:pStyle w:val="BodyText"/>
        <w:spacing w:before="9"/>
        <w:rPr>
          <w:b/>
          <w:sz w:val="10"/>
        </w:rPr>
      </w:pPr>
    </w:p>
    <w:tbl>
      <w:tblPr>
        <w:tblW w:w="0" w:type="auto"/>
        <w:jc w:val="left"/>
        <w:tblInd w:w="1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6"/>
        <w:gridCol w:w="1587"/>
        <w:gridCol w:w="3890"/>
      </w:tblGrid>
      <w:tr>
        <w:trPr>
          <w:trHeight w:val="554" w:hRule="atLeast"/>
        </w:trPr>
        <w:tc>
          <w:tcPr>
            <w:tcW w:w="4156" w:type="dxa"/>
            <w:tcBorders>
              <w:top w:val="single" w:sz="4" w:space="0" w:color="000000"/>
              <w:left w:val="single" w:sz="4" w:space="0" w:color="000000"/>
            </w:tcBorders>
            <w:shd w:val="clear" w:color="auto" w:fill="082144"/>
          </w:tcPr>
          <w:p>
            <w:pPr>
              <w:pStyle w:val="TableParagraph"/>
              <w:spacing w:before="175"/>
              <w:rPr>
                <w:b/>
                <w:sz w:val="20"/>
              </w:rPr>
            </w:pPr>
            <w:r>
              <w:rPr>
                <w:b/>
                <w:color w:val="FFFFFF"/>
                <w:sz w:val="20"/>
              </w:rPr>
              <w:t>Good</w:t>
            </w:r>
          </w:p>
        </w:tc>
        <w:tc>
          <w:tcPr>
            <w:tcW w:w="1587" w:type="dxa"/>
            <w:tcBorders>
              <w:top w:val="single" w:sz="4" w:space="0" w:color="000000"/>
            </w:tcBorders>
            <w:shd w:val="clear" w:color="auto" w:fill="082144"/>
          </w:tcPr>
          <w:p>
            <w:pPr>
              <w:pStyle w:val="TableParagraph"/>
              <w:spacing w:before="175"/>
              <w:ind w:left="173" w:right="150"/>
              <w:jc w:val="center"/>
              <w:rPr>
                <w:b/>
                <w:sz w:val="20"/>
              </w:rPr>
            </w:pPr>
            <w:r>
              <w:rPr>
                <w:b/>
                <w:color w:val="FFFFFF"/>
                <w:sz w:val="20"/>
              </w:rPr>
              <w:t>Item Number</w:t>
            </w:r>
          </w:p>
        </w:tc>
        <w:tc>
          <w:tcPr>
            <w:tcW w:w="3890" w:type="dxa"/>
            <w:tcBorders>
              <w:top w:val="single" w:sz="4" w:space="0" w:color="000000"/>
              <w:right w:val="single" w:sz="4" w:space="0" w:color="000000"/>
            </w:tcBorders>
            <w:shd w:val="clear" w:color="auto" w:fill="082144"/>
          </w:tcPr>
          <w:p>
            <w:pPr>
              <w:pStyle w:val="TableParagraph"/>
              <w:spacing w:before="175"/>
              <w:ind w:left="1597" w:right="1525"/>
              <w:jc w:val="center"/>
              <w:rPr>
                <w:b/>
                <w:sz w:val="20"/>
              </w:rPr>
            </w:pPr>
            <w:r>
              <w:rPr>
                <w:b/>
                <w:color w:val="FFFFFF"/>
                <w:sz w:val="20"/>
              </w:rPr>
              <w:t>Reason</w:t>
            </w:r>
          </w:p>
        </w:tc>
      </w:tr>
      <w:tr>
        <w:trPr>
          <w:trHeight w:val="1998" w:hRule="atLeast"/>
        </w:trPr>
        <w:tc>
          <w:tcPr>
            <w:tcW w:w="4156" w:type="dxa"/>
            <w:tcBorders>
              <w:left w:val="single" w:sz="4" w:space="0" w:color="000000"/>
            </w:tcBorders>
          </w:tcPr>
          <w:p>
            <w:pPr>
              <w:pStyle w:val="TableParagraph"/>
              <w:spacing w:line="264" w:lineRule="auto" w:before="117"/>
              <w:ind w:right="91"/>
              <w:rPr>
                <w:sz w:val="20"/>
              </w:rPr>
            </w:pPr>
            <w:r>
              <w:rPr>
                <w:sz w:val="20"/>
              </w:rPr>
              <w:t>Advertising matter (including booklets, pamphlets, leaflets and circulars) relating to preparations, instruments, appliances, and other goods, that purport to be for therapeutic purposes and containing any statements or claims that are misleading, false or extravagant.</w:t>
            </w:r>
          </w:p>
        </w:tc>
        <w:tc>
          <w:tcPr>
            <w:tcW w:w="1587" w:type="dxa"/>
          </w:tcPr>
          <w:p>
            <w:pPr>
              <w:pStyle w:val="TableParagraph"/>
              <w:spacing w:before="0"/>
              <w:ind w:left="0"/>
              <w:rPr>
                <w:b/>
                <w:sz w:val="22"/>
              </w:rPr>
            </w:pPr>
          </w:p>
          <w:p>
            <w:pPr>
              <w:pStyle w:val="TableParagraph"/>
              <w:spacing w:before="0"/>
              <w:ind w:left="0"/>
              <w:rPr>
                <w:b/>
                <w:sz w:val="22"/>
              </w:rPr>
            </w:pPr>
          </w:p>
          <w:p>
            <w:pPr>
              <w:pStyle w:val="TableParagraph"/>
              <w:spacing w:before="1"/>
              <w:ind w:left="0"/>
              <w:rPr>
                <w:b/>
                <w:sz w:val="32"/>
              </w:rPr>
            </w:pPr>
          </w:p>
          <w:p>
            <w:pPr>
              <w:pStyle w:val="TableParagraph"/>
              <w:spacing w:before="0"/>
              <w:ind w:left="24"/>
              <w:jc w:val="center"/>
              <w:rPr>
                <w:sz w:val="20"/>
              </w:rPr>
            </w:pPr>
            <w:r>
              <w:rPr>
                <w:w w:val="99"/>
                <w:sz w:val="20"/>
              </w:rPr>
              <w:t>2</w:t>
            </w:r>
          </w:p>
        </w:tc>
        <w:tc>
          <w:tcPr>
            <w:tcW w:w="3890" w:type="dxa"/>
            <w:tcBorders>
              <w:right w:val="single" w:sz="4" w:space="0" w:color="000000"/>
            </w:tcBorders>
          </w:tcPr>
          <w:p>
            <w:pPr>
              <w:pStyle w:val="TableParagraph"/>
              <w:spacing w:before="0"/>
              <w:ind w:left="0"/>
              <w:rPr>
                <w:b/>
                <w:sz w:val="22"/>
              </w:rPr>
            </w:pPr>
          </w:p>
          <w:p>
            <w:pPr>
              <w:pStyle w:val="TableParagraph"/>
              <w:spacing w:before="1"/>
              <w:ind w:left="0"/>
              <w:rPr>
                <w:b/>
                <w:sz w:val="21"/>
              </w:rPr>
            </w:pPr>
          </w:p>
          <w:p>
            <w:pPr>
              <w:pStyle w:val="TableParagraph"/>
              <w:spacing w:line="264" w:lineRule="auto" w:before="1"/>
              <w:ind w:left="178" w:right="140"/>
              <w:rPr>
                <w:sz w:val="20"/>
              </w:rPr>
            </w:pPr>
            <w:r>
              <w:rPr>
                <w:sz w:val="20"/>
              </w:rPr>
              <w:t>Reference to these products is unnecessary as the advertising provisions in the </w:t>
            </w:r>
            <w:r>
              <w:rPr>
                <w:i/>
                <w:sz w:val="20"/>
              </w:rPr>
              <w:t>Therapeutic Goods Act 1989 </w:t>
            </w:r>
            <w:r>
              <w:rPr>
                <w:sz w:val="20"/>
              </w:rPr>
              <w:t>address these matters.</w:t>
            </w:r>
          </w:p>
        </w:tc>
      </w:tr>
      <w:tr>
        <w:trPr>
          <w:trHeight w:val="1253" w:hRule="atLeast"/>
        </w:trPr>
        <w:tc>
          <w:tcPr>
            <w:tcW w:w="4156" w:type="dxa"/>
            <w:tcBorders>
              <w:left w:val="single" w:sz="4" w:space="0" w:color="000000"/>
            </w:tcBorders>
          </w:tcPr>
          <w:p>
            <w:pPr>
              <w:pStyle w:val="TableParagraph"/>
              <w:spacing w:line="264" w:lineRule="auto"/>
              <w:ind w:right="91"/>
              <w:rPr>
                <w:sz w:val="20"/>
              </w:rPr>
            </w:pPr>
            <w:r>
              <w:rPr>
                <w:sz w:val="20"/>
              </w:rPr>
              <w:t>Preparations of food, drink and oral medication for human consumption containing glycol or a derivative of a glycol other than propylene glycol</w:t>
            </w:r>
          </w:p>
        </w:tc>
        <w:tc>
          <w:tcPr>
            <w:tcW w:w="1587" w:type="dxa"/>
          </w:tcPr>
          <w:p>
            <w:pPr>
              <w:pStyle w:val="TableParagraph"/>
              <w:spacing w:before="0"/>
              <w:ind w:left="0"/>
              <w:rPr>
                <w:b/>
                <w:sz w:val="22"/>
              </w:rPr>
            </w:pPr>
          </w:p>
          <w:p>
            <w:pPr>
              <w:pStyle w:val="TableParagraph"/>
              <w:spacing w:line="264" w:lineRule="auto" w:before="129"/>
              <w:ind w:left="472" w:right="155" w:hanging="272"/>
              <w:rPr>
                <w:sz w:val="20"/>
              </w:rPr>
            </w:pPr>
            <w:r>
              <w:rPr>
                <w:sz w:val="20"/>
              </w:rPr>
              <w:t>component of Item 10</w:t>
            </w:r>
          </w:p>
        </w:tc>
        <w:tc>
          <w:tcPr>
            <w:tcW w:w="3890" w:type="dxa"/>
            <w:tcBorders>
              <w:right w:val="single" w:sz="4" w:space="0" w:color="000000"/>
            </w:tcBorders>
          </w:tcPr>
          <w:p>
            <w:pPr>
              <w:pStyle w:val="TableParagraph"/>
              <w:spacing w:before="1"/>
              <w:ind w:left="0"/>
              <w:rPr>
                <w:b/>
                <w:sz w:val="22"/>
              </w:rPr>
            </w:pPr>
          </w:p>
          <w:p>
            <w:pPr>
              <w:pStyle w:val="TableParagraph"/>
              <w:spacing w:line="264" w:lineRule="auto" w:before="0"/>
              <w:ind w:left="178" w:right="150"/>
              <w:jc w:val="both"/>
              <w:rPr>
                <w:sz w:val="20"/>
              </w:rPr>
            </w:pPr>
            <w:r>
              <w:rPr>
                <w:sz w:val="20"/>
              </w:rPr>
              <w:t>Reference to glycol or a derivative of a glycol other than propylene glycol is no longer required for monitoring</w:t>
            </w:r>
            <w:r>
              <w:rPr>
                <w:spacing w:val="-13"/>
                <w:sz w:val="20"/>
              </w:rPr>
              <w:t> </w:t>
            </w:r>
            <w:r>
              <w:rPr>
                <w:sz w:val="20"/>
              </w:rPr>
              <w:t>purposes.</w:t>
            </w:r>
          </w:p>
        </w:tc>
      </w:tr>
      <w:tr>
        <w:trPr>
          <w:trHeight w:val="1505" w:hRule="atLeast"/>
        </w:trPr>
        <w:tc>
          <w:tcPr>
            <w:tcW w:w="4156" w:type="dxa"/>
            <w:tcBorders>
              <w:left w:val="single" w:sz="4" w:space="0" w:color="000000"/>
            </w:tcBorders>
          </w:tcPr>
          <w:p>
            <w:pPr>
              <w:pStyle w:val="TableParagraph"/>
              <w:spacing w:before="0"/>
              <w:ind w:left="0"/>
              <w:rPr>
                <w:b/>
                <w:sz w:val="22"/>
              </w:rPr>
            </w:pPr>
          </w:p>
          <w:p>
            <w:pPr>
              <w:pStyle w:val="TableParagraph"/>
              <w:spacing w:line="264" w:lineRule="auto" w:before="129"/>
              <w:ind w:right="418"/>
              <w:rPr>
                <w:sz w:val="20"/>
              </w:rPr>
            </w:pPr>
            <w:r>
              <w:rPr>
                <w:sz w:val="20"/>
              </w:rPr>
              <w:t>Preparations that purport to be a remedy for drunkenness, alcoholic habit or drug habit.</w:t>
            </w:r>
          </w:p>
        </w:tc>
        <w:tc>
          <w:tcPr>
            <w:tcW w:w="1587" w:type="dxa"/>
          </w:tcPr>
          <w:p>
            <w:pPr>
              <w:pStyle w:val="TableParagraph"/>
              <w:spacing w:before="0"/>
              <w:ind w:left="0"/>
              <w:rPr>
                <w:b/>
                <w:sz w:val="22"/>
              </w:rPr>
            </w:pPr>
          </w:p>
          <w:p>
            <w:pPr>
              <w:pStyle w:val="TableParagraph"/>
              <w:spacing w:before="0"/>
              <w:ind w:left="0"/>
              <w:rPr>
                <w:b/>
                <w:sz w:val="22"/>
              </w:rPr>
            </w:pPr>
          </w:p>
          <w:p>
            <w:pPr>
              <w:pStyle w:val="TableParagraph"/>
              <w:spacing w:before="128"/>
              <w:ind w:left="173" w:right="149"/>
              <w:jc w:val="center"/>
              <w:rPr>
                <w:sz w:val="20"/>
              </w:rPr>
            </w:pPr>
            <w:r>
              <w:rPr>
                <w:sz w:val="20"/>
              </w:rPr>
              <w:t>13</w:t>
            </w:r>
          </w:p>
        </w:tc>
        <w:tc>
          <w:tcPr>
            <w:tcW w:w="3890" w:type="dxa"/>
            <w:tcBorders>
              <w:right w:val="single" w:sz="4" w:space="0" w:color="000000"/>
            </w:tcBorders>
          </w:tcPr>
          <w:p>
            <w:pPr>
              <w:pStyle w:val="TableParagraph"/>
              <w:spacing w:line="264" w:lineRule="auto"/>
              <w:ind w:left="178" w:right="124"/>
              <w:rPr>
                <w:sz w:val="20"/>
              </w:rPr>
            </w:pPr>
            <w:r>
              <w:rPr>
                <w:sz w:val="20"/>
              </w:rPr>
              <w:t>The item is antiquated and does not align with modern prescription only medicines to treat these disorders. It will also reduce the regulatory burden on prescription only medicines.</w:t>
            </w:r>
          </w:p>
        </w:tc>
      </w:tr>
      <w:tr>
        <w:trPr>
          <w:trHeight w:val="756" w:hRule="atLeast"/>
        </w:trPr>
        <w:tc>
          <w:tcPr>
            <w:tcW w:w="4156" w:type="dxa"/>
            <w:tcBorders>
              <w:left w:val="single" w:sz="4" w:space="0" w:color="000000"/>
              <w:bottom w:val="single" w:sz="4" w:space="0" w:color="000000"/>
            </w:tcBorders>
          </w:tcPr>
          <w:p>
            <w:pPr>
              <w:pStyle w:val="TableParagraph"/>
              <w:spacing w:line="266" w:lineRule="auto"/>
              <w:ind w:right="407"/>
              <w:rPr>
                <w:sz w:val="20"/>
              </w:rPr>
            </w:pPr>
            <w:r>
              <w:rPr>
                <w:sz w:val="20"/>
              </w:rPr>
              <w:t>Thalidomide and preparations containing thalidomide</w:t>
            </w:r>
          </w:p>
        </w:tc>
        <w:tc>
          <w:tcPr>
            <w:tcW w:w="1587" w:type="dxa"/>
            <w:tcBorders>
              <w:bottom w:val="single" w:sz="4" w:space="0" w:color="000000"/>
            </w:tcBorders>
          </w:tcPr>
          <w:p>
            <w:pPr>
              <w:pStyle w:val="TableParagraph"/>
              <w:spacing w:before="1"/>
              <w:ind w:left="0"/>
              <w:rPr>
                <w:b/>
                <w:sz w:val="22"/>
              </w:rPr>
            </w:pPr>
          </w:p>
          <w:p>
            <w:pPr>
              <w:pStyle w:val="TableParagraph"/>
              <w:spacing w:before="0"/>
              <w:ind w:left="173" w:right="149"/>
              <w:jc w:val="center"/>
              <w:rPr>
                <w:sz w:val="20"/>
              </w:rPr>
            </w:pPr>
            <w:r>
              <w:rPr>
                <w:sz w:val="20"/>
              </w:rPr>
              <w:t>15</w:t>
            </w:r>
          </w:p>
        </w:tc>
        <w:tc>
          <w:tcPr>
            <w:tcW w:w="3890" w:type="dxa"/>
            <w:tcBorders>
              <w:bottom w:val="single" w:sz="4" w:space="0" w:color="000000"/>
              <w:right w:val="single" w:sz="4" w:space="0" w:color="000000"/>
            </w:tcBorders>
          </w:tcPr>
          <w:p>
            <w:pPr>
              <w:pStyle w:val="TableParagraph"/>
              <w:spacing w:before="1"/>
              <w:ind w:left="0"/>
              <w:rPr>
                <w:b/>
                <w:sz w:val="22"/>
              </w:rPr>
            </w:pPr>
          </w:p>
          <w:p>
            <w:pPr>
              <w:pStyle w:val="TableParagraph"/>
              <w:spacing w:before="0"/>
              <w:ind w:left="178"/>
              <w:rPr>
                <w:sz w:val="20"/>
              </w:rPr>
            </w:pPr>
            <w:r>
              <w:rPr>
                <w:sz w:val="20"/>
              </w:rPr>
              <w:t>Moved to Schedule 4.</w:t>
            </w:r>
          </w:p>
        </w:tc>
      </w:tr>
    </w:tbl>
    <w:p>
      <w:pPr>
        <w:pStyle w:val="BodyText"/>
        <w:spacing w:before="8"/>
        <w:rPr>
          <w:b/>
        </w:rPr>
      </w:pPr>
    </w:p>
    <w:p>
      <w:pPr>
        <w:pStyle w:val="Heading1"/>
        <w:ind w:left="1133"/>
      </w:pPr>
      <w:r>
        <w:rPr>
          <w:color w:val="956D23"/>
        </w:rPr>
        <w:t>Further information</w:t>
      </w:r>
    </w:p>
    <w:p>
      <w:pPr>
        <w:pStyle w:val="BodyText"/>
        <w:spacing w:before="121"/>
        <w:ind w:left="1133" w:right="1341"/>
      </w:pPr>
      <w:r>
        <w:rPr/>
        <w:t>For further information regarding these changes, please consult the legislation directly, including the explanatory statement:</w:t>
      </w:r>
    </w:p>
    <w:p>
      <w:pPr>
        <w:pStyle w:val="ListParagraph"/>
        <w:numPr>
          <w:ilvl w:val="1"/>
          <w:numId w:val="1"/>
        </w:numPr>
        <w:tabs>
          <w:tab w:pos="1853" w:val="left" w:leader="none"/>
          <w:tab w:pos="1854" w:val="left" w:leader="none"/>
        </w:tabs>
        <w:spacing w:line="240" w:lineRule="auto" w:before="95" w:after="0"/>
        <w:ind w:left="1853" w:right="0" w:hanging="361"/>
        <w:jc w:val="left"/>
        <w:rPr>
          <w:sz w:val="20"/>
        </w:rPr>
      </w:pPr>
      <w:r>
        <w:rPr>
          <w:sz w:val="20"/>
        </w:rPr>
        <w:t>The Amendment</w:t>
      </w:r>
      <w:r>
        <w:rPr>
          <w:spacing w:val="-3"/>
          <w:sz w:val="20"/>
        </w:rPr>
        <w:t> </w:t>
      </w:r>
      <w:r>
        <w:rPr>
          <w:sz w:val="20"/>
        </w:rPr>
        <w:t>(</w:t>
      </w:r>
      <w:r>
        <w:rPr>
          <w:color w:val="082144"/>
          <w:sz w:val="20"/>
          <w:u w:val="single" w:color="082144"/>
        </w:rPr>
        <w:t>https://</w:t>
      </w:r>
      <w:hyperlink r:id="rId8">
        <w:r>
          <w:rPr>
            <w:color w:val="082144"/>
            <w:sz w:val="20"/>
            <w:u w:val="single" w:color="082144"/>
          </w:rPr>
          <w:t>www.legislation.gov.au/Details/F2019L01615</w:t>
        </w:r>
        <w:r>
          <w:rPr>
            <w:sz w:val="20"/>
          </w:rPr>
          <w:t>)</w:t>
        </w:r>
      </w:hyperlink>
    </w:p>
    <w:p>
      <w:pPr>
        <w:pStyle w:val="ListParagraph"/>
        <w:numPr>
          <w:ilvl w:val="1"/>
          <w:numId w:val="1"/>
        </w:numPr>
        <w:tabs>
          <w:tab w:pos="1853" w:val="left" w:leader="none"/>
          <w:tab w:pos="1854" w:val="left" w:leader="none"/>
        </w:tabs>
        <w:spacing w:line="240" w:lineRule="auto" w:before="94" w:after="0"/>
        <w:ind w:left="1853" w:right="0" w:hanging="361"/>
        <w:jc w:val="left"/>
        <w:rPr>
          <w:sz w:val="20"/>
        </w:rPr>
      </w:pPr>
      <w:r>
        <w:rPr>
          <w:sz w:val="20"/>
        </w:rPr>
        <w:t>The Approval</w:t>
      </w:r>
      <w:r>
        <w:rPr>
          <w:spacing w:val="-4"/>
          <w:sz w:val="20"/>
        </w:rPr>
        <w:t> </w:t>
      </w:r>
      <w:r>
        <w:rPr>
          <w:sz w:val="20"/>
        </w:rPr>
        <w:t>(</w:t>
      </w:r>
      <w:r>
        <w:rPr>
          <w:color w:val="082144"/>
          <w:sz w:val="20"/>
          <w:u w:val="single" w:color="082144"/>
        </w:rPr>
        <w:t>https://</w:t>
      </w:r>
      <w:hyperlink r:id="rId9">
        <w:r>
          <w:rPr>
            <w:color w:val="082144"/>
            <w:sz w:val="20"/>
            <w:u w:val="single" w:color="082144"/>
          </w:rPr>
          <w:t>www.legislation.gov.au/Details/F2019L01616</w:t>
        </w:r>
        <w:r>
          <w:rPr>
            <w:sz w:val="20"/>
          </w:rPr>
          <w:t>)</w:t>
        </w:r>
      </w:hyperlink>
    </w:p>
    <w:p>
      <w:pPr>
        <w:pStyle w:val="BodyText"/>
        <w:spacing w:before="78"/>
        <w:ind w:left="1133" w:right="3411"/>
      </w:pPr>
      <w:r>
        <w:rPr/>
        <w:t>For more information on exporting or importing drugs from/to Australia, please see: https://</w:t>
      </w:r>
      <w:hyperlink r:id="rId10">
        <w:r>
          <w:rPr/>
          <w:t>www.abf.gov.au/importing-exporting-and-manufacturing/prohibited-goods.</w:t>
        </w:r>
      </w:hyperlink>
    </w:p>
    <w:p>
      <w:pPr>
        <w:pStyle w:val="BodyText"/>
        <w:rPr>
          <w:sz w:val="22"/>
        </w:rPr>
      </w:pPr>
    </w:p>
    <w:p>
      <w:pPr>
        <w:pStyle w:val="BodyText"/>
        <w:spacing w:line="229" w:lineRule="exact" w:before="139"/>
        <w:ind w:left="1133"/>
      </w:pPr>
      <w:r>
        <w:rPr/>
        <w:t>[Signed]</w:t>
      </w:r>
    </w:p>
    <w:p>
      <w:pPr>
        <w:pStyle w:val="BodyText"/>
        <w:ind w:left="1133" w:right="9000"/>
      </w:pPr>
      <w:r>
        <w:rPr/>
        <w:t>Matthew Duckworth Assistant Secretary</w:t>
      </w:r>
    </w:p>
    <w:p>
      <w:pPr>
        <w:pStyle w:val="BodyText"/>
        <w:ind w:left="1133" w:right="7377"/>
      </w:pPr>
      <w:r>
        <w:rPr/>
        <w:t>Customs and Border Revenue Branch Customs Group</w:t>
      </w:r>
    </w:p>
    <w:p>
      <w:pPr>
        <w:pStyle w:val="BodyText"/>
        <w:spacing w:before="180"/>
        <w:ind w:left="1133"/>
      </w:pPr>
      <w:r>
        <w:rPr/>
        <w:t>16 December 2019</w:t>
      </w:r>
    </w:p>
    <w:sectPr>
      <w:pgSz w:w="11910" w:h="16840"/>
      <w:pgMar w:header="1150" w:footer="663" w:top="1640" w:bottom="8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0pt;margin-top:797.755249pt;width:11.6pt;height:9.8pt;mso-position-horizontal-relative:page;mso-position-vertical-relative:page;z-index:-15935488" type="#_x0000_t202" filled="false" stroked="false">
          <v:textbox inset="0,0,0,0">
            <w:txbxContent>
              <w:p>
                <w:pPr>
                  <w:spacing w:before="14"/>
                  <w:ind w:left="20" w:right="0" w:firstLine="0"/>
                  <w:jc w:val="left"/>
                  <w:rPr>
                    <w:sz w:val="14"/>
                  </w:rPr>
                </w:pPr>
                <w:r>
                  <w:rPr>
                    <w:color w:val="5C676C"/>
                    <w:sz w:val="14"/>
                  </w:rPr>
                  <w:t>| </w:t>
                </w:r>
                <w:r>
                  <w:rPr/>
                  <w:fldChar w:fldCharType="begin"/>
                </w:r>
                <w:r>
                  <w:rPr>
                    <w:color w:val="5C676C"/>
                    <w:sz w:val="14"/>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0pt;margin-top:57.499924pt;width:595.320pt;height:25pt;mso-position-horizontal-relative:page;mso-position-vertical-relative:page;z-index:-15936000" filled="true" fillcolor="#082144" stroked="false">
          <v:fill type="solid"/>
          <w10:wrap type="non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60" w:hanging="127"/>
      </w:pPr>
      <w:rPr>
        <w:rFonts w:hint="default" w:ascii="Arial" w:hAnsi="Arial" w:eastAsia="Arial" w:cs="Arial"/>
        <w:w w:val="99"/>
        <w:sz w:val="19"/>
        <w:szCs w:val="19"/>
        <w:lang w:val="en-au" w:eastAsia="en-US" w:bidi="ar-SA"/>
      </w:rPr>
    </w:lvl>
    <w:lvl w:ilvl="1">
      <w:start w:val="0"/>
      <w:numFmt w:val="bullet"/>
      <w:lvlText w:val="•"/>
      <w:lvlJc w:val="left"/>
      <w:pPr>
        <w:ind w:left="1853" w:hanging="360"/>
      </w:pPr>
      <w:rPr>
        <w:rFonts w:hint="default" w:ascii="Arial" w:hAnsi="Arial" w:eastAsia="Arial" w:cs="Arial"/>
        <w:w w:val="130"/>
        <w:sz w:val="20"/>
        <w:szCs w:val="20"/>
        <w:lang w:val="en-au" w:eastAsia="en-US" w:bidi="ar-SA"/>
      </w:rPr>
    </w:lvl>
    <w:lvl w:ilvl="2">
      <w:start w:val="0"/>
      <w:numFmt w:val="bullet"/>
      <w:lvlText w:val="•"/>
      <w:lvlJc w:val="left"/>
      <w:pPr>
        <w:ind w:left="2976" w:hanging="360"/>
      </w:pPr>
      <w:rPr>
        <w:rFonts w:hint="default"/>
        <w:lang w:val="en-au" w:eastAsia="en-US" w:bidi="ar-SA"/>
      </w:rPr>
    </w:lvl>
    <w:lvl w:ilvl="3">
      <w:start w:val="0"/>
      <w:numFmt w:val="bullet"/>
      <w:lvlText w:val="•"/>
      <w:lvlJc w:val="left"/>
      <w:pPr>
        <w:ind w:left="4092" w:hanging="360"/>
      </w:pPr>
      <w:rPr>
        <w:rFonts w:hint="default"/>
        <w:lang w:val="en-au" w:eastAsia="en-US" w:bidi="ar-SA"/>
      </w:rPr>
    </w:lvl>
    <w:lvl w:ilvl="4">
      <w:start w:val="0"/>
      <w:numFmt w:val="bullet"/>
      <w:lvlText w:val="•"/>
      <w:lvlJc w:val="left"/>
      <w:pPr>
        <w:ind w:left="5208" w:hanging="360"/>
      </w:pPr>
      <w:rPr>
        <w:rFonts w:hint="default"/>
        <w:lang w:val="en-au" w:eastAsia="en-US" w:bidi="ar-SA"/>
      </w:rPr>
    </w:lvl>
    <w:lvl w:ilvl="5">
      <w:start w:val="0"/>
      <w:numFmt w:val="bullet"/>
      <w:lvlText w:val="•"/>
      <w:lvlJc w:val="left"/>
      <w:pPr>
        <w:ind w:left="6325" w:hanging="360"/>
      </w:pPr>
      <w:rPr>
        <w:rFonts w:hint="default"/>
        <w:lang w:val="en-au" w:eastAsia="en-US" w:bidi="ar-SA"/>
      </w:rPr>
    </w:lvl>
    <w:lvl w:ilvl="6">
      <w:start w:val="0"/>
      <w:numFmt w:val="bullet"/>
      <w:lvlText w:val="•"/>
      <w:lvlJc w:val="left"/>
      <w:pPr>
        <w:ind w:left="7441" w:hanging="360"/>
      </w:pPr>
      <w:rPr>
        <w:rFonts w:hint="default"/>
        <w:lang w:val="en-au" w:eastAsia="en-US" w:bidi="ar-SA"/>
      </w:rPr>
    </w:lvl>
    <w:lvl w:ilvl="7">
      <w:start w:val="0"/>
      <w:numFmt w:val="bullet"/>
      <w:lvlText w:val="•"/>
      <w:lvlJc w:val="left"/>
      <w:pPr>
        <w:ind w:left="8557" w:hanging="360"/>
      </w:pPr>
      <w:rPr>
        <w:rFonts w:hint="default"/>
        <w:lang w:val="en-au" w:eastAsia="en-US" w:bidi="ar-SA"/>
      </w:rPr>
    </w:lvl>
    <w:lvl w:ilvl="8">
      <w:start w:val="0"/>
      <w:numFmt w:val="bullet"/>
      <w:lvlText w:val="•"/>
      <w:lvlJc w:val="left"/>
      <w:pPr>
        <w:ind w:left="9673"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116"/>
      <w:outlineLvl w:val="1"/>
    </w:pPr>
    <w:rPr>
      <w:rFonts w:ascii="Arial" w:hAnsi="Arial" w:eastAsia="Arial" w:cs="Arial"/>
      <w:b/>
      <w:bCs/>
      <w:sz w:val="24"/>
      <w:szCs w:val="24"/>
      <w:lang w:val="en-au" w:eastAsia="en-US" w:bidi="ar-SA"/>
    </w:rPr>
  </w:style>
  <w:style w:styleId="Heading2" w:type="paragraph">
    <w:name w:val="Heading 2"/>
    <w:basedOn w:val="Normal"/>
    <w:uiPriority w:val="1"/>
    <w:qFormat/>
    <w:pPr>
      <w:ind w:left="1133"/>
      <w:outlineLvl w:val="2"/>
    </w:pPr>
    <w:rPr>
      <w:rFonts w:ascii="Arial" w:hAnsi="Arial" w:eastAsia="Arial" w:cs="Arial"/>
      <w:b/>
      <w:bCs/>
      <w:sz w:val="20"/>
      <w:szCs w:val="20"/>
      <w:lang w:val="en-au" w:eastAsia="en-US" w:bidi="ar-SA"/>
    </w:rPr>
  </w:style>
  <w:style w:styleId="Title" w:type="paragraph">
    <w:name w:val="Title"/>
    <w:basedOn w:val="Normal"/>
    <w:uiPriority w:val="1"/>
    <w:qFormat/>
    <w:pPr>
      <w:spacing w:before="84"/>
      <w:ind w:left="2885"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spacing w:before="94"/>
      <w:ind w:left="1853" w:hanging="361"/>
    </w:pPr>
    <w:rPr>
      <w:rFonts w:ascii="Arial" w:hAnsi="Arial" w:eastAsia="Arial" w:cs="Arial"/>
      <w:lang w:val="en-au" w:eastAsia="en-US" w:bidi="ar-SA"/>
    </w:rPr>
  </w:style>
  <w:style w:styleId="TableParagraph" w:type="paragraph">
    <w:name w:val="Table Paragraph"/>
    <w:basedOn w:val="Normal"/>
    <w:uiPriority w:val="1"/>
    <w:qFormat/>
    <w:pPr>
      <w:spacing w:before="127"/>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legislation.gov.au/Details/F2019L01615)" TargetMode="External"/><Relationship Id="rId9" Type="http://schemas.openxmlformats.org/officeDocument/2006/relationships/hyperlink" Target="http://www.legislation.gov.au/Details/F2019L01616)" TargetMode="External"/><Relationship Id="rId10" Type="http://schemas.openxmlformats.org/officeDocument/2006/relationships/hyperlink" Target="http://www.abf.gov.au/importing-exporting-and-manufacturing/prohibited-goods"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Kava; Prohibited Substances; Kava Passenger Exemption</cp:keywords>
  <dc:subject>Kava and Prohibited Substances changes to the Prohibited Exports and Imports Regulations</dc:subject>
  <dc:title>Australian Customs Notice No. 2019/43</dc:title>
  <dcterms:created xsi:type="dcterms:W3CDTF">2020-12-09T23:20:40Z</dcterms:created>
  <dcterms:modified xsi:type="dcterms:W3CDTF">2020-12-09T23:20:40Z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2020-01-17T00:00:00Z</vt:filetime>
  </property>
  <property fmtid="{D5CDD505-2E9C-101B-9397-08002B2CF9AE}" pid="3" name="LastSaved">
    <vt:filetime>2020-12-09T00:00:00Z</vt:filetime>
  </property>
</Properties>
</file>