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-2048868</wp:posOffset>
            </wp:positionV>
            <wp:extent cx="7559675" cy="2024041"/>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24041"/>
                    </a:xfrm>
                    <a:prstGeom prst="rect">
                      <a:avLst/>
                    </a:prstGeom>
                  </pic:spPr>
                </pic:pic>
              </a:graphicData>
            </a:graphic>
          </wp:anchor>
        </w:drawing>
      </w:r>
      <w:r>
        <w:rPr>
          <w:color w:val="072144"/>
        </w:rPr>
        <w:t>Australian Customs Notice No. 2020/12</w:t>
      </w:r>
    </w:p>
    <w:p>
      <w:pPr>
        <w:spacing w:before="394"/>
        <w:ind w:left="1279" w:right="1197" w:firstLine="0"/>
        <w:jc w:val="center"/>
        <w:rPr>
          <w:rFonts w:ascii="Arial"/>
          <w:sz w:val="40"/>
        </w:rPr>
      </w:pPr>
      <w:bookmarkStart w:name="Amendments to Schedule 4 of the Customs " w:id="1"/>
      <w:bookmarkEnd w:id="1"/>
      <w:r>
        <w:rPr/>
      </w:r>
      <w:r>
        <w:rPr>
          <w:rFonts w:ascii="Arial"/>
          <w:color w:val="956D23"/>
          <w:sz w:val="40"/>
        </w:rPr>
        <w:t>Amendments to Schedule 4 of the </w:t>
      </w:r>
      <w:r>
        <w:rPr>
          <w:rFonts w:ascii="Arial"/>
          <w:i/>
          <w:color w:val="956D23"/>
          <w:sz w:val="40"/>
        </w:rPr>
        <w:t>Customs Tariff Act 1995 </w:t>
      </w:r>
      <w:r>
        <w:rPr>
          <w:rFonts w:ascii="Arial"/>
          <w:color w:val="956D23"/>
          <w:sz w:val="40"/>
        </w:rPr>
        <w:t>Item 1 by-law</w:t>
      </w:r>
    </w:p>
    <w:p>
      <w:pPr>
        <w:pStyle w:val="Heading1"/>
        <w:spacing w:before="243"/>
        <w:ind w:left="1116"/>
        <w:jc w:val="left"/>
      </w:pPr>
      <w:bookmarkStart w:name="Schedule 4, Item 1 – Revocation and repl" w:id="2"/>
      <w:bookmarkEnd w:id="2"/>
      <w:r>
        <w:rPr>
          <w:b w:val="0"/>
        </w:rPr>
      </w:r>
      <w:r>
        <w:rPr>
          <w:color w:val="956D23"/>
        </w:rPr>
        <w:t>Schedule 4, Item 1 – Revocation and replacement of by-law 1919366</w:t>
      </w:r>
    </w:p>
    <w:p>
      <w:pPr>
        <w:pStyle w:val="BodyText"/>
        <w:spacing w:line="266" w:lineRule="auto" w:before="177"/>
        <w:ind w:left="1132" w:right="1600"/>
      </w:pPr>
      <w:r>
        <w:rPr/>
        <w:t>Item 1 of Schedule 4 of the </w:t>
      </w:r>
      <w:r>
        <w:rPr>
          <w:i/>
        </w:rPr>
        <w:t>Customs Tariff Act 1995 </w:t>
      </w:r>
      <w:r>
        <w:rPr/>
        <w:t>provides a free rate of duty for goods prescribed by by-law that are:</w:t>
      </w:r>
    </w:p>
    <w:p>
      <w:pPr>
        <w:pStyle w:val="ListParagraph"/>
        <w:numPr>
          <w:ilvl w:val="0"/>
          <w:numId w:val="1"/>
        </w:numPr>
        <w:tabs>
          <w:tab w:pos="1852" w:val="left" w:leader="none"/>
          <w:tab w:pos="1853" w:val="left" w:leader="none"/>
        </w:tabs>
        <w:spacing w:line="242" w:lineRule="auto" w:before="130" w:after="0"/>
        <w:ind w:left="1852" w:right="1674" w:hanging="360"/>
        <w:jc w:val="left"/>
        <w:rPr>
          <w:sz w:val="20"/>
        </w:rPr>
      </w:pPr>
      <w:r>
        <w:rPr>
          <w:sz w:val="20"/>
        </w:rPr>
        <w:t>Scientific</w:t>
      </w:r>
      <w:r>
        <w:rPr>
          <w:spacing w:val="-4"/>
          <w:sz w:val="20"/>
        </w:rPr>
        <w:t> </w:t>
      </w:r>
      <w:r>
        <w:rPr>
          <w:sz w:val="20"/>
        </w:rPr>
        <w:t>instruments</w:t>
      </w:r>
      <w:r>
        <w:rPr>
          <w:spacing w:val="-4"/>
          <w:sz w:val="20"/>
        </w:rPr>
        <w:t> </w:t>
      </w:r>
      <w:r>
        <w:rPr>
          <w:sz w:val="20"/>
        </w:rPr>
        <w:t>or</w:t>
      </w:r>
      <w:r>
        <w:rPr>
          <w:spacing w:val="-3"/>
          <w:sz w:val="20"/>
        </w:rPr>
        <w:t> </w:t>
      </w:r>
      <w:r>
        <w:rPr>
          <w:sz w:val="20"/>
        </w:rPr>
        <w:t>apparatus</w:t>
      </w:r>
      <w:r>
        <w:rPr>
          <w:spacing w:val="-4"/>
          <w:sz w:val="20"/>
        </w:rPr>
        <w:t> </w:t>
      </w:r>
      <w:r>
        <w:rPr>
          <w:sz w:val="20"/>
        </w:rPr>
        <w:t>to</w:t>
      </w:r>
      <w:r>
        <w:rPr>
          <w:spacing w:val="-3"/>
          <w:sz w:val="20"/>
        </w:rPr>
        <w:t> </w:t>
      </w:r>
      <w:r>
        <w:rPr>
          <w:sz w:val="20"/>
        </w:rPr>
        <w:t>which</w:t>
      </w:r>
      <w:r>
        <w:rPr>
          <w:spacing w:val="-2"/>
          <w:sz w:val="20"/>
        </w:rPr>
        <w:t> </w:t>
      </w:r>
      <w:r>
        <w:rPr>
          <w:sz w:val="20"/>
        </w:rPr>
        <w:t>Annex</w:t>
      </w:r>
      <w:r>
        <w:rPr>
          <w:spacing w:val="-4"/>
          <w:sz w:val="20"/>
        </w:rPr>
        <w:t> </w:t>
      </w:r>
      <w:r>
        <w:rPr>
          <w:sz w:val="20"/>
        </w:rPr>
        <w:t>D</w:t>
      </w:r>
      <w:r>
        <w:rPr>
          <w:spacing w:val="-5"/>
          <w:sz w:val="20"/>
        </w:rPr>
        <w:t> </w:t>
      </w:r>
      <w:r>
        <w:rPr>
          <w:sz w:val="20"/>
        </w:rPr>
        <w:t>to</w:t>
      </w:r>
      <w:r>
        <w:rPr>
          <w:spacing w:val="-4"/>
          <w:sz w:val="20"/>
        </w:rPr>
        <w:t> </w:t>
      </w:r>
      <w:r>
        <w:rPr>
          <w:sz w:val="20"/>
        </w:rPr>
        <w:t>the</w:t>
      </w:r>
      <w:r>
        <w:rPr>
          <w:spacing w:val="-3"/>
          <w:sz w:val="20"/>
        </w:rPr>
        <w:t> </w:t>
      </w:r>
      <w:r>
        <w:rPr>
          <w:sz w:val="20"/>
        </w:rPr>
        <w:t>Educational,</w:t>
      </w:r>
      <w:r>
        <w:rPr>
          <w:spacing w:val="-3"/>
          <w:sz w:val="20"/>
        </w:rPr>
        <w:t> </w:t>
      </w:r>
      <w:r>
        <w:rPr>
          <w:sz w:val="20"/>
        </w:rPr>
        <w:t>Scientific</w:t>
      </w:r>
      <w:r>
        <w:rPr>
          <w:spacing w:val="-3"/>
          <w:sz w:val="20"/>
        </w:rPr>
        <w:t> </w:t>
      </w:r>
      <w:r>
        <w:rPr>
          <w:sz w:val="20"/>
        </w:rPr>
        <w:t>and</w:t>
      </w:r>
      <w:r>
        <w:rPr>
          <w:spacing w:val="-5"/>
          <w:sz w:val="20"/>
        </w:rPr>
        <w:t> </w:t>
      </w:r>
      <w:r>
        <w:rPr>
          <w:sz w:val="20"/>
        </w:rPr>
        <w:t>Cultural Materials Agreement (Florence 1950) or Annex D to the Educational, Scientific and Cultural Materials Protocol (Nairobi 1976) applies; or</w:t>
      </w:r>
    </w:p>
    <w:p>
      <w:pPr>
        <w:pStyle w:val="ListParagraph"/>
        <w:numPr>
          <w:ilvl w:val="0"/>
          <w:numId w:val="1"/>
        </w:numPr>
        <w:tabs>
          <w:tab w:pos="1853" w:val="left" w:leader="none"/>
        </w:tabs>
        <w:spacing w:line="240" w:lineRule="auto" w:before="153" w:after="0"/>
        <w:ind w:left="1852" w:right="1573" w:hanging="360"/>
        <w:jc w:val="both"/>
        <w:rPr>
          <w:sz w:val="20"/>
        </w:rPr>
      </w:pPr>
      <w:r>
        <w:rPr>
          <w:sz w:val="20"/>
        </w:rPr>
        <w:t>Of a scientific nature and covered by an agreement or arrangement between the Government of Australia and the government of another country or other countries on cooperation in the field of science and</w:t>
      </w:r>
      <w:r>
        <w:rPr>
          <w:spacing w:val="-3"/>
          <w:sz w:val="20"/>
        </w:rPr>
        <w:t> </w:t>
      </w:r>
      <w:r>
        <w:rPr>
          <w:sz w:val="20"/>
        </w:rPr>
        <w:t>technology.</w:t>
      </w:r>
    </w:p>
    <w:p>
      <w:pPr>
        <w:pStyle w:val="BodyText"/>
        <w:spacing w:line="264" w:lineRule="auto" w:before="179"/>
        <w:ind w:left="1132" w:right="1262"/>
      </w:pPr>
      <w:r>
        <w:rPr/>
        <w:t>Prescribed by-law 1919366 will be revoked and reissued as by-law 2000668 (Attachment A). By-law 2000668 updates Paragraph 2, Table A, to include the following organisations authorised to use the by-law:</w:t>
      </w:r>
    </w:p>
    <w:p>
      <w:pPr>
        <w:pStyle w:val="ListParagraph"/>
        <w:numPr>
          <w:ilvl w:val="0"/>
          <w:numId w:val="1"/>
        </w:numPr>
        <w:tabs>
          <w:tab w:pos="1852" w:val="left" w:leader="none"/>
          <w:tab w:pos="1853" w:val="left" w:leader="none"/>
        </w:tabs>
        <w:spacing w:line="240" w:lineRule="auto" w:before="133" w:after="0"/>
        <w:ind w:left="1852" w:right="0" w:hanging="361"/>
        <w:jc w:val="left"/>
        <w:rPr>
          <w:sz w:val="20"/>
        </w:rPr>
      </w:pPr>
      <w:r>
        <w:rPr>
          <w:sz w:val="20"/>
        </w:rPr>
        <w:t>Ear Science Institute</w:t>
      </w:r>
      <w:r>
        <w:rPr>
          <w:spacing w:val="1"/>
          <w:sz w:val="20"/>
        </w:rPr>
        <w:t> </w:t>
      </w:r>
      <w:r>
        <w:rPr>
          <w:sz w:val="20"/>
        </w:rPr>
        <w:t>Australia</w:t>
      </w:r>
    </w:p>
    <w:p>
      <w:pPr>
        <w:pStyle w:val="ListParagraph"/>
        <w:numPr>
          <w:ilvl w:val="0"/>
          <w:numId w:val="1"/>
        </w:numPr>
        <w:tabs>
          <w:tab w:pos="1852" w:val="left" w:leader="none"/>
          <w:tab w:pos="1853" w:val="left" w:leader="none"/>
        </w:tabs>
        <w:spacing w:line="240" w:lineRule="auto" w:before="15" w:after="0"/>
        <w:ind w:left="1852" w:right="0" w:hanging="361"/>
        <w:jc w:val="left"/>
        <w:rPr>
          <w:sz w:val="20"/>
        </w:rPr>
      </w:pPr>
      <w:r>
        <w:rPr>
          <w:sz w:val="20"/>
        </w:rPr>
        <w:t>Olivia Newton John Cancer Research</w:t>
      </w:r>
      <w:r>
        <w:rPr>
          <w:spacing w:val="-1"/>
          <w:sz w:val="20"/>
        </w:rPr>
        <w:t> </w:t>
      </w:r>
      <w:r>
        <w:rPr>
          <w:sz w:val="20"/>
        </w:rPr>
        <w:t>Institute</w:t>
      </w:r>
    </w:p>
    <w:p>
      <w:pPr>
        <w:pStyle w:val="ListParagraph"/>
        <w:numPr>
          <w:ilvl w:val="0"/>
          <w:numId w:val="1"/>
        </w:numPr>
        <w:tabs>
          <w:tab w:pos="1852" w:val="left" w:leader="none"/>
          <w:tab w:pos="1853" w:val="left" w:leader="none"/>
        </w:tabs>
        <w:spacing w:line="240" w:lineRule="auto" w:before="12" w:after="0"/>
        <w:ind w:left="1852" w:right="0" w:hanging="361"/>
        <w:jc w:val="left"/>
        <w:rPr>
          <w:sz w:val="20"/>
        </w:rPr>
      </w:pPr>
      <w:r>
        <w:rPr>
          <w:sz w:val="20"/>
        </w:rPr>
        <w:t>Murdoch Children’s Research</w:t>
      </w:r>
      <w:r>
        <w:rPr>
          <w:spacing w:val="-1"/>
          <w:sz w:val="20"/>
        </w:rPr>
        <w:t> </w:t>
      </w:r>
      <w:r>
        <w:rPr>
          <w:sz w:val="20"/>
        </w:rPr>
        <w:t>Institute</w:t>
      </w:r>
    </w:p>
    <w:p>
      <w:pPr>
        <w:pStyle w:val="ListParagraph"/>
        <w:numPr>
          <w:ilvl w:val="0"/>
          <w:numId w:val="1"/>
        </w:numPr>
        <w:tabs>
          <w:tab w:pos="1852" w:val="left" w:leader="none"/>
          <w:tab w:pos="1853" w:val="left" w:leader="none"/>
        </w:tabs>
        <w:spacing w:line="240" w:lineRule="auto" w:before="15" w:after="0"/>
        <w:ind w:left="1852" w:right="0" w:hanging="361"/>
        <w:jc w:val="left"/>
        <w:rPr>
          <w:sz w:val="20"/>
        </w:rPr>
      </w:pPr>
      <w:r>
        <w:rPr>
          <w:sz w:val="20"/>
        </w:rPr>
        <w:t>Neuroscience Research</w:t>
      </w:r>
      <w:r>
        <w:rPr>
          <w:spacing w:val="-3"/>
          <w:sz w:val="20"/>
        </w:rPr>
        <w:t> </w:t>
      </w:r>
      <w:r>
        <w:rPr>
          <w:sz w:val="20"/>
        </w:rPr>
        <w:t>Australia</w:t>
      </w:r>
    </w:p>
    <w:p>
      <w:pPr>
        <w:pStyle w:val="ListParagraph"/>
        <w:numPr>
          <w:ilvl w:val="0"/>
          <w:numId w:val="1"/>
        </w:numPr>
        <w:tabs>
          <w:tab w:pos="1852" w:val="left" w:leader="none"/>
          <w:tab w:pos="1853" w:val="left" w:leader="none"/>
        </w:tabs>
        <w:spacing w:line="240" w:lineRule="auto" w:before="12" w:after="0"/>
        <w:ind w:left="1852" w:right="0" w:hanging="361"/>
        <w:jc w:val="left"/>
        <w:rPr>
          <w:sz w:val="20"/>
        </w:rPr>
      </w:pPr>
      <w:r>
        <w:rPr>
          <w:sz w:val="20"/>
        </w:rPr>
        <w:t>Translational Research</w:t>
      </w:r>
      <w:r>
        <w:rPr>
          <w:spacing w:val="-4"/>
          <w:sz w:val="20"/>
        </w:rPr>
        <w:t> </w:t>
      </w:r>
      <w:r>
        <w:rPr>
          <w:sz w:val="20"/>
        </w:rPr>
        <w:t>Institute</w:t>
      </w:r>
    </w:p>
    <w:p>
      <w:pPr>
        <w:pStyle w:val="ListParagraph"/>
        <w:numPr>
          <w:ilvl w:val="0"/>
          <w:numId w:val="1"/>
        </w:numPr>
        <w:tabs>
          <w:tab w:pos="1852" w:val="left" w:leader="none"/>
          <w:tab w:pos="1853" w:val="left" w:leader="none"/>
        </w:tabs>
        <w:spacing w:line="240" w:lineRule="auto" w:before="15" w:after="0"/>
        <w:ind w:left="1852" w:right="0" w:hanging="361"/>
        <w:jc w:val="left"/>
        <w:rPr>
          <w:sz w:val="20"/>
        </w:rPr>
      </w:pPr>
      <w:r>
        <w:rPr>
          <w:sz w:val="20"/>
        </w:rPr>
        <w:t>Peter MacCallum Cancer</w:t>
      </w:r>
      <w:r>
        <w:rPr>
          <w:spacing w:val="5"/>
          <w:sz w:val="20"/>
        </w:rPr>
        <w:t> </w:t>
      </w:r>
      <w:r>
        <w:rPr>
          <w:sz w:val="20"/>
        </w:rPr>
        <w:t>Centre</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sz w:val="20"/>
        </w:rPr>
        <w:t>ANZAC Research Institute</w:t>
      </w:r>
    </w:p>
    <w:p>
      <w:pPr>
        <w:pStyle w:val="ListParagraph"/>
        <w:numPr>
          <w:ilvl w:val="0"/>
          <w:numId w:val="1"/>
        </w:numPr>
        <w:tabs>
          <w:tab w:pos="1852" w:val="left" w:leader="none"/>
          <w:tab w:pos="1853" w:val="left" w:leader="none"/>
        </w:tabs>
        <w:spacing w:line="240" w:lineRule="auto" w:before="15" w:after="0"/>
        <w:ind w:left="1852" w:right="0" w:hanging="361"/>
        <w:jc w:val="left"/>
        <w:rPr>
          <w:sz w:val="20"/>
        </w:rPr>
      </w:pPr>
      <w:r>
        <w:rPr>
          <w:sz w:val="20"/>
        </w:rPr>
        <w:t>Telethon Kids Institute</w:t>
      </w:r>
    </w:p>
    <w:p>
      <w:pPr>
        <w:pStyle w:val="ListParagraph"/>
        <w:numPr>
          <w:ilvl w:val="0"/>
          <w:numId w:val="1"/>
        </w:numPr>
        <w:tabs>
          <w:tab w:pos="1852" w:val="left" w:leader="none"/>
          <w:tab w:pos="1853" w:val="left" w:leader="none"/>
        </w:tabs>
        <w:spacing w:line="240" w:lineRule="auto" w:before="12" w:after="0"/>
        <w:ind w:left="1852" w:right="0" w:hanging="361"/>
        <w:jc w:val="left"/>
        <w:rPr>
          <w:sz w:val="20"/>
        </w:rPr>
      </w:pPr>
      <w:r>
        <w:rPr>
          <w:sz w:val="20"/>
        </w:rPr>
        <w:t>The Woolcock</w:t>
      </w:r>
      <w:r>
        <w:rPr>
          <w:spacing w:val="-4"/>
          <w:sz w:val="20"/>
        </w:rPr>
        <w:t> </w:t>
      </w:r>
      <w:r>
        <w:rPr>
          <w:sz w:val="20"/>
        </w:rPr>
        <w:t>Institute</w:t>
      </w:r>
    </w:p>
    <w:p>
      <w:pPr>
        <w:pStyle w:val="BodyText"/>
        <w:rPr>
          <w:sz w:val="24"/>
        </w:rPr>
      </w:pPr>
    </w:p>
    <w:p>
      <w:pPr>
        <w:pStyle w:val="BodyText"/>
        <w:spacing w:before="1"/>
        <w:rPr>
          <w:sz w:val="30"/>
        </w:rPr>
      </w:pPr>
    </w:p>
    <w:p>
      <w:pPr>
        <w:pStyle w:val="BodyText"/>
        <w:ind w:left="1132"/>
      </w:pPr>
      <w:r>
        <w:rPr/>
        <w:t>Enquiries in relation to this Notice should be directed to </w:t>
      </w:r>
      <w:hyperlink r:id="rId6">
        <w:r>
          <w:rPr/>
          <w:t>tradepolicy1@abf.gov.au.</w:t>
        </w:r>
      </w:hyperlink>
    </w:p>
    <w:p>
      <w:pPr>
        <w:pStyle w:val="BodyText"/>
        <w:rPr>
          <w:sz w:val="22"/>
        </w:rPr>
      </w:pPr>
    </w:p>
    <w:p>
      <w:pPr>
        <w:pStyle w:val="BodyText"/>
        <w:rPr>
          <w:sz w:val="22"/>
        </w:rPr>
      </w:pPr>
    </w:p>
    <w:p>
      <w:pPr>
        <w:pStyle w:val="BodyText"/>
        <w:spacing w:before="193"/>
        <w:ind w:left="1132"/>
      </w:pPr>
      <w:r>
        <w:rPr/>
        <w:t>[Signed]</w:t>
      </w:r>
    </w:p>
    <w:p>
      <w:pPr>
        <w:pStyle w:val="BodyText"/>
        <w:spacing w:line="324" w:lineRule="auto" w:before="79"/>
        <w:ind w:left="1132" w:right="9001"/>
      </w:pPr>
      <w:r>
        <w:rPr/>
        <w:t>Matthew Duckworth Assistant Secretary</w:t>
      </w:r>
    </w:p>
    <w:p>
      <w:pPr>
        <w:pStyle w:val="BodyText"/>
        <w:spacing w:line="326" w:lineRule="auto"/>
        <w:ind w:left="1132" w:right="7378"/>
      </w:pPr>
      <w:r>
        <w:rPr/>
        <w:t>Customs and Border Revenue Branch 4 March 2020</w:t>
      </w:r>
    </w:p>
    <w:p>
      <w:pPr>
        <w:pStyle w:val="BodyText"/>
      </w:pPr>
    </w:p>
    <w:p>
      <w:pPr>
        <w:pStyle w:val="BodyText"/>
      </w:pPr>
    </w:p>
    <w:p>
      <w:pPr>
        <w:pStyle w:val="BodyText"/>
      </w:pPr>
    </w:p>
    <w:p>
      <w:pPr>
        <w:pStyle w:val="BodyText"/>
        <w:spacing w:before="10"/>
        <w:rPr>
          <w:sz w:val="19"/>
        </w:rPr>
      </w:pPr>
    </w:p>
    <w:p>
      <w:pPr>
        <w:tabs>
          <w:tab w:pos="4363" w:val="left" w:leader="none"/>
          <w:tab w:pos="11906" w:val="left" w:leader="none"/>
        </w:tabs>
        <w:spacing w:before="92"/>
        <w:ind w:left="0" w:right="0" w:firstLine="0"/>
        <w:jc w:val="left"/>
        <w:rPr>
          <w:rFonts w:ascii="Arial-BoldItalicMT" w:hAnsi="Arial-BoldItalicMT"/>
          <w:b/>
          <w:i/>
          <w:sz w:val="24"/>
        </w:rPr>
      </w:pPr>
      <w:r>
        <w:rPr>
          <w:rFonts w:ascii="Arial-BoldItalicMT" w:hAnsi="Arial-BoldItalicMT"/>
          <w:b/>
          <w:i/>
          <w:color w:val="FFFFFF"/>
          <w:sz w:val="24"/>
          <w:shd w:fill="072144" w:color="auto" w:val="clear"/>
        </w:rPr>
        <w:t> </w:t>
        <w:tab/>
        <w:t>Australia’s customs</w:t>
      </w:r>
      <w:r>
        <w:rPr>
          <w:rFonts w:ascii="Arial-BoldItalicMT" w:hAnsi="Arial-BoldItalicMT"/>
          <w:b/>
          <w:i/>
          <w:color w:val="FFFFFF"/>
          <w:spacing w:val="-12"/>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4"/>
        <w:rPr>
          <w:rFonts w:ascii="Arial-BoldItalicMT"/>
          <w:b/>
          <w:i/>
          <w:sz w:val="18"/>
        </w:rPr>
      </w:pPr>
    </w:p>
    <w:p>
      <w:pPr>
        <w:spacing w:before="88"/>
        <w:ind w:left="1132" w:right="0" w:firstLine="0"/>
        <w:jc w:val="left"/>
        <w:rPr>
          <w:rFonts w:ascii="Arial"/>
          <w:sz w:val="40"/>
        </w:rPr>
      </w:pPr>
      <w:r>
        <w:rPr/>
        <w:pict>
          <v:rect style="position:absolute;margin-left:0pt;margin-top:-45.460247pt;width:595.320pt;height:25pt;mso-position-horizontal-relative:page;mso-position-vertical-relative:paragraph;z-index:15729152" filled="true" fillcolor="#072144" stroked="false">
            <v:fill type="solid"/>
            <w10:wrap type="none"/>
          </v:rect>
        </w:pict>
      </w:r>
      <w:r>
        <w:rPr>
          <w:rFonts w:ascii="Arial"/>
          <w:color w:val="956D23"/>
          <w:sz w:val="40"/>
        </w:rPr>
        <w:t>Attachment A (Customs Tariff Working Pages)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1"/>
        </w:rPr>
      </w:pPr>
    </w:p>
    <w:p>
      <w:pPr>
        <w:spacing w:before="0"/>
        <w:ind w:left="0" w:right="1134" w:firstLine="0"/>
        <w:jc w:val="right"/>
        <w:rPr>
          <w:rFonts w:ascii="Arial"/>
          <w:sz w:val="14"/>
        </w:rPr>
      </w:pPr>
      <w:r>
        <w:rPr>
          <w:rFonts w:ascii="Arial"/>
          <w:color w:val="5C676C"/>
          <w:sz w:val="14"/>
        </w:rPr>
        <w:t>| 2</w:t>
      </w:r>
    </w:p>
    <w:p>
      <w:pPr>
        <w:spacing w:after="0"/>
        <w:jc w:val="right"/>
        <w:rPr>
          <w:rFonts w:ascii="Arial"/>
          <w:sz w:val="14"/>
        </w:rPr>
        <w:sectPr>
          <w:pgSz w:w="11910" w:h="16840"/>
          <w:pgMar w:top="11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7"/>
        </w:rPr>
      </w:pPr>
    </w:p>
    <w:p>
      <w:pPr>
        <w:spacing w:before="0"/>
        <w:ind w:left="0" w:right="0" w:firstLine="0"/>
        <w:jc w:val="right"/>
        <w:rPr>
          <w:rFonts w:ascii="Arial Narrow"/>
          <w:b/>
          <w:sz w:val="20"/>
        </w:rPr>
      </w:pPr>
      <w:r>
        <w:rPr>
          <w:rFonts w:ascii="Arial Narrow"/>
          <w:b/>
          <w:w w:val="95"/>
          <w:sz w:val="20"/>
        </w:rPr>
        <w:t>R.4</w:t>
      </w:r>
    </w:p>
    <w:p>
      <w:pPr>
        <w:pStyle w:val="Heading1"/>
        <w:spacing w:line="436" w:lineRule="auto" w:before="63"/>
        <w:ind w:left="1514"/>
      </w:pPr>
      <w:r>
        <w:rPr>
          <w:b w:val="0"/>
        </w:rPr>
        <w:br w:type="column"/>
      </w:r>
      <w:r>
        <w:rPr/>
        <w:t>SCHEDULE OF CONCESSIONAL INSTRUMENTS PART II</w:t>
      </w:r>
    </w:p>
    <w:p>
      <w:pPr>
        <w:spacing w:line="215" w:lineRule="exact" w:before="0"/>
        <w:ind w:left="1511" w:right="0" w:firstLine="0"/>
        <w:jc w:val="center"/>
        <w:rPr>
          <w:rFonts w:ascii="Arial"/>
          <w:b/>
          <w:sz w:val="24"/>
        </w:rPr>
      </w:pPr>
      <w:r>
        <w:rPr>
          <w:rFonts w:ascii="Arial"/>
          <w:b/>
          <w:sz w:val="24"/>
        </w:rPr>
        <w:t>INSTRUMENTS ISSUED TO ITEMS IN SCHEDULE</w:t>
      </w:r>
      <w:r>
        <w:rPr>
          <w:rFonts w:ascii="Arial"/>
          <w:b/>
          <w:spacing w:val="-13"/>
          <w:sz w:val="24"/>
        </w:rPr>
        <w:t> </w:t>
      </w:r>
      <w:r>
        <w:rPr>
          <w:rFonts w:ascii="Arial"/>
          <w:b/>
          <w:sz w:val="24"/>
        </w:rPr>
        <w:t>4</w:t>
      </w:r>
    </w:p>
    <w:p>
      <w:pPr>
        <w:pStyle w:val="Heading1"/>
        <w:spacing w:before="163"/>
        <w:ind w:left="1512"/>
      </w:pPr>
      <w:r>
        <w:rPr/>
        <w:t>CUSTOMS TARIFF ACT 1995</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79"/>
        <w:ind w:left="1168" w:right="0" w:firstLine="0"/>
        <w:jc w:val="left"/>
        <w:rPr>
          <w:rFonts w:ascii="Arial"/>
          <w:b/>
          <w:sz w:val="20"/>
        </w:rPr>
      </w:pPr>
      <w:r>
        <w:rPr>
          <w:rFonts w:ascii="Arial"/>
          <w:b/>
          <w:sz w:val="20"/>
        </w:rPr>
        <w:t>Part 2/1</w:t>
      </w:r>
    </w:p>
    <w:p>
      <w:pPr>
        <w:spacing w:after="0"/>
        <w:jc w:val="left"/>
        <w:rPr>
          <w:rFonts w:ascii="Arial"/>
          <w:sz w:val="20"/>
        </w:rPr>
        <w:sectPr>
          <w:pgSz w:w="11910" w:h="16840"/>
          <w:pgMar w:top="500" w:bottom="280" w:left="0" w:right="0"/>
          <w:cols w:num="3" w:equalWidth="0">
            <w:col w:w="1923" w:space="40"/>
            <w:col w:w="7296" w:space="39"/>
            <w:col w:w="2612"/>
          </w:cols>
        </w:sect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45"/>
        <w:gridCol w:w="1335"/>
      </w:tblGrid>
      <w:tr>
        <w:trPr>
          <w:trHeight w:val="690" w:hRule="atLeast"/>
        </w:trPr>
        <w:tc>
          <w:tcPr>
            <w:tcW w:w="8445" w:type="dxa"/>
            <w:tcBorders>
              <w:left w:val="nil"/>
            </w:tcBorders>
          </w:tcPr>
          <w:p>
            <w:pPr>
              <w:pStyle w:val="TableParagraph"/>
              <w:tabs>
                <w:tab w:pos="991" w:val="left" w:leader="none"/>
                <w:tab w:pos="4265" w:val="left" w:leader="none"/>
              </w:tabs>
              <w:spacing w:before="36"/>
              <w:ind w:left="1123" w:right="2504" w:hanging="903"/>
              <w:rPr>
                <w:rFonts w:ascii="Arial Narrow"/>
                <w:b/>
                <w:sz w:val="20"/>
              </w:rPr>
            </w:pPr>
            <w:r>
              <w:rPr>
                <w:rFonts w:ascii="Arial Narrow"/>
                <w:b/>
                <w:sz w:val="20"/>
              </w:rPr>
              <w:t>Item</w:t>
              <w:tab/>
              <w:t>By-law</w:t>
              <w:tab/>
              <w:t>Description of </w:t>
            </w:r>
            <w:r>
              <w:rPr>
                <w:rFonts w:ascii="Arial Narrow"/>
                <w:b/>
                <w:spacing w:val="-4"/>
                <w:sz w:val="20"/>
              </w:rPr>
              <w:t>Goods </w:t>
            </w:r>
            <w:r>
              <w:rPr>
                <w:rFonts w:ascii="Arial Narrow"/>
                <w:b/>
                <w:sz w:val="20"/>
              </w:rPr>
              <w:t>No.</w:t>
            </w:r>
          </w:p>
        </w:tc>
        <w:tc>
          <w:tcPr>
            <w:tcW w:w="1335" w:type="dxa"/>
            <w:tcBorders>
              <w:right w:val="nil"/>
            </w:tcBorders>
          </w:tcPr>
          <w:p>
            <w:pPr>
              <w:pStyle w:val="TableParagraph"/>
              <w:spacing w:line="302" w:lineRule="auto" w:before="36"/>
              <w:ind w:left="319" w:right="245" w:hanging="56"/>
              <w:rPr>
                <w:rFonts w:ascii="Arial Narrow"/>
                <w:b/>
                <w:sz w:val="20"/>
              </w:rPr>
            </w:pPr>
            <w:r>
              <w:rPr>
                <w:rFonts w:ascii="Arial Narrow"/>
                <w:b/>
                <w:sz w:val="20"/>
              </w:rPr>
              <w:t>Start date/ End date</w:t>
            </w:r>
          </w:p>
        </w:tc>
      </w:tr>
      <w:tr>
        <w:trPr>
          <w:trHeight w:val="12289" w:hRule="atLeast"/>
        </w:trPr>
        <w:tc>
          <w:tcPr>
            <w:tcW w:w="8445" w:type="dxa"/>
            <w:tcBorders>
              <w:left w:val="nil"/>
            </w:tcBorders>
          </w:tcPr>
          <w:p>
            <w:pPr>
              <w:pStyle w:val="TableParagraph"/>
              <w:spacing w:before="219"/>
              <w:ind w:left="1735"/>
              <w:rPr>
                <w:b/>
                <w:sz w:val="24"/>
              </w:rPr>
            </w:pPr>
            <w:r>
              <w:rPr>
                <w:b/>
                <w:sz w:val="24"/>
                <w:u w:val="thick"/>
              </w:rPr>
              <w:t>Goods of a scientific, educational or cultural kind</w:t>
            </w:r>
          </w:p>
          <w:p>
            <w:pPr>
              <w:pStyle w:val="TableParagraph"/>
              <w:spacing w:before="232"/>
              <w:ind w:left="1735"/>
              <w:rPr>
                <w:b/>
                <w:sz w:val="20"/>
              </w:rPr>
            </w:pPr>
            <w:r>
              <w:rPr>
                <w:b/>
                <w:sz w:val="20"/>
                <w:u w:val="single"/>
              </w:rPr>
              <w:t>Item 1 – Scientific goods, instruments and apparatus</w:t>
            </w:r>
          </w:p>
          <w:p>
            <w:pPr>
              <w:pStyle w:val="TableParagraph"/>
              <w:spacing w:before="3"/>
              <w:rPr>
                <w:rFonts w:ascii="Arial"/>
                <w:b/>
                <w:sz w:val="25"/>
              </w:rPr>
            </w:pPr>
          </w:p>
          <w:p>
            <w:pPr>
              <w:pStyle w:val="TableParagraph"/>
              <w:numPr>
                <w:ilvl w:val="0"/>
                <w:numId w:val="2"/>
              </w:numPr>
              <w:tabs>
                <w:tab w:pos="288" w:val="left" w:leader="none"/>
                <w:tab w:pos="837" w:val="left" w:leader="none"/>
              </w:tabs>
              <w:spacing w:line="240" w:lineRule="auto" w:before="0" w:after="0"/>
              <w:ind w:left="288" w:right="0" w:hanging="284"/>
              <w:jc w:val="left"/>
              <w:rPr>
                <w:sz w:val="20"/>
              </w:rPr>
            </w:pPr>
            <w:r>
              <w:rPr>
                <w:b/>
                <w:sz w:val="20"/>
              </w:rPr>
              <w:t>1</w:t>
              <w:tab/>
              <w:t>2000668 </w:t>
            </w:r>
            <w:r>
              <w:rPr>
                <w:sz w:val="20"/>
                <w:u w:val="single"/>
              </w:rPr>
              <w:t>Organisations eligible to import scientific instruments and</w:t>
            </w:r>
            <w:r>
              <w:rPr>
                <w:spacing w:val="-10"/>
                <w:sz w:val="20"/>
                <w:u w:val="single"/>
              </w:rPr>
              <w:t> </w:t>
            </w:r>
            <w:r>
              <w:rPr>
                <w:sz w:val="20"/>
                <w:u w:val="single"/>
              </w:rPr>
              <w:t>apparatus</w:t>
            </w:r>
          </w:p>
          <w:p>
            <w:pPr>
              <w:pStyle w:val="TableParagraph"/>
              <w:spacing w:before="7"/>
              <w:rPr>
                <w:rFonts w:ascii="Arial"/>
                <w:b/>
                <w:sz w:val="19"/>
              </w:rPr>
            </w:pPr>
          </w:p>
          <w:p>
            <w:pPr>
              <w:pStyle w:val="TableParagraph"/>
              <w:numPr>
                <w:ilvl w:val="1"/>
                <w:numId w:val="2"/>
              </w:numPr>
              <w:tabs>
                <w:tab w:pos="2302" w:val="left" w:leader="none"/>
                <w:tab w:pos="2303" w:val="left" w:leader="none"/>
              </w:tabs>
              <w:spacing w:line="240" w:lineRule="auto" w:before="1" w:after="0"/>
              <w:ind w:left="2302" w:right="0" w:hanging="568"/>
              <w:jc w:val="left"/>
              <w:rPr>
                <w:sz w:val="20"/>
              </w:rPr>
            </w:pPr>
            <w:r>
              <w:rPr>
                <w:sz w:val="20"/>
              </w:rPr>
              <w:t>This by-law may be cited as Customs By-law No.</w:t>
            </w:r>
            <w:r>
              <w:rPr>
                <w:spacing w:val="-6"/>
                <w:sz w:val="20"/>
              </w:rPr>
              <w:t> </w:t>
            </w:r>
            <w:r>
              <w:rPr>
                <w:sz w:val="20"/>
              </w:rPr>
              <w:t>2000668.</w:t>
            </w:r>
          </w:p>
          <w:p>
            <w:pPr>
              <w:pStyle w:val="TableParagraph"/>
              <w:spacing w:before="9"/>
              <w:rPr>
                <w:rFonts w:ascii="Arial"/>
                <w:b/>
                <w:sz w:val="19"/>
              </w:rPr>
            </w:pPr>
          </w:p>
          <w:p>
            <w:pPr>
              <w:pStyle w:val="TableParagraph"/>
              <w:numPr>
                <w:ilvl w:val="1"/>
                <w:numId w:val="2"/>
              </w:numPr>
              <w:tabs>
                <w:tab w:pos="2302" w:val="left" w:leader="none"/>
                <w:tab w:pos="2303" w:val="left" w:leader="none"/>
              </w:tabs>
              <w:spacing w:line="240" w:lineRule="auto" w:before="0" w:after="0"/>
              <w:ind w:left="2302" w:right="302" w:hanging="567"/>
              <w:jc w:val="left"/>
              <w:rPr>
                <w:sz w:val="20"/>
              </w:rPr>
            </w:pPr>
            <w:r>
              <w:rPr>
                <w:sz w:val="20"/>
              </w:rPr>
              <w:t>For the purposes of paragraph (a) of item 1 of Schedule 4 to the </w:t>
            </w:r>
            <w:r>
              <w:rPr>
                <w:i/>
                <w:sz w:val="20"/>
              </w:rPr>
              <w:t>Customs Tariff Act 1995 </w:t>
            </w:r>
            <w:r>
              <w:rPr>
                <w:sz w:val="20"/>
              </w:rPr>
              <w:t>(the Customs Tariff Act), scientific instruments or apparatus consigned to organisations listed in Table A are</w:t>
            </w:r>
            <w:r>
              <w:rPr>
                <w:spacing w:val="-8"/>
                <w:sz w:val="20"/>
              </w:rPr>
              <w:t> </w:t>
            </w:r>
            <w:r>
              <w:rPr>
                <w:sz w:val="20"/>
              </w:rPr>
              <w:t>prescribed:</w:t>
            </w:r>
          </w:p>
          <w:p>
            <w:pPr>
              <w:pStyle w:val="TableParagraph"/>
              <w:spacing w:before="3"/>
              <w:rPr>
                <w:rFonts w:ascii="Arial"/>
                <w:b/>
                <w:sz w:val="20"/>
              </w:rPr>
            </w:pPr>
          </w:p>
          <w:p>
            <w:pPr>
              <w:pStyle w:val="TableParagraph"/>
              <w:ind w:left="2302"/>
              <w:rPr>
                <w:sz w:val="20"/>
              </w:rPr>
            </w:pPr>
            <w:r>
              <w:rPr>
                <w:sz w:val="20"/>
              </w:rPr>
              <w:t>Table A</w:t>
            </w:r>
          </w:p>
          <w:p>
            <w:pPr>
              <w:pStyle w:val="TableParagraph"/>
              <w:spacing w:before="9"/>
              <w:rPr>
                <w:rFonts w:ascii="Arial"/>
                <w:b/>
                <w:sz w:val="19"/>
              </w:rPr>
            </w:pPr>
          </w:p>
          <w:p>
            <w:pPr>
              <w:pStyle w:val="TableParagraph"/>
              <w:spacing w:before="1"/>
              <w:ind w:left="2302"/>
              <w:rPr>
                <w:sz w:val="20"/>
              </w:rPr>
            </w:pPr>
            <w:r>
              <w:rPr>
                <w:sz w:val="20"/>
              </w:rPr>
              <w:t>ANZAC Research Institute</w:t>
            </w:r>
          </w:p>
          <w:p>
            <w:pPr>
              <w:pStyle w:val="TableParagraph"/>
              <w:ind w:left="2302" w:right="532"/>
              <w:rPr>
                <w:sz w:val="20"/>
              </w:rPr>
            </w:pPr>
            <w:r>
              <w:rPr>
                <w:sz w:val="20"/>
              </w:rPr>
              <w:t>Association of Universities for Research in Astronomy Inc (AURA) Austin Medical Research Foundation</w:t>
            </w:r>
          </w:p>
          <w:p>
            <w:pPr>
              <w:pStyle w:val="TableParagraph"/>
              <w:spacing w:before="1"/>
              <w:ind w:left="2302"/>
              <w:rPr>
                <w:sz w:val="20"/>
              </w:rPr>
            </w:pPr>
            <w:r>
              <w:rPr>
                <w:sz w:val="20"/>
              </w:rPr>
              <w:t>The Australian Antarctic Division of the Department of Environment and Energy</w:t>
            </w:r>
          </w:p>
          <w:p>
            <w:pPr>
              <w:pStyle w:val="TableParagraph"/>
              <w:spacing w:line="228" w:lineRule="exact"/>
              <w:ind w:left="2302"/>
              <w:rPr>
                <w:sz w:val="20"/>
              </w:rPr>
            </w:pPr>
            <w:r>
              <w:rPr>
                <w:sz w:val="20"/>
              </w:rPr>
              <w:t>Australian Institute of Marine Science</w:t>
            </w:r>
          </w:p>
          <w:p>
            <w:pPr>
              <w:pStyle w:val="TableParagraph"/>
              <w:ind w:left="2302"/>
              <w:rPr>
                <w:sz w:val="20"/>
              </w:rPr>
            </w:pPr>
            <w:r>
              <w:rPr>
                <w:sz w:val="20"/>
              </w:rPr>
              <w:t>The Australian Nuclear Science Technology Organisation</w:t>
            </w:r>
          </w:p>
          <w:p>
            <w:pPr>
              <w:pStyle w:val="TableParagraph"/>
              <w:spacing w:before="1"/>
              <w:ind w:left="2302" w:right="532"/>
              <w:rPr>
                <w:sz w:val="20"/>
              </w:rPr>
            </w:pPr>
            <w:r>
              <w:rPr>
                <w:sz w:val="20"/>
              </w:rPr>
              <w:t>The Australian Radiation Protection and Nuclear Safety Agency Baker Heart and Diabetes Institute</w:t>
            </w:r>
          </w:p>
          <w:p>
            <w:pPr>
              <w:pStyle w:val="TableParagraph"/>
              <w:spacing w:before="1"/>
              <w:ind w:left="2302"/>
              <w:rPr>
                <w:sz w:val="20"/>
              </w:rPr>
            </w:pPr>
            <w:r>
              <w:rPr>
                <w:sz w:val="20"/>
              </w:rPr>
              <w:t>Burnet Institute</w:t>
            </w:r>
          </w:p>
          <w:p>
            <w:pPr>
              <w:pStyle w:val="TableParagraph"/>
              <w:ind w:left="2302" w:right="1254"/>
              <w:rPr>
                <w:sz w:val="20"/>
              </w:rPr>
            </w:pPr>
            <w:r>
              <w:rPr>
                <w:sz w:val="20"/>
              </w:rPr>
              <w:t>The Centre for Australian Weather and Climate Research The Centenary Institute</w:t>
            </w:r>
          </w:p>
          <w:p>
            <w:pPr>
              <w:pStyle w:val="TableParagraph"/>
              <w:spacing w:line="229" w:lineRule="exact"/>
              <w:ind w:left="2302"/>
              <w:rPr>
                <w:sz w:val="20"/>
              </w:rPr>
            </w:pPr>
            <w:r>
              <w:rPr>
                <w:sz w:val="20"/>
              </w:rPr>
              <w:t>Children’s Cancer Institute</w:t>
            </w:r>
          </w:p>
          <w:p>
            <w:pPr>
              <w:pStyle w:val="TableParagraph"/>
              <w:ind w:left="2302"/>
              <w:rPr>
                <w:sz w:val="20"/>
              </w:rPr>
            </w:pPr>
            <w:r>
              <w:rPr>
                <w:sz w:val="20"/>
              </w:rPr>
              <w:t>Children’s Medical Research Institute</w:t>
            </w:r>
          </w:p>
          <w:p>
            <w:pPr>
              <w:pStyle w:val="TableParagraph"/>
              <w:spacing w:before="1"/>
              <w:ind w:left="2302" w:right="532"/>
              <w:rPr>
                <w:sz w:val="20"/>
              </w:rPr>
            </w:pPr>
            <w:r>
              <w:rPr>
                <w:sz w:val="20"/>
              </w:rPr>
              <w:t>The Commonwealth Scientific and Industrial Research Organisation The Defence Science and Technology Organisation</w:t>
            </w:r>
          </w:p>
          <w:p>
            <w:pPr>
              <w:pStyle w:val="TableParagraph"/>
              <w:spacing w:line="229" w:lineRule="exact" w:before="1"/>
              <w:ind w:left="2302"/>
              <w:rPr>
                <w:sz w:val="20"/>
              </w:rPr>
            </w:pPr>
            <w:r>
              <w:rPr>
                <w:sz w:val="20"/>
              </w:rPr>
              <w:t>Ear Science Institute Australia</w:t>
            </w:r>
          </w:p>
          <w:p>
            <w:pPr>
              <w:pStyle w:val="TableParagraph"/>
              <w:ind w:left="2302" w:right="1636"/>
              <w:rPr>
                <w:sz w:val="20"/>
              </w:rPr>
            </w:pPr>
            <w:r>
              <w:rPr>
                <w:sz w:val="20"/>
              </w:rPr>
              <w:t>The Florey Institute of Neuroscience and Mental Health The Garvan Institute of Medical Research</w:t>
            </w:r>
          </w:p>
          <w:p>
            <w:pPr>
              <w:pStyle w:val="TableParagraph"/>
              <w:ind w:left="2302"/>
              <w:rPr>
                <w:sz w:val="20"/>
              </w:rPr>
            </w:pPr>
            <w:r>
              <w:rPr>
                <w:sz w:val="20"/>
              </w:rPr>
              <w:t>Geoscience Australia</w:t>
            </w:r>
          </w:p>
          <w:p>
            <w:pPr>
              <w:pStyle w:val="TableParagraph"/>
              <w:ind w:left="2302"/>
              <w:rPr>
                <w:sz w:val="20"/>
              </w:rPr>
            </w:pPr>
            <w:r>
              <w:rPr>
                <w:sz w:val="20"/>
              </w:rPr>
              <w:t>The Heart Research Institute</w:t>
            </w:r>
          </w:p>
          <w:p>
            <w:pPr>
              <w:pStyle w:val="TableParagraph"/>
              <w:ind w:left="2302" w:right="2504"/>
              <w:rPr>
                <w:sz w:val="20"/>
              </w:rPr>
            </w:pPr>
            <w:r>
              <w:rPr>
                <w:sz w:val="20"/>
              </w:rPr>
              <w:t>The Hudson Institute of Medical Research Ludwig Institute for Cancer Research</w:t>
            </w:r>
          </w:p>
          <w:p>
            <w:pPr>
              <w:pStyle w:val="TableParagraph"/>
              <w:ind w:left="2302" w:right="2731"/>
              <w:rPr>
                <w:sz w:val="20"/>
              </w:rPr>
            </w:pPr>
            <w:r>
              <w:rPr>
                <w:sz w:val="20"/>
              </w:rPr>
              <w:t>The Menzies School of Health Research Murdoch Children’s Research Institute The National Measurement Institute Neuroscience Research Australia</w:t>
            </w:r>
          </w:p>
          <w:p>
            <w:pPr>
              <w:pStyle w:val="TableParagraph"/>
              <w:spacing w:before="1"/>
              <w:ind w:left="2302" w:right="2031"/>
              <w:rPr>
                <w:sz w:val="20"/>
              </w:rPr>
            </w:pPr>
            <w:r>
              <w:rPr>
                <w:sz w:val="20"/>
              </w:rPr>
              <w:t>Olivia Newton John Cancer Research Institute Peter MacCallum Cancer Centre</w:t>
            </w:r>
          </w:p>
          <w:p>
            <w:pPr>
              <w:pStyle w:val="TableParagraph"/>
              <w:ind w:left="2302" w:right="2557"/>
              <w:rPr>
                <w:sz w:val="20"/>
              </w:rPr>
            </w:pPr>
            <w:r>
              <w:rPr>
                <w:sz w:val="20"/>
              </w:rPr>
              <w:t>Queensland Institute of Medical Research Sir Albert Sakzewski Virus Research Centre</w:t>
            </w:r>
          </w:p>
          <w:p>
            <w:pPr>
              <w:pStyle w:val="TableParagraph"/>
              <w:ind w:left="2302" w:right="1525"/>
              <w:rPr>
                <w:sz w:val="20"/>
              </w:rPr>
            </w:pPr>
            <w:r>
              <w:rPr>
                <w:sz w:val="20"/>
              </w:rPr>
              <w:t>South Australian Health and Medical Research Institute St Vincent's Institute of Medical Research, Melbourne</w:t>
            </w:r>
          </w:p>
          <w:p>
            <w:pPr>
              <w:pStyle w:val="TableParagraph"/>
              <w:rPr>
                <w:rFonts w:ascii="Arial"/>
                <w:b/>
                <w:sz w:val="22"/>
              </w:rPr>
            </w:pPr>
          </w:p>
          <w:p>
            <w:pPr>
              <w:pStyle w:val="TableParagraph"/>
              <w:rPr>
                <w:rFonts w:ascii="Arial"/>
                <w:b/>
                <w:sz w:val="21"/>
              </w:rPr>
            </w:pPr>
          </w:p>
          <w:p>
            <w:pPr>
              <w:pStyle w:val="TableParagraph"/>
              <w:ind w:right="129"/>
              <w:jc w:val="right"/>
              <w:rPr>
                <w:sz w:val="20"/>
              </w:rPr>
            </w:pPr>
            <w:r>
              <w:rPr>
                <w:sz w:val="20"/>
              </w:rPr>
              <w:t>(Continued)</w:t>
            </w:r>
          </w:p>
        </w:tc>
        <w:tc>
          <w:tcPr>
            <w:tcW w:w="1335" w:type="dxa"/>
            <w:tcBorders>
              <w:right w:val="nil"/>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5"/>
              <w:rPr>
                <w:rFonts w:ascii="Arial"/>
                <w:b/>
                <w:sz w:val="20"/>
              </w:rPr>
            </w:pPr>
          </w:p>
          <w:p>
            <w:pPr>
              <w:pStyle w:val="TableParagraph"/>
              <w:spacing w:before="1"/>
              <w:ind w:left="259"/>
              <w:rPr>
                <w:b/>
                <w:sz w:val="20"/>
              </w:rPr>
            </w:pPr>
            <w:r>
              <w:rPr>
                <w:b/>
                <w:sz w:val="20"/>
              </w:rPr>
              <w:t>6/3/2020</w:t>
            </w:r>
          </w:p>
        </w:tc>
      </w:tr>
    </w:tbl>
    <w:p>
      <w:pPr>
        <w:pStyle w:val="ListParagraph"/>
        <w:numPr>
          <w:ilvl w:val="1"/>
          <w:numId w:val="1"/>
        </w:numPr>
        <w:tabs>
          <w:tab w:pos="229" w:val="left" w:leader="none"/>
        </w:tabs>
        <w:spacing w:line="205" w:lineRule="exact" w:before="0" w:after="0"/>
        <w:ind w:left="9825" w:right="823" w:hanging="9826"/>
        <w:jc w:val="right"/>
        <w:rPr>
          <w:rFonts w:ascii="Arial Narrow" w:hAnsi="Arial Narrow"/>
          <w:b/>
          <w:sz w:val="20"/>
        </w:rPr>
      </w:pPr>
      <w:r>
        <w:rPr>
          <w:rFonts w:ascii="Arial Narrow" w:hAnsi="Arial Narrow"/>
          <w:b/>
          <w:sz w:val="20"/>
        </w:rPr>
        <w:t>Operative</w:t>
      </w:r>
      <w:r>
        <w:rPr>
          <w:rFonts w:ascii="Arial Narrow" w:hAnsi="Arial Narrow"/>
          <w:b/>
          <w:spacing w:val="-13"/>
          <w:sz w:val="20"/>
        </w:rPr>
        <w:t> </w:t>
      </w:r>
      <w:r>
        <w:rPr>
          <w:rFonts w:ascii="Arial Narrow" w:hAnsi="Arial Narrow"/>
          <w:b/>
          <w:sz w:val="20"/>
        </w:rPr>
        <w:t>7/3/20</w:t>
      </w:r>
    </w:p>
    <w:p>
      <w:pPr>
        <w:spacing w:after="0" w:line="205" w:lineRule="exact"/>
        <w:jc w:val="right"/>
        <w:rPr>
          <w:rFonts w:ascii="Arial Narrow" w:hAnsi="Arial Narrow"/>
          <w:sz w:val="20"/>
        </w:rPr>
        <w:sectPr>
          <w:type w:val="continuous"/>
          <w:pgSz w:w="11910" w:h="16840"/>
          <w:pgMar w:top="0" w:bottom="280" w:left="0" w:right="0"/>
        </w:sect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pStyle w:val="BodyText"/>
        <w:rPr>
          <w:rFonts w:ascii="Arial Narrow"/>
          <w:b/>
          <w:sz w:val="22"/>
        </w:rPr>
      </w:pPr>
    </w:p>
    <w:p>
      <w:pPr>
        <w:spacing w:before="188"/>
        <w:ind w:left="816" w:right="0" w:firstLine="0"/>
        <w:jc w:val="left"/>
        <w:rPr>
          <w:rFonts w:ascii="Arial"/>
          <w:b/>
          <w:sz w:val="20"/>
        </w:rPr>
      </w:pPr>
      <w:r>
        <w:rPr>
          <w:rFonts w:ascii="Arial"/>
          <w:b/>
          <w:sz w:val="20"/>
        </w:rPr>
        <w:t>Part 2/2</w:t>
      </w:r>
    </w:p>
    <w:p>
      <w:pPr>
        <w:pStyle w:val="Heading1"/>
        <w:spacing w:line="436" w:lineRule="auto" w:before="63"/>
        <w:ind w:left="793" w:right="3395"/>
      </w:pPr>
      <w:r>
        <w:rPr>
          <w:b w:val="0"/>
        </w:rPr>
        <w:br w:type="column"/>
      </w:r>
      <w:r>
        <w:rPr/>
        <w:t>SCHEDULE OF CONCESSIONAL INSTRUMENTS PART II</w:t>
      </w:r>
    </w:p>
    <w:p>
      <w:pPr>
        <w:spacing w:line="215" w:lineRule="exact" w:before="0"/>
        <w:ind w:left="797" w:right="3395" w:firstLine="0"/>
        <w:jc w:val="center"/>
        <w:rPr>
          <w:rFonts w:ascii="Arial"/>
          <w:b/>
          <w:sz w:val="24"/>
        </w:rPr>
      </w:pPr>
      <w:r>
        <w:rPr>
          <w:rFonts w:ascii="Arial"/>
          <w:b/>
          <w:sz w:val="24"/>
        </w:rPr>
        <w:t>INSTRUMENTS ISSUED TO ITEMS IN SCHEDULE 4</w:t>
      </w:r>
    </w:p>
    <w:p>
      <w:pPr>
        <w:pStyle w:val="Heading1"/>
        <w:spacing w:before="163"/>
        <w:ind w:right="3392"/>
      </w:pPr>
      <w:r>
        <w:rPr/>
        <w:t>CUSTOMS TARIFF ACT 1995</w:t>
      </w:r>
    </w:p>
    <w:p>
      <w:pPr>
        <w:spacing w:after="0"/>
        <w:sectPr>
          <w:pgSz w:w="11910" w:h="16840"/>
          <w:pgMar w:top="500" w:bottom="280" w:left="0" w:right="0"/>
          <w:cols w:num="2" w:equalWidth="0">
            <w:col w:w="1577" w:space="312"/>
            <w:col w:w="10021"/>
          </w:cols>
        </w:sect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
        <w:gridCol w:w="939"/>
        <w:gridCol w:w="6737"/>
        <w:gridCol w:w="1381"/>
      </w:tblGrid>
      <w:tr>
        <w:trPr>
          <w:trHeight w:val="690" w:hRule="atLeast"/>
        </w:trPr>
        <w:tc>
          <w:tcPr>
            <w:tcW w:w="693" w:type="dxa"/>
            <w:tcBorders>
              <w:left w:val="nil"/>
              <w:right w:val="nil"/>
            </w:tcBorders>
          </w:tcPr>
          <w:p>
            <w:pPr>
              <w:pStyle w:val="TableParagraph"/>
              <w:spacing w:before="54"/>
              <w:ind w:left="220"/>
              <w:rPr>
                <w:rFonts w:ascii="Arial Narrow"/>
                <w:b/>
                <w:sz w:val="20"/>
              </w:rPr>
            </w:pPr>
            <w:r>
              <w:rPr>
                <w:rFonts w:ascii="Arial Narrow"/>
                <w:b/>
                <w:sz w:val="20"/>
              </w:rPr>
              <w:t>Item</w:t>
            </w:r>
          </w:p>
        </w:tc>
        <w:tc>
          <w:tcPr>
            <w:tcW w:w="939" w:type="dxa"/>
            <w:tcBorders>
              <w:left w:val="nil"/>
              <w:right w:val="nil"/>
            </w:tcBorders>
          </w:tcPr>
          <w:p>
            <w:pPr>
              <w:pStyle w:val="TableParagraph"/>
              <w:spacing w:before="54"/>
              <w:ind w:left="353" w:right="169" w:hanging="132"/>
              <w:rPr>
                <w:rFonts w:ascii="Arial Narrow"/>
                <w:b/>
                <w:sz w:val="20"/>
              </w:rPr>
            </w:pPr>
            <w:r>
              <w:rPr>
                <w:rFonts w:ascii="Arial Narrow"/>
                <w:b/>
                <w:sz w:val="20"/>
              </w:rPr>
              <w:t>By-law No.</w:t>
            </w:r>
          </w:p>
        </w:tc>
        <w:tc>
          <w:tcPr>
            <w:tcW w:w="6737" w:type="dxa"/>
            <w:tcBorders>
              <w:left w:val="nil"/>
            </w:tcBorders>
          </w:tcPr>
          <w:p>
            <w:pPr>
              <w:pStyle w:val="TableParagraph"/>
              <w:spacing w:before="54"/>
              <w:ind w:left="2537" w:right="2487"/>
              <w:jc w:val="center"/>
              <w:rPr>
                <w:rFonts w:ascii="Arial Narrow"/>
                <w:b/>
                <w:sz w:val="20"/>
              </w:rPr>
            </w:pPr>
            <w:r>
              <w:rPr>
                <w:rFonts w:ascii="Arial Narrow"/>
                <w:b/>
                <w:sz w:val="20"/>
              </w:rPr>
              <w:t>Description of Goods</w:t>
            </w:r>
          </w:p>
        </w:tc>
        <w:tc>
          <w:tcPr>
            <w:tcW w:w="1381" w:type="dxa"/>
            <w:tcBorders>
              <w:right w:val="nil"/>
            </w:tcBorders>
          </w:tcPr>
          <w:p>
            <w:pPr>
              <w:pStyle w:val="TableParagraph"/>
              <w:spacing w:line="302" w:lineRule="auto" w:before="54"/>
              <w:ind w:left="318" w:right="292" w:hanging="56"/>
              <w:rPr>
                <w:rFonts w:ascii="Arial Narrow"/>
                <w:b/>
                <w:sz w:val="20"/>
              </w:rPr>
            </w:pPr>
            <w:r>
              <w:rPr>
                <w:rFonts w:ascii="Arial Narrow"/>
                <w:b/>
                <w:sz w:val="20"/>
              </w:rPr>
              <w:t>Start date/ End date</w:t>
            </w:r>
          </w:p>
        </w:tc>
      </w:tr>
      <w:tr>
        <w:trPr>
          <w:trHeight w:val="12310" w:hRule="atLeast"/>
        </w:trPr>
        <w:tc>
          <w:tcPr>
            <w:tcW w:w="693" w:type="dxa"/>
            <w:tcBorders>
              <w:left w:val="nil"/>
              <w:right w:val="nil"/>
            </w:tcBorders>
          </w:tcPr>
          <w:p>
            <w:pPr>
              <w:pStyle w:val="TableParagraph"/>
              <w:spacing w:before="5"/>
              <w:rPr>
                <w:rFonts w:ascii="Arial"/>
                <w:b/>
                <w:sz w:val="19"/>
              </w:rPr>
            </w:pPr>
          </w:p>
          <w:p>
            <w:pPr>
              <w:pStyle w:val="TableParagraph"/>
              <w:numPr>
                <w:ilvl w:val="0"/>
                <w:numId w:val="3"/>
              </w:numPr>
              <w:tabs>
                <w:tab w:pos="288" w:val="left" w:leader="none"/>
              </w:tabs>
              <w:spacing w:line="240" w:lineRule="auto" w:before="0" w:after="0"/>
              <w:ind w:left="288" w:right="0" w:hanging="284"/>
              <w:jc w:val="left"/>
              <w:rPr>
                <w:sz w:val="20"/>
              </w:rPr>
            </w:pPr>
            <w:r>
              <w:rPr>
                <w:b/>
                <w:w w:val="99"/>
                <w:sz w:val="20"/>
              </w:rPr>
              <w:t>1</w:t>
            </w:r>
            <w:r>
              <w:rPr>
                <w:sz w:val="20"/>
              </w:rPr>
            </w:r>
          </w:p>
        </w:tc>
        <w:tc>
          <w:tcPr>
            <w:tcW w:w="939" w:type="dxa"/>
            <w:tcBorders>
              <w:left w:val="nil"/>
              <w:right w:val="nil"/>
            </w:tcBorders>
          </w:tcPr>
          <w:p>
            <w:pPr>
              <w:pStyle w:val="TableParagraph"/>
              <w:spacing w:before="8"/>
              <w:rPr>
                <w:rFonts w:ascii="Arial"/>
                <w:b/>
                <w:sz w:val="19"/>
              </w:rPr>
            </w:pPr>
          </w:p>
          <w:p>
            <w:pPr>
              <w:pStyle w:val="TableParagraph"/>
              <w:spacing w:line="227" w:lineRule="exact"/>
              <w:ind w:left="145"/>
              <w:rPr>
                <w:b/>
                <w:sz w:val="20"/>
              </w:rPr>
            </w:pPr>
            <w:r>
              <w:rPr>
                <w:b/>
                <w:sz w:val="20"/>
              </w:rPr>
              <w:t>2000668</w:t>
            </w:r>
          </w:p>
          <w:p>
            <w:pPr>
              <w:pStyle w:val="TableParagraph"/>
              <w:spacing w:line="227" w:lineRule="exact"/>
              <w:ind w:left="145"/>
              <w:rPr>
                <w:sz w:val="20"/>
              </w:rPr>
            </w:pPr>
            <w:r>
              <w:rPr>
                <w:sz w:val="20"/>
              </w:rPr>
              <w:t>(Cont.)</w:t>
            </w:r>
          </w:p>
        </w:tc>
        <w:tc>
          <w:tcPr>
            <w:tcW w:w="6737" w:type="dxa"/>
            <w:tcBorders>
              <w:left w:val="nil"/>
            </w:tcBorders>
          </w:tcPr>
          <w:p>
            <w:pPr>
              <w:pStyle w:val="TableParagraph"/>
              <w:spacing w:line="458" w:lineRule="exact" w:before="42"/>
              <w:ind w:left="667" w:right="4146"/>
              <w:rPr>
                <w:sz w:val="20"/>
              </w:rPr>
            </w:pPr>
            <w:r>
              <w:rPr>
                <w:sz w:val="20"/>
              </w:rPr>
              <w:t>Table A (cont.) Telethon Kids Institute</w:t>
            </w:r>
          </w:p>
          <w:p>
            <w:pPr>
              <w:pStyle w:val="TableParagraph"/>
              <w:spacing w:line="182" w:lineRule="exact"/>
              <w:ind w:left="667"/>
              <w:rPr>
                <w:sz w:val="20"/>
              </w:rPr>
            </w:pPr>
            <w:r>
              <w:rPr>
                <w:sz w:val="20"/>
              </w:rPr>
              <w:t>Translational Research Institute</w:t>
            </w:r>
          </w:p>
          <w:p>
            <w:pPr>
              <w:pStyle w:val="TableParagraph"/>
              <w:ind w:left="667" w:right="1916"/>
              <w:rPr>
                <w:sz w:val="20"/>
              </w:rPr>
            </w:pPr>
            <w:r>
              <w:rPr>
                <w:sz w:val="20"/>
              </w:rPr>
              <w:t>The Victor Chang Cardiac Research Institute Walter and Eliza Hall Institute of Medical</w:t>
            </w:r>
            <w:r>
              <w:rPr>
                <w:spacing w:val="-13"/>
                <w:sz w:val="20"/>
              </w:rPr>
              <w:t> </w:t>
            </w:r>
            <w:r>
              <w:rPr>
                <w:sz w:val="20"/>
              </w:rPr>
              <w:t>Research The Woolcock</w:t>
            </w:r>
            <w:r>
              <w:rPr>
                <w:spacing w:val="-2"/>
                <w:sz w:val="20"/>
              </w:rPr>
              <w:t> </w:t>
            </w:r>
            <w:r>
              <w:rPr>
                <w:sz w:val="20"/>
              </w:rPr>
              <w:t>Institute.</w:t>
            </w:r>
          </w:p>
          <w:p>
            <w:pPr>
              <w:pStyle w:val="TableParagraph"/>
              <w:spacing w:before="11"/>
              <w:rPr>
                <w:rFonts w:ascii="Arial"/>
                <w:b/>
                <w:sz w:val="19"/>
              </w:rPr>
            </w:pPr>
          </w:p>
          <w:p>
            <w:pPr>
              <w:pStyle w:val="TableParagraph"/>
              <w:numPr>
                <w:ilvl w:val="0"/>
                <w:numId w:val="4"/>
              </w:numPr>
              <w:tabs>
                <w:tab w:pos="667" w:val="left" w:leader="none"/>
                <w:tab w:pos="668" w:val="left" w:leader="none"/>
              </w:tabs>
              <w:spacing w:line="240" w:lineRule="auto" w:before="0" w:after="0"/>
              <w:ind w:left="667" w:right="228" w:hanging="567"/>
              <w:jc w:val="left"/>
              <w:rPr>
                <w:sz w:val="20"/>
              </w:rPr>
            </w:pPr>
            <w:r>
              <w:rPr>
                <w:sz w:val="20"/>
              </w:rPr>
              <w:t>For the purposes of paragraph (a) of item 1 of Schedule 4 to the </w:t>
            </w:r>
            <w:r>
              <w:rPr>
                <w:i/>
                <w:sz w:val="20"/>
              </w:rPr>
              <w:t>Customs Tariff Act 1995</w:t>
            </w:r>
            <w:r>
              <w:rPr>
                <w:sz w:val="20"/>
              </w:rPr>
              <w:t>, scientific instruments or apparatus consigned to the following are</w:t>
            </w:r>
            <w:r>
              <w:rPr>
                <w:spacing w:val="-2"/>
                <w:sz w:val="20"/>
              </w:rPr>
              <w:t> </w:t>
            </w:r>
            <w:r>
              <w:rPr>
                <w:sz w:val="20"/>
              </w:rPr>
              <w:t>prescribed:</w:t>
            </w:r>
          </w:p>
          <w:p>
            <w:pPr>
              <w:pStyle w:val="TableParagraph"/>
              <w:spacing w:before="2"/>
              <w:rPr>
                <w:rFonts w:ascii="Arial"/>
                <w:b/>
                <w:sz w:val="20"/>
              </w:rPr>
            </w:pPr>
          </w:p>
          <w:p>
            <w:pPr>
              <w:pStyle w:val="TableParagraph"/>
              <w:numPr>
                <w:ilvl w:val="1"/>
                <w:numId w:val="4"/>
              </w:numPr>
              <w:tabs>
                <w:tab w:pos="1234" w:val="left" w:leader="none"/>
                <w:tab w:pos="1235" w:val="left" w:leader="none"/>
              </w:tabs>
              <w:spacing w:line="240" w:lineRule="auto" w:before="0" w:after="0"/>
              <w:ind w:left="1234" w:right="630" w:hanging="567"/>
              <w:jc w:val="left"/>
              <w:rPr>
                <w:sz w:val="20"/>
              </w:rPr>
            </w:pPr>
            <w:r>
              <w:rPr>
                <w:sz w:val="20"/>
              </w:rPr>
              <w:t>higher education providers within the meaning of the </w:t>
            </w:r>
            <w:r>
              <w:rPr>
                <w:i/>
                <w:sz w:val="20"/>
              </w:rPr>
              <w:t>Higher Education Support Act</w:t>
            </w:r>
            <w:r>
              <w:rPr>
                <w:i/>
                <w:spacing w:val="-2"/>
                <w:sz w:val="20"/>
              </w:rPr>
              <w:t> </w:t>
            </w:r>
            <w:r>
              <w:rPr>
                <w:i/>
                <w:sz w:val="20"/>
              </w:rPr>
              <w:t>2003</w:t>
            </w:r>
            <w:r>
              <w:rPr>
                <w:sz w:val="20"/>
              </w:rPr>
              <w:t>;</w:t>
            </w:r>
          </w:p>
          <w:p>
            <w:pPr>
              <w:pStyle w:val="TableParagraph"/>
              <w:spacing w:before="11"/>
              <w:rPr>
                <w:rFonts w:ascii="Arial"/>
                <w:b/>
                <w:sz w:val="19"/>
              </w:rPr>
            </w:pPr>
          </w:p>
          <w:p>
            <w:pPr>
              <w:pStyle w:val="TableParagraph"/>
              <w:numPr>
                <w:ilvl w:val="1"/>
                <w:numId w:val="4"/>
              </w:numPr>
              <w:tabs>
                <w:tab w:pos="1234" w:val="left" w:leader="none"/>
                <w:tab w:pos="1235" w:val="left" w:leader="none"/>
              </w:tabs>
              <w:spacing w:line="240" w:lineRule="auto" w:before="0" w:after="0"/>
              <w:ind w:left="1234" w:right="380" w:hanging="567"/>
              <w:jc w:val="left"/>
              <w:rPr>
                <w:sz w:val="20"/>
              </w:rPr>
            </w:pPr>
            <w:r>
              <w:rPr>
                <w:sz w:val="20"/>
              </w:rPr>
              <w:t>all registered training organisations as listed on the National Register under the </w:t>
            </w:r>
            <w:r>
              <w:rPr>
                <w:i/>
                <w:sz w:val="20"/>
              </w:rPr>
              <w:t>National Vocational Education and</w:t>
            </w:r>
            <w:r>
              <w:rPr>
                <w:i/>
                <w:spacing w:val="-12"/>
                <w:sz w:val="20"/>
              </w:rPr>
              <w:t> </w:t>
            </w:r>
            <w:r>
              <w:rPr>
                <w:i/>
                <w:sz w:val="20"/>
              </w:rPr>
              <w:t>Training Regulator Act</w:t>
            </w:r>
            <w:r>
              <w:rPr>
                <w:i/>
                <w:spacing w:val="-2"/>
                <w:sz w:val="20"/>
              </w:rPr>
              <w:t> </w:t>
            </w:r>
            <w:r>
              <w:rPr>
                <w:i/>
                <w:sz w:val="20"/>
              </w:rPr>
              <w:t>2011</w:t>
            </w:r>
            <w:r>
              <w:rPr>
                <w:sz w:val="20"/>
              </w:rPr>
              <w:t>;</w:t>
            </w:r>
          </w:p>
          <w:p>
            <w:pPr>
              <w:pStyle w:val="TableParagraph"/>
              <w:spacing w:before="10"/>
              <w:rPr>
                <w:rFonts w:ascii="Arial"/>
                <w:b/>
                <w:sz w:val="19"/>
              </w:rPr>
            </w:pPr>
          </w:p>
          <w:p>
            <w:pPr>
              <w:pStyle w:val="TableParagraph"/>
              <w:numPr>
                <w:ilvl w:val="1"/>
                <w:numId w:val="4"/>
              </w:numPr>
              <w:tabs>
                <w:tab w:pos="1234" w:val="left" w:leader="none"/>
                <w:tab w:pos="1235" w:val="left" w:leader="none"/>
              </w:tabs>
              <w:spacing w:line="240" w:lineRule="auto" w:before="0" w:after="0"/>
              <w:ind w:left="1234" w:right="905" w:hanging="567"/>
              <w:jc w:val="left"/>
              <w:rPr>
                <w:sz w:val="20"/>
              </w:rPr>
            </w:pPr>
            <w:r>
              <w:rPr>
                <w:sz w:val="20"/>
              </w:rPr>
              <w:t>schools directly or indirectly funded under the</w:t>
            </w:r>
            <w:r>
              <w:rPr>
                <w:spacing w:val="-17"/>
                <w:sz w:val="20"/>
              </w:rPr>
              <w:t> </w:t>
            </w:r>
            <w:r>
              <w:rPr>
                <w:i/>
                <w:sz w:val="20"/>
              </w:rPr>
              <w:t>Australian Education Act 2013</w:t>
            </w:r>
            <w:r>
              <w:rPr>
                <w:sz w:val="20"/>
              </w:rPr>
              <w:t>;</w:t>
            </w:r>
            <w:r>
              <w:rPr>
                <w:spacing w:val="-3"/>
                <w:sz w:val="20"/>
              </w:rPr>
              <w:t> </w:t>
            </w:r>
            <w:r>
              <w:rPr>
                <w:sz w:val="20"/>
              </w:rPr>
              <w:t>or</w:t>
            </w:r>
          </w:p>
          <w:p>
            <w:pPr>
              <w:pStyle w:val="TableParagraph"/>
              <w:spacing w:before="2"/>
              <w:rPr>
                <w:rFonts w:ascii="Arial"/>
                <w:b/>
                <w:sz w:val="20"/>
              </w:rPr>
            </w:pPr>
          </w:p>
          <w:p>
            <w:pPr>
              <w:pStyle w:val="TableParagraph"/>
              <w:numPr>
                <w:ilvl w:val="1"/>
                <w:numId w:val="4"/>
              </w:numPr>
              <w:tabs>
                <w:tab w:pos="1234" w:val="left" w:leader="none"/>
                <w:tab w:pos="1235" w:val="left" w:leader="none"/>
              </w:tabs>
              <w:spacing w:line="240" w:lineRule="auto" w:before="0" w:after="0"/>
              <w:ind w:left="1234" w:right="117" w:hanging="567"/>
              <w:jc w:val="left"/>
              <w:rPr>
                <w:sz w:val="20"/>
              </w:rPr>
            </w:pPr>
            <w:r>
              <w:rPr>
                <w:sz w:val="20"/>
              </w:rPr>
              <w:t>similar scientific, medical research or education institutions or organisations approved by the Minister for Industry, Science and Technology and, where applicable, the Minister for Health (for medical research related institutions or organisations) or the Minister for Education (for education institutions or</w:t>
            </w:r>
            <w:r>
              <w:rPr>
                <w:spacing w:val="-26"/>
                <w:sz w:val="20"/>
              </w:rPr>
              <w:t> </w:t>
            </w:r>
            <w:r>
              <w:rPr>
                <w:sz w:val="20"/>
              </w:rPr>
              <w:t>organisations).</w:t>
            </w:r>
          </w:p>
          <w:p>
            <w:pPr>
              <w:pStyle w:val="TableParagraph"/>
              <w:spacing w:before="4"/>
              <w:rPr>
                <w:rFonts w:ascii="Arial"/>
                <w:b/>
                <w:sz w:val="24"/>
              </w:rPr>
            </w:pPr>
          </w:p>
          <w:p>
            <w:pPr>
              <w:pStyle w:val="TableParagraph"/>
              <w:numPr>
                <w:ilvl w:val="0"/>
                <w:numId w:val="4"/>
              </w:numPr>
              <w:tabs>
                <w:tab w:pos="667" w:val="left" w:leader="none"/>
                <w:tab w:pos="668" w:val="left" w:leader="none"/>
              </w:tabs>
              <w:spacing w:line="292" w:lineRule="auto" w:before="1" w:after="0"/>
              <w:ind w:left="667" w:right="136" w:hanging="567"/>
              <w:jc w:val="left"/>
              <w:rPr>
                <w:sz w:val="20"/>
              </w:rPr>
            </w:pPr>
            <w:r>
              <w:rPr>
                <w:sz w:val="20"/>
              </w:rPr>
              <w:t>For the purposes of paragraph (a) of item 1 of Schedule 4 to the Customs Tariff Act, spare parts, components or accessories specially designed for use with the scientific instruments or apparatus prescribed in paragraphs</w:t>
            </w:r>
            <w:r>
              <w:rPr>
                <w:spacing w:val="-24"/>
                <w:sz w:val="20"/>
              </w:rPr>
              <w:t> </w:t>
            </w:r>
            <w:r>
              <w:rPr>
                <w:sz w:val="20"/>
              </w:rPr>
              <w:t>2 and 3 above are</w:t>
            </w:r>
            <w:r>
              <w:rPr>
                <w:spacing w:val="1"/>
                <w:sz w:val="20"/>
              </w:rPr>
              <w:t> </w:t>
            </w:r>
            <w:r>
              <w:rPr>
                <w:sz w:val="20"/>
              </w:rPr>
              <w:t>prescribed.</w:t>
            </w:r>
          </w:p>
          <w:p>
            <w:pPr>
              <w:pStyle w:val="TableParagraph"/>
              <w:rPr>
                <w:rFonts w:ascii="Arial"/>
                <w:b/>
                <w:sz w:val="24"/>
              </w:rPr>
            </w:pPr>
          </w:p>
          <w:p>
            <w:pPr>
              <w:pStyle w:val="TableParagraph"/>
              <w:numPr>
                <w:ilvl w:val="0"/>
                <w:numId w:val="4"/>
              </w:numPr>
              <w:tabs>
                <w:tab w:pos="667" w:val="left" w:leader="none"/>
                <w:tab w:pos="668" w:val="left" w:leader="none"/>
              </w:tabs>
              <w:spacing w:line="292" w:lineRule="auto" w:before="1" w:after="0"/>
              <w:ind w:left="667" w:right="51" w:hanging="567"/>
              <w:jc w:val="left"/>
              <w:rPr>
                <w:sz w:val="20"/>
              </w:rPr>
            </w:pPr>
            <w:r>
              <w:rPr>
                <w:sz w:val="20"/>
              </w:rPr>
              <w:t>For the purposes of paragraph (a) of item 1 of Schedule 4 to the Customs Tariff Act, tools specially designed for the maintenance, checking,</w:t>
            </w:r>
            <w:r>
              <w:rPr>
                <w:spacing w:val="-29"/>
                <w:sz w:val="20"/>
              </w:rPr>
              <w:t> </w:t>
            </w:r>
            <w:r>
              <w:rPr>
                <w:sz w:val="20"/>
              </w:rPr>
              <w:t>gauging or repair of scientific instruments or apparatus prescribed in paragraphs 2 and 3 above are</w:t>
            </w:r>
            <w:r>
              <w:rPr>
                <w:spacing w:val="1"/>
                <w:sz w:val="20"/>
              </w:rPr>
              <w:t> </w:t>
            </w:r>
            <w:r>
              <w:rPr>
                <w:sz w:val="20"/>
              </w:rPr>
              <w:t>prescribed.</w:t>
            </w:r>
          </w:p>
          <w:p>
            <w:pPr>
              <w:pStyle w:val="TableParagraph"/>
              <w:rPr>
                <w:rFonts w:ascii="Arial"/>
                <w:b/>
                <w:sz w:val="24"/>
              </w:rPr>
            </w:pPr>
          </w:p>
          <w:p>
            <w:pPr>
              <w:pStyle w:val="TableParagraph"/>
              <w:numPr>
                <w:ilvl w:val="0"/>
                <w:numId w:val="4"/>
              </w:numPr>
              <w:tabs>
                <w:tab w:pos="667" w:val="left" w:leader="none"/>
                <w:tab w:pos="668" w:val="left" w:leader="none"/>
              </w:tabs>
              <w:spacing w:line="292" w:lineRule="auto" w:before="0" w:after="0"/>
              <w:ind w:left="667" w:right="251" w:hanging="567"/>
              <w:jc w:val="left"/>
              <w:rPr>
                <w:sz w:val="20"/>
              </w:rPr>
            </w:pPr>
            <w:r>
              <w:rPr>
                <w:sz w:val="20"/>
              </w:rPr>
              <w:t>In this by-law, the “Customs Tariff Act 1995” means the Customs Tariff Act 1995, as amended or proposed to be</w:t>
            </w:r>
            <w:r>
              <w:rPr>
                <w:spacing w:val="-1"/>
                <w:sz w:val="20"/>
              </w:rPr>
              <w:t> </w:t>
            </w:r>
            <w:r>
              <w:rPr>
                <w:sz w:val="20"/>
              </w:rPr>
              <w:t>altered.</w:t>
            </w:r>
          </w:p>
        </w:tc>
        <w:tc>
          <w:tcPr>
            <w:tcW w:w="1381" w:type="dxa"/>
            <w:tcBorders>
              <w:right w:val="nil"/>
            </w:tcBorders>
          </w:tcPr>
          <w:p>
            <w:pPr>
              <w:pStyle w:val="TableParagraph"/>
              <w:rPr>
                <w:sz w:val="20"/>
              </w:rPr>
            </w:pPr>
          </w:p>
        </w:tc>
      </w:tr>
    </w:tbl>
    <w:p>
      <w:pPr>
        <w:pStyle w:val="ListParagraph"/>
        <w:numPr>
          <w:ilvl w:val="0"/>
          <w:numId w:val="5"/>
        </w:numPr>
        <w:tabs>
          <w:tab w:pos="228" w:val="left" w:leader="none"/>
        </w:tabs>
        <w:spacing w:line="223" w:lineRule="exact" w:before="0" w:after="0"/>
        <w:ind w:left="9093" w:right="1555" w:hanging="9094"/>
        <w:jc w:val="right"/>
        <w:rPr>
          <w:rFonts w:ascii="Arial Narrow" w:hAnsi="Arial Narrow"/>
          <w:b/>
          <w:sz w:val="20"/>
        </w:rPr>
      </w:pPr>
      <w:r>
        <w:rPr>
          <w:rFonts w:ascii="Arial Narrow" w:hAnsi="Arial Narrow"/>
          <w:b/>
          <w:sz w:val="20"/>
        </w:rPr>
        <w:t>Operative</w:t>
      </w:r>
      <w:r>
        <w:rPr>
          <w:rFonts w:ascii="Arial Narrow" w:hAnsi="Arial Narrow"/>
          <w:b/>
          <w:spacing w:val="-13"/>
          <w:sz w:val="20"/>
        </w:rPr>
        <w:t> </w:t>
      </w:r>
      <w:r>
        <w:rPr>
          <w:rFonts w:ascii="Arial Narrow" w:hAnsi="Arial Narrow"/>
          <w:b/>
          <w:sz w:val="20"/>
        </w:rPr>
        <w:t>7/3/20</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Arial-BoldItalicMT">
    <w:altName w:val="Arial-BoldItalicMT"/>
    <w:charset w:val="0"/>
    <w:family w:val="swiss"/>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9093" w:hanging="228"/>
      </w:pPr>
      <w:rPr>
        <w:rFonts w:hint="default" w:ascii="Wingdings" w:hAnsi="Wingdings" w:eastAsia="Wingdings" w:cs="Wingdings"/>
        <w:w w:val="99"/>
        <w:sz w:val="20"/>
        <w:szCs w:val="20"/>
        <w:lang w:val="en-au" w:eastAsia="en-US" w:bidi="ar-SA"/>
      </w:rPr>
    </w:lvl>
    <w:lvl w:ilvl="1">
      <w:start w:val="0"/>
      <w:numFmt w:val="bullet"/>
      <w:lvlText w:val="•"/>
      <w:lvlJc w:val="left"/>
      <w:pPr>
        <w:ind w:left="9380" w:hanging="228"/>
      </w:pPr>
      <w:rPr>
        <w:rFonts w:hint="default"/>
        <w:lang w:val="en-au" w:eastAsia="en-US" w:bidi="ar-SA"/>
      </w:rPr>
    </w:lvl>
    <w:lvl w:ilvl="2">
      <w:start w:val="0"/>
      <w:numFmt w:val="bullet"/>
      <w:lvlText w:val="•"/>
      <w:lvlJc w:val="left"/>
      <w:pPr>
        <w:ind w:left="9661" w:hanging="228"/>
      </w:pPr>
      <w:rPr>
        <w:rFonts w:hint="default"/>
        <w:lang w:val="en-au" w:eastAsia="en-US" w:bidi="ar-SA"/>
      </w:rPr>
    </w:lvl>
    <w:lvl w:ilvl="3">
      <w:start w:val="0"/>
      <w:numFmt w:val="bullet"/>
      <w:lvlText w:val="•"/>
      <w:lvlJc w:val="left"/>
      <w:pPr>
        <w:ind w:left="9941" w:hanging="228"/>
      </w:pPr>
      <w:rPr>
        <w:rFonts w:hint="default"/>
        <w:lang w:val="en-au" w:eastAsia="en-US" w:bidi="ar-SA"/>
      </w:rPr>
    </w:lvl>
    <w:lvl w:ilvl="4">
      <w:start w:val="0"/>
      <w:numFmt w:val="bullet"/>
      <w:lvlText w:val="•"/>
      <w:lvlJc w:val="left"/>
      <w:pPr>
        <w:ind w:left="10222" w:hanging="228"/>
      </w:pPr>
      <w:rPr>
        <w:rFonts w:hint="default"/>
        <w:lang w:val="en-au" w:eastAsia="en-US" w:bidi="ar-SA"/>
      </w:rPr>
    </w:lvl>
    <w:lvl w:ilvl="5">
      <w:start w:val="0"/>
      <w:numFmt w:val="bullet"/>
      <w:lvlText w:val="•"/>
      <w:lvlJc w:val="left"/>
      <w:pPr>
        <w:ind w:left="10503" w:hanging="228"/>
      </w:pPr>
      <w:rPr>
        <w:rFonts w:hint="default"/>
        <w:lang w:val="en-au" w:eastAsia="en-US" w:bidi="ar-SA"/>
      </w:rPr>
    </w:lvl>
    <w:lvl w:ilvl="6">
      <w:start w:val="0"/>
      <w:numFmt w:val="bullet"/>
      <w:lvlText w:val="•"/>
      <w:lvlJc w:val="left"/>
      <w:pPr>
        <w:ind w:left="10783" w:hanging="228"/>
      </w:pPr>
      <w:rPr>
        <w:rFonts w:hint="default"/>
        <w:lang w:val="en-au" w:eastAsia="en-US" w:bidi="ar-SA"/>
      </w:rPr>
    </w:lvl>
    <w:lvl w:ilvl="7">
      <w:start w:val="0"/>
      <w:numFmt w:val="bullet"/>
      <w:lvlText w:val="•"/>
      <w:lvlJc w:val="left"/>
      <w:pPr>
        <w:ind w:left="11064" w:hanging="228"/>
      </w:pPr>
      <w:rPr>
        <w:rFonts w:hint="default"/>
        <w:lang w:val="en-au" w:eastAsia="en-US" w:bidi="ar-SA"/>
      </w:rPr>
    </w:lvl>
    <w:lvl w:ilvl="8">
      <w:start w:val="0"/>
      <w:numFmt w:val="bullet"/>
      <w:lvlText w:val="•"/>
      <w:lvlJc w:val="left"/>
      <w:pPr>
        <w:ind w:left="11345" w:hanging="228"/>
      </w:pPr>
      <w:rPr>
        <w:rFonts w:hint="default"/>
        <w:lang w:val="en-au" w:eastAsia="en-US" w:bidi="ar-SA"/>
      </w:rPr>
    </w:lvl>
  </w:abstractNum>
  <w:abstractNum w:abstractNumId="3">
    <w:multiLevelType w:val="hybridMultilevel"/>
    <w:lvl w:ilvl="0">
      <w:start w:val="3"/>
      <w:numFmt w:val="decimal"/>
      <w:lvlText w:val="%1."/>
      <w:lvlJc w:val="left"/>
      <w:pPr>
        <w:ind w:left="667" w:hanging="567"/>
        <w:jc w:val="left"/>
      </w:pPr>
      <w:rPr>
        <w:rFonts w:hint="default" w:ascii="Times New Roman" w:hAnsi="Times New Roman" w:eastAsia="Times New Roman" w:cs="Times New Roman"/>
        <w:spacing w:val="0"/>
        <w:w w:val="99"/>
        <w:sz w:val="20"/>
        <w:szCs w:val="20"/>
        <w:lang w:val="en-au" w:eastAsia="en-US" w:bidi="ar-SA"/>
      </w:rPr>
    </w:lvl>
    <w:lvl w:ilvl="1">
      <w:start w:val="1"/>
      <w:numFmt w:val="lowerLetter"/>
      <w:lvlText w:val="(%2)"/>
      <w:lvlJc w:val="left"/>
      <w:pPr>
        <w:ind w:left="1234" w:hanging="567"/>
        <w:jc w:val="left"/>
      </w:pPr>
      <w:rPr>
        <w:rFonts w:hint="default" w:ascii="Times New Roman" w:hAnsi="Times New Roman" w:eastAsia="Times New Roman" w:cs="Times New Roman"/>
        <w:w w:val="99"/>
        <w:sz w:val="20"/>
        <w:szCs w:val="20"/>
        <w:lang w:val="en-au" w:eastAsia="en-US" w:bidi="ar-SA"/>
      </w:rPr>
    </w:lvl>
    <w:lvl w:ilvl="2">
      <w:start w:val="0"/>
      <w:numFmt w:val="bullet"/>
      <w:lvlText w:val="•"/>
      <w:lvlJc w:val="left"/>
      <w:pPr>
        <w:ind w:left="1850" w:hanging="567"/>
      </w:pPr>
      <w:rPr>
        <w:rFonts w:hint="default"/>
        <w:lang w:val="en-au" w:eastAsia="en-US" w:bidi="ar-SA"/>
      </w:rPr>
    </w:lvl>
    <w:lvl w:ilvl="3">
      <w:start w:val="0"/>
      <w:numFmt w:val="bullet"/>
      <w:lvlText w:val="•"/>
      <w:lvlJc w:val="left"/>
      <w:pPr>
        <w:ind w:left="2460" w:hanging="567"/>
      </w:pPr>
      <w:rPr>
        <w:rFonts w:hint="default"/>
        <w:lang w:val="en-au" w:eastAsia="en-US" w:bidi="ar-SA"/>
      </w:rPr>
    </w:lvl>
    <w:lvl w:ilvl="4">
      <w:start w:val="0"/>
      <w:numFmt w:val="bullet"/>
      <w:lvlText w:val="•"/>
      <w:lvlJc w:val="left"/>
      <w:pPr>
        <w:ind w:left="3070" w:hanging="567"/>
      </w:pPr>
      <w:rPr>
        <w:rFonts w:hint="default"/>
        <w:lang w:val="en-au" w:eastAsia="en-US" w:bidi="ar-SA"/>
      </w:rPr>
    </w:lvl>
    <w:lvl w:ilvl="5">
      <w:start w:val="0"/>
      <w:numFmt w:val="bullet"/>
      <w:lvlText w:val="•"/>
      <w:lvlJc w:val="left"/>
      <w:pPr>
        <w:ind w:left="3680" w:hanging="567"/>
      </w:pPr>
      <w:rPr>
        <w:rFonts w:hint="default"/>
        <w:lang w:val="en-au" w:eastAsia="en-US" w:bidi="ar-SA"/>
      </w:rPr>
    </w:lvl>
    <w:lvl w:ilvl="6">
      <w:start w:val="0"/>
      <w:numFmt w:val="bullet"/>
      <w:lvlText w:val="•"/>
      <w:lvlJc w:val="left"/>
      <w:pPr>
        <w:ind w:left="4291" w:hanging="567"/>
      </w:pPr>
      <w:rPr>
        <w:rFonts w:hint="default"/>
        <w:lang w:val="en-au" w:eastAsia="en-US" w:bidi="ar-SA"/>
      </w:rPr>
    </w:lvl>
    <w:lvl w:ilvl="7">
      <w:start w:val="0"/>
      <w:numFmt w:val="bullet"/>
      <w:lvlText w:val="•"/>
      <w:lvlJc w:val="left"/>
      <w:pPr>
        <w:ind w:left="4901" w:hanging="567"/>
      </w:pPr>
      <w:rPr>
        <w:rFonts w:hint="default"/>
        <w:lang w:val="en-au" w:eastAsia="en-US" w:bidi="ar-SA"/>
      </w:rPr>
    </w:lvl>
    <w:lvl w:ilvl="8">
      <w:start w:val="0"/>
      <w:numFmt w:val="bullet"/>
      <w:lvlText w:val="•"/>
      <w:lvlJc w:val="left"/>
      <w:pPr>
        <w:ind w:left="5511" w:hanging="567"/>
      </w:pPr>
      <w:rPr>
        <w:rFonts w:hint="default"/>
        <w:lang w:val="en-au" w:eastAsia="en-US" w:bidi="ar-SA"/>
      </w:rPr>
    </w:lvl>
  </w:abstractNum>
  <w:abstractNum w:abstractNumId="2">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au" w:eastAsia="en-US" w:bidi="ar-SA"/>
      </w:rPr>
    </w:lvl>
    <w:lvl w:ilvl="1">
      <w:start w:val="0"/>
      <w:numFmt w:val="bullet"/>
      <w:lvlText w:val="•"/>
      <w:lvlJc w:val="left"/>
      <w:pPr>
        <w:ind w:left="321" w:hanging="284"/>
      </w:pPr>
      <w:rPr>
        <w:rFonts w:hint="default"/>
        <w:lang w:val="en-au" w:eastAsia="en-US" w:bidi="ar-SA"/>
      </w:rPr>
    </w:lvl>
    <w:lvl w:ilvl="2">
      <w:start w:val="0"/>
      <w:numFmt w:val="bullet"/>
      <w:lvlText w:val="•"/>
      <w:lvlJc w:val="left"/>
      <w:pPr>
        <w:ind w:left="362" w:hanging="284"/>
      </w:pPr>
      <w:rPr>
        <w:rFonts w:hint="default"/>
        <w:lang w:val="en-au" w:eastAsia="en-US" w:bidi="ar-SA"/>
      </w:rPr>
    </w:lvl>
    <w:lvl w:ilvl="3">
      <w:start w:val="0"/>
      <w:numFmt w:val="bullet"/>
      <w:lvlText w:val="•"/>
      <w:lvlJc w:val="left"/>
      <w:pPr>
        <w:ind w:left="403" w:hanging="284"/>
      </w:pPr>
      <w:rPr>
        <w:rFonts w:hint="default"/>
        <w:lang w:val="en-au" w:eastAsia="en-US" w:bidi="ar-SA"/>
      </w:rPr>
    </w:lvl>
    <w:lvl w:ilvl="4">
      <w:start w:val="0"/>
      <w:numFmt w:val="bullet"/>
      <w:lvlText w:val="•"/>
      <w:lvlJc w:val="left"/>
      <w:pPr>
        <w:ind w:left="445" w:hanging="284"/>
      </w:pPr>
      <w:rPr>
        <w:rFonts w:hint="default"/>
        <w:lang w:val="en-au" w:eastAsia="en-US" w:bidi="ar-SA"/>
      </w:rPr>
    </w:lvl>
    <w:lvl w:ilvl="5">
      <w:start w:val="0"/>
      <w:numFmt w:val="bullet"/>
      <w:lvlText w:val="•"/>
      <w:lvlJc w:val="left"/>
      <w:pPr>
        <w:ind w:left="486" w:hanging="284"/>
      </w:pPr>
      <w:rPr>
        <w:rFonts w:hint="default"/>
        <w:lang w:val="en-au" w:eastAsia="en-US" w:bidi="ar-SA"/>
      </w:rPr>
    </w:lvl>
    <w:lvl w:ilvl="6">
      <w:start w:val="0"/>
      <w:numFmt w:val="bullet"/>
      <w:lvlText w:val="•"/>
      <w:lvlJc w:val="left"/>
      <w:pPr>
        <w:ind w:left="527" w:hanging="284"/>
      </w:pPr>
      <w:rPr>
        <w:rFonts w:hint="default"/>
        <w:lang w:val="en-au" w:eastAsia="en-US" w:bidi="ar-SA"/>
      </w:rPr>
    </w:lvl>
    <w:lvl w:ilvl="7">
      <w:start w:val="0"/>
      <w:numFmt w:val="bullet"/>
      <w:lvlText w:val="•"/>
      <w:lvlJc w:val="left"/>
      <w:pPr>
        <w:ind w:left="569" w:hanging="284"/>
      </w:pPr>
      <w:rPr>
        <w:rFonts w:hint="default"/>
        <w:lang w:val="en-au" w:eastAsia="en-US" w:bidi="ar-SA"/>
      </w:rPr>
    </w:lvl>
    <w:lvl w:ilvl="8">
      <w:start w:val="0"/>
      <w:numFmt w:val="bullet"/>
      <w:lvlText w:val="•"/>
      <w:lvlJc w:val="left"/>
      <w:pPr>
        <w:ind w:left="610" w:hanging="284"/>
      </w:pPr>
      <w:rPr>
        <w:rFonts w:hint="default"/>
        <w:lang w:val="en-au" w:eastAsia="en-US" w:bidi="ar-SA"/>
      </w:rPr>
    </w:lvl>
  </w:abstractNum>
  <w:abstractNum w:abstractNumId="1">
    <w:multiLevelType w:val="hybridMultilevel"/>
    <w:lvl w:ilvl="0">
      <w:start w:val="0"/>
      <w:numFmt w:val="bullet"/>
      <w:lvlText w:val=""/>
      <w:lvlJc w:val="left"/>
      <w:pPr>
        <w:ind w:left="288" w:hanging="284"/>
      </w:pPr>
      <w:rPr>
        <w:rFonts w:hint="default" w:ascii="Wingdings" w:hAnsi="Wingdings" w:eastAsia="Wingdings" w:cs="Wingdings"/>
        <w:w w:val="99"/>
        <w:sz w:val="20"/>
        <w:szCs w:val="20"/>
        <w:lang w:val="en-au" w:eastAsia="en-US" w:bidi="ar-SA"/>
      </w:rPr>
    </w:lvl>
    <w:lvl w:ilvl="1">
      <w:start w:val="1"/>
      <w:numFmt w:val="decimal"/>
      <w:lvlText w:val="%2."/>
      <w:lvlJc w:val="left"/>
      <w:pPr>
        <w:ind w:left="2302" w:hanging="567"/>
        <w:jc w:val="left"/>
      </w:pPr>
      <w:rPr>
        <w:rFonts w:hint="default" w:ascii="Times New Roman" w:hAnsi="Times New Roman" w:eastAsia="Times New Roman" w:cs="Times New Roman"/>
        <w:spacing w:val="0"/>
        <w:w w:val="99"/>
        <w:sz w:val="20"/>
        <w:szCs w:val="20"/>
        <w:lang w:val="en-au" w:eastAsia="en-US" w:bidi="ar-SA"/>
      </w:rPr>
    </w:lvl>
    <w:lvl w:ilvl="2">
      <w:start w:val="0"/>
      <w:numFmt w:val="bullet"/>
      <w:lvlText w:val="•"/>
      <w:lvlJc w:val="left"/>
      <w:pPr>
        <w:ind w:left="2982" w:hanging="567"/>
      </w:pPr>
      <w:rPr>
        <w:rFonts w:hint="default"/>
        <w:lang w:val="en-au" w:eastAsia="en-US" w:bidi="ar-SA"/>
      </w:rPr>
    </w:lvl>
    <w:lvl w:ilvl="3">
      <w:start w:val="0"/>
      <w:numFmt w:val="bullet"/>
      <w:lvlText w:val="•"/>
      <w:lvlJc w:val="left"/>
      <w:pPr>
        <w:ind w:left="3664" w:hanging="567"/>
      </w:pPr>
      <w:rPr>
        <w:rFonts w:hint="default"/>
        <w:lang w:val="en-au" w:eastAsia="en-US" w:bidi="ar-SA"/>
      </w:rPr>
    </w:lvl>
    <w:lvl w:ilvl="4">
      <w:start w:val="0"/>
      <w:numFmt w:val="bullet"/>
      <w:lvlText w:val="•"/>
      <w:lvlJc w:val="left"/>
      <w:pPr>
        <w:ind w:left="4346" w:hanging="567"/>
      </w:pPr>
      <w:rPr>
        <w:rFonts w:hint="default"/>
        <w:lang w:val="en-au" w:eastAsia="en-US" w:bidi="ar-SA"/>
      </w:rPr>
    </w:lvl>
    <w:lvl w:ilvl="5">
      <w:start w:val="0"/>
      <w:numFmt w:val="bullet"/>
      <w:lvlText w:val="•"/>
      <w:lvlJc w:val="left"/>
      <w:pPr>
        <w:ind w:left="5028" w:hanging="567"/>
      </w:pPr>
      <w:rPr>
        <w:rFonts w:hint="default"/>
        <w:lang w:val="en-au" w:eastAsia="en-US" w:bidi="ar-SA"/>
      </w:rPr>
    </w:lvl>
    <w:lvl w:ilvl="6">
      <w:start w:val="0"/>
      <w:numFmt w:val="bullet"/>
      <w:lvlText w:val="•"/>
      <w:lvlJc w:val="left"/>
      <w:pPr>
        <w:ind w:left="5711" w:hanging="567"/>
      </w:pPr>
      <w:rPr>
        <w:rFonts w:hint="default"/>
        <w:lang w:val="en-au" w:eastAsia="en-US" w:bidi="ar-SA"/>
      </w:rPr>
    </w:lvl>
    <w:lvl w:ilvl="7">
      <w:start w:val="0"/>
      <w:numFmt w:val="bullet"/>
      <w:lvlText w:val="•"/>
      <w:lvlJc w:val="left"/>
      <w:pPr>
        <w:ind w:left="6393" w:hanging="567"/>
      </w:pPr>
      <w:rPr>
        <w:rFonts w:hint="default"/>
        <w:lang w:val="en-au" w:eastAsia="en-US" w:bidi="ar-SA"/>
      </w:rPr>
    </w:lvl>
    <w:lvl w:ilvl="8">
      <w:start w:val="0"/>
      <w:numFmt w:val="bullet"/>
      <w:lvlText w:val="•"/>
      <w:lvlJc w:val="left"/>
      <w:pPr>
        <w:ind w:left="7075" w:hanging="567"/>
      </w:pPr>
      <w:rPr>
        <w:rFonts w:hint="default"/>
        <w:lang w:val="en-au" w:eastAsia="en-US" w:bidi="ar-SA"/>
      </w:rPr>
    </w:lvl>
  </w:abstractNum>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9825" w:hanging="229"/>
      </w:pPr>
      <w:rPr>
        <w:rFonts w:hint="default" w:ascii="Wingdings" w:hAnsi="Wingdings" w:eastAsia="Wingdings" w:cs="Wingdings"/>
        <w:w w:val="99"/>
        <w:sz w:val="20"/>
        <w:szCs w:val="20"/>
        <w:lang w:val="en-au" w:eastAsia="en-US" w:bidi="ar-SA"/>
      </w:rPr>
    </w:lvl>
    <w:lvl w:ilvl="2">
      <w:start w:val="0"/>
      <w:numFmt w:val="bullet"/>
      <w:lvlText w:val="•"/>
      <w:lvlJc w:val="left"/>
      <w:pPr>
        <w:ind w:left="10051" w:hanging="229"/>
      </w:pPr>
      <w:rPr>
        <w:rFonts w:hint="default"/>
        <w:lang w:val="en-au" w:eastAsia="en-US" w:bidi="ar-SA"/>
      </w:rPr>
    </w:lvl>
    <w:lvl w:ilvl="3">
      <w:start w:val="0"/>
      <w:numFmt w:val="bullet"/>
      <w:lvlText w:val="•"/>
      <w:lvlJc w:val="left"/>
      <w:pPr>
        <w:ind w:left="10283" w:hanging="229"/>
      </w:pPr>
      <w:rPr>
        <w:rFonts w:hint="default"/>
        <w:lang w:val="en-au" w:eastAsia="en-US" w:bidi="ar-SA"/>
      </w:rPr>
    </w:lvl>
    <w:lvl w:ilvl="4">
      <w:start w:val="0"/>
      <w:numFmt w:val="bullet"/>
      <w:lvlText w:val="•"/>
      <w:lvlJc w:val="left"/>
      <w:pPr>
        <w:ind w:left="10515" w:hanging="229"/>
      </w:pPr>
      <w:rPr>
        <w:rFonts w:hint="default"/>
        <w:lang w:val="en-au" w:eastAsia="en-US" w:bidi="ar-SA"/>
      </w:rPr>
    </w:lvl>
    <w:lvl w:ilvl="5">
      <w:start w:val="0"/>
      <w:numFmt w:val="bullet"/>
      <w:lvlText w:val="•"/>
      <w:lvlJc w:val="left"/>
      <w:pPr>
        <w:ind w:left="10747" w:hanging="229"/>
      </w:pPr>
      <w:rPr>
        <w:rFonts w:hint="default"/>
        <w:lang w:val="en-au" w:eastAsia="en-US" w:bidi="ar-SA"/>
      </w:rPr>
    </w:lvl>
    <w:lvl w:ilvl="6">
      <w:start w:val="0"/>
      <w:numFmt w:val="bullet"/>
      <w:lvlText w:val="•"/>
      <w:lvlJc w:val="left"/>
      <w:pPr>
        <w:ind w:left="10979" w:hanging="229"/>
      </w:pPr>
      <w:rPr>
        <w:rFonts w:hint="default"/>
        <w:lang w:val="en-au" w:eastAsia="en-US" w:bidi="ar-SA"/>
      </w:rPr>
    </w:lvl>
    <w:lvl w:ilvl="7">
      <w:start w:val="0"/>
      <w:numFmt w:val="bullet"/>
      <w:lvlText w:val="•"/>
      <w:lvlJc w:val="left"/>
      <w:pPr>
        <w:ind w:left="11210" w:hanging="229"/>
      </w:pPr>
      <w:rPr>
        <w:rFonts w:hint="default"/>
        <w:lang w:val="en-au" w:eastAsia="en-US" w:bidi="ar-SA"/>
      </w:rPr>
    </w:lvl>
    <w:lvl w:ilvl="8">
      <w:start w:val="0"/>
      <w:numFmt w:val="bullet"/>
      <w:lvlText w:val="•"/>
      <w:lvlJc w:val="left"/>
      <w:pPr>
        <w:ind w:left="11442" w:hanging="229"/>
      </w:pPr>
      <w:rPr>
        <w:rFonts w:hint="default"/>
        <w:lang w:val="en-au"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797"/>
      <w:jc w:val="center"/>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84"/>
      <w:ind w:left="2884"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15"/>
      <w:ind w:left="1852"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radepolicy1@abf.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ACN 2020/12; 2020/12; By-law; Customs Tariff by-law; 2000886; Item 1 by-law; 1919366</cp:keywords>
  <dc:subject>ACN 2020/12 - Amendments to Schedule 4 of the Customs Tariff Act 1995 Item 1 by-law</dc:subject>
  <dc:title>ACN 2020/12 - Amendments to Schedule 4 of the Customs Tariff Act 1995 Item 1 by-law</dc:title>
  <dcterms:created xsi:type="dcterms:W3CDTF">2020-12-09T23:22:34Z</dcterms:created>
  <dcterms:modified xsi:type="dcterms:W3CDTF">2020-12-09T23:22:34Z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Acrobat PDFMaker 19 for Word</vt:lpwstr>
  </property>
  <property fmtid="{D5CDD505-2E9C-101B-9397-08002B2CF9AE}" pid="4" name="LastSaved">
    <vt:filetime>2020-12-09T00:00:00Z</vt:filetime>
  </property>
</Properties>
</file>