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color w:val="082144"/>
        </w:rPr>
        <w:t>No. 2020/20</w:t>
      </w:r>
    </w:p>
    <w:p>
      <w:pPr>
        <w:spacing w:before="449"/>
        <w:ind w:left="276" w:right="733" w:firstLine="0"/>
        <w:jc w:val="center"/>
        <w:rPr>
          <w:i/>
          <w:sz w:val="40"/>
        </w:rPr>
      </w:pPr>
      <w:r>
        <w:rPr>
          <w:color w:val="956D23"/>
          <w:sz w:val="40"/>
        </w:rPr>
        <w:t>New Concessional Item 57 and By-law No. 2019608 to Schedule 4 of the </w:t>
      </w:r>
      <w:r>
        <w:rPr>
          <w:i/>
          <w:color w:val="956D23"/>
          <w:sz w:val="40"/>
        </w:rPr>
        <w:t>Customs Tariff Act 1995</w:t>
      </w:r>
    </w:p>
    <w:p>
      <w:pPr>
        <w:pStyle w:val="BodyText"/>
        <w:spacing w:line="264" w:lineRule="auto" w:before="181"/>
        <w:ind w:left="173" w:right="933"/>
      </w:pPr>
      <w:r>
        <w:rPr/>
        <w:t>Item 57 to Schedule 4 of the </w:t>
      </w:r>
      <w:r>
        <w:rPr>
          <w:i/>
        </w:rPr>
        <w:t>Customs Tariff Act 1995 </w:t>
      </w:r>
      <w:r>
        <w:rPr/>
        <w:t>(Customs Tariff Act) provides a Free rate of customs duty for the period of 1 February 2020 to 31 July 2020 for hygiene or medical products imported to treat, diagnose or prevent the spread of the coronavirus that causes the disease COVID-19.</w:t>
      </w:r>
    </w:p>
    <w:p>
      <w:pPr>
        <w:pStyle w:val="BodyText"/>
        <w:spacing w:line="264" w:lineRule="auto" w:before="182"/>
        <w:ind w:left="173" w:right="843"/>
      </w:pPr>
      <w:r>
        <w:rPr/>
        <w:t>Use of the Item and by-law will not affect other taxes and charges that may be payable on the imported goods. The goods must meet the requirements of the item to access the concessional rate of customs duty.</w:t>
      </w:r>
    </w:p>
    <w:p>
      <w:pPr>
        <w:pStyle w:val="BodyText"/>
        <w:spacing w:before="8"/>
        <w:rPr>
          <w:sz w:val="10"/>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6"/>
        <w:gridCol w:w="846"/>
      </w:tblGrid>
      <w:tr>
        <w:trPr>
          <w:trHeight w:val="551" w:hRule="atLeast"/>
        </w:trPr>
        <w:tc>
          <w:tcPr>
            <w:tcW w:w="8786" w:type="dxa"/>
            <w:shd w:val="clear" w:color="auto" w:fill="082144"/>
          </w:tcPr>
          <w:p>
            <w:pPr>
              <w:pStyle w:val="TableParagraph"/>
              <w:spacing w:before="174"/>
              <w:ind w:left="110"/>
              <w:rPr>
                <w:rFonts w:ascii="Arial"/>
                <w:b/>
                <w:sz w:val="20"/>
              </w:rPr>
            </w:pPr>
            <w:r>
              <w:rPr>
                <w:rFonts w:ascii="Arial"/>
                <w:b/>
                <w:color w:val="FFFFFF"/>
                <w:sz w:val="20"/>
              </w:rPr>
              <w:t>Item 57</w:t>
            </w:r>
          </w:p>
        </w:tc>
        <w:tc>
          <w:tcPr>
            <w:tcW w:w="846" w:type="dxa"/>
            <w:shd w:val="clear" w:color="auto" w:fill="082144"/>
          </w:tcPr>
          <w:p>
            <w:pPr>
              <w:pStyle w:val="TableParagraph"/>
              <w:spacing w:before="174"/>
              <w:ind w:left="109"/>
              <w:rPr>
                <w:rFonts w:ascii="Arial"/>
                <w:b/>
                <w:sz w:val="20"/>
              </w:rPr>
            </w:pPr>
            <w:r>
              <w:rPr>
                <w:rFonts w:ascii="Arial"/>
                <w:b/>
                <w:color w:val="FFFFFF"/>
                <w:sz w:val="20"/>
              </w:rPr>
              <w:t>Rate</w:t>
            </w:r>
          </w:p>
        </w:tc>
      </w:tr>
      <w:tr>
        <w:trPr>
          <w:trHeight w:val="2119" w:hRule="atLeast"/>
        </w:trPr>
        <w:tc>
          <w:tcPr>
            <w:tcW w:w="8786" w:type="dxa"/>
          </w:tcPr>
          <w:p>
            <w:pPr>
              <w:pStyle w:val="TableParagraph"/>
              <w:spacing w:before="117"/>
              <w:ind w:left="110"/>
              <w:rPr>
                <w:rFonts w:ascii="Arial"/>
                <w:sz w:val="20"/>
              </w:rPr>
            </w:pPr>
            <w:r>
              <w:rPr>
                <w:rFonts w:ascii="Arial"/>
                <w:sz w:val="20"/>
              </w:rPr>
              <w:t>Goods, as prescribed by by-law, if:</w:t>
            </w:r>
          </w:p>
          <w:p>
            <w:pPr>
              <w:pStyle w:val="TableParagraph"/>
              <w:numPr>
                <w:ilvl w:val="0"/>
                <w:numId w:val="1"/>
              </w:numPr>
              <w:tabs>
                <w:tab w:pos="831" w:val="left" w:leader="none"/>
              </w:tabs>
              <w:spacing w:line="240" w:lineRule="auto" w:before="144" w:after="0"/>
              <w:ind w:left="830" w:right="0" w:hanging="361"/>
              <w:jc w:val="left"/>
              <w:rPr>
                <w:rFonts w:ascii="Arial"/>
                <w:sz w:val="20"/>
              </w:rPr>
            </w:pPr>
            <w:r>
              <w:rPr>
                <w:rFonts w:ascii="Arial"/>
                <w:sz w:val="20"/>
              </w:rPr>
              <w:t>the goods are medical products or hygiene products;</w:t>
            </w:r>
            <w:r>
              <w:rPr>
                <w:rFonts w:ascii="Arial"/>
                <w:spacing w:val="-1"/>
                <w:sz w:val="20"/>
              </w:rPr>
              <w:t> </w:t>
            </w:r>
            <w:r>
              <w:rPr>
                <w:rFonts w:ascii="Arial"/>
                <w:sz w:val="20"/>
              </w:rPr>
              <w:t>and</w:t>
            </w:r>
          </w:p>
          <w:p>
            <w:pPr>
              <w:pStyle w:val="TableParagraph"/>
              <w:numPr>
                <w:ilvl w:val="0"/>
                <w:numId w:val="1"/>
              </w:numPr>
              <w:tabs>
                <w:tab w:pos="831" w:val="left" w:leader="none"/>
              </w:tabs>
              <w:spacing w:line="266" w:lineRule="auto" w:before="142" w:after="0"/>
              <w:ind w:left="830" w:right="808" w:hanging="360"/>
              <w:jc w:val="left"/>
              <w:rPr>
                <w:rFonts w:ascii="Arial"/>
                <w:sz w:val="20"/>
              </w:rPr>
            </w:pPr>
            <w:r>
              <w:rPr>
                <w:rFonts w:ascii="Arial"/>
                <w:sz w:val="20"/>
              </w:rPr>
              <w:t>the goods are capable of use in combating the novel coronavirus that causes</w:t>
            </w:r>
            <w:r>
              <w:rPr>
                <w:rFonts w:ascii="Arial"/>
                <w:spacing w:val="-24"/>
                <w:sz w:val="20"/>
              </w:rPr>
              <w:t> </w:t>
            </w:r>
            <w:r>
              <w:rPr>
                <w:rFonts w:ascii="Arial"/>
                <w:sz w:val="20"/>
              </w:rPr>
              <w:t>the disease known as COVID-19;</w:t>
            </w:r>
            <w:r>
              <w:rPr>
                <w:rFonts w:ascii="Arial"/>
                <w:spacing w:val="-2"/>
                <w:sz w:val="20"/>
              </w:rPr>
              <w:t> </w:t>
            </w:r>
            <w:r>
              <w:rPr>
                <w:rFonts w:ascii="Arial"/>
                <w:sz w:val="20"/>
              </w:rPr>
              <w:t>and</w:t>
            </w:r>
          </w:p>
          <w:p>
            <w:pPr>
              <w:pStyle w:val="TableParagraph"/>
              <w:numPr>
                <w:ilvl w:val="0"/>
                <w:numId w:val="1"/>
              </w:numPr>
              <w:tabs>
                <w:tab w:pos="831" w:val="left" w:leader="none"/>
              </w:tabs>
              <w:spacing w:line="264" w:lineRule="auto" w:before="116" w:after="0"/>
              <w:ind w:left="830" w:right="705" w:hanging="360"/>
              <w:jc w:val="left"/>
              <w:rPr>
                <w:rFonts w:ascii="Arial"/>
                <w:sz w:val="20"/>
              </w:rPr>
            </w:pPr>
            <w:r>
              <w:rPr>
                <w:rFonts w:ascii="Arial"/>
                <w:sz w:val="20"/>
              </w:rPr>
              <w:t>the time for working out the rate of duty on the goods is in the period beginning on 1 February 2020 and ending at the end of 31 July</w:t>
            </w:r>
            <w:r>
              <w:rPr>
                <w:rFonts w:ascii="Arial"/>
                <w:spacing w:val="-8"/>
                <w:sz w:val="20"/>
              </w:rPr>
              <w:t> </w:t>
            </w:r>
            <w:r>
              <w:rPr>
                <w:rFonts w:ascii="Arial"/>
                <w:sz w:val="20"/>
              </w:rPr>
              <w:t>2020.</w:t>
            </w:r>
          </w:p>
        </w:tc>
        <w:tc>
          <w:tcPr>
            <w:tcW w:w="846" w:type="dxa"/>
          </w:tcPr>
          <w:p>
            <w:pPr>
              <w:pStyle w:val="TableParagraph"/>
              <w:spacing w:before="117"/>
              <w:ind w:left="109"/>
              <w:rPr>
                <w:rFonts w:ascii="Arial"/>
                <w:sz w:val="20"/>
              </w:rPr>
            </w:pPr>
            <w:r>
              <w:rPr>
                <w:rFonts w:ascii="Arial"/>
                <w:sz w:val="20"/>
              </w:rPr>
              <w:t>Free</w:t>
            </w:r>
          </w:p>
        </w:tc>
      </w:tr>
    </w:tbl>
    <w:p>
      <w:pPr>
        <w:pStyle w:val="BodyText"/>
        <w:spacing w:line="264" w:lineRule="auto" w:before="177"/>
        <w:ind w:left="173" w:right="932"/>
      </w:pPr>
      <w:r>
        <w:rPr/>
        <w:t>Importers seeking to use Item 57 and its respective by-law should record this by listing treatment code 757 on the import declaration for goods of a value greater than $1000 or on the self-assessed clearance declaration if goods are of a value of $1000 or less.</w:t>
      </w:r>
    </w:p>
    <w:p>
      <w:pPr>
        <w:pStyle w:val="BodyText"/>
        <w:spacing w:line="266" w:lineRule="auto" w:before="179"/>
        <w:ind w:left="173" w:right="957"/>
      </w:pPr>
      <w:r>
        <w:rPr/>
        <w:t>Attachment A includes the working tariff pages for Item 57. An online version can be viewed at </w:t>
      </w:r>
      <w:hyperlink r:id="rId9">
        <w:r>
          <w:rPr>
            <w:color w:val="082144"/>
            <w:w w:val="95"/>
            <w:u w:val="single" w:color="082144"/>
          </w:rPr>
          <w:t>https://www.abf.gov.au/importing-exporting-and-manufacturing/tariff-classification/current-tariff/schedule-4</w:t>
        </w:r>
        <w:r>
          <w:rPr>
            <w:w w:val="95"/>
          </w:rPr>
          <w:t>.</w:t>
        </w:r>
      </w:hyperlink>
    </w:p>
    <w:p>
      <w:pPr>
        <w:spacing w:before="174"/>
        <w:ind w:left="173" w:right="0" w:firstLine="0"/>
        <w:jc w:val="left"/>
        <w:rPr>
          <w:b/>
          <w:sz w:val="20"/>
        </w:rPr>
      </w:pPr>
      <w:r>
        <w:rPr>
          <w:b/>
          <w:sz w:val="20"/>
        </w:rPr>
        <w:t>Refunds for goods already imported</w:t>
      </w:r>
    </w:p>
    <w:p>
      <w:pPr>
        <w:pStyle w:val="BodyText"/>
        <w:spacing w:before="11"/>
        <w:rPr>
          <w:b/>
          <w:sz w:val="17"/>
        </w:rPr>
      </w:pPr>
    </w:p>
    <w:p>
      <w:pPr>
        <w:pStyle w:val="BodyText"/>
        <w:spacing w:line="264" w:lineRule="auto"/>
        <w:ind w:left="173" w:right="1020"/>
      </w:pPr>
      <w:r>
        <w:rPr/>
        <w:t>A refund of customs duty may be available for hygiene or medical goods that have already been imported and which meet the requirements of the Item and by-law.</w:t>
      </w:r>
    </w:p>
    <w:p>
      <w:pPr>
        <w:pStyle w:val="BodyText"/>
        <w:spacing w:before="179"/>
        <w:ind w:left="173"/>
      </w:pPr>
      <w:r>
        <w:rPr/>
        <w:t>To be eligible for a refund:</w:t>
      </w:r>
    </w:p>
    <w:p>
      <w:pPr>
        <w:pStyle w:val="ListParagraph"/>
        <w:numPr>
          <w:ilvl w:val="0"/>
          <w:numId w:val="2"/>
        </w:numPr>
        <w:tabs>
          <w:tab w:pos="943" w:val="left" w:leader="none"/>
          <w:tab w:pos="944" w:val="left" w:leader="none"/>
        </w:tabs>
        <w:spacing w:line="240" w:lineRule="auto" w:before="159" w:after="0"/>
        <w:ind w:left="943" w:right="0" w:hanging="358"/>
        <w:jc w:val="left"/>
        <w:rPr>
          <w:sz w:val="20"/>
        </w:rPr>
      </w:pPr>
      <w:r>
        <w:rPr>
          <w:sz w:val="20"/>
        </w:rPr>
        <w:t>the rate of duty must have been determined on or after 1 February 2020,</w:t>
      </w:r>
      <w:r>
        <w:rPr>
          <w:spacing w:val="-9"/>
          <w:sz w:val="20"/>
        </w:rPr>
        <w:t> </w:t>
      </w:r>
      <w:r>
        <w:rPr>
          <w:sz w:val="20"/>
        </w:rPr>
        <w:t>and</w:t>
      </w:r>
    </w:p>
    <w:p>
      <w:pPr>
        <w:pStyle w:val="ListParagraph"/>
        <w:numPr>
          <w:ilvl w:val="0"/>
          <w:numId w:val="2"/>
        </w:numPr>
        <w:tabs>
          <w:tab w:pos="943" w:val="left" w:leader="none"/>
          <w:tab w:pos="944" w:val="left" w:leader="none"/>
        </w:tabs>
        <w:spacing w:line="240" w:lineRule="auto" w:before="156" w:after="0"/>
        <w:ind w:left="943" w:right="0" w:hanging="358"/>
        <w:jc w:val="left"/>
        <w:rPr>
          <w:sz w:val="20"/>
        </w:rPr>
      </w:pPr>
      <w:r>
        <w:rPr>
          <w:sz w:val="20"/>
        </w:rPr>
        <w:t>the customs duty must have been paid on the import declaration or self-assessed</w:t>
      </w:r>
      <w:r>
        <w:rPr>
          <w:spacing w:val="-13"/>
          <w:sz w:val="20"/>
        </w:rPr>
        <w:t> </w:t>
      </w:r>
      <w:r>
        <w:rPr>
          <w:sz w:val="20"/>
        </w:rPr>
        <w:t>clearance.</w:t>
      </w:r>
    </w:p>
    <w:p>
      <w:pPr>
        <w:pStyle w:val="BodyText"/>
        <w:spacing w:line="264" w:lineRule="auto" w:before="142"/>
        <w:ind w:left="173" w:right="909"/>
      </w:pPr>
      <w:r>
        <w:rPr/>
        <w:t>The owner of the goods or the authorised representative of the owner may apply for a refund if they lodged the import declaration or self-assessed clearance.</w:t>
      </w:r>
    </w:p>
    <w:p>
      <w:pPr>
        <w:spacing w:after="0" w:line="264" w:lineRule="auto"/>
        <w:sectPr>
          <w:headerReference w:type="default" r:id="rId5"/>
          <w:headerReference w:type="even" r:id="rId6"/>
          <w:footerReference w:type="default" r:id="rId7"/>
          <w:footerReference w:type="even" r:id="rId8"/>
          <w:type w:val="continuous"/>
          <w:pgSz w:w="11910" w:h="16840"/>
          <w:pgMar w:header="1150" w:footer="663" w:top="3860" w:bottom="1000" w:left="960" w:right="420"/>
        </w:sectPr>
      </w:pPr>
    </w:p>
    <w:p>
      <w:pPr>
        <w:pStyle w:val="BodyText"/>
      </w:pPr>
    </w:p>
    <w:p>
      <w:pPr>
        <w:pStyle w:val="BodyText"/>
        <w:spacing w:before="3"/>
        <w:rPr>
          <w:sz w:val="23"/>
        </w:rPr>
      </w:pPr>
    </w:p>
    <w:p>
      <w:pPr>
        <w:pStyle w:val="BodyText"/>
        <w:spacing w:line="264" w:lineRule="auto"/>
        <w:ind w:left="173" w:right="2080"/>
      </w:pPr>
      <w:r>
        <w:rPr/>
        <w:t>Information on how to apply for a refund is at </w:t>
      </w:r>
      <w:hyperlink r:id="rId10">
        <w:r>
          <w:rPr>
            <w:color w:val="082144"/>
            <w:u w:val="single" w:color="082144"/>
          </w:rPr>
          <w:t>https://www.abf.gov.au/importing-exporting-and-</w:t>
        </w:r>
      </w:hyperlink>
      <w:r>
        <w:rPr>
          <w:color w:val="082144"/>
        </w:rPr>
        <w:t> </w:t>
      </w:r>
      <w:hyperlink r:id="rId10">
        <w:r>
          <w:rPr>
            <w:color w:val="082144"/>
            <w:u w:val="single" w:color="082144"/>
          </w:rPr>
          <w:t>manufacturing/importing/cost-of-importing-goods/refund</w:t>
        </w:r>
        <w:r>
          <w:rPr/>
          <w:t>.</w:t>
        </w:r>
      </w:hyperlink>
    </w:p>
    <w:p>
      <w:pPr>
        <w:pStyle w:val="BodyText"/>
        <w:spacing w:before="121"/>
        <w:ind w:left="173"/>
      </w:pPr>
      <w:r>
        <w:rPr/>
        <w:t>Applications for refunds under Item 57 should use refund code EB.</w:t>
      </w:r>
    </w:p>
    <w:p>
      <w:pPr>
        <w:pStyle w:val="BodyText"/>
        <w:spacing w:before="4"/>
        <w:rPr>
          <w:sz w:val="17"/>
        </w:rPr>
      </w:pPr>
    </w:p>
    <w:p>
      <w:pPr>
        <w:spacing w:before="0"/>
        <w:ind w:left="173" w:right="0" w:firstLine="0"/>
        <w:jc w:val="left"/>
        <w:rPr>
          <w:b/>
          <w:sz w:val="20"/>
        </w:rPr>
      </w:pPr>
      <w:r>
        <w:rPr>
          <w:b/>
          <w:sz w:val="20"/>
        </w:rPr>
        <w:t>By-law 2019608</w:t>
      </w:r>
    </w:p>
    <w:p>
      <w:pPr>
        <w:pStyle w:val="BodyText"/>
        <w:spacing w:before="9"/>
        <w:rPr>
          <w:b/>
          <w:sz w:val="17"/>
        </w:rPr>
      </w:pPr>
    </w:p>
    <w:p>
      <w:pPr>
        <w:pStyle w:val="BodyText"/>
        <w:spacing w:line="264" w:lineRule="auto"/>
        <w:ind w:left="173" w:right="920"/>
      </w:pPr>
      <w:r>
        <w:rPr/>
        <w:t>The types of goods that are eligible to access the concessional rate under Item 57 are prescribed in by-law 2019608. Attachment A includes the working tariff pages for by-law 2019608. An online version can be viewed at </w:t>
      </w:r>
      <w:hyperlink r:id="rId11">
        <w:r>
          <w:rPr>
            <w:color w:val="082144"/>
            <w:u w:val="single" w:color="082144"/>
          </w:rPr>
          <w:t>https://www.abf.gov.au/importing-exporting-and-manufacturing/tariff-classification/current-</w:t>
        </w:r>
      </w:hyperlink>
      <w:r>
        <w:rPr>
          <w:color w:val="082144"/>
        </w:rPr>
        <w:t> </w:t>
      </w:r>
      <w:hyperlink r:id="rId11">
        <w:r>
          <w:rPr>
            <w:color w:val="082144"/>
            <w:u w:val="single" w:color="082144"/>
          </w:rPr>
          <w:t>tariff/schedule-4-by-law</w:t>
        </w:r>
        <w:r>
          <w:rPr/>
          <w:t>.</w:t>
        </w:r>
      </w:hyperlink>
    </w:p>
    <w:p>
      <w:pPr>
        <w:pStyle w:val="BodyText"/>
        <w:spacing w:line="264" w:lineRule="auto" w:before="181"/>
        <w:ind w:left="173" w:right="831"/>
      </w:pPr>
      <w:r>
        <w:rPr/>
        <w:t>The aim of by-law 2019608 is to remove the duty on medical products or hygiene product deemed to be required in the immediate response to the COVID-19 pandemic. Goods listed in the by-law are only those goods that have a duty rate other than Free in Schedule 3 of the Customs Tariff Act, or for which there is no other Schedule 4 concession available, including Tariff Concession Orders.</w:t>
      </w:r>
    </w:p>
    <w:p>
      <w:pPr>
        <w:pStyle w:val="BodyText"/>
        <w:spacing w:before="1"/>
      </w:pPr>
    </w:p>
    <w:p>
      <w:pPr>
        <w:pStyle w:val="BodyText"/>
        <w:spacing w:before="1"/>
        <w:ind w:left="173" w:right="933"/>
      </w:pPr>
      <w:r>
        <w:rPr/>
        <w:t>Hand sanitiser of tariff classification 3808.94.00 is specifically excluded from by-law 2019608. There is currently significant manufacturing capacity in Australia for hand sanitiser. The exclusion of hand</w:t>
      </w:r>
      <w:r>
        <w:rPr>
          <w:spacing w:val="-34"/>
        </w:rPr>
        <w:t> </w:t>
      </w:r>
      <w:r>
        <w:rPr/>
        <w:t>sanitiser reflects this capacity and the fact that Australian businesses have refocused their operations to increase domestic supply in response to</w:t>
      </w:r>
      <w:r>
        <w:rPr>
          <w:spacing w:val="-5"/>
        </w:rPr>
        <w:t> </w:t>
      </w:r>
      <w:r>
        <w:rPr/>
        <w:t>COVID-19.</w:t>
      </w:r>
    </w:p>
    <w:p>
      <w:pPr>
        <w:pStyle w:val="BodyText"/>
        <w:spacing w:line="264" w:lineRule="auto" w:before="179"/>
        <w:ind w:left="173" w:right="1209"/>
      </w:pPr>
      <w:r>
        <w:rPr/>
        <w:t>The following is a non-exhaustive list of tariff classifications that can be used to identify the medical and hygiene products prescribed in the</w:t>
      </w:r>
      <w:r>
        <w:rPr>
          <w:spacing w:val="1"/>
        </w:rPr>
        <w:t> </w:t>
      </w:r>
      <w:r>
        <w:rPr/>
        <w:t>by-law:</w:t>
      </w:r>
    </w:p>
    <w:p>
      <w:pPr>
        <w:pStyle w:val="BodyText"/>
      </w:pPr>
    </w:p>
    <w:p>
      <w:pPr>
        <w:pStyle w:val="BodyText"/>
        <w:spacing w:before="9" w:after="1"/>
        <w:rPr>
          <w:sz w:val="17"/>
        </w:rPr>
      </w:pPr>
    </w:p>
    <w:tbl>
      <w:tblPr>
        <w:tblW w:w="0" w:type="auto"/>
        <w:jc w:val="left"/>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1218"/>
        <w:gridCol w:w="1234"/>
        <w:gridCol w:w="1266"/>
      </w:tblGrid>
      <w:tr>
        <w:trPr>
          <w:trHeight w:val="417" w:hRule="atLeast"/>
        </w:trPr>
        <w:tc>
          <w:tcPr>
            <w:tcW w:w="2835" w:type="dxa"/>
            <w:shd w:val="clear" w:color="auto" w:fill="082144"/>
          </w:tcPr>
          <w:p>
            <w:pPr>
              <w:pStyle w:val="TableParagraph"/>
              <w:spacing w:line="227" w:lineRule="exact"/>
              <w:ind w:left="107"/>
              <w:rPr>
                <w:rFonts w:ascii="Arial"/>
                <w:b/>
                <w:sz w:val="20"/>
              </w:rPr>
            </w:pPr>
            <w:r>
              <w:rPr>
                <w:rFonts w:ascii="Arial"/>
                <w:b/>
                <w:color w:val="FFFFFF"/>
                <w:sz w:val="20"/>
              </w:rPr>
              <w:t>Goods</w:t>
            </w:r>
          </w:p>
        </w:tc>
        <w:tc>
          <w:tcPr>
            <w:tcW w:w="3718" w:type="dxa"/>
            <w:gridSpan w:val="3"/>
            <w:shd w:val="clear" w:color="auto" w:fill="082144"/>
          </w:tcPr>
          <w:p>
            <w:pPr>
              <w:pStyle w:val="TableParagraph"/>
              <w:spacing w:line="227" w:lineRule="exact"/>
              <w:ind w:left="811"/>
              <w:rPr>
                <w:rFonts w:ascii="Arial"/>
                <w:b/>
                <w:sz w:val="20"/>
              </w:rPr>
            </w:pPr>
            <w:r>
              <w:rPr>
                <w:rFonts w:ascii="Arial"/>
                <w:b/>
                <w:color w:val="FFFFFF"/>
                <w:sz w:val="20"/>
              </w:rPr>
              <w:t>Tariff Classification(s)</w:t>
            </w:r>
          </w:p>
        </w:tc>
      </w:tr>
      <w:tr>
        <w:trPr>
          <w:trHeight w:val="233" w:hRule="atLeast"/>
        </w:trPr>
        <w:tc>
          <w:tcPr>
            <w:tcW w:w="2835" w:type="dxa"/>
            <w:tcBorders>
              <w:bottom w:val="nil"/>
            </w:tcBorders>
          </w:tcPr>
          <w:p>
            <w:pPr>
              <w:pStyle w:val="TableParagraph"/>
              <w:spacing w:line="213" w:lineRule="exact"/>
              <w:ind w:left="107"/>
              <w:rPr>
                <w:rFonts w:ascii="Arial"/>
                <w:sz w:val="20"/>
              </w:rPr>
            </w:pPr>
            <w:r>
              <w:rPr>
                <w:rFonts w:ascii="Arial"/>
                <w:sz w:val="20"/>
              </w:rPr>
              <w:t>Face Masks</w:t>
            </w:r>
          </w:p>
        </w:tc>
        <w:tc>
          <w:tcPr>
            <w:tcW w:w="1218" w:type="dxa"/>
            <w:tcBorders>
              <w:bottom w:val="nil"/>
              <w:right w:val="nil"/>
            </w:tcBorders>
          </w:tcPr>
          <w:p>
            <w:pPr>
              <w:pStyle w:val="TableParagraph"/>
              <w:spacing w:line="213" w:lineRule="exact"/>
              <w:ind w:left="88" w:right="83"/>
              <w:jc w:val="center"/>
              <w:rPr>
                <w:rFonts w:ascii="Arial"/>
                <w:sz w:val="20"/>
              </w:rPr>
            </w:pPr>
            <w:r>
              <w:rPr>
                <w:rFonts w:ascii="Arial"/>
                <w:sz w:val="20"/>
              </w:rPr>
              <w:t>4818.50.00</w:t>
            </w:r>
          </w:p>
        </w:tc>
        <w:tc>
          <w:tcPr>
            <w:tcW w:w="1234" w:type="dxa"/>
            <w:tcBorders>
              <w:left w:val="nil"/>
              <w:bottom w:val="nil"/>
              <w:right w:val="nil"/>
            </w:tcBorders>
          </w:tcPr>
          <w:p>
            <w:pPr>
              <w:pStyle w:val="TableParagraph"/>
              <w:spacing w:line="213" w:lineRule="exact"/>
              <w:ind w:left="114"/>
              <w:rPr>
                <w:rFonts w:ascii="Arial"/>
                <w:sz w:val="20"/>
              </w:rPr>
            </w:pPr>
            <w:r>
              <w:rPr>
                <w:rFonts w:ascii="Arial"/>
                <w:sz w:val="20"/>
              </w:rPr>
              <w:t>6307.90.10</w:t>
            </w:r>
          </w:p>
        </w:tc>
        <w:tc>
          <w:tcPr>
            <w:tcW w:w="1266" w:type="dxa"/>
            <w:tcBorders>
              <w:left w:val="nil"/>
              <w:bottom w:val="nil"/>
            </w:tcBorders>
          </w:tcPr>
          <w:p>
            <w:pPr>
              <w:pStyle w:val="TableParagraph"/>
              <w:spacing w:line="213" w:lineRule="exact"/>
              <w:ind w:left="110" w:right="110"/>
              <w:jc w:val="center"/>
              <w:rPr>
                <w:rFonts w:ascii="Arial"/>
                <w:sz w:val="20"/>
              </w:rPr>
            </w:pPr>
            <w:r>
              <w:rPr>
                <w:rFonts w:ascii="Arial"/>
                <w:sz w:val="20"/>
              </w:rPr>
              <w:t>6307.90.29</w:t>
            </w:r>
          </w:p>
        </w:tc>
      </w:tr>
      <w:tr>
        <w:trPr>
          <w:trHeight w:val="227" w:hRule="atLeast"/>
        </w:trPr>
        <w:tc>
          <w:tcPr>
            <w:tcW w:w="2835" w:type="dxa"/>
            <w:tcBorders>
              <w:top w:val="nil"/>
            </w:tcBorders>
          </w:tcPr>
          <w:p>
            <w:pPr>
              <w:pStyle w:val="TableParagraph"/>
              <w:rPr>
                <w:sz w:val="16"/>
              </w:rPr>
            </w:pPr>
          </w:p>
        </w:tc>
        <w:tc>
          <w:tcPr>
            <w:tcW w:w="1218" w:type="dxa"/>
            <w:tcBorders>
              <w:top w:val="nil"/>
              <w:right w:val="nil"/>
            </w:tcBorders>
          </w:tcPr>
          <w:p>
            <w:pPr>
              <w:pStyle w:val="TableParagraph"/>
              <w:spacing w:line="207" w:lineRule="exact"/>
              <w:ind w:left="88" w:right="83"/>
              <w:jc w:val="center"/>
              <w:rPr>
                <w:rFonts w:ascii="Arial"/>
                <w:sz w:val="20"/>
              </w:rPr>
            </w:pPr>
            <w:r>
              <w:rPr>
                <w:rFonts w:ascii="Arial"/>
                <w:sz w:val="20"/>
              </w:rPr>
              <w:t>6307.90.40</w:t>
            </w:r>
          </w:p>
        </w:tc>
        <w:tc>
          <w:tcPr>
            <w:tcW w:w="1234" w:type="dxa"/>
            <w:tcBorders>
              <w:top w:val="nil"/>
              <w:left w:val="nil"/>
              <w:right w:val="nil"/>
            </w:tcBorders>
          </w:tcPr>
          <w:p>
            <w:pPr>
              <w:pStyle w:val="TableParagraph"/>
              <w:spacing w:line="207" w:lineRule="exact"/>
              <w:ind w:left="114"/>
              <w:rPr>
                <w:rFonts w:ascii="Arial"/>
                <w:sz w:val="20"/>
              </w:rPr>
            </w:pPr>
            <w:r>
              <w:rPr>
                <w:rFonts w:ascii="Arial"/>
                <w:sz w:val="20"/>
              </w:rPr>
              <w:t>6307.90.99</w:t>
            </w:r>
          </w:p>
        </w:tc>
        <w:tc>
          <w:tcPr>
            <w:tcW w:w="1266" w:type="dxa"/>
            <w:tcBorders>
              <w:top w:val="nil"/>
              <w:left w:val="nil"/>
            </w:tcBorders>
          </w:tcPr>
          <w:p>
            <w:pPr>
              <w:pStyle w:val="TableParagraph"/>
              <w:rPr>
                <w:sz w:val="16"/>
              </w:rPr>
            </w:pPr>
          </w:p>
        </w:tc>
      </w:tr>
      <w:tr>
        <w:trPr>
          <w:trHeight w:val="230" w:hRule="atLeast"/>
        </w:trPr>
        <w:tc>
          <w:tcPr>
            <w:tcW w:w="2835" w:type="dxa"/>
          </w:tcPr>
          <w:p>
            <w:pPr>
              <w:pStyle w:val="TableParagraph"/>
              <w:spacing w:line="210" w:lineRule="exact"/>
              <w:ind w:left="107"/>
              <w:rPr>
                <w:rFonts w:ascii="Arial"/>
                <w:sz w:val="20"/>
              </w:rPr>
            </w:pPr>
            <w:r>
              <w:rPr>
                <w:rFonts w:ascii="Arial"/>
                <w:sz w:val="20"/>
              </w:rPr>
              <w:t>Gloves</w:t>
            </w:r>
          </w:p>
        </w:tc>
        <w:tc>
          <w:tcPr>
            <w:tcW w:w="1218" w:type="dxa"/>
            <w:tcBorders>
              <w:right w:val="nil"/>
            </w:tcBorders>
          </w:tcPr>
          <w:p>
            <w:pPr>
              <w:pStyle w:val="TableParagraph"/>
              <w:spacing w:line="210" w:lineRule="exact"/>
              <w:ind w:left="88" w:right="83"/>
              <w:jc w:val="center"/>
              <w:rPr>
                <w:rFonts w:ascii="Arial"/>
                <w:sz w:val="20"/>
              </w:rPr>
            </w:pPr>
            <w:r>
              <w:rPr>
                <w:rFonts w:ascii="Arial"/>
                <w:sz w:val="20"/>
              </w:rPr>
              <w:t>3926.20.29</w:t>
            </w:r>
          </w:p>
        </w:tc>
        <w:tc>
          <w:tcPr>
            <w:tcW w:w="1234" w:type="dxa"/>
            <w:tcBorders>
              <w:left w:val="nil"/>
              <w:right w:val="nil"/>
            </w:tcBorders>
          </w:tcPr>
          <w:p>
            <w:pPr>
              <w:pStyle w:val="TableParagraph"/>
              <w:spacing w:line="210" w:lineRule="exact"/>
              <w:ind w:left="114"/>
              <w:rPr>
                <w:rFonts w:ascii="Arial"/>
                <w:sz w:val="20"/>
              </w:rPr>
            </w:pPr>
            <w:r>
              <w:rPr>
                <w:rFonts w:ascii="Arial"/>
                <w:sz w:val="20"/>
              </w:rPr>
              <w:t>4015.11.00</w:t>
            </w:r>
          </w:p>
        </w:tc>
        <w:tc>
          <w:tcPr>
            <w:tcW w:w="1266" w:type="dxa"/>
            <w:tcBorders>
              <w:left w:val="nil"/>
            </w:tcBorders>
          </w:tcPr>
          <w:p>
            <w:pPr>
              <w:pStyle w:val="TableParagraph"/>
              <w:spacing w:line="210" w:lineRule="exact"/>
              <w:ind w:left="110" w:right="110"/>
              <w:jc w:val="center"/>
              <w:rPr>
                <w:rFonts w:ascii="Arial"/>
                <w:sz w:val="20"/>
              </w:rPr>
            </w:pPr>
            <w:r>
              <w:rPr>
                <w:rFonts w:ascii="Arial"/>
                <w:sz w:val="20"/>
              </w:rPr>
              <w:t>4015.19.90</w:t>
            </w:r>
          </w:p>
        </w:tc>
      </w:tr>
      <w:tr>
        <w:trPr>
          <w:trHeight w:val="233" w:hRule="atLeast"/>
        </w:trPr>
        <w:tc>
          <w:tcPr>
            <w:tcW w:w="2835" w:type="dxa"/>
            <w:tcBorders>
              <w:bottom w:val="nil"/>
            </w:tcBorders>
          </w:tcPr>
          <w:p>
            <w:pPr>
              <w:pStyle w:val="TableParagraph"/>
              <w:spacing w:line="214" w:lineRule="exact"/>
              <w:ind w:left="107"/>
              <w:rPr>
                <w:rFonts w:ascii="Arial"/>
                <w:sz w:val="20"/>
              </w:rPr>
            </w:pPr>
            <w:r>
              <w:rPr>
                <w:rFonts w:ascii="Arial"/>
                <w:sz w:val="20"/>
              </w:rPr>
              <w:t>Gowns/clothes</w:t>
            </w:r>
          </w:p>
        </w:tc>
        <w:tc>
          <w:tcPr>
            <w:tcW w:w="1218" w:type="dxa"/>
            <w:tcBorders>
              <w:bottom w:val="nil"/>
              <w:right w:val="nil"/>
            </w:tcBorders>
          </w:tcPr>
          <w:p>
            <w:pPr>
              <w:pStyle w:val="TableParagraph"/>
              <w:spacing w:line="214" w:lineRule="exact"/>
              <w:ind w:left="88" w:right="83"/>
              <w:jc w:val="center"/>
              <w:rPr>
                <w:rFonts w:ascii="Arial"/>
                <w:sz w:val="20"/>
              </w:rPr>
            </w:pPr>
            <w:r>
              <w:rPr>
                <w:rFonts w:ascii="Arial"/>
                <w:sz w:val="20"/>
              </w:rPr>
              <w:t>3926.20.21</w:t>
            </w:r>
          </w:p>
        </w:tc>
        <w:tc>
          <w:tcPr>
            <w:tcW w:w="1234" w:type="dxa"/>
            <w:tcBorders>
              <w:left w:val="nil"/>
              <w:bottom w:val="nil"/>
              <w:right w:val="nil"/>
            </w:tcBorders>
          </w:tcPr>
          <w:p>
            <w:pPr>
              <w:pStyle w:val="TableParagraph"/>
              <w:spacing w:line="214" w:lineRule="exact"/>
              <w:ind w:left="114"/>
              <w:rPr>
                <w:rFonts w:ascii="Arial"/>
                <w:sz w:val="20"/>
              </w:rPr>
            </w:pPr>
            <w:r>
              <w:rPr>
                <w:rFonts w:ascii="Arial"/>
                <w:sz w:val="20"/>
              </w:rPr>
              <w:t>4015.90.21</w:t>
            </w:r>
          </w:p>
        </w:tc>
        <w:tc>
          <w:tcPr>
            <w:tcW w:w="1266" w:type="dxa"/>
            <w:tcBorders>
              <w:left w:val="nil"/>
              <w:bottom w:val="nil"/>
            </w:tcBorders>
          </w:tcPr>
          <w:p>
            <w:pPr>
              <w:pStyle w:val="TableParagraph"/>
              <w:spacing w:line="214" w:lineRule="exact"/>
              <w:ind w:left="110" w:right="110"/>
              <w:jc w:val="center"/>
              <w:rPr>
                <w:rFonts w:ascii="Arial"/>
                <w:sz w:val="20"/>
              </w:rPr>
            </w:pPr>
            <w:r>
              <w:rPr>
                <w:rFonts w:ascii="Arial"/>
                <w:sz w:val="20"/>
              </w:rPr>
              <w:t>4015.90.29</w:t>
            </w:r>
          </w:p>
        </w:tc>
      </w:tr>
      <w:tr>
        <w:trPr>
          <w:trHeight w:val="229" w:hRule="atLeast"/>
        </w:trPr>
        <w:tc>
          <w:tcPr>
            <w:tcW w:w="2835" w:type="dxa"/>
            <w:tcBorders>
              <w:top w:val="nil"/>
              <w:bottom w:val="nil"/>
            </w:tcBorders>
          </w:tcPr>
          <w:p>
            <w:pPr>
              <w:pStyle w:val="TableParagraph"/>
              <w:rPr>
                <w:sz w:val="16"/>
              </w:rPr>
            </w:pPr>
          </w:p>
        </w:tc>
        <w:tc>
          <w:tcPr>
            <w:tcW w:w="1218" w:type="dxa"/>
            <w:tcBorders>
              <w:top w:val="nil"/>
              <w:bottom w:val="nil"/>
              <w:right w:val="nil"/>
            </w:tcBorders>
          </w:tcPr>
          <w:p>
            <w:pPr>
              <w:pStyle w:val="TableParagraph"/>
              <w:spacing w:line="209" w:lineRule="exact"/>
              <w:ind w:left="88" w:right="83"/>
              <w:jc w:val="center"/>
              <w:rPr>
                <w:rFonts w:ascii="Arial"/>
                <w:sz w:val="20"/>
              </w:rPr>
            </w:pPr>
            <w:r>
              <w:rPr>
                <w:rFonts w:ascii="Arial"/>
                <w:sz w:val="20"/>
              </w:rPr>
              <w:t>4818.50.00</w:t>
            </w:r>
          </w:p>
        </w:tc>
        <w:tc>
          <w:tcPr>
            <w:tcW w:w="1234" w:type="dxa"/>
            <w:tcBorders>
              <w:top w:val="nil"/>
              <w:left w:val="nil"/>
              <w:bottom w:val="nil"/>
              <w:right w:val="nil"/>
            </w:tcBorders>
          </w:tcPr>
          <w:p>
            <w:pPr>
              <w:pStyle w:val="TableParagraph"/>
              <w:spacing w:line="209" w:lineRule="exact"/>
              <w:ind w:left="114"/>
              <w:rPr>
                <w:rFonts w:ascii="Arial"/>
                <w:sz w:val="20"/>
              </w:rPr>
            </w:pPr>
            <w:r>
              <w:rPr>
                <w:rFonts w:ascii="Arial"/>
                <w:sz w:val="20"/>
              </w:rPr>
              <w:t>6210.10.10</w:t>
            </w:r>
          </w:p>
        </w:tc>
        <w:tc>
          <w:tcPr>
            <w:tcW w:w="1266" w:type="dxa"/>
            <w:tcBorders>
              <w:top w:val="nil"/>
              <w:left w:val="nil"/>
              <w:bottom w:val="nil"/>
            </w:tcBorders>
          </w:tcPr>
          <w:p>
            <w:pPr>
              <w:pStyle w:val="TableParagraph"/>
              <w:spacing w:line="209" w:lineRule="exact"/>
              <w:ind w:left="110" w:right="110"/>
              <w:jc w:val="center"/>
              <w:rPr>
                <w:rFonts w:ascii="Arial"/>
                <w:sz w:val="20"/>
              </w:rPr>
            </w:pPr>
            <w:r>
              <w:rPr>
                <w:rFonts w:ascii="Arial"/>
                <w:sz w:val="20"/>
              </w:rPr>
              <w:t>6210.10.90</w:t>
            </w:r>
          </w:p>
        </w:tc>
      </w:tr>
      <w:tr>
        <w:trPr>
          <w:trHeight w:val="226" w:hRule="atLeast"/>
        </w:trPr>
        <w:tc>
          <w:tcPr>
            <w:tcW w:w="2835" w:type="dxa"/>
            <w:tcBorders>
              <w:top w:val="nil"/>
            </w:tcBorders>
          </w:tcPr>
          <w:p>
            <w:pPr>
              <w:pStyle w:val="TableParagraph"/>
              <w:rPr>
                <w:sz w:val="16"/>
              </w:rPr>
            </w:pPr>
          </w:p>
        </w:tc>
        <w:tc>
          <w:tcPr>
            <w:tcW w:w="1218" w:type="dxa"/>
            <w:tcBorders>
              <w:top w:val="nil"/>
              <w:right w:val="nil"/>
            </w:tcBorders>
          </w:tcPr>
          <w:p>
            <w:pPr>
              <w:pStyle w:val="TableParagraph"/>
              <w:spacing w:line="206" w:lineRule="exact"/>
              <w:ind w:left="88" w:right="83"/>
              <w:jc w:val="center"/>
              <w:rPr>
                <w:rFonts w:ascii="Arial"/>
                <w:sz w:val="20"/>
              </w:rPr>
            </w:pPr>
            <w:r>
              <w:rPr>
                <w:rFonts w:ascii="Arial"/>
                <w:sz w:val="20"/>
              </w:rPr>
              <w:t>6210.50.10</w:t>
            </w:r>
          </w:p>
        </w:tc>
        <w:tc>
          <w:tcPr>
            <w:tcW w:w="1234" w:type="dxa"/>
            <w:tcBorders>
              <w:top w:val="nil"/>
              <w:left w:val="nil"/>
              <w:right w:val="nil"/>
            </w:tcBorders>
          </w:tcPr>
          <w:p>
            <w:pPr>
              <w:pStyle w:val="TableParagraph"/>
              <w:spacing w:line="206" w:lineRule="exact"/>
              <w:ind w:left="114"/>
              <w:rPr>
                <w:rFonts w:ascii="Arial"/>
                <w:sz w:val="20"/>
              </w:rPr>
            </w:pPr>
            <w:r>
              <w:rPr>
                <w:rFonts w:ascii="Arial"/>
                <w:sz w:val="20"/>
              </w:rPr>
              <w:t>6210.50.90</w:t>
            </w:r>
          </w:p>
        </w:tc>
        <w:tc>
          <w:tcPr>
            <w:tcW w:w="1266" w:type="dxa"/>
            <w:tcBorders>
              <w:top w:val="nil"/>
              <w:left w:val="nil"/>
            </w:tcBorders>
          </w:tcPr>
          <w:p>
            <w:pPr>
              <w:pStyle w:val="TableParagraph"/>
              <w:rPr>
                <w:sz w:val="16"/>
              </w:rPr>
            </w:pPr>
          </w:p>
        </w:tc>
      </w:tr>
      <w:tr>
        <w:trPr>
          <w:trHeight w:val="460" w:hRule="atLeast"/>
        </w:trPr>
        <w:tc>
          <w:tcPr>
            <w:tcW w:w="2835" w:type="dxa"/>
          </w:tcPr>
          <w:p>
            <w:pPr>
              <w:pStyle w:val="TableParagraph"/>
              <w:spacing w:line="230" w:lineRule="exact" w:before="3"/>
              <w:ind w:left="107" w:right="96"/>
              <w:rPr>
                <w:rFonts w:ascii="Arial"/>
                <w:sz w:val="20"/>
              </w:rPr>
            </w:pPr>
            <w:r>
              <w:rPr>
                <w:rFonts w:ascii="Arial"/>
                <w:sz w:val="20"/>
              </w:rPr>
              <w:t>Goggles, glasses, eye visors, face shields</w:t>
            </w:r>
          </w:p>
        </w:tc>
        <w:tc>
          <w:tcPr>
            <w:tcW w:w="1218" w:type="dxa"/>
            <w:tcBorders>
              <w:right w:val="nil"/>
            </w:tcBorders>
          </w:tcPr>
          <w:p>
            <w:pPr>
              <w:pStyle w:val="TableParagraph"/>
              <w:spacing w:line="229" w:lineRule="exact"/>
              <w:ind w:left="88" w:right="83"/>
              <w:jc w:val="center"/>
              <w:rPr>
                <w:rFonts w:ascii="Arial"/>
                <w:sz w:val="20"/>
              </w:rPr>
            </w:pPr>
            <w:r>
              <w:rPr>
                <w:rFonts w:ascii="Arial"/>
                <w:sz w:val="20"/>
              </w:rPr>
              <w:t>3926.20.29</w:t>
            </w:r>
          </w:p>
        </w:tc>
        <w:tc>
          <w:tcPr>
            <w:tcW w:w="1234" w:type="dxa"/>
            <w:tcBorders>
              <w:left w:val="nil"/>
              <w:right w:val="nil"/>
            </w:tcBorders>
          </w:tcPr>
          <w:p>
            <w:pPr>
              <w:pStyle w:val="TableParagraph"/>
              <w:spacing w:line="229" w:lineRule="exact"/>
              <w:ind w:left="114"/>
              <w:rPr>
                <w:rFonts w:ascii="Arial"/>
                <w:sz w:val="20"/>
              </w:rPr>
            </w:pPr>
            <w:r>
              <w:rPr>
                <w:rFonts w:ascii="Arial"/>
                <w:sz w:val="20"/>
              </w:rPr>
              <w:t>3926.90.90</w:t>
            </w:r>
          </w:p>
        </w:tc>
        <w:tc>
          <w:tcPr>
            <w:tcW w:w="1266" w:type="dxa"/>
            <w:tcBorders>
              <w:left w:val="nil"/>
            </w:tcBorders>
          </w:tcPr>
          <w:p>
            <w:pPr>
              <w:pStyle w:val="TableParagraph"/>
              <w:spacing w:line="229" w:lineRule="exact"/>
              <w:ind w:left="110" w:right="110"/>
              <w:jc w:val="center"/>
              <w:rPr>
                <w:rFonts w:ascii="Arial"/>
                <w:sz w:val="20"/>
              </w:rPr>
            </w:pPr>
            <w:r>
              <w:rPr>
                <w:rFonts w:ascii="Arial"/>
                <w:sz w:val="20"/>
              </w:rPr>
              <w:t>9004.90.00</w:t>
            </w:r>
          </w:p>
        </w:tc>
      </w:tr>
      <w:tr>
        <w:trPr>
          <w:trHeight w:val="457" w:hRule="atLeast"/>
        </w:trPr>
        <w:tc>
          <w:tcPr>
            <w:tcW w:w="2835" w:type="dxa"/>
          </w:tcPr>
          <w:p>
            <w:pPr>
              <w:pStyle w:val="TableParagraph"/>
              <w:spacing w:line="230" w:lineRule="exact"/>
              <w:ind w:left="107" w:right="419"/>
              <w:rPr>
                <w:rFonts w:ascii="Arial"/>
                <w:sz w:val="20"/>
              </w:rPr>
            </w:pPr>
            <w:r>
              <w:rPr>
                <w:rFonts w:ascii="Arial"/>
                <w:sz w:val="20"/>
              </w:rPr>
              <w:t>Disinfectant preparations (excluding hand sanitiser)</w:t>
            </w:r>
          </w:p>
        </w:tc>
        <w:tc>
          <w:tcPr>
            <w:tcW w:w="3718" w:type="dxa"/>
            <w:gridSpan w:val="3"/>
          </w:tcPr>
          <w:p>
            <w:pPr>
              <w:pStyle w:val="TableParagraph"/>
              <w:spacing w:line="227" w:lineRule="exact"/>
              <w:ind w:left="110"/>
              <w:rPr>
                <w:rFonts w:ascii="Arial"/>
                <w:sz w:val="20"/>
              </w:rPr>
            </w:pPr>
            <w:r>
              <w:rPr>
                <w:rFonts w:ascii="Arial"/>
                <w:sz w:val="20"/>
              </w:rPr>
              <w:t>3808.94.00</w:t>
            </w:r>
          </w:p>
        </w:tc>
      </w:tr>
      <w:tr>
        <w:trPr>
          <w:trHeight w:val="228" w:hRule="atLeast"/>
        </w:trPr>
        <w:tc>
          <w:tcPr>
            <w:tcW w:w="2835" w:type="dxa"/>
          </w:tcPr>
          <w:p>
            <w:pPr>
              <w:pStyle w:val="TableParagraph"/>
              <w:spacing w:line="208" w:lineRule="exact"/>
              <w:ind w:left="107"/>
              <w:rPr>
                <w:rFonts w:ascii="Arial"/>
                <w:sz w:val="20"/>
              </w:rPr>
            </w:pPr>
            <w:r>
              <w:rPr>
                <w:rFonts w:ascii="Arial"/>
                <w:sz w:val="20"/>
              </w:rPr>
              <w:t>Soaps</w:t>
            </w:r>
          </w:p>
        </w:tc>
        <w:tc>
          <w:tcPr>
            <w:tcW w:w="1218" w:type="dxa"/>
            <w:tcBorders>
              <w:right w:val="nil"/>
            </w:tcBorders>
          </w:tcPr>
          <w:p>
            <w:pPr>
              <w:pStyle w:val="TableParagraph"/>
              <w:spacing w:line="208" w:lineRule="exact"/>
              <w:ind w:left="88" w:right="83"/>
              <w:jc w:val="center"/>
              <w:rPr>
                <w:rFonts w:ascii="Arial"/>
                <w:sz w:val="20"/>
              </w:rPr>
            </w:pPr>
            <w:r>
              <w:rPr>
                <w:rFonts w:ascii="Arial"/>
                <w:sz w:val="20"/>
              </w:rPr>
              <w:t>3401.11.00</w:t>
            </w:r>
          </w:p>
        </w:tc>
        <w:tc>
          <w:tcPr>
            <w:tcW w:w="1234" w:type="dxa"/>
            <w:tcBorders>
              <w:left w:val="nil"/>
              <w:right w:val="nil"/>
            </w:tcBorders>
          </w:tcPr>
          <w:p>
            <w:pPr>
              <w:pStyle w:val="TableParagraph"/>
              <w:spacing w:line="208" w:lineRule="exact"/>
              <w:ind w:left="114"/>
              <w:rPr>
                <w:rFonts w:ascii="Arial"/>
                <w:sz w:val="20"/>
              </w:rPr>
            </w:pPr>
            <w:r>
              <w:rPr>
                <w:rFonts w:ascii="Arial"/>
                <w:sz w:val="20"/>
              </w:rPr>
              <w:t>3401.19.00</w:t>
            </w:r>
          </w:p>
        </w:tc>
        <w:tc>
          <w:tcPr>
            <w:tcW w:w="1266" w:type="dxa"/>
            <w:tcBorders>
              <w:left w:val="nil"/>
            </w:tcBorders>
          </w:tcPr>
          <w:p>
            <w:pPr>
              <w:pStyle w:val="TableParagraph"/>
              <w:spacing w:line="208" w:lineRule="exact"/>
              <w:ind w:left="110" w:right="110"/>
              <w:jc w:val="center"/>
              <w:rPr>
                <w:rFonts w:ascii="Arial"/>
                <w:sz w:val="20"/>
              </w:rPr>
            </w:pPr>
            <w:r>
              <w:rPr>
                <w:rFonts w:ascii="Arial"/>
                <w:sz w:val="20"/>
              </w:rPr>
              <w:t>3401.20.00</w:t>
            </w:r>
          </w:p>
        </w:tc>
      </w:tr>
      <w:tr>
        <w:trPr>
          <w:trHeight w:val="233" w:hRule="atLeast"/>
        </w:trPr>
        <w:tc>
          <w:tcPr>
            <w:tcW w:w="2835" w:type="dxa"/>
            <w:tcBorders>
              <w:bottom w:val="nil"/>
            </w:tcBorders>
          </w:tcPr>
          <w:p>
            <w:pPr>
              <w:pStyle w:val="TableParagraph"/>
              <w:spacing w:line="213" w:lineRule="exact"/>
              <w:ind w:left="107"/>
              <w:rPr>
                <w:rFonts w:ascii="Arial"/>
                <w:sz w:val="20"/>
              </w:rPr>
            </w:pPr>
            <w:r>
              <w:rPr>
                <w:rFonts w:ascii="Arial"/>
                <w:sz w:val="20"/>
              </w:rPr>
              <w:t>COVID-19 test kits and</w:t>
            </w:r>
          </w:p>
        </w:tc>
        <w:tc>
          <w:tcPr>
            <w:tcW w:w="1218" w:type="dxa"/>
            <w:tcBorders>
              <w:bottom w:val="nil"/>
              <w:right w:val="nil"/>
            </w:tcBorders>
          </w:tcPr>
          <w:p>
            <w:pPr>
              <w:pStyle w:val="TableParagraph"/>
              <w:spacing w:line="213" w:lineRule="exact"/>
              <w:ind w:left="88" w:right="83"/>
              <w:jc w:val="center"/>
              <w:rPr>
                <w:rFonts w:ascii="Arial"/>
                <w:sz w:val="20"/>
              </w:rPr>
            </w:pPr>
            <w:r>
              <w:rPr>
                <w:rFonts w:ascii="Arial"/>
                <w:sz w:val="20"/>
              </w:rPr>
              <w:t>3002.15.10</w:t>
            </w:r>
          </w:p>
        </w:tc>
        <w:tc>
          <w:tcPr>
            <w:tcW w:w="1234" w:type="dxa"/>
            <w:tcBorders>
              <w:left w:val="nil"/>
              <w:bottom w:val="nil"/>
              <w:right w:val="nil"/>
            </w:tcBorders>
          </w:tcPr>
          <w:p>
            <w:pPr>
              <w:pStyle w:val="TableParagraph"/>
              <w:spacing w:line="213" w:lineRule="exact"/>
              <w:ind w:left="114"/>
              <w:rPr>
                <w:rFonts w:ascii="Arial"/>
                <w:sz w:val="20"/>
              </w:rPr>
            </w:pPr>
            <w:r>
              <w:rPr>
                <w:rFonts w:ascii="Arial"/>
                <w:sz w:val="20"/>
              </w:rPr>
              <w:t>3822.00.19</w:t>
            </w:r>
          </w:p>
        </w:tc>
        <w:tc>
          <w:tcPr>
            <w:tcW w:w="1266" w:type="dxa"/>
            <w:tcBorders>
              <w:left w:val="nil"/>
              <w:bottom w:val="nil"/>
            </w:tcBorders>
          </w:tcPr>
          <w:p>
            <w:pPr>
              <w:pStyle w:val="TableParagraph"/>
              <w:spacing w:line="213" w:lineRule="exact"/>
              <w:ind w:left="110" w:right="110"/>
              <w:jc w:val="center"/>
              <w:rPr>
                <w:rFonts w:ascii="Arial"/>
                <w:sz w:val="20"/>
              </w:rPr>
            </w:pPr>
            <w:r>
              <w:rPr>
                <w:rFonts w:ascii="Arial"/>
                <w:sz w:val="20"/>
              </w:rPr>
              <w:t>3822.00.20</w:t>
            </w:r>
          </w:p>
        </w:tc>
      </w:tr>
      <w:tr>
        <w:trPr>
          <w:trHeight w:val="227" w:hRule="atLeast"/>
        </w:trPr>
        <w:tc>
          <w:tcPr>
            <w:tcW w:w="2835" w:type="dxa"/>
            <w:tcBorders>
              <w:top w:val="nil"/>
            </w:tcBorders>
          </w:tcPr>
          <w:p>
            <w:pPr>
              <w:pStyle w:val="TableParagraph"/>
              <w:spacing w:line="207" w:lineRule="exact"/>
              <w:ind w:left="107"/>
              <w:rPr>
                <w:rFonts w:ascii="Arial"/>
                <w:sz w:val="20"/>
              </w:rPr>
            </w:pPr>
            <w:r>
              <w:rPr>
                <w:rFonts w:ascii="Arial"/>
                <w:sz w:val="20"/>
              </w:rPr>
              <w:t>reagents</w:t>
            </w:r>
          </w:p>
        </w:tc>
        <w:tc>
          <w:tcPr>
            <w:tcW w:w="1218" w:type="dxa"/>
            <w:tcBorders>
              <w:top w:val="nil"/>
              <w:right w:val="nil"/>
            </w:tcBorders>
          </w:tcPr>
          <w:p>
            <w:pPr>
              <w:pStyle w:val="TableParagraph"/>
              <w:spacing w:line="207" w:lineRule="exact"/>
              <w:ind w:left="88" w:right="83"/>
              <w:jc w:val="center"/>
              <w:rPr>
                <w:rFonts w:ascii="Arial"/>
                <w:sz w:val="20"/>
              </w:rPr>
            </w:pPr>
            <w:r>
              <w:rPr>
                <w:rFonts w:ascii="Arial"/>
                <w:sz w:val="20"/>
              </w:rPr>
              <w:t>3822.00.39</w:t>
            </w:r>
          </w:p>
        </w:tc>
        <w:tc>
          <w:tcPr>
            <w:tcW w:w="1234" w:type="dxa"/>
            <w:tcBorders>
              <w:top w:val="nil"/>
              <w:left w:val="nil"/>
              <w:right w:val="nil"/>
            </w:tcBorders>
          </w:tcPr>
          <w:p>
            <w:pPr>
              <w:pStyle w:val="TableParagraph"/>
              <w:spacing w:line="207" w:lineRule="exact"/>
              <w:ind w:left="114"/>
              <w:rPr>
                <w:rFonts w:ascii="Arial"/>
                <w:sz w:val="20"/>
              </w:rPr>
            </w:pPr>
            <w:r>
              <w:rPr>
                <w:rFonts w:ascii="Arial"/>
                <w:sz w:val="20"/>
              </w:rPr>
              <w:t>3822.00.40</w:t>
            </w:r>
          </w:p>
        </w:tc>
        <w:tc>
          <w:tcPr>
            <w:tcW w:w="1266" w:type="dxa"/>
            <w:tcBorders>
              <w:top w:val="nil"/>
              <w:left w:val="nil"/>
            </w:tcBorders>
          </w:tcPr>
          <w:p>
            <w:pPr>
              <w:pStyle w:val="TableParagraph"/>
              <w:rPr>
                <w:sz w:val="16"/>
              </w:rPr>
            </w:pPr>
          </w:p>
        </w:tc>
      </w:tr>
      <w:tr>
        <w:trPr>
          <w:trHeight w:val="230" w:hRule="atLeast"/>
        </w:trPr>
        <w:tc>
          <w:tcPr>
            <w:tcW w:w="2835" w:type="dxa"/>
          </w:tcPr>
          <w:p>
            <w:pPr>
              <w:pStyle w:val="TableParagraph"/>
              <w:spacing w:line="210" w:lineRule="exact"/>
              <w:ind w:left="107"/>
              <w:rPr>
                <w:rFonts w:ascii="Arial"/>
                <w:sz w:val="20"/>
              </w:rPr>
            </w:pPr>
            <w:r>
              <w:rPr>
                <w:rFonts w:ascii="Arial"/>
                <w:sz w:val="20"/>
              </w:rPr>
              <w:t>Viral transport media</w:t>
            </w:r>
          </w:p>
        </w:tc>
        <w:tc>
          <w:tcPr>
            <w:tcW w:w="3718" w:type="dxa"/>
            <w:gridSpan w:val="3"/>
          </w:tcPr>
          <w:p>
            <w:pPr>
              <w:pStyle w:val="TableParagraph"/>
              <w:spacing w:line="210" w:lineRule="exact"/>
              <w:ind w:left="110"/>
              <w:rPr>
                <w:rFonts w:ascii="Arial"/>
                <w:sz w:val="20"/>
              </w:rPr>
            </w:pPr>
            <w:r>
              <w:rPr>
                <w:rFonts w:ascii="Arial"/>
                <w:sz w:val="20"/>
              </w:rPr>
              <w:t>3821.00.10</w:t>
            </w:r>
          </w:p>
        </w:tc>
      </w:tr>
    </w:tbl>
    <w:p>
      <w:pPr>
        <w:pStyle w:val="BodyText"/>
        <w:spacing w:before="3"/>
        <w:rPr>
          <w:sz w:val="32"/>
        </w:rPr>
      </w:pPr>
    </w:p>
    <w:p>
      <w:pPr>
        <w:pStyle w:val="BodyText"/>
        <w:ind w:left="173"/>
      </w:pPr>
      <w:r>
        <w:rPr/>
        <w:t>Enquiries in relation to this Notice should be directed to </w:t>
      </w:r>
      <w:hyperlink r:id="rId12">
        <w:r>
          <w:rPr>
            <w:color w:val="082144"/>
            <w:u w:val="single" w:color="082144"/>
          </w:rPr>
          <w:t>tradepolicy1@abf.gov.au</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pStyle w:val="BodyText"/>
        <w:spacing w:before="1"/>
        <w:ind w:left="173"/>
      </w:pPr>
      <w:r>
        <w:rPr/>
        <w:t>[Signed]</w:t>
      </w:r>
    </w:p>
    <w:p>
      <w:pPr>
        <w:pStyle w:val="BodyText"/>
        <w:spacing w:line="324" w:lineRule="auto" w:before="79"/>
        <w:ind w:left="173" w:right="8580"/>
      </w:pPr>
      <w:r>
        <w:rPr/>
        <w:t>Matthew Duckworth Assistant Secretary</w:t>
      </w:r>
    </w:p>
    <w:p>
      <w:pPr>
        <w:pStyle w:val="BodyText"/>
        <w:spacing w:line="324" w:lineRule="auto" w:before="1"/>
        <w:ind w:left="173" w:right="7302"/>
      </w:pPr>
      <w:r>
        <w:rPr/>
        <w:t>Customs and Trade Policy Branch 29 April 2020</w:t>
      </w:r>
    </w:p>
    <w:p>
      <w:pPr>
        <w:spacing w:after="0" w:line="324" w:lineRule="auto"/>
        <w:sectPr>
          <w:pgSz w:w="11910" w:h="16840"/>
          <w:pgMar w:header="0" w:footer="800" w:top="1640" w:bottom="860" w:left="960" w:right="420"/>
        </w:sectPr>
      </w:pPr>
    </w:p>
    <w:p>
      <w:pPr>
        <w:pStyle w:val="Heading1"/>
      </w:pPr>
      <w:r>
        <w:rPr>
          <w:color w:val="082144"/>
        </w:rPr>
        <w:t>No. 2020/20 – Addendum</w:t>
      </w:r>
    </w:p>
    <w:p>
      <w:pPr>
        <w:pStyle w:val="Heading2"/>
        <w:ind w:right="844"/>
      </w:pPr>
      <w:r>
        <w:rPr>
          <w:color w:val="956D23"/>
        </w:rPr>
        <w:t>Clarification on ACN 2020/20</w:t>
      </w:r>
    </w:p>
    <w:p>
      <w:pPr>
        <w:pStyle w:val="BodyText"/>
        <w:spacing w:before="355"/>
        <w:ind w:left="173" w:right="388"/>
      </w:pPr>
      <w:r>
        <w:rPr/>
        <w:t>Concessional Item 57 has been designed to be as broad as possible to ensure relevant goods required to respond to the current COVID-19 pandemic can be imported free of customs duty. Goods covered by the concession need to be of a kind that would be commonly accepted as being able to fulfil the criteria set out in parts (a) and (b) of Item 57 and part 3 of by-law No. 2019608</w:t>
      </w:r>
      <w:r>
        <w:rPr>
          <w:color w:val="1F487C"/>
        </w:rPr>
        <w:t>.</w:t>
      </w:r>
    </w:p>
    <w:p>
      <w:pPr>
        <w:pStyle w:val="BodyText"/>
        <w:spacing w:before="9"/>
        <w:rPr>
          <w:sz w:val="19"/>
        </w:rPr>
      </w:pPr>
    </w:p>
    <w:p>
      <w:pPr>
        <w:pStyle w:val="BodyText"/>
        <w:ind w:left="173" w:right="799"/>
      </w:pPr>
      <w:r>
        <w:rPr/>
        <w:t>It is it </w:t>
      </w:r>
      <w:r>
        <w:rPr>
          <w:b/>
        </w:rPr>
        <w:t>not </w:t>
      </w:r>
      <w:r>
        <w:rPr/>
        <w:t>a requirement that goods be approved by the Therapeutic Goods Administration (TGA) in order to be eligible for the concession. The ABF acknowledges that there may be some ambiguity as to what goods are covered by Item 57 and the by-law, particularly personal protective equipment items listed in Part 3(a) of the by-law. In applying the criteria specified in Item 57 and the by-law, the ABF expects importers to apply a common sense approach.</w:t>
      </w:r>
    </w:p>
    <w:p>
      <w:pPr>
        <w:pStyle w:val="BodyText"/>
        <w:spacing w:before="2"/>
      </w:pPr>
    </w:p>
    <w:p>
      <w:pPr>
        <w:pStyle w:val="BodyText"/>
        <w:ind w:left="173" w:right="742"/>
      </w:pPr>
      <w:r>
        <w:rPr/>
        <w:t>ACN 2020/20 provides a non-exhaustive list of tariff classifications to help identify prescribed goods. Some goods classified to the subheadings in this list will not be eligible, as they do not satisfy the criteria of Item 57 and the by-law. Equally, there may be other goods classified to subheadings not listed that will be eligible for concessional treatment under Item 57.</w:t>
      </w:r>
    </w:p>
    <w:p>
      <w:pPr>
        <w:pStyle w:val="BodyText"/>
      </w:pPr>
    </w:p>
    <w:p>
      <w:pPr>
        <w:pStyle w:val="BodyText"/>
        <w:ind w:left="173" w:right="1032"/>
      </w:pPr>
      <w:r>
        <w:rPr/>
        <w:t>All importers must be able to provide a justification that the goods claimed under Item 57 meet the criteria specified in the item and prescribed by-law, if requested to do so by the Australian Border Force.</w:t>
      </w:r>
    </w:p>
    <w:p>
      <w:pPr>
        <w:pStyle w:val="BodyText"/>
        <w:rPr>
          <w:sz w:val="22"/>
        </w:rPr>
      </w:pPr>
    </w:p>
    <w:p>
      <w:pPr>
        <w:pStyle w:val="BodyText"/>
        <w:spacing w:before="137"/>
        <w:ind w:left="173"/>
      </w:pPr>
      <w:r>
        <w:rPr/>
        <w:t>Enquiries in relation to ACN 2020/20 or this Notice should be directed to </w:t>
      </w:r>
      <w:hyperlink r:id="rId12">
        <w:r>
          <w:rPr/>
          <w:t>tradepolicy1@abf.gov.au.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pStyle w:val="BodyText"/>
        <w:ind w:left="173"/>
      </w:pPr>
      <w:r>
        <w:rPr/>
        <w:t>[Signed]</w:t>
      </w:r>
    </w:p>
    <w:p>
      <w:pPr>
        <w:pStyle w:val="BodyText"/>
        <w:spacing w:line="324" w:lineRule="auto" w:before="79"/>
        <w:ind w:left="173" w:right="8580"/>
      </w:pPr>
      <w:r>
        <w:rPr/>
        <w:t>Matthew Duckworth Assistant Secretary</w:t>
      </w:r>
    </w:p>
    <w:p>
      <w:pPr>
        <w:pStyle w:val="BodyText"/>
        <w:spacing w:line="324" w:lineRule="auto"/>
        <w:ind w:left="173" w:right="7302"/>
      </w:pPr>
      <w:r>
        <w:rPr/>
        <w:t>Customs and Trade Policy Branch 4 May 2020</w:t>
      </w:r>
    </w:p>
    <w:p>
      <w:pPr>
        <w:spacing w:after="0" w:line="324" w:lineRule="auto"/>
        <w:sectPr>
          <w:pgSz w:w="11910" w:h="16840"/>
          <w:pgMar w:header="1150" w:footer="663" w:top="3860" w:bottom="1000" w:left="960" w:right="420"/>
        </w:sectPr>
      </w:pPr>
    </w:p>
    <w:p>
      <w:pPr>
        <w:pStyle w:val="BodyText"/>
      </w:pPr>
    </w:p>
    <w:p>
      <w:pPr>
        <w:pStyle w:val="Heading2"/>
        <w:spacing w:before="267"/>
        <w:ind w:left="892"/>
      </w:pPr>
      <w:r>
        <w:rPr>
          <w:color w:val="956D23"/>
        </w:rPr>
        <w:t>Attachment A (Customs Tariff Working Pages)</w:t>
      </w:r>
    </w:p>
    <w:p>
      <w:pPr>
        <w:spacing w:after="0"/>
        <w:sectPr>
          <w:headerReference w:type="even" r:id="rId13"/>
          <w:footerReference w:type="even" r:id="rId14"/>
          <w:footerReference w:type="default" r:id="rId15"/>
          <w:pgSz w:w="11910" w:h="16840"/>
          <w:pgMar w:header="1150" w:footer="663" w:top="1640" w:bottom="860" w:left="960" w:right="420"/>
        </w:sectPr>
      </w:pPr>
    </w:p>
    <w:p>
      <w:pPr>
        <w:spacing w:line="348" w:lineRule="auto" w:before="78"/>
        <w:ind w:left="4328" w:right="4079" w:firstLine="0"/>
        <w:jc w:val="center"/>
        <w:rPr>
          <w:b/>
          <w:sz w:val="24"/>
        </w:rPr>
      </w:pPr>
      <w:r>
        <w:rPr>
          <w:b/>
          <w:sz w:val="24"/>
        </w:rPr>
        <w:t>CUSTOMS TARIFF SCHEDULE 4</w:t>
      </w:r>
    </w:p>
    <w:p>
      <w:pPr>
        <w:spacing w:line="275" w:lineRule="exact" w:before="0"/>
        <w:ind w:left="276" w:right="27" w:firstLine="0"/>
        <w:jc w:val="center"/>
        <w:rPr>
          <w:b/>
          <w:sz w:val="24"/>
        </w:rPr>
      </w:pPr>
      <w:r>
        <w:rPr>
          <w:b/>
          <w:sz w:val="24"/>
        </w:rPr>
        <w:t>CONCESSIONAL RATES OF DUTY</w:t>
      </w:r>
    </w:p>
    <w:p>
      <w:pPr>
        <w:tabs>
          <w:tab w:pos="9124" w:val="left" w:leader="none"/>
        </w:tabs>
        <w:spacing w:before="164"/>
        <w:ind w:left="605" w:right="0" w:firstLine="0"/>
        <w:jc w:val="left"/>
        <w:rPr>
          <w:rFonts w:ascii="Arial Narrow"/>
          <w:b/>
          <w:sz w:val="20"/>
        </w:rPr>
      </w:pPr>
      <w:r>
        <w:rPr>
          <w:rFonts w:ascii="Arial Narrow"/>
          <w:b/>
          <w:sz w:val="20"/>
        </w:rPr>
        <w:t>R.1</w:t>
        <w:tab/>
        <w:t>Schedule</w:t>
      </w:r>
      <w:r>
        <w:rPr>
          <w:rFonts w:ascii="Arial Narrow"/>
          <w:b/>
          <w:spacing w:val="-2"/>
          <w:sz w:val="20"/>
        </w:rPr>
        <w:t> </w:t>
      </w:r>
      <w:r>
        <w:rPr>
          <w:rFonts w:ascii="Arial Narrow"/>
          <w:b/>
          <w:sz w:val="20"/>
        </w:rPr>
        <w:t>4/23</w:t>
      </w:r>
    </w:p>
    <w:p>
      <w:pPr>
        <w:pStyle w:val="BodyText"/>
        <w:spacing w:line="20" w:lineRule="exact"/>
        <w:ind w:left="605"/>
        <w:rPr>
          <w:rFonts w:ascii="Arial Narrow"/>
          <w:sz w:val="2"/>
        </w:rPr>
      </w:pPr>
      <w:r>
        <w:rPr>
          <w:rFonts w:ascii="Arial Narrow"/>
          <w:sz w:val="2"/>
        </w:rPr>
        <w:pict>
          <v:group style="width:479.65pt;height:.75pt;mso-position-horizontal-relative:char;mso-position-vertical-relative:line" coordorigin="0,0" coordsize="9593,15">
            <v:shape style="position:absolute;left:0;top:0;width:9593;height:15" coordorigin="0,0" coordsize="9593,15" path="m2268,0l1291,0,1277,0,581,0,566,0,566,0,0,0,0,14,566,14,566,14,581,14,1277,14,1291,14,2268,14,2268,0xm9592,0l8274,0,8260,0,3418,0,3404,0,2283,0,2269,0,2269,14,2283,14,3404,14,3418,14,8260,14,8274,14,9592,14,9592,0xe" filled="true" fillcolor="#000000" stroked="false">
              <v:path arrowok="t"/>
              <v:fill type="solid"/>
            </v:shape>
          </v:group>
        </w:pict>
      </w:r>
      <w:r>
        <w:rPr>
          <w:rFonts w:ascii="Arial Narrow"/>
          <w:sz w:val="2"/>
        </w:rPr>
      </w:r>
    </w:p>
    <w:p>
      <w:pPr>
        <w:spacing w:after="0" w:line="20" w:lineRule="exact"/>
        <w:rPr>
          <w:rFonts w:ascii="Arial Narrow"/>
          <w:sz w:val="2"/>
        </w:rPr>
        <w:sectPr>
          <w:headerReference w:type="default" r:id="rId16"/>
          <w:pgSz w:w="11910" w:h="16840"/>
          <w:pgMar w:header="0" w:footer="612" w:top="600" w:bottom="800" w:left="960" w:right="420"/>
        </w:sectPr>
      </w:pPr>
    </w:p>
    <w:p>
      <w:pPr>
        <w:tabs>
          <w:tab w:pos="1279" w:val="left" w:leader="none"/>
        </w:tabs>
        <w:spacing w:before="49"/>
        <w:ind w:left="1279" w:right="0" w:hanging="567"/>
        <w:jc w:val="left"/>
        <w:rPr>
          <w:rFonts w:ascii="Arial Narrow"/>
          <w:b/>
          <w:sz w:val="20"/>
        </w:rPr>
      </w:pPr>
      <w:r>
        <w:rPr>
          <w:rFonts w:ascii="Arial Narrow"/>
          <w:b/>
          <w:sz w:val="20"/>
        </w:rPr>
        <w:t>Item</w:t>
        <w:tab/>
      </w:r>
      <w:r>
        <w:rPr>
          <w:rFonts w:ascii="Arial Narrow"/>
          <w:b/>
          <w:w w:val="95"/>
          <w:sz w:val="20"/>
        </w:rPr>
        <w:t>Treat- </w:t>
      </w:r>
      <w:r>
        <w:rPr>
          <w:rFonts w:ascii="Arial Narrow"/>
          <w:b/>
          <w:sz w:val="20"/>
        </w:rPr>
        <w:t>ment</w:t>
      </w:r>
    </w:p>
    <w:p>
      <w:pPr>
        <w:spacing w:before="49"/>
        <w:ind w:left="215" w:right="0" w:firstLine="0"/>
        <w:jc w:val="left"/>
        <w:rPr>
          <w:rFonts w:ascii="Arial Narrow"/>
          <w:b/>
          <w:sz w:val="20"/>
        </w:rPr>
      </w:pPr>
      <w:r>
        <w:rPr/>
        <w:br w:type="column"/>
      </w:r>
      <w:r>
        <w:rPr>
          <w:rFonts w:ascii="Arial Narrow"/>
          <w:b/>
          <w:w w:val="95"/>
          <w:sz w:val="20"/>
        </w:rPr>
        <w:t>Refer- </w:t>
      </w:r>
      <w:r>
        <w:rPr>
          <w:rFonts w:ascii="Arial Narrow"/>
          <w:b/>
          <w:sz w:val="20"/>
        </w:rPr>
        <w:t>ence</w:t>
      </w:r>
    </w:p>
    <w:p>
      <w:pPr>
        <w:spacing w:before="49"/>
        <w:ind w:left="479" w:right="21" w:firstLine="0"/>
        <w:jc w:val="left"/>
        <w:rPr>
          <w:rFonts w:ascii="Arial Narrow"/>
          <w:b/>
          <w:sz w:val="20"/>
        </w:rPr>
      </w:pPr>
      <w:r>
        <w:rPr/>
        <w:br w:type="column"/>
      </w:r>
      <w:r>
        <w:rPr>
          <w:rFonts w:ascii="Arial Narrow"/>
          <w:b/>
          <w:sz w:val="20"/>
        </w:rPr>
        <w:t>Statistical Code/Unit</w:t>
      </w:r>
    </w:p>
    <w:p>
      <w:pPr>
        <w:pStyle w:val="BodyText"/>
        <w:spacing w:before="4"/>
        <w:rPr>
          <w:rFonts w:ascii="Arial Narrow"/>
          <w:b/>
          <w:sz w:val="24"/>
        </w:rPr>
      </w:pPr>
      <w:r>
        <w:rPr/>
        <w:br w:type="column"/>
      </w:r>
      <w:r>
        <w:rPr>
          <w:rFonts w:ascii="Arial Narrow"/>
          <w:b/>
          <w:sz w:val="24"/>
        </w:rPr>
      </w:r>
    </w:p>
    <w:p>
      <w:pPr>
        <w:tabs>
          <w:tab w:pos="4083" w:val="left" w:leader="none"/>
        </w:tabs>
        <w:spacing w:before="1"/>
        <w:ind w:left="713" w:right="0" w:firstLine="0"/>
        <w:jc w:val="left"/>
        <w:rPr>
          <w:rFonts w:ascii="Arial Narrow"/>
          <w:b/>
          <w:sz w:val="20"/>
        </w:rPr>
      </w:pPr>
      <w:r>
        <w:rPr>
          <w:rFonts w:ascii="Arial Narrow"/>
          <w:b/>
          <w:sz w:val="20"/>
        </w:rPr>
        <w:t>Description</w:t>
      </w:r>
      <w:r>
        <w:rPr>
          <w:rFonts w:ascii="Arial Narrow"/>
          <w:b/>
          <w:spacing w:val="-2"/>
          <w:sz w:val="20"/>
        </w:rPr>
        <w:t> </w:t>
      </w:r>
      <w:r>
        <w:rPr>
          <w:rFonts w:ascii="Arial Narrow"/>
          <w:b/>
          <w:sz w:val="20"/>
        </w:rPr>
        <w:t>of</w:t>
      </w:r>
      <w:r>
        <w:rPr>
          <w:rFonts w:ascii="Arial Narrow"/>
          <w:b/>
          <w:spacing w:val="-1"/>
          <w:sz w:val="20"/>
        </w:rPr>
        <w:t> </w:t>
      </w:r>
      <w:r>
        <w:rPr>
          <w:rFonts w:ascii="Arial Narrow"/>
          <w:b/>
          <w:sz w:val="20"/>
        </w:rPr>
        <w:t>Goods</w:t>
        <w:tab/>
        <w:t>Rate</w:t>
      </w:r>
      <w:r>
        <w:rPr>
          <w:rFonts w:ascii="Arial Narrow"/>
          <w:b/>
          <w:spacing w:val="-1"/>
          <w:sz w:val="20"/>
        </w:rPr>
        <w:t> </w:t>
      </w:r>
      <w:r>
        <w:rPr>
          <w:rFonts w:ascii="Arial Narrow"/>
          <w:b/>
          <w:sz w:val="20"/>
        </w:rPr>
        <w:t>#</w:t>
      </w:r>
    </w:p>
    <w:p>
      <w:pPr>
        <w:spacing w:after="0"/>
        <w:jc w:val="left"/>
        <w:rPr>
          <w:rFonts w:ascii="Arial Narrow"/>
          <w:sz w:val="20"/>
        </w:rPr>
        <w:sectPr>
          <w:type w:val="continuous"/>
          <w:pgSz w:w="11910" w:h="16840"/>
          <w:pgMar w:top="3860" w:bottom="1000" w:left="960" w:right="420"/>
          <w:cols w:num="4" w:equalWidth="0">
            <w:col w:w="1735" w:space="40"/>
            <w:col w:w="688" w:space="39"/>
            <w:col w:w="1295" w:space="1093"/>
            <w:col w:w="5640"/>
          </w:cols>
        </w:sectPr>
      </w:pPr>
    </w:p>
    <w:p>
      <w:pPr>
        <w:tabs>
          <w:tab w:pos="1279" w:val="left" w:leader="none"/>
          <w:tab w:pos="1989" w:val="left" w:leader="none"/>
          <w:tab w:pos="2981" w:val="left" w:leader="none"/>
          <w:tab w:pos="10197" w:val="left" w:leader="none"/>
        </w:tabs>
        <w:spacing w:before="1"/>
        <w:ind w:left="590" w:right="0" w:firstLine="0"/>
        <w:jc w:val="left"/>
        <w:rPr>
          <w:rFonts w:ascii="Arial Narrow"/>
          <w:b/>
          <w:sz w:val="20"/>
        </w:rPr>
      </w:pPr>
      <w:r>
        <w:rPr>
          <w:rFonts w:ascii="Arial Narrow"/>
          <w:b/>
          <w:w w:val="99"/>
          <w:sz w:val="20"/>
          <w:u w:val="single"/>
        </w:rPr>
        <w:t> </w:t>
      </w:r>
      <w:r>
        <w:rPr>
          <w:rFonts w:ascii="Arial Narrow"/>
          <w:b/>
          <w:sz w:val="20"/>
          <w:u w:val="single"/>
        </w:rPr>
        <w:tab/>
        <w:t>Code</w:t>
        <w:tab/>
        <w:t>Number</w:t>
        <w:tab/>
        <w:t>of</w:t>
      </w:r>
      <w:r>
        <w:rPr>
          <w:rFonts w:ascii="Arial Narrow"/>
          <w:b/>
          <w:spacing w:val="-5"/>
          <w:sz w:val="20"/>
          <w:u w:val="single"/>
        </w:rPr>
        <w:t> </w:t>
      </w:r>
      <w:r>
        <w:rPr>
          <w:rFonts w:ascii="Arial Narrow"/>
          <w:b/>
          <w:sz w:val="20"/>
          <w:u w:val="single"/>
        </w:rPr>
        <w:t>Quantity</w:t>
        <w:tab/>
      </w:r>
    </w:p>
    <w:p>
      <w:pPr>
        <w:pStyle w:val="BodyText"/>
        <w:spacing w:before="9"/>
        <w:rPr>
          <w:rFonts w:ascii="Arial Narrow"/>
          <w:b/>
          <w:sz w:val="2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1035"/>
        <w:gridCol w:w="1152"/>
        <w:gridCol w:w="961"/>
        <w:gridCol w:w="4877"/>
        <w:gridCol w:w="853"/>
      </w:tblGrid>
      <w:tr>
        <w:trPr>
          <w:trHeight w:val="721" w:hRule="atLeast"/>
        </w:trPr>
        <w:tc>
          <w:tcPr>
            <w:tcW w:w="561" w:type="dxa"/>
          </w:tcPr>
          <w:p>
            <w:pPr>
              <w:pStyle w:val="TableParagraph"/>
              <w:rPr>
                <w:sz w:val="20"/>
              </w:rPr>
            </w:pPr>
          </w:p>
        </w:tc>
        <w:tc>
          <w:tcPr>
            <w:tcW w:w="1035" w:type="dxa"/>
          </w:tcPr>
          <w:p>
            <w:pPr>
              <w:pStyle w:val="TableParagraph"/>
              <w:spacing w:line="221" w:lineRule="exact"/>
              <w:ind w:left="32"/>
              <w:rPr>
                <w:b/>
                <w:sz w:val="20"/>
              </w:rPr>
            </w:pPr>
            <w:r>
              <w:rPr>
                <w:b/>
                <w:sz w:val="20"/>
              </w:rPr>
              <w:t>56</w:t>
            </w:r>
          </w:p>
        </w:tc>
        <w:tc>
          <w:tcPr>
            <w:tcW w:w="1152" w:type="dxa"/>
          </w:tcPr>
          <w:p>
            <w:pPr>
              <w:pStyle w:val="TableParagraph"/>
              <w:rPr>
                <w:sz w:val="20"/>
              </w:rPr>
            </w:pPr>
          </w:p>
        </w:tc>
        <w:tc>
          <w:tcPr>
            <w:tcW w:w="961" w:type="dxa"/>
          </w:tcPr>
          <w:p>
            <w:pPr>
              <w:pStyle w:val="TableParagraph"/>
              <w:rPr>
                <w:sz w:val="20"/>
              </w:rPr>
            </w:pPr>
          </w:p>
        </w:tc>
        <w:tc>
          <w:tcPr>
            <w:tcW w:w="4877" w:type="dxa"/>
          </w:tcPr>
          <w:p>
            <w:pPr>
              <w:pStyle w:val="TableParagraph"/>
              <w:spacing w:before="34"/>
              <w:ind w:left="161"/>
              <w:rPr>
                <w:b/>
                <w:sz w:val="20"/>
              </w:rPr>
            </w:pPr>
            <w:r>
              <w:rPr>
                <w:b/>
                <w:sz w:val="20"/>
                <w:u w:val="single"/>
              </w:rPr>
              <w:t>Item 56 - Placebos for use in clinical trials</w:t>
            </w:r>
          </w:p>
          <w:p>
            <w:pPr>
              <w:pStyle w:val="TableParagraph"/>
              <w:spacing w:before="130"/>
              <w:ind w:left="161"/>
              <w:rPr>
                <w:b/>
                <w:sz w:val="20"/>
              </w:rPr>
            </w:pPr>
            <w:r>
              <w:rPr>
                <w:b/>
                <w:sz w:val="20"/>
              </w:rPr>
              <w:t>Goods in respect of which the following apply:</w:t>
            </w:r>
          </w:p>
        </w:tc>
        <w:tc>
          <w:tcPr>
            <w:tcW w:w="853" w:type="dxa"/>
          </w:tcPr>
          <w:p>
            <w:pPr>
              <w:pStyle w:val="TableParagraph"/>
              <w:rPr>
                <w:sz w:val="20"/>
              </w:rPr>
            </w:pPr>
          </w:p>
        </w:tc>
      </w:tr>
      <w:tr>
        <w:trPr>
          <w:trHeight w:val="2280" w:hRule="atLeast"/>
        </w:trPr>
        <w:tc>
          <w:tcPr>
            <w:tcW w:w="561" w:type="dxa"/>
          </w:tcPr>
          <w:p>
            <w:pPr>
              <w:pStyle w:val="TableParagraph"/>
              <w:rPr>
                <w:sz w:val="20"/>
              </w:rPr>
            </w:pPr>
          </w:p>
        </w:tc>
        <w:tc>
          <w:tcPr>
            <w:tcW w:w="1035" w:type="dxa"/>
          </w:tcPr>
          <w:p>
            <w:pPr>
              <w:pStyle w:val="TableParagraph"/>
              <w:rPr>
                <w:sz w:val="20"/>
              </w:rPr>
            </w:pPr>
          </w:p>
        </w:tc>
        <w:tc>
          <w:tcPr>
            <w:tcW w:w="1152"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135"/>
              <w:rPr>
                <w:sz w:val="20"/>
              </w:rPr>
            </w:pPr>
            <w:r>
              <w:rPr>
                <w:sz w:val="20"/>
              </w:rPr>
              <w:t>9999.40.56</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135"/>
              <w:rPr>
                <w:b/>
                <w:sz w:val="20"/>
              </w:rPr>
            </w:pPr>
            <w:r>
              <w:rPr>
                <w:b/>
                <w:w w:val="99"/>
                <w:sz w:val="20"/>
              </w:rPr>
              <w:t>*</w:t>
            </w:r>
          </w:p>
        </w:tc>
        <w:tc>
          <w:tcPr>
            <w:tcW w:w="961" w:type="dxa"/>
          </w:tcPr>
          <w:p>
            <w:pPr>
              <w:pStyle w:val="TableParagraph"/>
              <w:rPr>
                <w:rFonts w:ascii="Arial Narrow"/>
                <w:b/>
                <w:sz w:val="22"/>
              </w:rPr>
            </w:pPr>
          </w:p>
          <w:p>
            <w:pPr>
              <w:pStyle w:val="TableParagraph"/>
              <w:spacing w:before="11"/>
              <w:rPr>
                <w:rFonts w:ascii="Arial Narrow"/>
                <w:b/>
                <w:sz w:val="20"/>
              </w:rPr>
            </w:pPr>
          </w:p>
          <w:p>
            <w:pPr>
              <w:pStyle w:val="TableParagraph"/>
              <w:tabs>
                <w:tab w:pos="571" w:val="left" w:leader="none"/>
              </w:tabs>
              <w:ind w:left="118"/>
              <w:rPr>
                <w:i/>
                <w:sz w:val="20"/>
              </w:rPr>
            </w:pPr>
            <w:r>
              <w:rPr>
                <w:i/>
                <w:sz w:val="20"/>
              </w:rPr>
              <w:t>01</w:t>
              <w:tab/>
              <w:t>No</w:t>
            </w:r>
          </w:p>
        </w:tc>
        <w:tc>
          <w:tcPr>
            <w:tcW w:w="4877" w:type="dxa"/>
            <w:vMerge w:val="restart"/>
          </w:tcPr>
          <w:p>
            <w:pPr>
              <w:pStyle w:val="TableParagraph"/>
              <w:numPr>
                <w:ilvl w:val="0"/>
                <w:numId w:val="3"/>
              </w:numPr>
              <w:tabs>
                <w:tab w:pos="446" w:val="left" w:leader="none"/>
              </w:tabs>
              <w:spacing w:line="240" w:lineRule="auto" w:before="23" w:after="0"/>
              <w:ind w:left="445" w:right="0" w:hanging="285"/>
              <w:jc w:val="left"/>
              <w:rPr>
                <w:b/>
                <w:sz w:val="20"/>
              </w:rPr>
            </w:pPr>
            <w:r>
              <w:rPr>
                <w:b/>
                <w:sz w:val="20"/>
              </w:rPr>
              <w:t>either:</w:t>
            </w:r>
          </w:p>
          <w:p>
            <w:pPr>
              <w:pStyle w:val="TableParagraph"/>
              <w:numPr>
                <w:ilvl w:val="1"/>
                <w:numId w:val="3"/>
              </w:numPr>
              <w:tabs>
                <w:tab w:pos="946" w:val="left" w:leader="none"/>
              </w:tabs>
              <w:spacing w:line="249" w:lineRule="auto" w:before="125" w:after="0"/>
              <w:ind w:left="989" w:right="261" w:hanging="284"/>
              <w:jc w:val="left"/>
              <w:rPr>
                <w:b/>
                <w:sz w:val="20"/>
              </w:rPr>
            </w:pPr>
            <w:r>
              <w:rPr>
                <w:b/>
                <w:sz w:val="20"/>
              </w:rPr>
              <w:t>the goods are kits containing either or</w:t>
            </w:r>
            <w:r>
              <w:rPr>
                <w:b/>
                <w:spacing w:val="-14"/>
                <w:sz w:val="20"/>
              </w:rPr>
              <w:t> </w:t>
            </w:r>
            <w:r>
              <w:rPr>
                <w:b/>
                <w:sz w:val="20"/>
              </w:rPr>
              <w:t>both medicaments and placebos, the kits do not indicate whether their contents are medicaments or placebos, the kits are imported for use in a clinical trial in Australia and the kits satisfy the requirements prescribed by by-law;</w:t>
            </w:r>
            <w:r>
              <w:rPr>
                <w:b/>
                <w:spacing w:val="-4"/>
                <w:sz w:val="20"/>
              </w:rPr>
              <w:t> </w:t>
            </w:r>
            <w:r>
              <w:rPr>
                <w:b/>
                <w:sz w:val="20"/>
              </w:rPr>
              <w:t>or</w:t>
            </w:r>
          </w:p>
          <w:p>
            <w:pPr>
              <w:pStyle w:val="TableParagraph"/>
              <w:numPr>
                <w:ilvl w:val="1"/>
                <w:numId w:val="3"/>
              </w:numPr>
              <w:tabs>
                <w:tab w:pos="1001" w:val="left" w:leader="none"/>
              </w:tabs>
              <w:spacing w:line="249" w:lineRule="auto" w:before="7" w:after="0"/>
              <w:ind w:left="989" w:right="275" w:hanging="284"/>
              <w:jc w:val="left"/>
              <w:rPr>
                <w:b/>
                <w:sz w:val="20"/>
              </w:rPr>
            </w:pPr>
            <w:r>
              <w:rPr>
                <w:b/>
                <w:sz w:val="20"/>
              </w:rPr>
              <w:t>the goods are placebos imported for use</w:t>
            </w:r>
            <w:r>
              <w:rPr>
                <w:b/>
                <w:spacing w:val="-15"/>
                <w:sz w:val="20"/>
              </w:rPr>
              <w:t> </w:t>
            </w:r>
            <w:r>
              <w:rPr>
                <w:b/>
                <w:sz w:val="20"/>
              </w:rPr>
              <w:t>in a clinical trial in</w:t>
            </w:r>
            <w:r>
              <w:rPr>
                <w:b/>
                <w:spacing w:val="-3"/>
                <w:sz w:val="20"/>
              </w:rPr>
              <w:t> </w:t>
            </w:r>
            <w:r>
              <w:rPr>
                <w:b/>
                <w:sz w:val="20"/>
              </w:rPr>
              <w:t>Australia;</w:t>
            </w:r>
          </w:p>
          <w:p>
            <w:pPr>
              <w:pStyle w:val="TableParagraph"/>
              <w:numPr>
                <w:ilvl w:val="0"/>
                <w:numId w:val="3"/>
              </w:numPr>
              <w:tabs>
                <w:tab w:pos="449" w:val="left" w:leader="none"/>
              </w:tabs>
              <w:spacing w:line="196" w:lineRule="auto" w:before="116" w:after="0"/>
              <w:ind w:left="444" w:right="490" w:hanging="284"/>
              <w:jc w:val="left"/>
              <w:rPr>
                <w:b/>
                <w:sz w:val="18"/>
              </w:rPr>
            </w:pPr>
            <w:r>
              <w:rPr>
                <w:b/>
                <w:sz w:val="20"/>
              </w:rPr>
              <w:t>all requirements imposed by the laws of the Commonwealth, relating to the importation</w:t>
            </w:r>
            <w:r>
              <w:rPr>
                <w:b/>
                <w:spacing w:val="-14"/>
                <w:sz w:val="20"/>
              </w:rPr>
              <w:t> </w:t>
            </w:r>
            <w:r>
              <w:rPr>
                <w:b/>
                <w:sz w:val="20"/>
              </w:rPr>
              <w:t>of the goods, have been complied</w:t>
            </w:r>
            <w:r>
              <w:rPr>
                <w:b/>
                <w:spacing w:val="-2"/>
                <w:sz w:val="20"/>
              </w:rPr>
              <w:t> </w:t>
            </w:r>
            <w:r>
              <w:rPr>
                <w:b/>
                <w:sz w:val="20"/>
              </w:rPr>
              <w:t>with</w:t>
            </w:r>
          </w:p>
        </w:tc>
        <w:tc>
          <w:tcPr>
            <w:tcW w:w="853" w:type="dxa"/>
          </w:tcPr>
          <w:p>
            <w:pPr>
              <w:pStyle w:val="TableParagraph"/>
              <w:rPr>
                <w:rFonts w:ascii="Arial Narrow"/>
                <w:b/>
                <w:sz w:val="22"/>
              </w:rPr>
            </w:pPr>
          </w:p>
          <w:p>
            <w:pPr>
              <w:pStyle w:val="TableParagraph"/>
              <w:spacing w:before="11"/>
              <w:rPr>
                <w:rFonts w:ascii="Arial Narrow"/>
                <w:b/>
                <w:sz w:val="20"/>
              </w:rPr>
            </w:pPr>
          </w:p>
          <w:p>
            <w:pPr>
              <w:pStyle w:val="TableParagraph"/>
              <w:ind w:left="267"/>
              <w:rPr>
                <w:b/>
                <w:sz w:val="20"/>
              </w:rPr>
            </w:pPr>
            <w:r>
              <w:rPr>
                <w:b/>
                <w:sz w:val="20"/>
              </w:rPr>
              <w:t>Free</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9"/>
              <w:rPr>
                <w:rFonts w:ascii="Arial Narrow"/>
                <w:b/>
                <w:sz w:val="24"/>
              </w:rPr>
            </w:pPr>
          </w:p>
          <w:p>
            <w:pPr>
              <w:pStyle w:val="TableParagraph"/>
              <w:ind w:left="267"/>
              <w:rPr>
                <w:b/>
                <w:sz w:val="20"/>
              </w:rPr>
            </w:pPr>
            <w:r>
              <w:rPr>
                <w:b/>
                <w:sz w:val="20"/>
              </w:rPr>
              <w:t>Free</w:t>
            </w:r>
          </w:p>
        </w:tc>
      </w:tr>
      <w:tr>
        <w:trPr>
          <w:trHeight w:val="1248" w:hRule="atLeast"/>
        </w:trPr>
        <w:tc>
          <w:tcPr>
            <w:tcW w:w="561" w:type="dxa"/>
          </w:tcPr>
          <w:p>
            <w:pPr>
              <w:pStyle w:val="TableParagraph"/>
              <w:rPr>
                <w:sz w:val="20"/>
              </w:rPr>
            </w:pPr>
          </w:p>
        </w:tc>
        <w:tc>
          <w:tcPr>
            <w:tcW w:w="1035" w:type="dxa"/>
          </w:tcPr>
          <w:p>
            <w:pPr>
              <w:pStyle w:val="TableParagraph"/>
              <w:spacing w:before="30"/>
              <w:ind w:right="131"/>
              <w:jc w:val="right"/>
              <w:rPr>
                <w:sz w:val="20"/>
              </w:rPr>
            </w:pPr>
            <w:r>
              <w:rPr>
                <w:sz w:val="20"/>
              </w:rPr>
              <w:t>756</w:t>
            </w:r>
          </w:p>
        </w:tc>
        <w:tc>
          <w:tcPr>
            <w:tcW w:w="1152" w:type="dxa"/>
            <w:vMerge/>
            <w:tcBorders>
              <w:top w:val="nil"/>
            </w:tcBorders>
          </w:tcPr>
          <w:p>
            <w:pPr>
              <w:rPr>
                <w:sz w:val="2"/>
                <w:szCs w:val="2"/>
              </w:rPr>
            </w:pPr>
          </w:p>
        </w:tc>
        <w:tc>
          <w:tcPr>
            <w:tcW w:w="961" w:type="dxa"/>
          </w:tcPr>
          <w:p>
            <w:pPr>
              <w:pStyle w:val="TableParagraph"/>
              <w:rPr>
                <w:sz w:val="20"/>
              </w:rPr>
            </w:pPr>
          </w:p>
        </w:tc>
        <w:tc>
          <w:tcPr>
            <w:tcW w:w="4877" w:type="dxa"/>
            <w:vMerge/>
            <w:tcBorders>
              <w:top w:val="nil"/>
            </w:tcBorders>
          </w:tcPr>
          <w:p>
            <w:pPr>
              <w:rPr>
                <w:sz w:val="2"/>
                <w:szCs w:val="2"/>
              </w:rPr>
            </w:pPr>
          </w:p>
        </w:tc>
        <w:tc>
          <w:tcPr>
            <w:tcW w:w="853" w:type="dxa"/>
          </w:tcPr>
          <w:p>
            <w:pPr>
              <w:pStyle w:val="TableParagraph"/>
              <w:rPr>
                <w:sz w:val="20"/>
              </w:rPr>
            </w:pPr>
          </w:p>
        </w:tc>
      </w:tr>
      <w:tr>
        <w:trPr>
          <w:trHeight w:val="681" w:hRule="atLeast"/>
        </w:trPr>
        <w:tc>
          <w:tcPr>
            <w:tcW w:w="561" w:type="dxa"/>
          </w:tcPr>
          <w:p>
            <w:pPr>
              <w:pStyle w:val="TableParagraph"/>
              <w:spacing w:before="1"/>
              <w:rPr>
                <w:rFonts w:ascii="Arial Narrow"/>
                <w:b/>
                <w:sz w:val="26"/>
              </w:rPr>
            </w:pPr>
          </w:p>
          <w:p>
            <w:pPr>
              <w:pStyle w:val="TableParagraph"/>
              <w:ind w:left="200"/>
              <w:rPr>
                <w:rFonts w:ascii="Wingdings" w:hAnsi="Wingdings"/>
                <w:sz w:val="20"/>
              </w:rPr>
            </w:pPr>
            <w:r>
              <w:rPr>
                <w:rFonts w:ascii="Wingdings" w:hAnsi="Wingdings"/>
                <w:w w:val="99"/>
                <w:sz w:val="20"/>
              </w:rPr>
              <w:t></w:t>
            </w:r>
          </w:p>
        </w:tc>
        <w:tc>
          <w:tcPr>
            <w:tcW w:w="1035" w:type="dxa"/>
          </w:tcPr>
          <w:p>
            <w:pPr>
              <w:pStyle w:val="TableParagraph"/>
              <w:spacing w:before="5"/>
              <w:rPr>
                <w:rFonts w:ascii="Arial Narrow"/>
                <w:b/>
                <w:sz w:val="25"/>
              </w:rPr>
            </w:pPr>
          </w:p>
          <w:p>
            <w:pPr>
              <w:pStyle w:val="TableParagraph"/>
              <w:spacing w:before="1"/>
              <w:ind w:left="183"/>
              <w:rPr>
                <w:b/>
                <w:sz w:val="20"/>
              </w:rPr>
            </w:pPr>
            <w:r>
              <w:rPr>
                <w:b/>
                <w:sz w:val="20"/>
              </w:rPr>
              <w:t>57</w:t>
            </w:r>
          </w:p>
        </w:tc>
        <w:tc>
          <w:tcPr>
            <w:tcW w:w="1152" w:type="dxa"/>
          </w:tcPr>
          <w:p>
            <w:pPr>
              <w:pStyle w:val="TableParagraph"/>
              <w:rPr>
                <w:sz w:val="20"/>
              </w:rPr>
            </w:pPr>
          </w:p>
        </w:tc>
        <w:tc>
          <w:tcPr>
            <w:tcW w:w="961" w:type="dxa"/>
          </w:tcPr>
          <w:p>
            <w:pPr>
              <w:pStyle w:val="TableParagraph"/>
              <w:rPr>
                <w:sz w:val="20"/>
              </w:rPr>
            </w:pPr>
          </w:p>
        </w:tc>
        <w:tc>
          <w:tcPr>
            <w:tcW w:w="4877" w:type="dxa"/>
            <w:vMerge w:val="restart"/>
          </w:tcPr>
          <w:p>
            <w:pPr>
              <w:pStyle w:val="TableParagraph"/>
              <w:spacing w:before="8"/>
              <w:rPr>
                <w:rFonts w:ascii="Arial Narrow"/>
                <w:b/>
                <w:sz w:val="26"/>
              </w:rPr>
            </w:pPr>
          </w:p>
          <w:p>
            <w:pPr>
              <w:pStyle w:val="TableParagraph"/>
              <w:spacing w:line="249" w:lineRule="auto" w:before="1"/>
              <w:ind w:left="161" w:right="832"/>
              <w:rPr>
                <w:b/>
                <w:sz w:val="20"/>
              </w:rPr>
            </w:pPr>
            <w:r>
              <w:rPr>
                <w:b/>
                <w:sz w:val="20"/>
                <w:u w:val="single"/>
              </w:rPr>
              <w:t>Item 57 – Goods to be used in response to the</w:t>
            </w:r>
            <w:r>
              <w:rPr>
                <w:b/>
                <w:sz w:val="20"/>
              </w:rPr>
              <w:t> </w:t>
            </w:r>
            <w:r>
              <w:rPr>
                <w:b/>
                <w:sz w:val="20"/>
                <w:u w:val="single"/>
              </w:rPr>
              <w:t>COVID-19 pandemic</w:t>
            </w:r>
          </w:p>
          <w:p>
            <w:pPr>
              <w:pStyle w:val="TableParagraph"/>
              <w:spacing w:before="121"/>
              <w:ind w:left="161"/>
              <w:rPr>
                <w:b/>
                <w:sz w:val="20"/>
              </w:rPr>
            </w:pPr>
            <w:r>
              <w:rPr>
                <w:b/>
                <w:sz w:val="20"/>
              </w:rPr>
              <w:t>Goods, as prescribed by by-law, if:</w:t>
            </w:r>
          </w:p>
          <w:p>
            <w:pPr>
              <w:pStyle w:val="TableParagraph"/>
              <w:numPr>
                <w:ilvl w:val="0"/>
                <w:numId w:val="4"/>
              </w:numPr>
              <w:tabs>
                <w:tab w:pos="446" w:val="left" w:leader="none"/>
              </w:tabs>
              <w:spacing w:line="240" w:lineRule="auto" w:before="118" w:after="0"/>
              <w:ind w:left="444" w:right="835" w:hanging="284"/>
              <w:jc w:val="left"/>
              <w:rPr>
                <w:b/>
                <w:sz w:val="20"/>
              </w:rPr>
            </w:pPr>
            <w:r>
              <w:rPr>
                <w:b/>
                <w:sz w:val="20"/>
              </w:rPr>
              <w:t>the goods are medical products or</w:t>
            </w:r>
            <w:r>
              <w:rPr>
                <w:b/>
                <w:spacing w:val="-15"/>
                <w:sz w:val="20"/>
              </w:rPr>
              <w:t> </w:t>
            </w:r>
            <w:r>
              <w:rPr>
                <w:b/>
                <w:sz w:val="20"/>
              </w:rPr>
              <w:t>hygiene products;</w:t>
            </w:r>
            <w:r>
              <w:rPr>
                <w:b/>
                <w:spacing w:val="-1"/>
                <w:sz w:val="20"/>
              </w:rPr>
              <w:t> </w:t>
            </w:r>
            <w:r>
              <w:rPr>
                <w:b/>
                <w:sz w:val="20"/>
              </w:rPr>
              <w:t>and</w:t>
            </w:r>
          </w:p>
          <w:p>
            <w:pPr>
              <w:pStyle w:val="TableParagraph"/>
              <w:numPr>
                <w:ilvl w:val="0"/>
                <w:numId w:val="4"/>
              </w:numPr>
              <w:tabs>
                <w:tab w:pos="456" w:val="left" w:leader="none"/>
              </w:tabs>
              <w:spacing w:line="240" w:lineRule="auto" w:before="121" w:after="0"/>
              <w:ind w:left="444" w:right="318" w:hanging="284"/>
              <w:jc w:val="left"/>
              <w:rPr>
                <w:b/>
                <w:sz w:val="20"/>
              </w:rPr>
            </w:pPr>
            <w:r>
              <w:rPr>
                <w:b/>
                <w:sz w:val="20"/>
              </w:rPr>
              <w:t>the goods are capable of use in combating the novel coronavirus that causes the disease known as COVID-19;</w:t>
            </w:r>
            <w:r>
              <w:rPr>
                <w:b/>
                <w:spacing w:val="-2"/>
                <w:sz w:val="20"/>
              </w:rPr>
              <w:t> </w:t>
            </w:r>
            <w:r>
              <w:rPr>
                <w:b/>
                <w:sz w:val="20"/>
              </w:rPr>
              <w:t>and</w:t>
            </w:r>
          </w:p>
          <w:p>
            <w:pPr>
              <w:pStyle w:val="TableParagraph"/>
              <w:numPr>
                <w:ilvl w:val="0"/>
                <w:numId w:val="4"/>
              </w:numPr>
              <w:tabs>
                <w:tab w:pos="435" w:val="left" w:leader="none"/>
              </w:tabs>
              <w:spacing w:line="240" w:lineRule="atLeast" w:before="121" w:after="0"/>
              <w:ind w:left="456" w:right="414" w:hanging="296"/>
              <w:jc w:val="both"/>
              <w:rPr>
                <w:b/>
                <w:sz w:val="20"/>
              </w:rPr>
            </w:pPr>
            <w:r>
              <w:rPr>
                <w:b/>
                <w:sz w:val="20"/>
              </w:rPr>
              <w:t>the time for working out the rate of duty on</w:t>
            </w:r>
            <w:r>
              <w:rPr>
                <w:b/>
                <w:spacing w:val="-18"/>
                <w:sz w:val="20"/>
              </w:rPr>
              <w:t> </w:t>
            </w:r>
            <w:r>
              <w:rPr>
                <w:b/>
                <w:sz w:val="20"/>
              </w:rPr>
              <w:t>the goods is in the period beginning on 1 February 2020 and ending at the end of 31 July</w:t>
            </w:r>
            <w:r>
              <w:rPr>
                <w:b/>
                <w:spacing w:val="-7"/>
                <w:sz w:val="20"/>
              </w:rPr>
              <w:t> </w:t>
            </w:r>
            <w:r>
              <w:rPr>
                <w:b/>
                <w:sz w:val="20"/>
              </w:rPr>
              <w:t>2020</w:t>
            </w:r>
          </w:p>
        </w:tc>
        <w:tc>
          <w:tcPr>
            <w:tcW w:w="853" w:type="dxa"/>
          </w:tcPr>
          <w:p>
            <w:pPr>
              <w:pStyle w:val="TableParagraph"/>
              <w:rPr>
                <w:sz w:val="20"/>
              </w:rPr>
            </w:pPr>
          </w:p>
        </w:tc>
      </w:tr>
      <w:tr>
        <w:trPr>
          <w:trHeight w:val="2684" w:hRule="atLeast"/>
        </w:trPr>
        <w:tc>
          <w:tcPr>
            <w:tcW w:w="561" w:type="dxa"/>
          </w:tcPr>
          <w:p>
            <w:pPr>
              <w:pStyle w:val="TableParagraph"/>
              <w:rPr>
                <w:sz w:val="20"/>
              </w:rPr>
            </w:pPr>
          </w:p>
        </w:tc>
        <w:tc>
          <w:tcPr>
            <w:tcW w:w="1035" w:type="dxa"/>
          </w:tcPr>
          <w:p>
            <w:pPr>
              <w:pStyle w:val="TableParagraph"/>
              <w:spacing w:before="150"/>
              <w:ind w:right="131"/>
              <w:jc w:val="right"/>
              <w:rPr>
                <w:sz w:val="20"/>
              </w:rPr>
            </w:pPr>
            <w:r>
              <w:rPr>
                <w:sz w:val="20"/>
              </w:rPr>
              <w:t>757</w:t>
            </w:r>
          </w:p>
        </w:tc>
        <w:tc>
          <w:tcPr>
            <w:tcW w:w="1152" w:type="dxa"/>
          </w:tcPr>
          <w:p>
            <w:pPr>
              <w:pStyle w:val="TableParagraph"/>
              <w:rPr>
                <w:sz w:val="20"/>
              </w:rPr>
            </w:pPr>
          </w:p>
        </w:tc>
        <w:tc>
          <w:tcPr>
            <w:tcW w:w="961" w:type="dxa"/>
          </w:tcPr>
          <w:p>
            <w:pPr>
              <w:pStyle w:val="TableParagraph"/>
              <w:rPr>
                <w:sz w:val="20"/>
              </w:rPr>
            </w:pPr>
          </w:p>
        </w:tc>
        <w:tc>
          <w:tcPr>
            <w:tcW w:w="4877" w:type="dxa"/>
            <w:vMerge/>
            <w:tcBorders>
              <w:top w:val="nil"/>
            </w:tcBorders>
          </w:tcPr>
          <w:p>
            <w:pPr>
              <w:rPr>
                <w:sz w:val="2"/>
                <w:szCs w:val="2"/>
              </w:rPr>
            </w:pPr>
          </w:p>
        </w:tc>
        <w:tc>
          <w:tcPr>
            <w:tcW w:w="853" w:type="dxa"/>
          </w:tcPr>
          <w:p>
            <w:pPr>
              <w:pStyle w:val="TableParagraph"/>
              <w:spacing w:before="7"/>
              <w:rPr>
                <w:rFonts w:ascii="Arial Narrow"/>
                <w:b/>
                <w:sz w:val="23"/>
              </w:rPr>
            </w:pPr>
          </w:p>
          <w:p>
            <w:pPr>
              <w:pStyle w:val="TableParagraph"/>
              <w:ind w:left="267"/>
              <w:rPr>
                <w:b/>
                <w:sz w:val="20"/>
              </w:rPr>
            </w:pPr>
            <w:r>
              <w:rPr>
                <w:b/>
                <w:sz w:val="20"/>
              </w:rPr>
              <w:t>Free</w:t>
            </w:r>
          </w:p>
        </w:tc>
      </w:tr>
    </w:tbl>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spacing w:before="1"/>
        <w:rPr>
          <w:rFonts w:ascii="Arial Narrow"/>
          <w:b/>
          <w:sz w:val="18"/>
        </w:rPr>
      </w:pPr>
      <w:r>
        <w:rPr/>
        <w:pict>
          <v:rect style="position:absolute;margin-left:72.863998pt;margin-top:12.295566pt;width:489.1pt;height:.48004pt;mso-position-horizontal-relative:page;mso-position-vertical-relative:paragraph;z-index:-15728128;mso-wrap-distance-left:0;mso-wrap-distance-right:0" filled="true" fillcolor="#000000" stroked="false">
            <v:fill type="solid"/>
            <w10:wrap type="topAndBottom"/>
          </v:rect>
        </w:pict>
      </w:r>
    </w:p>
    <w:p>
      <w:pPr>
        <w:tabs>
          <w:tab w:pos="8555" w:val="left" w:leader="none"/>
        </w:tabs>
        <w:spacing w:line="211" w:lineRule="auto" w:before="27"/>
        <w:ind w:left="605" w:right="388" w:firstLine="0"/>
        <w:jc w:val="left"/>
        <w:rPr>
          <w:rFonts w:ascii="Arial Narrow" w:hAnsi="Arial Narrow"/>
          <w:b/>
          <w:sz w:val="20"/>
        </w:rPr>
      </w:pPr>
      <w:r>
        <w:rPr>
          <w:rFonts w:ascii="Arial Narrow" w:hAnsi="Arial Narrow"/>
          <w:b/>
          <w:sz w:val="20"/>
        </w:rPr>
        <w:t>* Enter under tariff classification and statistical key requirements in</w:t>
      </w:r>
      <w:r>
        <w:rPr>
          <w:rFonts w:ascii="Arial Narrow" w:hAnsi="Arial Narrow"/>
          <w:b/>
          <w:spacing w:val="-3"/>
          <w:sz w:val="20"/>
        </w:rPr>
        <w:t> </w:t>
      </w:r>
      <w:r>
        <w:rPr>
          <w:rFonts w:ascii="Arial Narrow" w:hAnsi="Arial Narrow"/>
          <w:b/>
          <w:sz w:val="20"/>
        </w:rPr>
        <w:t>Schedule</w:t>
      </w:r>
      <w:r>
        <w:rPr>
          <w:rFonts w:ascii="Arial Narrow" w:hAnsi="Arial Narrow"/>
          <w:b/>
          <w:spacing w:val="-3"/>
          <w:sz w:val="20"/>
        </w:rPr>
        <w:t> </w:t>
      </w:r>
      <w:r>
        <w:rPr>
          <w:rFonts w:ascii="Arial Narrow" w:hAnsi="Arial Narrow"/>
          <w:b/>
          <w:sz w:val="20"/>
        </w:rPr>
        <w:t>3.</w:t>
        <w:tab/>
      </w:r>
      <w:r>
        <w:rPr>
          <w:rFonts w:ascii="Wingdings" w:hAnsi="Wingdings"/>
          <w:sz w:val="20"/>
        </w:rPr>
        <w:t></w:t>
      </w:r>
      <w:r>
        <w:rPr>
          <w:rFonts w:ascii="Wingdings" w:hAnsi="Wingdings"/>
          <w:spacing w:val="-156"/>
          <w:sz w:val="20"/>
        </w:rPr>
        <w:t> </w:t>
      </w:r>
      <w:r>
        <w:rPr>
          <w:rFonts w:ascii="Arial Narrow" w:hAnsi="Arial Narrow"/>
          <w:b/>
          <w:sz w:val="20"/>
        </w:rPr>
        <w:t>Operative 30/4/20 # Unless otherwise indicated NZ, PG, FI, DC, LDC and SG rates are</w:t>
      </w:r>
      <w:r>
        <w:rPr>
          <w:rFonts w:ascii="Arial Narrow" w:hAnsi="Arial Narrow"/>
          <w:b/>
          <w:spacing w:val="-8"/>
          <w:sz w:val="20"/>
        </w:rPr>
        <w:t> </w:t>
      </w:r>
      <w:r>
        <w:rPr>
          <w:rFonts w:ascii="Arial Narrow" w:hAnsi="Arial Narrow"/>
          <w:b/>
          <w:sz w:val="20"/>
        </w:rPr>
        <w:t>Free.</w:t>
      </w:r>
    </w:p>
    <w:p>
      <w:pPr>
        <w:spacing w:line="190" w:lineRule="exact" w:before="0"/>
        <w:ind w:left="746" w:right="0" w:firstLine="0"/>
        <w:jc w:val="left"/>
        <w:rPr>
          <w:rFonts w:ascii="Arial Narrow"/>
          <w:b/>
          <w:sz w:val="20"/>
        </w:rPr>
      </w:pPr>
      <w:r>
        <w:rPr>
          <w:rFonts w:ascii="Arial Narrow"/>
          <w:b/>
          <w:sz w:val="20"/>
        </w:rPr>
        <w:t>Unless otherwise indicated general rate applies for CA.</w:t>
      </w:r>
    </w:p>
    <w:p>
      <w:pPr>
        <w:spacing w:line="211" w:lineRule="auto" w:before="8"/>
        <w:ind w:left="746" w:right="731" w:firstLine="0"/>
        <w:jc w:val="left"/>
        <w:rPr>
          <w:rFonts w:ascii="Arial Narrow"/>
          <w:b/>
          <w:sz w:val="20"/>
        </w:rPr>
      </w:pPr>
      <w:r>
        <w:rPr>
          <w:rFonts w:ascii="Arial Narrow"/>
          <w:b/>
          <w:sz w:val="20"/>
        </w:rPr>
        <w:t>Unless otherwise indicated rates for US, Thai, Chilean, AANZ, Malaysian, Korean, Japanese and Chinese originating goods are Free.</w:t>
      </w:r>
    </w:p>
    <w:p>
      <w:pPr>
        <w:spacing w:line="208" w:lineRule="auto" w:before="0"/>
        <w:ind w:left="746" w:right="2992" w:firstLine="0"/>
        <w:jc w:val="left"/>
        <w:rPr>
          <w:rFonts w:ascii="Arial Narrow"/>
          <w:b/>
          <w:sz w:val="20"/>
        </w:rPr>
      </w:pPr>
      <w:r>
        <w:rPr>
          <w:rFonts w:ascii="Arial Narrow"/>
          <w:b/>
          <w:sz w:val="20"/>
        </w:rPr>
        <w:t>DCS denotes the rate for countries and places listed in Part 4 of Schedule 1 to this Act. DCT denotes the rate for HK, KR, SG and TW.</w:t>
      </w:r>
    </w:p>
    <w:p>
      <w:pPr>
        <w:spacing w:after="0" w:line="208" w:lineRule="auto"/>
        <w:jc w:val="left"/>
        <w:rPr>
          <w:rFonts w:ascii="Arial Narrow"/>
          <w:sz w:val="20"/>
        </w:rPr>
        <w:sectPr>
          <w:type w:val="continuous"/>
          <w:pgSz w:w="11910" w:h="16840"/>
          <w:pgMar w:top="3860" w:bottom="1000" w:left="960" w:right="420"/>
        </w:sectPr>
      </w:pPr>
    </w:p>
    <w:p>
      <w:pPr>
        <w:spacing w:line="348" w:lineRule="auto" w:before="78"/>
        <w:ind w:left="4328" w:right="4079" w:firstLine="0"/>
        <w:jc w:val="center"/>
        <w:rPr>
          <w:b/>
          <w:sz w:val="24"/>
        </w:rPr>
      </w:pPr>
      <w:r>
        <w:rPr>
          <w:b/>
          <w:sz w:val="24"/>
        </w:rPr>
        <w:t>CUSTOMS TARIFF SCHEDULE 4</w:t>
      </w:r>
    </w:p>
    <w:p>
      <w:pPr>
        <w:spacing w:line="275" w:lineRule="exact" w:before="0"/>
        <w:ind w:left="276" w:right="27" w:firstLine="0"/>
        <w:jc w:val="center"/>
        <w:rPr>
          <w:b/>
          <w:sz w:val="24"/>
        </w:rPr>
      </w:pPr>
      <w:r>
        <w:rPr>
          <w:b/>
          <w:sz w:val="24"/>
        </w:rPr>
        <w:t>CONCESSIONAL RATES OF DUTY</w:t>
      </w:r>
    </w:p>
    <w:p>
      <w:pPr>
        <w:tabs>
          <w:tab w:pos="9868" w:val="left" w:leader="none"/>
        </w:tabs>
        <w:spacing w:before="164"/>
        <w:ind w:left="276" w:right="0" w:firstLine="0"/>
        <w:jc w:val="center"/>
        <w:rPr>
          <w:rFonts w:ascii="Arial Narrow"/>
          <w:b/>
          <w:sz w:val="20"/>
        </w:rPr>
      </w:pPr>
      <w:r>
        <w:rPr>
          <w:rFonts w:ascii="Arial Narrow"/>
          <w:b/>
          <w:sz w:val="20"/>
          <w:u w:val="single"/>
        </w:rPr>
        <w:t>Schedule</w:t>
      </w:r>
      <w:r>
        <w:rPr>
          <w:rFonts w:ascii="Arial Narrow"/>
          <w:b/>
          <w:spacing w:val="-9"/>
          <w:sz w:val="20"/>
          <w:u w:val="single"/>
        </w:rPr>
        <w:t> </w:t>
      </w:r>
      <w:r>
        <w:rPr>
          <w:rFonts w:ascii="Arial Narrow"/>
          <w:b/>
          <w:sz w:val="20"/>
          <w:u w:val="single"/>
        </w:rPr>
        <w:t>4/23</w:t>
        <w:tab/>
      </w:r>
    </w:p>
    <w:p>
      <w:pPr>
        <w:spacing w:after="0"/>
        <w:jc w:val="center"/>
        <w:rPr>
          <w:rFonts w:ascii="Arial Narrow"/>
          <w:sz w:val="20"/>
        </w:rPr>
        <w:sectPr>
          <w:headerReference w:type="even" r:id="rId17"/>
          <w:footerReference w:type="even" r:id="rId18"/>
          <w:pgSz w:w="11910" w:h="16840"/>
          <w:pgMar w:header="0" w:footer="612" w:top="600" w:bottom="800" w:left="960" w:right="420"/>
        </w:sectPr>
      </w:pPr>
    </w:p>
    <w:p>
      <w:pPr>
        <w:tabs>
          <w:tab w:pos="1279" w:val="left" w:leader="none"/>
        </w:tabs>
        <w:spacing w:before="69"/>
        <w:ind w:left="1279" w:right="0" w:hanging="567"/>
        <w:jc w:val="left"/>
        <w:rPr>
          <w:rFonts w:ascii="Arial Narrow"/>
          <w:b/>
          <w:sz w:val="20"/>
        </w:rPr>
      </w:pPr>
      <w:r>
        <w:rPr>
          <w:rFonts w:ascii="Arial Narrow"/>
          <w:b/>
          <w:sz w:val="20"/>
        </w:rPr>
        <w:t>Item</w:t>
        <w:tab/>
      </w:r>
      <w:r>
        <w:rPr>
          <w:rFonts w:ascii="Arial Narrow"/>
          <w:b/>
          <w:w w:val="95"/>
          <w:sz w:val="20"/>
        </w:rPr>
        <w:t>Treat- </w:t>
      </w:r>
      <w:r>
        <w:rPr>
          <w:rFonts w:ascii="Arial Narrow"/>
          <w:b/>
          <w:sz w:val="20"/>
        </w:rPr>
        <w:t>ment</w:t>
      </w:r>
    </w:p>
    <w:p>
      <w:pPr>
        <w:spacing w:before="69"/>
        <w:ind w:left="215" w:right="0" w:firstLine="0"/>
        <w:jc w:val="left"/>
        <w:rPr>
          <w:rFonts w:ascii="Arial Narrow"/>
          <w:b/>
          <w:sz w:val="20"/>
        </w:rPr>
      </w:pPr>
      <w:r>
        <w:rPr/>
        <w:br w:type="column"/>
      </w:r>
      <w:r>
        <w:rPr>
          <w:rFonts w:ascii="Arial Narrow"/>
          <w:b/>
          <w:w w:val="95"/>
          <w:sz w:val="20"/>
        </w:rPr>
        <w:t>Refer- </w:t>
      </w:r>
      <w:r>
        <w:rPr>
          <w:rFonts w:ascii="Arial Narrow"/>
          <w:b/>
          <w:sz w:val="20"/>
        </w:rPr>
        <w:t>ence</w:t>
      </w:r>
    </w:p>
    <w:p>
      <w:pPr>
        <w:spacing w:before="69"/>
        <w:ind w:left="479" w:right="21" w:firstLine="0"/>
        <w:jc w:val="left"/>
        <w:rPr>
          <w:rFonts w:ascii="Arial Narrow"/>
          <w:b/>
          <w:sz w:val="20"/>
        </w:rPr>
      </w:pPr>
      <w:r>
        <w:rPr/>
        <w:br w:type="column"/>
      </w:r>
      <w:r>
        <w:rPr>
          <w:rFonts w:ascii="Arial Narrow"/>
          <w:b/>
          <w:sz w:val="20"/>
        </w:rPr>
        <w:t>Statistical Code/Unit</w:t>
      </w:r>
    </w:p>
    <w:p>
      <w:pPr>
        <w:pStyle w:val="BodyText"/>
        <w:spacing w:before="2"/>
        <w:rPr>
          <w:rFonts w:ascii="Arial Narrow"/>
          <w:b/>
          <w:sz w:val="26"/>
        </w:rPr>
      </w:pPr>
      <w:r>
        <w:rPr/>
        <w:br w:type="column"/>
      </w:r>
      <w:r>
        <w:rPr>
          <w:rFonts w:ascii="Arial Narrow"/>
          <w:b/>
          <w:sz w:val="26"/>
        </w:rPr>
      </w:r>
    </w:p>
    <w:p>
      <w:pPr>
        <w:tabs>
          <w:tab w:pos="4083" w:val="left" w:leader="none"/>
        </w:tabs>
        <w:spacing w:before="0"/>
        <w:ind w:left="713" w:right="0" w:firstLine="0"/>
        <w:jc w:val="left"/>
        <w:rPr>
          <w:rFonts w:ascii="Arial Narrow"/>
          <w:b/>
          <w:sz w:val="20"/>
        </w:rPr>
      </w:pPr>
      <w:r>
        <w:rPr>
          <w:rFonts w:ascii="Arial Narrow"/>
          <w:b/>
          <w:sz w:val="20"/>
        </w:rPr>
        <w:t>Description</w:t>
      </w:r>
      <w:r>
        <w:rPr>
          <w:rFonts w:ascii="Arial Narrow"/>
          <w:b/>
          <w:spacing w:val="-2"/>
          <w:sz w:val="20"/>
        </w:rPr>
        <w:t> </w:t>
      </w:r>
      <w:r>
        <w:rPr>
          <w:rFonts w:ascii="Arial Narrow"/>
          <w:b/>
          <w:sz w:val="20"/>
        </w:rPr>
        <w:t>of</w:t>
      </w:r>
      <w:r>
        <w:rPr>
          <w:rFonts w:ascii="Arial Narrow"/>
          <w:b/>
          <w:spacing w:val="-1"/>
          <w:sz w:val="20"/>
        </w:rPr>
        <w:t> </w:t>
      </w:r>
      <w:r>
        <w:rPr>
          <w:rFonts w:ascii="Arial Narrow"/>
          <w:b/>
          <w:sz w:val="20"/>
        </w:rPr>
        <w:t>Goods</w:t>
        <w:tab/>
        <w:t>Rate</w:t>
      </w:r>
      <w:r>
        <w:rPr>
          <w:rFonts w:ascii="Arial Narrow"/>
          <w:b/>
          <w:spacing w:val="-1"/>
          <w:sz w:val="20"/>
        </w:rPr>
        <w:t> </w:t>
      </w:r>
      <w:r>
        <w:rPr>
          <w:rFonts w:ascii="Arial Narrow"/>
          <w:b/>
          <w:sz w:val="20"/>
        </w:rPr>
        <w:t>#</w:t>
      </w:r>
    </w:p>
    <w:p>
      <w:pPr>
        <w:spacing w:after="0"/>
        <w:jc w:val="left"/>
        <w:rPr>
          <w:rFonts w:ascii="Arial Narrow"/>
          <w:sz w:val="20"/>
        </w:rPr>
        <w:sectPr>
          <w:type w:val="continuous"/>
          <w:pgSz w:w="11910" w:h="16840"/>
          <w:pgMar w:top="3860" w:bottom="1000" w:left="960" w:right="420"/>
          <w:cols w:num="4" w:equalWidth="0">
            <w:col w:w="1735" w:space="40"/>
            <w:col w:w="688" w:space="39"/>
            <w:col w:w="1295" w:space="1093"/>
            <w:col w:w="5640"/>
          </w:cols>
        </w:sectPr>
      </w:pPr>
    </w:p>
    <w:p>
      <w:pPr>
        <w:tabs>
          <w:tab w:pos="1279" w:val="left" w:leader="none"/>
          <w:tab w:pos="1989" w:val="left" w:leader="none"/>
          <w:tab w:pos="2981" w:val="left" w:leader="none"/>
          <w:tab w:pos="10197" w:val="left" w:leader="none"/>
        </w:tabs>
        <w:spacing w:before="2"/>
        <w:ind w:left="590" w:right="0" w:firstLine="0"/>
        <w:jc w:val="left"/>
        <w:rPr>
          <w:rFonts w:ascii="Arial Narrow"/>
          <w:b/>
          <w:sz w:val="20"/>
        </w:rPr>
      </w:pPr>
      <w:r>
        <w:rPr>
          <w:rFonts w:ascii="Arial Narrow"/>
          <w:b/>
          <w:w w:val="99"/>
          <w:sz w:val="20"/>
          <w:u w:val="single"/>
        </w:rPr>
        <w:t> </w:t>
      </w:r>
      <w:r>
        <w:rPr>
          <w:rFonts w:ascii="Arial Narrow"/>
          <w:b/>
          <w:sz w:val="20"/>
          <w:u w:val="single"/>
        </w:rPr>
        <w:tab/>
        <w:t>Code</w:t>
        <w:tab/>
        <w:t>Number</w:t>
        <w:tab/>
        <w:t>of</w:t>
      </w:r>
      <w:r>
        <w:rPr>
          <w:rFonts w:ascii="Arial Narrow"/>
          <w:b/>
          <w:spacing w:val="-5"/>
          <w:sz w:val="20"/>
          <w:u w:val="single"/>
        </w:rPr>
        <w:t> </w:t>
      </w:r>
      <w:r>
        <w:rPr>
          <w:rFonts w:ascii="Arial Narrow"/>
          <w:b/>
          <w:sz w:val="20"/>
          <w:u w:val="single"/>
        </w:rPr>
        <w:t>Quantity</w:t>
        <w:tab/>
      </w:r>
    </w:p>
    <w:p>
      <w:pPr>
        <w:pStyle w:val="BodyText"/>
        <w:rPr>
          <w:rFonts w:ascii="Arial Narrow"/>
          <w:b/>
        </w:rPr>
      </w:pPr>
    </w:p>
    <w:p>
      <w:pPr>
        <w:pStyle w:val="BodyText"/>
        <w:rPr>
          <w:rFonts w:ascii="Arial Narrow"/>
          <w:b/>
        </w:rPr>
      </w:pPr>
    </w:p>
    <w:p>
      <w:pPr>
        <w:pStyle w:val="BodyText"/>
        <w:spacing w:before="3"/>
        <w:rPr>
          <w:rFonts w:ascii="Arial Narrow"/>
          <w:b/>
          <w:sz w:val="28"/>
        </w:rPr>
      </w:pPr>
    </w:p>
    <w:tbl>
      <w:tblPr>
        <w:tblW w:w="0" w:type="auto"/>
        <w:jc w:val="left"/>
        <w:tblInd w:w="3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4"/>
      </w:tblGrid>
      <w:tr>
        <w:trPr>
          <w:trHeight w:val="268" w:hRule="atLeast"/>
        </w:trPr>
        <w:tc>
          <w:tcPr>
            <w:tcW w:w="4844" w:type="dxa"/>
          </w:tcPr>
          <w:p>
            <w:pPr>
              <w:pStyle w:val="TableParagraph"/>
              <w:spacing w:line="221" w:lineRule="exact"/>
              <w:ind w:left="200"/>
              <w:rPr>
                <w:sz w:val="20"/>
              </w:rPr>
            </w:pPr>
            <w:r>
              <w:rPr>
                <w:sz w:val="20"/>
                <w:u w:val="single"/>
              </w:rPr>
              <w:t>Treatment Code 444</w:t>
            </w:r>
          </w:p>
        </w:tc>
      </w:tr>
      <w:tr>
        <w:trPr>
          <w:trHeight w:val="3101" w:hRule="atLeast"/>
        </w:trPr>
        <w:tc>
          <w:tcPr>
            <w:tcW w:w="4844" w:type="dxa"/>
          </w:tcPr>
          <w:p>
            <w:pPr>
              <w:pStyle w:val="TableParagraph"/>
              <w:spacing w:line="208" w:lineRule="auto" w:before="63"/>
              <w:ind w:left="200"/>
              <w:rPr>
                <w:sz w:val="20"/>
              </w:rPr>
            </w:pPr>
            <w:r>
              <w:rPr>
                <w:sz w:val="20"/>
              </w:rPr>
              <w:t>Treatment Code 444 was formerly linked to item 44 in Schedule 4. The former item 44 was repealed from</w:t>
            </w:r>
          </w:p>
          <w:p>
            <w:pPr>
              <w:pStyle w:val="TableParagraph"/>
              <w:spacing w:line="206" w:lineRule="exact"/>
              <w:ind w:left="200"/>
              <w:rPr>
                <w:sz w:val="20"/>
              </w:rPr>
            </w:pPr>
            <w:r>
              <w:rPr>
                <w:sz w:val="20"/>
              </w:rPr>
              <w:t>1 July 2006.</w:t>
            </w:r>
          </w:p>
          <w:p>
            <w:pPr>
              <w:pStyle w:val="TableParagraph"/>
              <w:spacing w:line="211" w:lineRule="auto" w:before="191"/>
              <w:ind w:left="200" w:right="614"/>
              <w:rPr>
                <w:sz w:val="20"/>
              </w:rPr>
            </w:pPr>
            <w:r>
              <w:rPr>
                <w:sz w:val="20"/>
              </w:rPr>
              <w:t>However, treatment Code 444 will continue to be available for use on “Customs Excise Returns” - a</w:t>
            </w:r>
          </w:p>
          <w:p>
            <w:pPr>
              <w:pStyle w:val="TableParagraph"/>
              <w:spacing w:line="208" w:lineRule="auto"/>
              <w:ind w:left="200"/>
              <w:rPr>
                <w:sz w:val="20"/>
              </w:rPr>
            </w:pPr>
            <w:r>
              <w:rPr>
                <w:sz w:val="20"/>
              </w:rPr>
              <w:t>modified weekly Import Declaration, ex-warehouse (Nature 30) form. Treatment Code 444 and Tariff Rate Number 044 must only be quoted on a “Customs</w:t>
            </w:r>
          </w:p>
          <w:p>
            <w:pPr>
              <w:pStyle w:val="TableParagraph"/>
              <w:spacing w:line="206" w:lineRule="exact"/>
              <w:ind w:left="200"/>
              <w:rPr>
                <w:sz w:val="20"/>
              </w:rPr>
            </w:pPr>
            <w:r>
              <w:rPr>
                <w:sz w:val="20"/>
              </w:rPr>
              <w:t>Excise Return”.</w:t>
            </w:r>
          </w:p>
          <w:p>
            <w:pPr>
              <w:pStyle w:val="TableParagraph"/>
              <w:spacing w:before="1"/>
              <w:rPr>
                <w:rFonts w:ascii="Arial Narrow"/>
                <w:b/>
                <w:sz w:val="27"/>
              </w:rPr>
            </w:pPr>
          </w:p>
          <w:p>
            <w:pPr>
              <w:pStyle w:val="TableParagraph"/>
              <w:spacing w:line="240" w:lineRule="atLeast"/>
              <w:ind w:left="211" w:right="132" w:hanging="12"/>
              <w:rPr>
                <w:sz w:val="20"/>
              </w:rPr>
            </w:pPr>
            <w:r>
              <w:rPr>
                <w:sz w:val="20"/>
              </w:rPr>
              <w:t>Refer to Australian Customs Notice 2006/33 for further information on administrative arrangements for imported excise equivalent goods.</w:t>
            </w:r>
          </w:p>
        </w:tc>
      </w:tr>
    </w:tbl>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spacing w:before="11"/>
        <w:rPr>
          <w:rFonts w:ascii="Arial Narrow"/>
          <w:b/>
          <w:sz w:val="23"/>
        </w:rPr>
      </w:pPr>
      <w:r>
        <w:rPr/>
        <w:pict>
          <v:rect style="position:absolute;margin-left:72.863998pt;margin-top:15.664941pt;width:489.1pt;height:.48004pt;mso-position-horizontal-relative:page;mso-position-vertical-relative:paragraph;z-index:-15727616;mso-wrap-distance-left:0;mso-wrap-distance-right:0" filled="true" fillcolor="#000000" stroked="false">
            <v:fill type="solid"/>
            <w10:wrap type="topAndBottom"/>
          </v:rect>
        </w:pict>
      </w:r>
    </w:p>
    <w:p>
      <w:pPr>
        <w:tabs>
          <w:tab w:pos="9520" w:val="left" w:leader="none"/>
        </w:tabs>
        <w:spacing w:line="216" w:lineRule="exact" w:before="5"/>
        <w:ind w:left="605" w:right="0" w:firstLine="0"/>
        <w:jc w:val="left"/>
        <w:rPr>
          <w:rFonts w:ascii="Times New Roman"/>
          <w:b/>
          <w:sz w:val="20"/>
        </w:rPr>
      </w:pPr>
      <w:r>
        <w:rPr>
          <w:rFonts w:ascii="Arial Narrow"/>
          <w:b/>
          <w:sz w:val="20"/>
        </w:rPr>
        <w:t>* Enter under tariff classification and statistical key requirements in</w:t>
      </w:r>
      <w:r>
        <w:rPr>
          <w:rFonts w:ascii="Arial Narrow"/>
          <w:b/>
          <w:spacing w:val="-2"/>
          <w:sz w:val="20"/>
        </w:rPr>
        <w:t> </w:t>
      </w:r>
      <w:r>
        <w:rPr>
          <w:rFonts w:ascii="Arial Narrow"/>
          <w:b/>
          <w:sz w:val="20"/>
        </w:rPr>
        <w:t>Schedule</w:t>
      </w:r>
      <w:r>
        <w:rPr>
          <w:rFonts w:ascii="Arial Narrow"/>
          <w:b/>
          <w:spacing w:val="-3"/>
          <w:sz w:val="20"/>
        </w:rPr>
        <w:t> </w:t>
      </w:r>
      <w:r>
        <w:rPr>
          <w:rFonts w:ascii="Arial Narrow"/>
          <w:b/>
          <w:sz w:val="20"/>
        </w:rPr>
        <w:t>3.</w:t>
        <w:tab/>
      </w:r>
      <w:r>
        <w:rPr>
          <w:rFonts w:ascii="Times New Roman"/>
          <w:b/>
          <w:sz w:val="20"/>
        </w:rPr>
        <w:t>30/4/20</w:t>
      </w:r>
    </w:p>
    <w:p>
      <w:pPr>
        <w:spacing w:line="208" w:lineRule="auto" w:before="10"/>
        <w:ind w:left="746" w:right="4282" w:hanging="142"/>
        <w:jc w:val="left"/>
        <w:rPr>
          <w:rFonts w:ascii="Arial Narrow"/>
          <w:b/>
          <w:sz w:val="20"/>
        </w:rPr>
      </w:pPr>
      <w:r>
        <w:rPr>
          <w:rFonts w:ascii="Arial Narrow"/>
          <w:b/>
          <w:sz w:val="20"/>
        </w:rPr>
        <w:t># Unless otherwise indicated NZ, PG, FI, DC, LDC and SG rates are Free. Unless otherwise indicated general rate applies for CA.</w:t>
      </w:r>
    </w:p>
    <w:p>
      <w:pPr>
        <w:spacing w:line="211" w:lineRule="auto" w:before="0"/>
        <w:ind w:left="746" w:right="731" w:firstLine="0"/>
        <w:jc w:val="left"/>
        <w:rPr>
          <w:rFonts w:ascii="Arial Narrow"/>
          <w:b/>
          <w:sz w:val="20"/>
        </w:rPr>
      </w:pPr>
      <w:r>
        <w:rPr>
          <w:rFonts w:ascii="Arial Narrow"/>
          <w:b/>
          <w:sz w:val="20"/>
        </w:rPr>
        <w:t>Unless otherwise indicated rates for US, Thai, Chilean, AANZ, Malaysian, Korean, Japanese and Chinese originating goods are Free.</w:t>
      </w:r>
    </w:p>
    <w:p>
      <w:pPr>
        <w:spacing w:line="208" w:lineRule="auto" w:before="0"/>
        <w:ind w:left="746" w:right="2992" w:firstLine="0"/>
        <w:jc w:val="left"/>
        <w:rPr>
          <w:rFonts w:ascii="Arial Narrow"/>
          <w:b/>
          <w:sz w:val="20"/>
        </w:rPr>
      </w:pPr>
      <w:r>
        <w:rPr>
          <w:rFonts w:ascii="Arial Narrow"/>
          <w:b/>
          <w:sz w:val="20"/>
        </w:rPr>
        <w:t>DCS denotes the rate for countries and places listed in Part 4 of Schedule 1 to this Act. DCT denotes the rate for HK, KR, SG and TW.</w:t>
      </w:r>
    </w:p>
    <w:p>
      <w:pPr>
        <w:spacing w:after="0" w:line="208" w:lineRule="auto"/>
        <w:jc w:val="left"/>
        <w:rPr>
          <w:rFonts w:ascii="Arial Narrow"/>
          <w:sz w:val="20"/>
        </w:rPr>
        <w:sectPr>
          <w:type w:val="continuous"/>
          <w:pgSz w:w="11910" w:h="16840"/>
          <w:pgMar w:top="3860" w:bottom="1000" w:left="960" w:right="420"/>
        </w:sectPr>
      </w:pPr>
    </w:p>
    <w:p>
      <w:pPr>
        <w:spacing w:line="348" w:lineRule="auto" w:before="64"/>
        <w:ind w:left="2473" w:right="2262" w:firstLine="0"/>
        <w:jc w:val="center"/>
        <w:rPr>
          <w:b/>
          <w:sz w:val="24"/>
        </w:rPr>
      </w:pPr>
      <w:r>
        <w:rPr>
          <w:b/>
          <w:sz w:val="24"/>
        </w:rPr>
        <w:t>SCHEDULE OF CONCESSIONAL INSTRUMENTS PART II</w:t>
      </w:r>
    </w:p>
    <w:p>
      <w:pPr>
        <w:spacing w:line="345" w:lineRule="auto" w:before="2"/>
        <w:ind w:left="2477" w:right="2262" w:firstLine="0"/>
        <w:jc w:val="center"/>
        <w:rPr>
          <w:b/>
          <w:sz w:val="24"/>
        </w:rPr>
      </w:pPr>
      <w:r>
        <w:rPr>
          <w:b/>
          <w:sz w:val="24"/>
        </w:rPr>
        <w:t>INSTRUMENTS ISSUED TO ITEMS IN SCHEDULE 4 CUSTOMS TARIFF ACT 1995</w:t>
      </w:r>
    </w:p>
    <w:p>
      <w:pPr>
        <w:pStyle w:val="ListParagraph"/>
        <w:numPr>
          <w:ilvl w:val="1"/>
          <w:numId w:val="5"/>
        </w:numPr>
        <w:tabs>
          <w:tab w:pos="9321" w:val="left" w:leader="none"/>
          <w:tab w:pos="9322" w:val="left" w:leader="none"/>
        </w:tabs>
        <w:spacing w:line="240" w:lineRule="auto" w:before="42" w:after="0"/>
        <w:ind w:left="9321" w:right="0" w:hanging="8734"/>
        <w:jc w:val="left"/>
        <w:rPr>
          <w:b/>
          <w:sz w:val="20"/>
        </w:rPr>
      </w:pPr>
      <w:r>
        <w:rPr>
          <w:b/>
          <w:sz w:val="20"/>
        </w:rPr>
        <w:t>Part 2/79</w:t>
      </w:r>
    </w:p>
    <w:p>
      <w:pPr>
        <w:pStyle w:val="BodyText"/>
        <w:ind w:left="574"/>
      </w:pPr>
      <w:r>
        <w:rPr/>
        <w:pict>
          <v:group style="width:480.35pt;height:35.8pt;mso-position-horizontal-relative:char;mso-position-vertical-relative:line" coordorigin="0,0" coordsize="9607,716">
            <v:shape style="position:absolute;left:0;top:0;width:9607;height:716" coordorigin="0,0" coordsize="9607,716" path="m8267,701l1574,701,1560,701,581,701,581,701,566,701,0,701,0,715,566,715,581,715,581,715,1560,715,1574,715,8267,715,8267,701xm8267,0l1589,0,1574,0,595,0,581,0,581,0,14,0,14,14,581,14,581,14,595,14,1574,14,1589,14,8267,14,8267,0xm9607,0l8282,0,8267,0,8267,14,8267,701,8267,715,8282,715,9607,715,9607,701,8282,701,8282,14,9607,14,9607,0xe" filled="true" fillcolor="#000000" stroked="false">
              <v:path arrowok="t"/>
              <v:fill type="solid"/>
            </v:shape>
            <v:shape style="position:absolute;left:122;top:51;width:357;height:229" type="#_x0000_t202" filled="false" stroked="false">
              <v:textbox inset="0,0,0,0">
                <w:txbxContent>
                  <w:p>
                    <w:pPr>
                      <w:spacing w:before="0"/>
                      <w:ind w:left="0" w:right="0" w:firstLine="0"/>
                      <w:jc w:val="left"/>
                      <w:rPr>
                        <w:rFonts w:ascii="Arial Narrow"/>
                        <w:b/>
                        <w:sz w:val="20"/>
                      </w:rPr>
                    </w:pPr>
                    <w:r>
                      <w:rPr>
                        <w:rFonts w:ascii="Arial Narrow"/>
                        <w:b/>
                        <w:sz w:val="20"/>
                      </w:rPr>
                      <w:t>Item</w:t>
                    </w:r>
                  </w:p>
                </w:txbxContent>
              </v:textbox>
              <w10:wrap type="none"/>
            </v:shape>
            <v:shape style="position:absolute;left:813;top:51;width:548;height:428" type="#_x0000_t202" filled="false" stroked="false">
              <v:textbox inset="0,0,0,0">
                <w:txbxContent>
                  <w:p>
                    <w:pPr>
                      <w:spacing w:line="208" w:lineRule="auto" w:before="24"/>
                      <w:ind w:left="132" w:right="0" w:hanging="132"/>
                      <w:jc w:val="left"/>
                      <w:rPr>
                        <w:rFonts w:ascii="Arial Narrow"/>
                        <w:b/>
                        <w:sz w:val="20"/>
                      </w:rPr>
                    </w:pPr>
                    <w:r>
                      <w:rPr>
                        <w:rFonts w:ascii="Arial Narrow"/>
                        <w:b/>
                        <w:w w:val="95"/>
                        <w:sz w:val="20"/>
                      </w:rPr>
                      <w:t>By-law </w:t>
                    </w:r>
                    <w:r>
                      <w:rPr>
                        <w:rFonts w:ascii="Arial Narrow"/>
                        <w:b/>
                        <w:sz w:val="20"/>
                      </w:rPr>
                      <w:t>No.</w:t>
                    </w:r>
                  </w:p>
                </w:txbxContent>
              </v:textbox>
              <w10:wrap type="none"/>
            </v:shape>
            <v:shape style="position:absolute;left:4090;top:51;width:1688;height:229" type="#_x0000_t202" filled="false" stroked="false">
              <v:textbox inset="0,0,0,0">
                <w:txbxContent>
                  <w:p>
                    <w:pPr>
                      <w:spacing w:before="0"/>
                      <w:ind w:left="0" w:right="0" w:firstLine="0"/>
                      <w:jc w:val="left"/>
                      <w:rPr>
                        <w:rFonts w:ascii="Arial Narrow"/>
                        <w:b/>
                        <w:sz w:val="20"/>
                      </w:rPr>
                    </w:pPr>
                    <w:r>
                      <w:rPr>
                        <w:rFonts w:ascii="Arial Narrow"/>
                        <w:b/>
                        <w:sz w:val="20"/>
                      </w:rPr>
                      <w:t>Description of Goods</w:t>
                    </w:r>
                  </w:p>
                </w:txbxContent>
              </v:textbox>
              <w10:wrap type="none"/>
            </v:shape>
            <v:shape style="position:absolute;left:8538;top:51;width:821;height:488" type="#_x0000_t202" filled="false" stroked="false">
              <v:textbox inset="0,0,0,0">
                <w:txbxContent>
                  <w:p>
                    <w:pPr>
                      <w:spacing w:line="271" w:lineRule="auto" w:before="0"/>
                      <w:ind w:left="55" w:right="0" w:hanging="56"/>
                      <w:jc w:val="left"/>
                      <w:rPr>
                        <w:rFonts w:ascii="Arial Narrow"/>
                        <w:b/>
                        <w:sz w:val="20"/>
                      </w:rPr>
                    </w:pPr>
                    <w:r>
                      <w:rPr>
                        <w:rFonts w:ascii="Arial Narrow"/>
                        <w:b/>
                        <w:sz w:val="20"/>
                      </w:rPr>
                      <w:t>Start date/ End date</w:t>
                    </w:r>
                  </w:p>
                </w:txbxContent>
              </v:textbox>
              <w10:wrap type="none"/>
            </v:shape>
          </v:group>
        </w:pict>
      </w:r>
      <w:r>
        <w:rPr/>
      </w:r>
    </w:p>
    <w:p>
      <w:pPr>
        <w:pStyle w:val="BodyText"/>
        <w:spacing w:before="7"/>
        <w:rPr>
          <w:b/>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548"/>
        <w:gridCol w:w="1083"/>
        <w:gridCol w:w="6736"/>
        <w:gridCol w:w="1561"/>
      </w:tblGrid>
      <w:tr>
        <w:trPr>
          <w:trHeight w:val="11881" w:hRule="atLeast"/>
        </w:trPr>
        <w:tc>
          <w:tcPr>
            <w:tcW w:w="378" w:type="dxa"/>
          </w:tcPr>
          <w:p>
            <w:pPr>
              <w:pStyle w:val="TableParagraph"/>
              <w:rPr>
                <w:rFonts w:ascii="Arial"/>
                <w:b/>
                <w:sz w:val="22"/>
              </w:rPr>
            </w:pPr>
          </w:p>
          <w:p>
            <w:pPr>
              <w:pStyle w:val="TableParagraph"/>
              <w:spacing w:before="5"/>
              <w:rPr>
                <w:rFonts w:ascii="Arial"/>
                <w:b/>
                <w:sz w:val="17"/>
              </w:rPr>
            </w:pPr>
          </w:p>
          <w:p>
            <w:pPr>
              <w:pStyle w:val="TableParagraph"/>
              <w:ind w:left="200"/>
              <w:rPr>
                <w:rFonts w:ascii="Wingdings" w:hAnsi="Wingdings"/>
                <w:sz w:val="20"/>
              </w:rPr>
            </w:pPr>
            <w:r>
              <w:rPr>
                <w:rFonts w:ascii="Wingdings" w:hAnsi="Wingdings"/>
                <w:w w:val="99"/>
                <w:sz w:val="20"/>
              </w:rPr>
              <w:t></w:t>
            </w:r>
          </w:p>
        </w:tc>
        <w:tc>
          <w:tcPr>
            <w:tcW w:w="548" w:type="dxa"/>
            <w:tcBorders>
              <w:bottom w:val="single" w:sz="6" w:space="0" w:color="000000"/>
            </w:tcBorders>
          </w:tcPr>
          <w:p>
            <w:pPr>
              <w:pStyle w:val="TableParagraph"/>
              <w:rPr>
                <w:rFonts w:ascii="Arial"/>
                <w:b/>
                <w:sz w:val="22"/>
              </w:rPr>
            </w:pPr>
          </w:p>
          <w:p>
            <w:pPr>
              <w:pStyle w:val="TableParagraph"/>
              <w:spacing w:before="10"/>
              <w:rPr>
                <w:rFonts w:ascii="Arial"/>
                <w:b/>
                <w:sz w:val="17"/>
              </w:rPr>
            </w:pPr>
          </w:p>
          <w:p>
            <w:pPr>
              <w:pStyle w:val="TableParagraph"/>
              <w:ind w:left="110"/>
              <w:rPr>
                <w:b/>
                <w:sz w:val="20"/>
              </w:rPr>
            </w:pPr>
            <w:r>
              <w:rPr>
                <w:b/>
                <w:sz w:val="20"/>
              </w:rPr>
              <w:t>56</w:t>
            </w:r>
          </w:p>
        </w:tc>
        <w:tc>
          <w:tcPr>
            <w:tcW w:w="1083" w:type="dxa"/>
            <w:tcBorders>
              <w:bottom w:val="single" w:sz="6" w:space="0" w:color="000000"/>
            </w:tcBorders>
          </w:tcPr>
          <w:p>
            <w:pPr>
              <w:pStyle w:val="TableParagraph"/>
              <w:rPr>
                <w:rFonts w:ascii="Arial"/>
                <w:b/>
                <w:sz w:val="22"/>
              </w:rPr>
            </w:pPr>
          </w:p>
          <w:p>
            <w:pPr>
              <w:pStyle w:val="TableParagraph"/>
              <w:spacing w:before="10"/>
              <w:rPr>
                <w:rFonts w:ascii="Arial"/>
                <w:b/>
                <w:sz w:val="17"/>
              </w:rPr>
            </w:pPr>
          </w:p>
          <w:p>
            <w:pPr>
              <w:pStyle w:val="TableParagraph"/>
              <w:ind w:left="233"/>
              <w:rPr>
                <w:b/>
                <w:sz w:val="20"/>
              </w:rPr>
            </w:pPr>
            <w:r>
              <w:rPr>
                <w:b/>
                <w:sz w:val="20"/>
              </w:rPr>
              <w:t>1800128</w:t>
            </w:r>
          </w:p>
        </w:tc>
        <w:tc>
          <w:tcPr>
            <w:tcW w:w="6736" w:type="dxa"/>
            <w:tcBorders>
              <w:bottom w:val="single" w:sz="6" w:space="0" w:color="000000"/>
              <w:right w:val="single" w:sz="6" w:space="0" w:color="000000"/>
            </w:tcBorders>
          </w:tcPr>
          <w:p>
            <w:pPr>
              <w:pStyle w:val="TableParagraph"/>
              <w:spacing w:line="228" w:lineRule="exact"/>
              <w:ind w:left="144"/>
              <w:rPr>
                <w:b/>
                <w:sz w:val="20"/>
              </w:rPr>
            </w:pPr>
            <w:r>
              <w:rPr>
                <w:b/>
                <w:sz w:val="20"/>
                <w:u w:val="single"/>
              </w:rPr>
              <w:t>Clinical trial kits containing placebos and/or medicaments</w:t>
            </w:r>
          </w:p>
          <w:p>
            <w:pPr>
              <w:pStyle w:val="TableParagraph"/>
              <w:spacing w:before="7"/>
              <w:rPr>
                <w:rFonts w:ascii="Arial"/>
                <w:b/>
                <w:sz w:val="19"/>
              </w:rPr>
            </w:pPr>
          </w:p>
          <w:p>
            <w:pPr>
              <w:pStyle w:val="TableParagraph"/>
              <w:numPr>
                <w:ilvl w:val="0"/>
                <w:numId w:val="6"/>
              </w:numPr>
              <w:tabs>
                <w:tab w:pos="711" w:val="left" w:leader="none"/>
                <w:tab w:pos="712" w:val="left" w:leader="none"/>
              </w:tabs>
              <w:spacing w:line="240" w:lineRule="auto" w:before="0" w:after="0"/>
              <w:ind w:left="711" w:right="0" w:hanging="568"/>
              <w:jc w:val="left"/>
              <w:rPr>
                <w:sz w:val="20"/>
              </w:rPr>
            </w:pPr>
            <w:r>
              <w:rPr>
                <w:sz w:val="20"/>
              </w:rPr>
              <w:t>This by-law may be cited as Customs By-law No.</w:t>
            </w:r>
            <w:r>
              <w:rPr>
                <w:spacing w:val="-7"/>
                <w:sz w:val="20"/>
              </w:rPr>
              <w:t> </w:t>
            </w:r>
            <w:r>
              <w:rPr>
                <w:sz w:val="20"/>
              </w:rPr>
              <w:t>1800128.</w:t>
            </w:r>
          </w:p>
          <w:p>
            <w:pPr>
              <w:pStyle w:val="TableParagraph"/>
              <w:spacing w:before="1"/>
              <w:rPr>
                <w:rFonts w:ascii="Arial"/>
                <w:b/>
                <w:sz w:val="20"/>
              </w:rPr>
            </w:pPr>
          </w:p>
          <w:p>
            <w:pPr>
              <w:pStyle w:val="TableParagraph"/>
              <w:numPr>
                <w:ilvl w:val="0"/>
                <w:numId w:val="6"/>
              </w:numPr>
              <w:tabs>
                <w:tab w:pos="711" w:val="left" w:leader="none"/>
                <w:tab w:pos="712" w:val="left" w:leader="none"/>
              </w:tabs>
              <w:spacing w:line="240" w:lineRule="auto" w:before="0" w:after="0"/>
              <w:ind w:left="711" w:right="0" w:hanging="568"/>
              <w:jc w:val="left"/>
              <w:rPr>
                <w:sz w:val="20"/>
              </w:rPr>
            </w:pPr>
            <w:r>
              <w:rPr>
                <w:sz w:val="20"/>
              </w:rPr>
              <w:t>This by-law commences on 1 July</w:t>
            </w:r>
            <w:r>
              <w:rPr>
                <w:spacing w:val="-6"/>
                <w:sz w:val="20"/>
              </w:rPr>
              <w:t> </w:t>
            </w:r>
            <w:r>
              <w:rPr>
                <w:sz w:val="20"/>
              </w:rPr>
              <w:t>2018.</w:t>
            </w:r>
          </w:p>
          <w:p>
            <w:pPr>
              <w:pStyle w:val="TableParagraph"/>
              <w:spacing w:before="10"/>
              <w:rPr>
                <w:rFonts w:ascii="Arial"/>
                <w:b/>
                <w:sz w:val="19"/>
              </w:rPr>
            </w:pPr>
          </w:p>
          <w:p>
            <w:pPr>
              <w:pStyle w:val="TableParagraph"/>
              <w:numPr>
                <w:ilvl w:val="0"/>
                <w:numId w:val="6"/>
              </w:numPr>
              <w:tabs>
                <w:tab w:pos="711" w:val="left" w:leader="none"/>
                <w:tab w:pos="712" w:val="left" w:leader="none"/>
              </w:tabs>
              <w:spacing w:line="240" w:lineRule="auto" w:before="0" w:after="0"/>
              <w:ind w:left="711" w:right="366" w:hanging="567"/>
              <w:jc w:val="left"/>
              <w:rPr>
                <w:sz w:val="20"/>
              </w:rPr>
            </w:pPr>
            <w:r>
              <w:rPr>
                <w:sz w:val="20"/>
              </w:rPr>
              <w:t>For the purposes of subparagraph (a)(i) of item 56 of Schedule 4 to</w:t>
            </w:r>
            <w:r>
              <w:rPr>
                <w:spacing w:val="-27"/>
                <w:sz w:val="20"/>
              </w:rPr>
              <w:t> </w:t>
            </w:r>
            <w:r>
              <w:rPr>
                <w:sz w:val="20"/>
              </w:rPr>
              <w:t>the </w:t>
            </w:r>
            <w:r>
              <w:rPr>
                <w:i/>
                <w:sz w:val="20"/>
              </w:rPr>
              <w:t>Customs Tariff Act 1995 </w:t>
            </w:r>
            <w:r>
              <w:rPr>
                <w:sz w:val="20"/>
              </w:rPr>
              <w:t>(the Customs Tariff Act), the following requirements are</w:t>
            </w:r>
            <w:r>
              <w:rPr>
                <w:spacing w:val="-2"/>
                <w:sz w:val="20"/>
              </w:rPr>
              <w:t> </w:t>
            </w:r>
            <w:r>
              <w:rPr>
                <w:sz w:val="20"/>
              </w:rPr>
              <w:t>prescribed:</w:t>
            </w:r>
          </w:p>
          <w:p>
            <w:pPr>
              <w:pStyle w:val="TableParagraph"/>
              <w:spacing w:before="2"/>
              <w:rPr>
                <w:rFonts w:ascii="Arial"/>
                <w:b/>
                <w:sz w:val="20"/>
              </w:rPr>
            </w:pPr>
          </w:p>
          <w:p>
            <w:pPr>
              <w:pStyle w:val="TableParagraph"/>
              <w:numPr>
                <w:ilvl w:val="1"/>
                <w:numId w:val="6"/>
              </w:numPr>
              <w:tabs>
                <w:tab w:pos="1563" w:val="left" w:leader="none"/>
                <w:tab w:pos="1564" w:val="left" w:leader="none"/>
              </w:tabs>
              <w:spacing w:line="240" w:lineRule="auto" w:before="0" w:after="0"/>
              <w:ind w:left="1563" w:right="119" w:hanging="389"/>
              <w:jc w:val="left"/>
              <w:rPr>
                <w:sz w:val="20"/>
              </w:rPr>
            </w:pPr>
            <w:r>
              <w:rPr>
                <w:sz w:val="20"/>
              </w:rPr>
              <w:t>the kits do not indicate whether their contents are</w:t>
            </w:r>
            <w:r>
              <w:rPr>
                <w:spacing w:val="-19"/>
                <w:sz w:val="20"/>
              </w:rPr>
              <w:t> </w:t>
            </w:r>
            <w:r>
              <w:rPr>
                <w:sz w:val="20"/>
              </w:rPr>
              <w:t>medicaments or placebos;</w:t>
            </w:r>
            <w:r>
              <w:rPr>
                <w:spacing w:val="-2"/>
                <w:sz w:val="20"/>
              </w:rPr>
              <w:t> </w:t>
            </w:r>
            <w:r>
              <w:rPr>
                <w:sz w:val="20"/>
              </w:rPr>
              <w:t>and</w:t>
            </w:r>
          </w:p>
          <w:p>
            <w:pPr>
              <w:pStyle w:val="TableParagraph"/>
              <w:spacing w:before="10"/>
              <w:rPr>
                <w:rFonts w:ascii="Arial"/>
                <w:b/>
                <w:sz w:val="19"/>
              </w:rPr>
            </w:pPr>
          </w:p>
          <w:p>
            <w:pPr>
              <w:pStyle w:val="TableParagraph"/>
              <w:numPr>
                <w:ilvl w:val="1"/>
                <w:numId w:val="6"/>
              </w:numPr>
              <w:tabs>
                <w:tab w:pos="1563" w:val="left" w:leader="none"/>
                <w:tab w:pos="1564" w:val="left" w:leader="none"/>
              </w:tabs>
              <w:spacing w:line="240" w:lineRule="auto" w:before="1" w:after="0"/>
              <w:ind w:left="1563" w:right="0" w:hanging="447"/>
              <w:jc w:val="left"/>
              <w:rPr>
                <w:sz w:val="20"/>
              </w:rPr>
            </w:pPr>
            <w:r>
              <w:rPr>
                <w:sz w:val="20"/>
              </w:rPr>
              <w:t>the kits do not contain goods other</w:t>
            </w:r>
            <w:r>
              <w:rPr>
                <w:spacing w:val="-5"/>
                <w:sz w:val="20"/>
              </w:rPr>
              <w:t> </w:t>
            </w:r>
            <w:r>
              <w:rPr>
                <w:sz w:val="20"/>
              </w:rPr>
              <w:t>than:</w:t>
            </w:r>
          </w:p>
          <w:p>
            <w:pPr>
              <w:pStyle w:val="TableParagraph"/>
              <w:rPr>
                <w:rFonts w:ascii="Arial"/>
                <w:b/>
                <w:sz w:val="20"/>
              </w:rPr>
            </w:pPr>
          </w:p>
          <w:p>
            <w:pPr>
              <w:pStyle w:val="TableParagraph"/>
              <w:numPr>
                <w:ilvl w:val="2"/>
                <w:numId w:val="6"/>
              </w:numPr>
              <w:tabs>
                <w:tab w:pos="2271" w:val="left" w:leader="none"/>
                <w:tab w:pos="2272" w:val="left" w:leader="none"/>
              </w:tabs>
              <w:spacing w:line="240" w:lineRule="auto" w:before="0" w:after="0"/>
              <w:ind w:left="2271" w:right="328" w:hanging="708"/>
              <w:jc w:val="left"/>
              <w:rPr>
                <w:sz w:val="20"/>
              </w:rPr>
            </w:pPr>
            <w:r>
              <w:rPr>
                <w:sz w:val="20"/>
              </w:rPr>
              <w:t>the medicaments and/or placebos, whether or not</w:t>
            </w:r>
            <w:r>
              <w:rPr>
                <w:spacing w:val="-20"/>
                <w:sz w:val="20"/>
              </w:rPr>
              <w:t> </w:t>
            </w:r>
            <w:r>
              <w:rPr>
                <w:sz w:val="20"/>
              </w:rPr>
              <w:t>in syringes or other delivery</w:t>
            </w:r>
            <w:r>
              <w:rPr>
                <w:spacing w:val="-3"/>
                <w:sz w:val="20"/>
              </w:rPr>
              <w:t> </w:t>
            </w:r>
            <w:r>
              <w:rPr>
                <w:sz w:val="20"/>
              </w:rPr>
              <w:t>mechanisms;</w:t>
            </w:r>
          </w:p>
          <w:p>
            <w:pPr>
              <w:pStyle w:val="TableParagraph"/>
              <w:numPr>
                <w:ilvl w:val="2"/>
                <w:numId w:val="6"/>
              </w:numPr>
              <w:tabs>
                <w:tab w:pos="2271" w:val="left" w:leader="none"/>
                <w:tab w:pos="2272" w:val="left" w:leader="none"/>
              </w:tabs>
              <w:spacing w:line="240" w:lineRule="auto" w:before="0" w:after="0"/>
              <w:ind w:left="2271" w:right="181" w:hanging="708"/>
              <w:jc w:val="left"/>
              <w:rPr>
                <w:sz w:val="20"/>
              </w:rPr>
            </w:pPr>
            <w:r>
              <w:rPr>
                <w:sz w:val="20"/>
              </w:rPr>
              <w:t>any item or packaging which is necessary for the</w:t>
            </w:r>
            <w:r>
              <w:rPr>
                <w:spacing w:val="-22"/>
                <w:sz w:val="20"/>
              </w:rPr>
              <w:t> </w:t>
            </w:r>
            <w:r>
              <w:rPr>
                <w:sz w:val="20"/>
              </w:rPr>
              <w:t>safe transport and/or storage of the</w:t>
            </w:r>
            <w:r>
              <w:rPr>
                <w:spacing w:val="-4"/>
                <w:sz w:val="20"/>
              </w:rPr>
              <w:t> </w:t>
            </w:r>
            <w:r>
              <w:rPr>
                <w:sz w:val="20"/>
              </w:rPr>
              <w:t>goods;</w:t>
            </w:r>
          </w:p>
          <w:p>
            <w:pPr>
              <w:pStyle w:val="TableParagraph"/>
              <w:numPr>
                <w:ilvl w:val="2"/>
                <w:numId w:val="6"/>
              </w:numPr>
              <w:tabs>
                <w:tab w:pos="2271" w:val="left" w:leader="none"/>
                <w:tab w:pos="2272" w:val="left" w:leader="none"/>
              </w:tabs>
              <w:spacing w:line="240" w:lineRule="auto" w:before="0" w:after="0"/>
              <w:ind w:left="2271" w:right="557" w:hanging="708"/>
              <w:jc w:val="left"/>
              <w:rPr>
                <w:sz w:val="20"/>
              </w:rPr>
            </w:pPr>
            <w:r>
              <w:rPr>
                <w:sz w:val="20"/>
              </w:rPr>
              <w:t>any associated and necessary documentation</w:t>
            </w:r>
            <w:r>
              <w:rPr>
                <w:spacing w:val="-17"/>
                <w:sz w:val="20"/>
              </w:rPr>
              <w:t> </w:t>
            </w:r>
            <w:r>
              <w:rPr>
                <w:sz w:val="20"/>
              </w:rPr>
              <w:t>and forms.</w:t>
            </w:r>
          </w:p>
          <w:p>
            <w:pPr>
              <w:pStyle w:val="TableParagraph"/>
              <w:spacing w:before="1"/>
              <w:rPr>
                <w:rFonts w:ascii="Arial"/>
                <w:b/>
                <w:sz w:val="20"/>
              </w:rPr>
            </w:pPr>
          </w:p>
          <w:p>
            <w:pPr>
              <w:pStyle w:val="TableParagraph"/>
              <w:numPr>
                <w:ilvl w:val="0"/>
                <w:numId w:val="6"/>
              </w:numPr>
              <w:tabs>
                <w:tab w:pos="711" w:val="left" w:leader="none"/>
                <w:tab w:pos="712" w:val="left" w:leader="none"/>
              </w:tabs>
              <w:spacing w:line="240" w:lineRule="auto" w:before="0" w:after="0"/>
              <w:ind w:left="711" w:right="553" w:hanging="567"/>
              <w:jc w:val="left"/>
              <w:rPr>
                <w:sz w:val="20"/>
              </w:rPr>
            </w:pPr>
            <w:r>
              <w:rPr>
                <w:sz w:val="20"/>
              </w:rPr>
              <w:t>For the purposes of subparagraph 3(i), identifiers, regardless of</w:t>
            </w:r>
            <w:r>
              <w:rPr>
                <w:spacing w:val="-26"/>
                <w:sz w:val="20"/>
              </w:rPr>
              <w:t> </w:t>
            </w:r>
            <w:r>
              <w:rPr>
                <w:sz w:val="20"/>
              </w:rPr>
              <w:t>their form, that cannot be deciphered without additional information or equipment, do not indicate whether the contents of the kit are medicaments or</w:t>
            </w:r>
            <w:r>
              <w:rPr>
                <w:spacing w:val="-2"/>
                <w:sz w:val="20"/>
              </w:rPr>
              <w:t> </w:t>
            </w:r>
            <w:r>
              <w:rPr>
                <w:sz w:val="20"/>
              </w:rPr>
              <w:t>placebos.</w:t>
            </w:r>
          </w:p>
          <w:p>
            <w:pPr>
              <w:pStyle w:val="TableParagraph"/>
              <w:rPr>
                <w:rFonts w:ascii="Arial"/>
                <w:b/>
                <w:sz w:val="20"/>
              </w:rPr>
            </w:pPr>
          </w:p>
          <w:p>
            <w:pPr>
              <w:pStyle w:val="TableParagraph"/>
              <w:numPr>
                <w:ilvl w:val="0"/>
                <w:numId w:val="6"/>
              </w:numPr>
              <w:tabs>
                <w:tab w:pos="711" w:val="left" w:leader="none"/>
                <w:tab w:pos="712" w:val="left" w:leader="none"/>
              </w:tabs>
              <w:spacing w:line="240" w:lineRule="auto" w:before="0" w:after="0"/>
              <w:ind w:left="711" w:right="166" w:hanging="567"/>
              <w:jc w:val="left"/>
              <w:rPr>
                <w:sz w:val="20"/>
              </w:rPr>
            </w:pPr>
            <w:r>
              <w:rPr>
                <w:sz w:val="20"/>
              </w:rPr>
              <w:t>For the purpose of this by-law “placebo” means a good not containing</w:t>
            </w:r>
            <w:r>
              <w:rPr>
                <w:spacing w:val="-22"/>
                <w:sz w:val="20"/>
              </w:rPr>
              <w:t> </w:t>
            </w:r>
            <w:r>
              <w:rPr>
                <w:sz w:val="20"/>
              </w:rPr>
              <w:t>an active agent under study, administered to some participants to compare the effects of the active agent to other</w:t>
            </w:r>
            <w:r>
              <w:rPr>
                <w:spacing w:val="-5"/>
                <w:sz w:val="20"/>
              </w:rPr>
              <w:t> </w:t>
            </w:r>
            <w:r>
              <w:rPr>
                <w:sz w:val="20"/>
              </w:rPr>
              <w:t>participants.</w:t>
            </w:r>
          </w:p>
          <w:p>
            <w:pPr>
              <w:pStyle w:val="TableParagraph"/>
              <w:spacing w:before="9"/>
              <w:rPr>
                <w:rFonts w:ascii="Arial"/>
                <w:b/>
                <w:sz w:val="19"/>
              </w:rPr>
            </w:pPr>
          </w:p>
          <w:p>
            <w:pPr>
              <w:pStyle w:val="TableParagraph"/>
              <w:numPr>
                <w:ilvl w:val="0"/>
                <w:numId w:val="6"/>
              </w:numPr>
              <w:tabs>
                <w:tab w:pos="711" w:val="left" w:leader="none"/>
                <w:tab w:pos="712" w:val="left" w:leader="none"/>
              </w:tabs>
              <w:spacing w:line="272" w:lineRule="exact" w:before="1" w:after="0"/>
              <w:ind w:left="711" w:right="0" w:hanging="568"/>
              <w:jc w:val="left"/>
              <w:rPr>
                <w:sz w:val="24"/>
              </w:rPr>
            </w:pPr>
            <w:r>
              <w:rPr>
                <w:sz w:val="20"/>
              </w:rPr>
              <w:t>For the purpose of this by-law, the “</w:t>
            </w:r>
            <w:r>
              <w:rPr>
                <w:i/>
                <w:sz w:val="20"/>
              </w:rPr>
              <w:t>Customs Tariff Act 1995</w:t>
            </w:r>
            <w:r>
              <w:rPr>
                <w:sz w:val="20"/>
              </w:rPr>
              <w:t>” means</w:t>
            </w:r>
            <w:r>
              <w:rPr>
                <w:spacing w:val="-15"/>
                <w:sz w:val="20"/>
              </w:rPr>
              <w:t> </w:t>
            </w:r>
            <w:r>
              <w:rPr>
                <w:sz w:val="20"/>
              </w:rPr>
              <w:t>the</w:t>
            </w:r>
          </w:p>
          <w:p>
            <w:pPr>
              <w:pStyle w:val="TableParagraph"/>
              <w:spacing w:line="226" w:lineRule="exact"/>
              <w:ind w:left="711"/>
              <w:rPr>
                <w:i/>
                <w:sz w:val="20"/>
              </w:rPr>
            </w:pPr>
            <w:r>
              <w:rPr>
                <w:i/>
                <w:sz w:val="20"/>
              </w:rPr>
              <w:t>Customs Tariff Act 1995, </w:t>
            </w:r>
            <w:r>
              <w:rPr>
                <w:sz w:val="20"/>
              </w:rPr>
              <w:t>as amended or proposed to be altered</w:t>
            </w:r>
            <w:r>
              <w:rPr>
                <w:i/>
                <w:sz w:val="20"/>
              </w:rPr>
              <w:t>.</w:t>
            </w:r>
          </w:p>
        </w:tc>
        <w:tc>
          <w:tcPr>
            <w:tcW w:w="1561" w:type="dxa"/>
            <w:tcBorders>
              <w:left w:val="single" w:sz="6" w:space="0" w:color="000000"/>
              <w:bottom w:val="single" w:sz="6" w:space="0" w:color="000000"/>
            </w:tcBorders>
          </w:tcPr>
          <w:p>
            <w:pPr>
              <w:pStyle w:val="TableParagraph"/>
              <w:rPr>
                <w:rFonts w:ascii="Arial"/>
                <w:b/>
                <w:sz w:val="22"/>
              </w:rPr>
            </w:pPr>
          </w:p>
          <w:p>
            <w:pPr>
              <w:pStyle w:val="TableParagraph"/>
              <w:spacing w:before="172"/>
              <w:ind w:left="571"/>
              <w:rPr>
                <w:b/>
                <w:sz w:val="20"/>
              </w:rPr>
            </w:pPr>
            <w:r>
              <w:rPr>
                <w:b/>
                <w:sz w:val="20"/>
              </w:rPr>
              <w:t>1/7/2018</w:t>
            </w:r>
          </w:p>
        </w:tc>
      </w:tr>
    </w:tbl>
    <w:p>
      <w:pPr>
        <w:pStyle w:val="ListParagraph"/>
        <w:numPr>
          <w:ilvl w:val="2"/>
          <w:numId w:val="5"/>
        </w:numPr>
        <w:tabs>
          <w:tab w:pos="228" w:val="left" w:leader="none"/>
        </w:tabs>
        <w:spacing w:line="240" w:lineRule="auto" w:before="34" w:after="0"/>
        <w:ind w:left="9040" w:right="225" w:hanging="9041"/>
        <w:jc w:val="right"/>
        <w:rPr>
          <w:rFonts w:ascii="Arial Narrow" w:hAnsi="Arial Narrow"/>
          <w:b/>
          <w:sz w:val="20"/>
        </w:rPr>
      </w:pPr>
      <w:r>
        <w:rPr>
          <w:rFonts w:ascii="Arial Narrow" w:hAnsi="Arial Narrow"/>
          <w:b/>
          <w:sz w:val="20"/>
        </w:rPr>
        <w:t>Operative</w:t>
      </w:r>
      <w:r>
        <w:rPr>
          <w:rFonts w:ascii="Arial Narrow" w:hAnsi="Arial Narrow"/>
          <w:b/>
          <w:spacing w:val="-8"/>
          <w:sz w:val="20"/>
        </w:rPr>
        <w:t> </w:t>
      </w:r>
      <w:r>
        <w:rPr>
          <w:rFonts w:ascii="Arial Narrow" w:hAnsi="Arial Narrow"/>
          <w:b/>
          <w:sz w:val="20"/>
        </w:rPr>
        <w:t>1/7/18</w:t>
      </w:r>
    </w:p>
    <w:p>
      <w:pPr>
        <w:spacing w:after="0" w:line="240" w:lineRule="auto"/>
        <w:jc w:val="right"/>
        <w:rPr>
          <w:rFonts w:ascii="Arial Narrow" w:hAnsi="Arial Narrow"/>
          <w:sz w:val="20"/>
        </w:rPr>
        <w:sectPr>
          <w:headerReference w:type="default" r:id="rId19"/>
          <w:footerReference w:type="default" r:id="rId20"/>
          <w:pgSz w:w="11910" w:h="16840"/>
          <w:pgMar w:header="0" w:footer="0" w:top="760" w:bottom="280" w:left="960" w:right="420"/>
        </w:sect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spacing w:before="194"/>
        <w:ind w:left="588" w:right="0" w:firstLine="0"/>
        <w:jc w:val="left"/>
        <w:rPr>
          <w:b/>
          <w:sz w:val="20"/>
        </w:rPr>
      </w:pPr>
      <w:r>
        <w:rPr>
          <w:b/>
          <w:sz w:val="20"/>
        </w:rPr>
        <w:t>Part 2/80</w:t>
      </w:r>
    </w:p>
    <w:p>
      <w:pPr>
        <w:spacing w:line="348" w:lineRule="auto" w:before="64"/>
        <w:ind w:left="584" w:right="2262" w:firstLine="0"/>
        <w:jc w:val="center"/>
        <w:rPr>
          <w:b/>
          <w:sz w:val="24"/>
        </w:rPr>
      </w:pPr>
      <w:r>
        <w:rPr/>
        <w:br w:type="column"/>
      </w:r>
      <w:r>
        <w:rPr>
          <w:b/>
          <w:sz w:val="24"/>
        </w:rPr>
        <w:t>SCHEDULE OF CONCESSIONAL INSTRUMENTS PART II</w:t>
      </w:r>
    </w:p>
    <w:p>
      <w:pPr>
        <w:spacing w:line="345" w:lineRule="auto" w:before="2"/>
        <w:ind w:left="588" w:right="2262" w:firstLine="0"/>
        <w:jc w:val="center"/>
        <w:rPr>
          <w:b/>
          <w:sz w:val="24"/>
        </w:rPr>
      </w:pPr>
      <w:r>
        <w:rPr>
          <w:b/>
          <w:sz w:val="24"/>
        </w:rPr>
        <w:t>INSTRUMENTS ISSUED TO ITEMS IN SCHEDULE 4 CUSTOMS TARIFF ACT 1995</w:t>
      </w:r>
    </w:p>
    <w:p>
      <w:pPr>
        <w:spacing w:after="0" w:line="345" w:lineRule="auto"/>
        <w:jc w:val="center"/>
        <w:rPr>
          <w:sz w:val="24"/>
        </w:rPr>
        <w:sectPr>
          <w:headerReference w:type="even" r:id="rId21"/>
          <w:footerReference w:type="even" r:id="rId22"/>
          <w:pgSz w:w="11910" w:h="16840"/>
          <w:pgMar w:header="0" w:footer="0" w:top="760" w:bottom="280" w:left="960" w:right="420"/>
          <w:cols w:num="2" w:equalWidth="0">
            <w:col w:w="1459" w:space="430"/>
            <w:col w:w="8641"/>
          </w:cols>
        </w:sectPr>
      </w:pPr>
    </w:p>
    <w:p>
      <w:pPr>
        <w:pStyle w:val="BodyText"/>
        <w:ind w:left="574"/>
      </w:pPr>
      <w:r>
        <w:rPr/>
        <w:pict>
          <v:group style="width:480.35pt;height:35.8pt;mso-position-horizontal-relative:char;mso-position-vertical-relative:line" coordorigin="0,0" coordsize="9607,716">
            <v:shape style="position:absolute;left:0;top:0;width:9607;height:716" coordorigin="0,0" coordsize="9607,716" path="m8267,701l1574,701,1560,701,581,701,581,701,566,701,0,701,0,715,566,715,581,715,581,715,1560,715,1574,715,8267,715,8267,701xm8267,0l1589,0,1574,0,595,0,581,0,581,0,14,0,14,14,581,14,581,14,595,14,1574,14,1589,14,8267,14,8267,0xm9607,0l8282,0,8267,0,8267,14,8267,701,8267,715,8282,715,9607,715,9607,701,8282,701,8282,14,9607,14,9607,0xe" filled="true" fillcolor="#000000" stroked="false">
              <v:path arrowok="t"/>
              <v:fill type="solid"/>
            </v:shape>
            <v:shape style="position:absolute;left:122;top:51;width:357;height:229" type="#_x0000_t202" filled="false" stroked="false">
              <v:textbox inset="0,0,0,0">
                <w:txbxContent>
                  <w:p>
                    <w:pPr>
                      <w:spacing w:before="0"/>
                      <w:ind w:left="0" w:right="0" w:firstLine="0"/>
                      <w:jc w:val="left"/>
                      <w:rPr>
                        <w:rFonts w:ascii="Arial Narrow"/>
                        <w:b/>
                        <w:sz w:val="20"/>
                      </w:rPr>
                    </w:pPr>
                    <w:r>
                      <w:rPr>
                        <w:rFonts w:ascii="Arial Narrow"/>
                        <w:b/>
                        <w:sz w:val="20"/>
                      </w:rPr>
                      <w:t>Item</w:t>
                    </w:r>
                  </w:p>
                </w:txbxContent>
              </v:textbox>
              <w10:wrap type="none"/>
            </v:shape>
            <v:shape style="position:absolute;left:813;top:51;width:548;height:428" type="#_x0000_t202" filled="false" stroked="false">
              <v:textbox inset="0,0,0,0">
                <w:txbxContent>
                  <w:p>
                    <w:pPr>
                      <w:spacing w:line="208" w:lineRule="auto" w:before="24"/>
                      <w:ind w:left="132" w:right="0" w:hanging="132"/>
                      <w:jc w:val="left"/>
                      <w:rPr>
                        <w:rFonts w:ascii="Arial Narrow"/>
                        <w:b/>
                        <w:sz w:val="20"/>
                      </w:rPr>
                    </w:pPr>
                    <w:r>
                      <w:rPr>
                        <w:rFonts w:ascii="Arial Narrow"/>
                        <w:b/>
                        <w:w w:val="95"/>
                        <w:sz w:val="20"/>
                      </w:rPr>
                      <w:t>By-law </w:t>
                    </w:r>
                    <w:r>
                      <w:rPr>
                        <w:rFonts w:ascii="Arial Narrow"/>
                        <w:b/>
                        <w:sz w:val="20"/>
                      </w:rPr>
                      <w:t>No.</w:t>
                    </w:r>
                  </w:p>
                </w:txbxContent>
              </v:textbox>
              <w10:wrap type="none"/>
            </v:shape>
            <v:shape style="position:absolute;left:4090;top:51;width:1688;height:229" type="#_x0000_t202" filled="false" stroked="false">
              <v:textbox inset="0,0,0,0">
                <w:txbxContent>
                  <w:p>
                    <w:pPr>
                      <w:spacing w:before="0"/>
                      <w:ind w:left="0" w:right="0" w:firstLine="0"/>
                      <w:jc w:val="left"/>
                      <w:rPr>
                        <w:rFonts w:ascii="Arial Narrow"/>
                        <w:b/>
                        <w:sz w:val="20"/>
                      </w:rPr>
                    </w:pPr>
                    <w:r>
                      <w:rPr>
                        <w:rFonts w:ascii="Arial Narrow"/>
                        <w:b/>
                        <w:sz w:val="20"/>
                      </w:rPr>
                      <w:t>Description of Goods</w:t>
                    </w:r>
                  </w:p>
                </w:txbxContent>
              </v:textbox>
              <w10:wrap type="none"/>
            </v:shape>
            <v:shape style="position:absolute;left:8538;top:51;width:821;height:488" type="#_x0000_t202" filled="false" stroked="false">
              <v:textbox inset="0,0,0,0">
                <w:txbxContent>
                  <w:p>
                    <w:pPr>
                      <w:spacing w:line="271" w:lineRule="auto" w:before="0"/>
                      <w:ind w:left="55" w:right="0" w:hanging="56"/>
                      <w:jc w:val="left"/>
                      <w:rPr>
                        <w:rFonts w:ascii="Arial Narrow"/>
                        <w:b/>
                        <w:sz w:val="20"/>
                      </w:rPr>
                    </w:pPr>
                    <w:r>
                      <w:rPr>
                        <w:rFonts w:ascii="Arial Narrow"/>
                        <w:b/>
                        <w:sz w:val="20"/>
                      </w:rPr>
                      <w:t>Start date/ End date</w:t>
                    </w:r>
                  </w:p>
                </w:txbxContent>
              </v:textbox>
              <w10:wrap type="none"/>
            </v:shape>
          </v:group>
        </w:pict>
      </w:r>
      <w:r>
        <w:rPr/>
      </w:r>
    </w:p>
    <w:p>
      <w:pPr>
        <w:pStyle w:val="BodyText"/>
        <w:spacing w:before="7"/>
        <w:rPr>
          <w:b/>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492"/>
        <w:gridCol w:w="1030"/>
        <w:gridCol w:w="6736"/>
        <w:gridCol w:w="1138"/>
      </w:tblGrid>
      <w:tr>
        <w:trPr>
          <w:trHeight w:val="7239" w:hRule="atLeast"/>
        </w:trPr>
        <w:tc>
          <w:tcPr>
            <w:tcW w:w="486" w:type="dxa"/>
          </w:tcPr>
          <w:p>
            <w:pPr>
              <w:pStyle w:val="TableParagraph"/>
              <w:rPr>
                <w:rFonts w:ascii="Arial"/>
                <w:b/>
                <w:sz w:val="22"/>
              </w:rPr>
            </w:pPr>
          </w:p>
          <w:p>
            <w:pPr>
              <w:pStyle w:val="TableParagraph"/>
              <w:rPr>
                <w:rFonts w:ascii="Arial"/>
                <w:b/>
                <w:sz w:val="22"/>
              </w:rPr>
            </w:pPr>
          </w:p>
          <w:p>
            <w:pPr>
              <w:pStyle w:val="TableParagraph"/>
              <w:spacing w:before="156"/>
              <w:ind w:left="200"/>
              <w:rPr>
                <w:rFonts w:ascii="Wingdings" w:hAnsi="Wingdings"/>
                <w:sz w:val="20"/>
              </w:rPr>
            </w:pPr>
            <w:r>
              <w:rPr>
                <w:rFonts w:ascii="Wingdings" w:hAnsi="Wingdings"/>
                <w:w w:val="99"/>
                <w:sz w:val="20"/>
              </w:rPr>
              <w:t></w:t>
            </w:r>
          </w:p>
        </w:tc>
        <w:tc>
          <w:tcPr>
            <w:tcW w:w="492" w:type="dxa"/>
          </w:tcPr>
          <w:p>
            <w:pPr>
              <w:pStyle w:val="TableParagraph"/>
              <w:rPr>
                <w:rFonts w:ascii="Arial"/>
                <w:b/>
                <w:sz w:val="22"/>
              </w:rPr>
            </w:pPr>
          </w:p>
          <w:p>
            <w:pPr>
              <w:pStyle w:val="TableParagraph"/>
              <w:rPr>
                <w:rFonts w:ascii="Arial"/>
                <w:b/>
                <w:sz w:val="22"/>
              </w:rPr>
            </w:pPr>
          </w:p>
          <w:p>
            <w:pPr>
              <w:pStyle w:val="TableParagraph"/>
              <w:spacing w:before="183"/>
              <w:ind w:left="107"/>
              <w:rPr>
                <w:b/>
                <w:sz w:val="20"/>
              </w:rPr>
            </w:pPr>
            <w:r>
              <w:rPr>
                <w:b/>
                <w:sz w:val="20"/>
              </w:rPr>
              <w:t>57</w:t>
            </w:r>
          </w:p>
        </w:tc>
        <w:tc>
          <w:tcPr>
            <w:tcW w:w="1030" w:type="dxa"/>
          </w:tcPr>
          <w:p>
            <w:pPr>
              <w:pStyle w:val="TableParagraph"/>
              <w:rPr>
                <w:rFonts w:ascii="Arial"/>
                <w:b/>
                <w:sz w:val="22"/>
              </w:rPr>
            </w:pPr>
          </w:p>
          <w:p>
            <w:pPr>
              <w:pStyle w:val="TableParagraph"/>
              <w:rPr>
                <w:rFonts w:ascii="Arial"/>
                <w:b/>
                <w:sz w:val="22"/>
              </w:rPr>
            </w:pPr>
          </w:p>
          <w:p>
            <w:pPr>
              <w:pStyle w:val="TableParagraph"/>
              <w:spacing w:before="183"/>
              <w:ind w:left="181"/>
              <w:rPr>
                <w:b/>
                <w:sz w:val="20"/>
              </w:rPr>
            </w:pPr>
            <w:r>
              <w:rPr>
                <w:b/>
                <w:sz w:val="20"/>
              </w:rPr>
              <w:t>2019608</w:t>
            </w:r>
          </w:p>
        </w:tc>
        <w:tc>
          <w:tcPr>
            <w:tcW w:w="6736" w:type="dxa"/>
            <w:tcBorders>
              <w:right w:val="single" w:sz="6" w:space="0" w:color="000000"/>
            </w:tcBorders>
          </w:tcPr>
          <w:p>
            <w:pPr>
              <w:pStyle w:val="TableParagraph"/>
              <w:spacing w:before="10"/>
              <w:rPr>
                <w:rFonts w:ascii="Arial"/>
                <w:b/>
                <w:sz w:val="19"/>
              </w:rPr>
            </w:pPr>
          </w:p>
          <w:p>
            <w:pPr>
              <w:pStyle w:val="TableParagraph"/>
              <w:ind w:left="145"/>
              <w:rPr>
                <w:b/>
                <w:sz w:val="20"/>
              </w:rPr>
            </w:pPr>
            <w:r>
              <w:rPr>
                <w:b/>
                <w:sz w:val="20"/>
                <w:u w:val="single"/>
              </w:rPr>
              <w:t>Item 57 – Goods to be used in response to the COVID-19 pandemic</w:t>
            </w:r>
          </w:p>
          <w:p>
            <w:pPr>
              <w:pStyle w:val="TableParagraph"/>
              <w:spacing w:before="7"/>
              <w:rPr>
                <w:rFonts w:ascii="Arial"/>
                <w:b/>
                <w:sz w:val="19"/>
              </w:rPr>
            </w:pPr>
          </w:p>
          <w:p>
            <w:pPr>
              <w:pStyle w:val="TableParagraph"/>
              <w:numPr>
                <w:ilvl w:val="0"/>
                <w:numId w:val="7"/>
              </w:numPr>
              <w:tabs>
                <w:tab w:pos="712" w:val="left" w:leader="none"/>
                <w:tab w:pos="713" w:val="left" w:leader="none"/>
              </w:tabs>
              <w:spacing w:line="240" w:lineRule="auto" w:before="0" w:after="0"/>
              <w:ind w:left="712" w:right="0" w:hanging="568"/>
              <w:jc w:val="left"/>
              <w:rPr>
                <w:sz w:val="20"/>
              </w:rPr>
            </w:pPr>
            <w:r>
              <w:rPr>
                <w:sz w:val="20"/>
              </w:rPr>
              <w:t>This by-law may be cited as Customs By-law No.</w:t>
            </w:r>
            <w:r>
              <w:rPr>
                <w:spacing w:val="-6"/>
                <w:sz w:val="20"/>
              </w:rPr>
              <w:t> </w:t>
            </w:r>
            <w:r>
              <w:rPr>
                <w:sz w:val="20"/>
              </w:rPr>
              <w:t>2019608.</w:t>
            </w:r>
          </w:p>
          <w:p>
            <w:pPr>
              <w:pStyle w:val="TableParagraph"/>
              <w:spacing w:before="1"/>
              <w:rPr>
                <w:rFonts w:ascii="Arial"/>
                <w:b/>
                <w:sz w:val="20"/>
              </w:rPr>
            </w:pPr>
          </w:p>
          <w:p>
            <w:pPr>
              <w:pStyle w:val="TableParagraph"/>
              <w:numPr>
                <w:ilvl w:val="0"/>
                <w:numId w:val="7"/>
              </w:numPr>
              <w:tabs>
                <w:tab w:pos="712" w:val="left" w:leader="none"/>
                <w:tab w:pos="713" w:val="left" w:leader="none"/>
              </w:tabs>
              <w:spacing w:line="240" w:lineRule="auto" w:before="0" w:after="0"/>
              <w:ind w:left="712" w:right="0" w:hanging="568"/>
              <w:jc w:val="left"/>
              <w:rPr>
                <w:sz w:val="20"/>
              </w:rPr>
            </w:pPr>
            <w:r>
              <w:rPr>
                <w:sz w:val="20"/>
              </w:rPr>
              <w:t>This by-law shall be deemed to have taken effect on 1 February</w:t>
            </w:r>
            <w:r>
              <w:rPr>
                <w:spacing w:val="-11"/>
                <w:sz w:val="20"/>
              </w:rPr>
              <w:t> </w:t>
            </w:r>
            <w:r>
              <w:rPr>
                <w:sz w:val="20"/>
              </w:rPr>
              <w:t>2020.</w:t>
            </w:r>
          </w:p>
          <w:p>
            <w:pPr>
              <w:pStyle w:val="TableParagraph"/>
              <w:spacing w:before="10"/>
              <w:rPr>
                <w:rFonts w:ascii="Arial"/>
                <w:b/>
                <w:sz w:val="19"/>
              </w:rPr>
            </w:pPr>
          </w:p>
          <w:p>
            <w:pPr>
              <w:pStyle w:val="TableParagraph"/>
              <w:numPr>
                <w:ilvl w:val="0"/>
                <w:numId w:val="7"/>
              </w:numPr>
              <w:tabs>
                <w:tab w:pos="712" w:val="left" w:leader="none"/>
                <w:tab w:pos="713" w:val="left" w:leader="none"/>
              </w:tabs>
              <w:spacing w:line="240" w:lineRule="auto" w:before="0" w:after="0"/>
              <w:ind w:left="712" w:right="136" w:hanging="567"/>
              <w:jc w:val="left"/>
              <w:rPr>
                <w:sz w:val="20"/>
              </w:rPr>
            </w:pPr>
            <w:r>
              <w:rPr>
                <w:sz w:val="20"/>
              </w:rPr>
              <w:t>For the purposes of Item 57 of Schedule 4 to the </w:t>
            </w:r>
            <w:r>
              <w:rPr>
                <w:i/>
                <w:sz w:val="20"/>
              </w:rPr>
              <w:t>Customs Tariff Act 1995 </w:t>
            </w:r>
            <w:r>
              <w:rPr>
                <w:sz w:val="20"/>
              </w:rPr>
              <w:t>(the Customs Tariff), the following medical or hygiene products are prescribed:</w:t>
            </w:r>
          </w:p>
          <w:p>
            <w:pPr>
              <w:pStyle w:val="TableParagraph"/>
              <w:rPr>
                <w:rFonts w:ascii="Arial"/>
                <w:b/>
                <w:sz w:val="20"/>
              </w:rPr>
            </w:pPr>
          </w:p>
          <w:p>
            <w:pPr>
              <w:pStyle w:val="TableParagraph"/>
              <w:numPr>
                <w:ilvl w:val="1"/>
                <w:numId w:val="7"/>
              </w:numPr>
              <w:tabs>
                <w:tab w:pos="1078" w:val="left" w:leader="none"/>
              </w:tabs>
              <w:spacing w:line="240" w:lineRule="auto" w:before="0" w:after="0"/>
              <w:ind w:left="1077" w:right="674" w:hanging="360"/>
              <w:jc w:val="left"/>
              <w:rPr>
                <w:sz w:val="20"/>
              </w:rPr>
            </w:pPr>
            <w:r>
              <w:rPr>
                <w:sz w:val="20"/>
              </w:rPr>
              <w:t>any of the following equipment that, when worn, is capable</w:t>
            </w:r>
            <w:r>
              <w:rPr>
                <w:spacing w:val="-18"/>
                <w:sz w:val="20"/>
              </w:rPr>
              <w:t> </w:t>
            </w:r>
            <w:r>
              <w:rPr>
                <w:sz w:val="20"/>
              </w:rPr>
              <w:t>of limiting the transmission of organisms to</w:t>
            </w:r>
            <w:r>
              <w:rPr>
                <w:spacing w:val="-8"/>
                <w:sz w:val="20"/>
              </w:rPr>
              <w:t> </w:t>
            </w:r>
            <w:r>
              <w:rPr>
                <w:sz w:val="20"/>
              </w:rPr>
              <w:t>humans:</w:t>
            </w:r>
          </w:p>
          <w:p>
            <w:pPr>
              <w:pStyle w:val="TableParagraph"/>
              <w:numPr>
                <w:ilvl w:val="2"/>
                <w:numId w:val="7"/>
              </w:numPr>
              <w:tabs>
                <w:tab w:pos="2006" w:val="left" w:leader="none"/>
                <w:tab w:pos="2007" w:val="left" w:leader="none"/>
              </w:tabs>
              <w:spacing w:line="240" w:lineRule="auto" w:before="1" w:after="0"/>
              <w:ind w:left="2006" w:right="0" w:hanging="721"/>
              <w:jc w:val="left"/>
              <w:rPr>
                <w:sz w:val="20"/>
              </w:rPr>
            </w:pPr>
            <w:r>
              <w:rPr>
                <w:sz w:val="20"/>
              </w:rPr>
              <w:t>face</w:t>
            </w:r>
            <w:r>
              <w:rPr>
                <w:spacing w:val="2"/>
                <w:sz w:val="20"/>
              </w:rPr>
              <w:t> </w:t>
            </w:r>
            <w:r>
              <w:rPr>
                <w:sz w:val="20"/>
              </w:rPr>
              <w:t>masks;</w:t>
            </w:r>
          </w:p>
          <w:p>
            <w:pPr>
              <w:pStyle w:val="TableParagraph"/>
              <w:numPr>
                <w:ilvl w:val="2"/>
                <w:numId w:val="7"/>
              </w:numPr>
              <w:tabs>
                <w:tab w:pos="2006" w:val="left" w:leader="none"/>
                <w:tab w:pos="2007" w:val="left" w:leader="none"/>
              </w:tabs>
              <w:spacing w:line="240" w:lineRule="auto" w:before="0" w:after="0"/>
              <w:ind w:left="2006" w:right="0" w:hanging="721"/>
              <w:jc w:val="left"/>
              <w:rPr>
                <w:sz w:val="20"/>
              </w:rPr>
            </w:pPr>
            <w:r>
              <w:rPr>
                <w:sz w:val="20"/>
              </w:rPr>
              <w:t>gloves;</w:t>
            </w:r>
          </w:p>
          <w:p>
            <w:pPr>
              <w:pStyle w:val="TableParagraph"/>
              <w:numPr>
                <w:ilvl w:val="2"/>
                <w:numId w:val="7"/>
              </w:numPr>
              <w:tabs>
                <w:tab w:pos="2006" w:val="left" w:leader="none"/>
                <w:tab w:pos="2007" w:val="left" w:leader="none"/>
              </w:tabs>
              <w:spacing w:line="240" w:lineRule="auto" w:before="1" w:after="0"/>
              <w:ind w:left="2006" w:right="0" w:hanging="721"/>
              <w:jc w:val="left"/>
              <w:rPr>
                <w:sz w:val="20"/>
              </w:rPr>
            </w:pPr>
            <w:r>
              <w:rPr>
                <w:sz w:val="20"/>
              </w:rPr>
              <w:t>clothes or</w:t>
            </w:r>
            <w:r>
              <w:rPr>
                <w:spacing w:val="-2"/>
                <w:sz w:val="20"/>
              </w:rPr>
              <w:t> </w:t>
            </w:r>
            <w:r>
              <w:rPr>
                <w:sz w:val="20"/>
              </w:rPr>
              <w:t>gowns;</w:t>
            </w:r>
          </w:p>
          <w:p>
            <w:pPr>
              <w:pStyle w:val="TableParagraph"/>
              <w:numPr>
                <w:ilvl w:val="2"/>
                <w:numId w:val="7"/>
              </w:numPr>
              <w:tabs>
                <w:tab w:pos="2006" w:val="left" w:leader="none"/>
                <w:tab w:pos="2007" w:val="left" w:leader="none"/>
              </w:tabs>
              <w:spacing w:line="240" w:lineRule="auto" w:before="0" w:after="0"/>
              <w:ind w:left="2006" w:right="0" w:hanging="721"/>
              <w:jc w:val="left"/>
              <w:rPr>
                <w:sz w:val="20"/>
              </w:rPr>
            </w:pPr>
            <w:r>
              <w:rPr>
                <w:sz w:val="20"/>
              </w:rPr>
              <w:t>goggles, glasses, eye visors or face</w:t>
            </w:r>
            <w:r>
              <w:rPr>
                <w:spacing w:val="4"/>
                <w:sz w:val="20"/>
              </w:rPr>
              <w:t> </w:t>
            </w:r>
            <w:r>
              <w:rPr>
                <w:sz w:val="20"/>
              </w:rPr>
              <w:t>shields;</w:t>
            </w:r>
          </w:p>
          <w:p>
            <w:pPr>
              <w:pStyle w:val="TableParagraph"/>
              <w:spacing w:before="10"/>
              <w:rPr>
                <w:rFonts w:ascii="Arial"/>
                <w:b/>
                <w:sz w:val="19"/>
              </w:rPr>
            </w:pPr>
          </w:p>
          <w:p>
            <w:pPr>
              <w:pStyle w:val="TableParagraph"/>
              <w:numPr>
                <w:ilvl w:val="1"/>
                <w:numId w:val="7"/>
              </w:numPr>
              <w:tabs>
                <w:tab w:pos="1078" w:val="left" w:leader="none"/>
              </w:tabs>
              <w:spacing w:line="240" w:lineRule="auto" w:before="0" w:after="0"/>
              <w:ind w:left="1077" w:right="190" w:hanging="360"/>
              <w:jc w:val="left"/>
              <w:rPr>
                <w:sz w:val="20"/>
              </w:rPr>
            </w:pPr>
            <w:r>
              <w:rPr>
                <w:sz w:val="20"/>
              </w:rPr>
              <w:t>disinfectant preparations classified to heading 3808 in Schedule 3</w:t>
            </w:r>
            <w:r>
              <w:rPr>
                <w:spacing w:val="-15"/>
                <w:sz w:val="20"/>
              </w:rPr>
              <w:t> </w:t>
            </w:r>
            <w:r>
              <w:rPr>
                <w:sz w:val="20"/>
              </w:rPr>
              <w:t>to the Customs Tariff, excluding hand sanitisers;</w:t>
            </w:r>
          </w:p>
          <w:p>
            <w:pPr>
              <w:pStyle w:val="TableParagraph"/>
              <w:spacing w:before="1"/>
              <w:rPr>
                <w:rFonts w:ascii="Arial"/>
                <w:b/>
                <w:sz w:val="20"/>
              </w:rPr>
            </w:pPr>
          </w:p>
          <w:p>
            <w:pPr>
              <w:pStyle w:val="TableParagraph"/>
              <w:numPr>
                <w:ilvl w:val="1"/>
                <w:numId w:val="7"/>
              </w:numPr>
              <w:tabs>
                <w:tab w:pos="1078" w:val="left" w:leader="none"/>
              </w:tabs>
              <w:spacing w:line="240" w:lineRule="auto" w:before="0" w:after="0"/>
              <w:ind w:left="1077" w:right="0" w:hanging="361"/>
              <w:jc w:val="left"/>
              <w:rPr>
                <w:sz w:val="20"/>
              </w:rPr>
            </w:pPr>
            <w:r>
              <w:rPr>
                <w:sz w:val="20"/>
              </w:rPr>
              <w:t>soaps;</w:t>
            </w:r>
          </w:p>
          <w:p>
            <w:pPr>
              <w:pStyle w:val="TableParagraph"/>
              <w:spacing w:before="10"/>
              <w:rPr>
                <w:rFonts w:ascii="Arial"/>
                <w:b/>
                <w:sz w:val="19"/>
              </w:rPr>
            </w:pPr>
          </w:p>
          <w:p>
            <w:pPr>
              <w:pStyle w:val="TableParagraph"/>
              <w:numPr>
                <w:ilvl w:val="1"/>
                <w:numId w:val="7"/>
              </w:numPr>
              <w:tabs>
                <w:tab w:pos="1078" w:val="left" w:leader="none"/>
              </w:tabs>
              <w:spacing w:line="240" w:lineRule="auto" w:before="0" w:after="0"/>
              <w:ind w:left="1077" w:right="0" w:hanging="361"/>
              <w:jc w:val="left"/>
              <w:rPr>
                <w:sz w:val="20"/>
              </w:rPr>
            </w:pPr>
            <w:r>
              <w:rPr>
                <w:sz w:val="20"/>
              </w:rPr>
              <w:t>COVID-19 test kits, reagents and viral transport</w:t>
            </w:r>
            <w:r>
              <w:rPr>
                <w:spacing w:val="3"/>
                <w:sz w:val="20"/>
              </w:rPr>
              <w:t> </w:t>
            </w:r>
            <w:r>
              <w:rPr>
                <w:sz w:val="20"/>
              </w:rPr>
              <w:t>media.</w:t>
            </w:r>
          </w:p>
          <w:p>
            <w:pPr>
              <w:pStyle w:val="TableParagraph"/>
              <w:spacing w:before="10"/>
              <w:rPr>
                <w:rFonts w:ascii="Arial"/>
                <w:b/>
                <w:sz w:val="17"/>
              </w:rPr>
            </w:pPr>
          </w:p>
          <w:p>
            <w:pPr>
              <w:pStyle w:val="TableParagraph"/>
              <w:numPr>
                <w:ilvl w:val="0"/>
                <w:numId w:val="7"/>
              </w:numPr>
              <w:tabs>
                <w:tab w:pos="642" w:val="left" w:leader="none"/>
                <w:tab w:pos="643" w:val="left" w:leader="none"/>
              </w:tabs>
              <w:spacing w:line="208" w:lineRule="auto" w:before="0" w:after="0"/>
              <w:ind w:left="642" w:right="273" w:hanging="498"/>
              <w:jc w:val="left"/>
              <w:rPr>
                <w:sz w:val="20"/>
              </w:rPr>
            </w:pPr>
            <w:r>
              <w:rPr>
                <w:sz w:val="20"/>
              </w:rPr>
              <w:t>In this by-law, the “Customs Tariff Act 1995” means the Customs Tariff Act 1995, as amended or proposed to be</w:t>
            </w:r>
            <w:r>
              <w:rPr>
                <w:spacing w:val="-1"/>
                <w:sz w:val="20"/>
              </w:rPr>
              <w:t> </w:t>
            </w:r>
            <w:r>
              <w:rPr>
                <w:sz w:val="20"/>
              </w:rPr>
              <w:t>altered.</w:t>
            </w:r>
          </w:p>
          <w:p>
            <w:pPr>
              <w:pStyle w:val="TableParagraph"/>
              <w:rPr>
                <w:rFonts w:ascii="Arial"/>
                <w:b/>
                <w:sz w:val="22"/>
              </w:rPr>
            </w:pPr>
          </w:p>
          <w:p>
            <w:pPr>
              <w:pStyle w:val="TableParagraph"/>
              <w:rPr>
                <w:rFonts w:ascii="Arial"/>
                <w:b/>
                <w:sz w:val="22"/>
              </w:rPr>
            </w:pPr>
          </w:p>
          <w:p>
            <w:pPr>
              <w:pStyle w:val="TableParagraph"/>
              <w:spacing w:line="445" w:lineRule="exact" w:before="150"/>
              <w:ind w:left="1574"/>
              <w:rPr>
                <w:sz w:val="40"/>
              </w:rPr>
            </w:pPr>
            <w:r>
              <w:rPr>
                <w:sz w:val="40"/>
              </w:rPr>
              <w:t>END OF SCHEDULE</w:t>
            </w:r>
          </w:p>
        </w:tc>
        <w:tc>
          <w:tcPr>
            <w:tcW w:w="1138" w:type="dxa"/>
            <w:tcBorders>
              <w:left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19"/>
              </w:rPr>
            </w:pPr>
          </w:p>
          <w:p>
            <w:pPr>
              <w:pStyle w:val="TableParagraph"/>
              <w:spacing w:line="210" w:lineRule="exact" w:before="1"/>
              <w:ind w:left="99"/>
              <w:rPr>
                <w:sz w:val="20"/>
              </w:rPr>
            </w:pPr>
            <w:r>
              <w:rPr>
                <w:sz w:val="20"/>
              </w:rPr>
              <w:t>1/2/2020</w:t>
            </w:r>
            <w:r>
              <w:rPr>
                <w:spacing w:val="-2"/>
                <w:sz w:val="20"/>
              </w:rPr>
              <w:t> </w:t>
            </w:r>
            <w:r>
              <w:rPr>
                <w:sz w:val="20"/>
              </w:rPr>
              <w:t>-</w:t>
            </w:r>
          </w:p>
          <w:p>
            <w:pPr>
              <w:pStyle w:val="TableParagraph"/>
              <w:spacing w:line="210" w:lineRule="exact"/>
              <w:ind w:left="99"/>
              <w:rPr>
                <w:sz w:val="20"/>
              </w:rPr>
            </w:pPr>
            <w:r>
              <w:rPr>
                <w:sz w:val="20"/>
              </w:rPr>
              <w:t>31/7/2020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shape style="position:absolute;margin-left:70.344002pt;margin-top:13.625551pt;width:498pt;height:.75pt;mso-position-horizontal-relative:page;mso-position-vertical-relative:paragraph;z-index:-15726080;mso-wrap-distance-left:0;mso-wrap-distance-right:0" coordorigin="1407,273" coordsize="9960,15" path="m9523,273l1407,273,1407,287,9523,287,9523,273xm11366,273l9537,273,9523,273,9523,287,9537,287,11366,287,11366,273xe" filled="true" fillcolor="#000000" stroked="false">
            <v:path arrowok="t"/>
            <v:fill type="solid"/>
            <w10:wrap type="topAndBottom"/>
          </v:shape>
        </w:pict>
      </w:r>
    </w:p>
    <w:p>
      <w:pPr>
        <w:pStyle w:val="ListParagraph"/>
        <w:numPr>
          <w:ilvl w:val="2"/>
          <w:numId w:val="5"/>
        </w:numPr>
        <w:tabs>
          <w:tab w:pos="228" w:val="left" w:leader="none"/>
        </w:tabs>
        <w:spacing w:line="240" w:lineRule="auto" w:before="5" w:after="0"/>
        <w:ind w:left="9040" w:right="225" w:hanging="9041"/>
        <w:jc w:val="right"/>
        <w:rPr>
          <w:rFonts w:ascii="Arial Narrow" w:hAnsi="Arial Narrow"/>
          <w:b/>
          <w:sz w:val="20"/>
        </w:rPr>
      </w:pPr>
      <w:r>
        <w:rPr>
          <w:rFonts w:ascii="Arial Narrow" w:hAnsi="Arial Narrow"/>
          <w:b/>
          <w:sz w:val="20"/>
        </w:rPr>
        <w:t>Operative</w:t>
      </w:r>
      <w:r>
        <w:rPr>
          <w:rFonts w:ascii="Arial Narrow" w:hAnsi="Arial Narrow"/>
          <w:b/>
          <w:spacing w:val="-8"/>
          <w:sz w:val="20"/>
        </w:rPr>
        <w:t> </w:t>
      </w:r>
      <w:r>
        <w:rPr>
          <w:rFonts w:ascii="Arial Narrow" w:hAnsi="Arial Narrow"/>
          <w:b/>
          <w:sz w:val="20"/>
        </w:rPr>
        <w:t>1/5/20</w:t>
      </w:r>
    </w:p>
    <w:sectPr>
      <w:type w:val="continuous"/>
      <w:pgSz w:w="11910" w:h="16840"/>
      <w:pgMar w:top="3860" w:bottom="1000" w:left="96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Arial Narrow">
    <w:altName w:val="Arial Narrow"/>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pt;margin-top:790.91272pt;width:597.450pt;height:15.5pt;mso-position-horizontal-relative:page;mso-position-vertical-relative:page;z-index:-16111616" type="#_x0000_t202" filled="false" stroked="false">
          <v:textbox inset="0,0,0,0">
            <w:txbxContent>
              <w:p>
                <w:pPr>
                  <w:tabs>
                    <w:tab w:pos="4384" w:val="left" w:leader="none"/>
                    <w:tab w:pos="11928" w:val="left" w:leader="none"/>
                  </w:tabs>
                  <w:spacing w:before="12"/>
                  <w:ind w:left="20" w:right="0"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0pt;margin-top:797.75531pt;width:9.6pt;height:9.8pt;mso-position-horizontal-relative:page;mso-position-vertical-relative:page;z-index:-16111104" type="#_x0000_t202" filled="false" stroked="false">
          <v:textbox inset="0,0,0,0">
            <w:txbxContent>
              <w:p>
                <w:pPr>
                  <w:spacing w:before="14"/>
                  <w:ind w:left="20" w:right="0" w:firstLine="0"/>
                  <w:jc w:val="left"/>
                  <w:rPr>
                    <w:sz w:val="14"/>
                  </w:rPr>
                </w:pPr>
                <w:r>
                  <w:rPr>
                    <w:color w:val="5C676C"/>
                    <w:sz w:val="14"/>
                  </w:rPr>
                  <w:t>| 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0pt;margin-top:797.75531pt;width:9.6pt;height:9.8pt;mso-position-horizontal-relative:page;mso-position-vertical-relative:page;z-index:-16110080" type="#_x0000_t202" filled="false" stroked="false">
          <v:textbox inset="0,0,0,0">
            <w:txbxContent>
              <w:p>
                <w:pPr>
                  <w:spacing w:before="14"/>
                  <w:ind w:left="20" w:right="0" w:firstLine="0"/>
                  <w:jc w:val="left"/>
                  <w:rPr>
                    <w:sz w:val="14"/>
                  </w:rPr>
                </w:pPr>
                <w:r>
                  <w:rPr>
                    <w:color w:val="5C676C"/>
                    <w:sz w:val="14"/>
                  </w:rPr>
                  <w:t>| 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344002pt;margin-top:794.977966pt;width:356.35pt;height:13.45pt;mso-position-horizontal-relative:page;mso-position-vertical-relative:page;z-index:-16109568" type="#_x0000_t202" filled="false" stroked="false">
          <v:textbox inset="0,0,0,0">
            <w:txbxContent>
              <w:p>
                <w:pPr>
                  <w:spacing w:before="20"/>
                  <w:ind w:left="20" w:right="0" w:firstLine="0"/>
                  <w:jc w:val="left"/>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344002pt;margin-top:794.977966pt;width:356.3pt;height:13.45pt;mso-position-horizontal-relative:page;mso-position-vertical-relative:page;z-index:-16109056" type="#_x0000_t202" filled="false" stroked="false">
          <v:textbox inset="0,0,0,0">
            <w:txbxContent>
              <w:p>
                <w:pPr>
                  <w:spacing w:before="20"/>
                  <w:ind w:left="20" w:right="0" w:firstLine="0"/>
                  <w:jc w:val="left"/>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03328">
          <wp:simplePos x="0" y="0"/>
          <wp:positionH relativeFrom="page">
            <wp:posOffset>0</wp:posOffset>
          </wp:positionH>
          <wp:positionV relativeFrom="page">
            <wp:posOffset>0</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559674" cy="204838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43.259995pt;margin-top:165.333420pt;width:308.7pt;height:28.85pt;mso-position-horizontal-relative:page;mso-position-vertical-relative:page;z-index:-16112640" type="#_x0000_t202" filled="false" stroked="false">
          <v:textbox inset="0,0,0,0">
            <w:txbxContent>
              <w:p>
                <w:pPr>
                  <w:spacing w:before="4"/>
                  <w:ind w:left="20" w:right="0" w:firstLine="0"/>
                  <w:jc w:val="left"/>
                  <w:rPr>
                    <w:b/>
                    <w:sz w:val="48"/>
                  </w:rPr>
                </w:pPr>
                <w:r>
                  <w:rPr>
                    <w:b/>
                    <w:color w:val="082144"/>
                    <w:sz w:val="48"/>
                  </w:rPr>
                  <w:t>Australian Customs Notice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6112128" filled="true" fillcolor="#082144" stroked="false">
          <v:fill type="solid"/>
          <w10:wrap type="non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6110592" filled="true" fillcolor="#082144" stroked="false">
          <v:fill type="solid"/>
          <w10:wrap type="non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2" w:hanging="567"/>
        <w:jc w:val="left"/>
      </w:pPr>
      <w:rPr>
        <w:rFonts w:hint="default" w:ascii="Times New Roman" w:hAnsi="Times New Roman" w:eastAsia="Times New Roman" w:cs="Times New Roman"/>
        <w:spacing w:val="0"/>
        <w:w w:val="99"/>
        <w:sz w:val="20"/>
        <w:szCs w:val="20"/>
        <w:lang w:val="en-au" w:eastAsia="en-US" w:bidi="ar-SA"/>
      </w:rPr>
    </w:lvl>
    <w:lvl w:ilvl="1">
      <w:start w:val="1"/>
      <w:numFmt w:val="lowerLetter"/>
      <w:lvlText w:val="(%2)"/>
      <w:lvlJc w:val="left"/>
      <w:pPr>
        <w:ind w:left="1077" w:hanging="360"/>
        <w:jc w:val="left"/>
      </w:pPr>
      <w:rPr>
        <w:rFonts w:hint="default" w:ascii="Times New Roman" w:hAnsi="Times New Roman" w:eastAsia="Times New Roman" w:cs="Times New Roman"/>
        <w:w w:val="99"/>
        <w:sz w:val="20"/>
        <w:szCs w:val="20"/>
        <w:lang w:val="en-au" w:eastAsia="en-US" w:bidi="ar-SA"/>
      </w:rPr>
    </w:lvl>
    <w:lvl w:ilvl="2">
      <w:start w:val="1"/>
      <w:numFmt w:val="lowerRoman"/>
      <w:lvlText w:val="(%3)"/>
      <w:lvlJc w:val="left"/>
      <w:pPr>
        <w:ind w:left="2006" w:hanging="720"/>
        <w:jc w:val="left"/>
      </w:pPr>
      <w:rPr>
        <w:rFonts w:hint="default" w:ascii="Times New Roman" w:hAnsi="Times New Roman" w:eastAsia="Times New Roman" w:cs="Times New Roman"/>
        <w:w w:val="99"/>
        <w:sz w:val="20"/>
        <w:szCs w:val="20"/>
        <w:lang w:val="en-au" w:eastAsia="en-US" w:bidi="ar-SA"/>
      </w:rPr>
    </w:lvl>
    <w:lvl w:ilvl="3">
      <w:start w:val="0"/>
      <w:numFmt w:val="bullet"/>
      <w:lvlText w:val="•"/>
      <w:lvlJc w:val="left"/>
      <w:pPr>
        <w:ind w:left="2591" w:hanging="720"/>
      </w:pPr>
      <w:rPr>
        <w:rFonts w:hint="default"/>
        <w:lang w:val="en-au" w:eastAsia="en-US" w:bidi="ar-SA"/>
      </w:rPr>
    </w:lvl>
    <w:lvl w:ilvl="4">
      <w:start w:val="0"/>
      <w:numFmt w:val="bullet"/>
      <w:lvlText w:val="•"/>
      <w:lvlJc w:val="left"/>
      <w:pPr>
        <w:ind w:left="3182" w:hanging="720"/>
      </w:pPr>
      <w:rPr>
        <w:rFonts w:hint="default"/>
        <w:lang w:val="en-au" w:eastAsia="en-US" w:bidi="ar-SA"/>
      </w:rPr>
    </w:lvl>
    <w:lvl w:ilvl="5">
      <w:start w:val="0"/>
      <w:numFmt w:val="bullet"/>
      <w:lvlText w:val="•"/>
      <w:lvlJc w:val="left"/>
      <w:pPr>
        <w:ind w:left="3773" w:hanging="720"/>
      </w:pPr>
      <w:rPr>
        <w:rFonts w:hint="default"/>
        <w:lang w:val="en-au" w:eastAsia="en-US" w:bidi="ar-SA"/>
      </w:rPr>
    </w:lvl>
    <w:lvl w:ilvl="6">
      <w:start w:val="0"/>
      <w:numFmt w:val="bullet"/>
      <w:lvlText w:val="•"/>
      <w:lvlJc w:val="left"/>
      <w:pPr>
        <w:ind w:left="4364" w:hanging="720"/>
      </w:pPr>
      <w:rPr>
        <w:rFonts w:hint="default"/>
        <w:lang w:val="en-au" w:eastAsia="en-US" w:bidi="ar-SA"/>
      </w:rPr>
    </w:lvl>
    <w:lvl w:ilvl="7">
      <w:start w:val="0"/>
      <w:numFmt w:val="bullet"/>
      <w:lvlText w:val="•"/>
      <w:lvlJc w:val="left"/>
      <w:pPr>
        <w:ind w:left="4955" w:hanging="720"/>
      </w:pPr>
      <w:rPr>
        <w:rFonts w:hint="default"/>
        <w:lang w:val="en-au" w:eastAsia="en-US" w:bidi="ar-SA"/>
      </w:rPr>
    </w:lvl>
    <w:lvl w:ilvl="8">
      <w:start w:val="0"/>
      <w:numFmt w:val="bullet"/>
      <w:lvlText w:val="•"/>
      <w:lvlJc w:val="left"/>
      <w:pPr>
        <w:ind w:left="5546" w:hanging="720"/>
      </w:pPr>
      <w:rPr>
        <w:rFonts w:hint="default"/>
        <w:lang w:val="en-au" w:eastAsia="en-US" w:bidi="ar-SA"/>
      </w:rPr>
    </w:lvl>
  </w:abstractNum>
  <w:abstractNum w:abstractNumId="5">
    <w:multiLevelType w:val="hybridMultilevel"/>
    <w:lvl w:ilvl="0">
      <w:start w:val="1"/>
      <w:numFmt w:val="decimal"/>
      <w:lvlText w:val="%1."/>
      <w:lvlJc w:val="left"/>
      <w:pPr>
        <w:ind w:left="711" w:hanging="567"/>
        <w:jc w:val="left"/>
      </w:pPr>
      <w:rPr>
        <w:rFonts w:hint="default"/>
        <w:spacing w:val="0"/>
        <w:w w:val="99"/>
        <w:lang w:val="en-au" w:eastAsia="en-US" w:bidi="ar-SA"/>
      </w:rPr>
    </w:lvl>
    <w:lvl w:ilvl="1">
      <w:start w:val="1"/>
      <w:numFmt w:val="lowerRoman"/>
      <w:lvlText w:val="%2."/>
      <w:lvlJc w:val="left"/>
      <w:pPr>
        <w:ind w:left="1563" w:hanging="389"/>
        <w:jc w:val="left"/>
      </w:pPr>
      <w:rPr>
        <w:rFonts w:hint="default" w:ascii="Times New Roman" w:hAnsi="Times New Roman" w:eastAsia="Times New Roman" w:cs="Times New Roman"/>
        <w:spacing w:val="-1"/>
        <w:w w:val="99"/>
        <w:sz w:val="20"/>
        <w:szCs w:val="20"/>
        <w:lang w:val="en-au" w:eastAsia="en-US" w:bidi="ar-SA"/>
      </w:rPr>
    </w:lvl>
    <w:lvl w:ilvl="2">
      <w:start w:val="1"/>
      <w:numFmt w:val="lowerLetter"/>
      <w:lvlText w:val="%3."/>
      <w:lvlJc w:val="left"/>
      <w:pPr>
        <w:ind w:left="2271" w:hanging="708"/>
        <w:jc w:val="left"/>
      </w:pPr>
      <w:rPr>
        <w:rFonts w:hint="default" w:ascii="Times New Roman" w:hAnsi="Times New Roman" w:eastAsia="Times New Roman" w:cs="Times New Roman"/>
        <w:w w:val="99"/>
        <w:sz w:val="20"/>
        <w:szCs w:val="20"/>
        <w:lang w:val="en-au" w:eastAsia="en-US" w:bidi="ar-SA"/>
      </w:rPr>
    </w:lvl>
    <w:lvl w:ilvl="3">
      <w:start w:val="0"/>
      <w:numFmt w:val="bullet"/>
      <w:lvlText w:val="•"/>
      <w:lvlJc w:val="left"/>
      <w:pPr>
        <w:ind w:left="2836" w:hanging="708"/>
      </w:pPr>
      <w:rPr>
        <w:rFonts w:hint="default"/>
        <w:lang w:val="en-au" w:eastAsia="en-US" w:bidi="ar-SA"/>
      </w:rPr>
    </w:lvl>
    <w:lvl w:ilvl="4">
      <w:start w:val="0"/>
      <w:numFmt w:val="bullet"/>
      <w:lvlText w:val="•"/>
      <w:lvlJc w:val="left"/>
      <w:pPr>
        <w:ind w:left="3392" w:hanging="708"/>
      </w:pPr>
      <w:rPr>
        <w:rFonts w:hint="default"/>
        <w:lang w:val="en-au" w:eastAsia="en-US" w:bidi="ar-SA"/>
      </w:rPr>
    </w:lvl>
    <w:lvl w:ilvl="5">
      <w:start w:val="0"/>
      <w:numFmt w:val="bullet"/>
      <w:lvlText w:val="•"/>
      <w:lvlJc w:val="left"/>
      <w:pPr>
        <w:ind w:left="3948" w:hanging="708"/>
      </w:pPr>
      <w:rPr>
        <w:rFonts w:hint="default"/>
        <w:lang w:val="en-au" w:eastAsia="en-US" w:bidi="ar-SA"/>
      </w:rPr>
    </w:lvl>
    <w:lvl w:ilvl="6">
      <w:start w:val="0"/>
      <w:numFmt w:val="bullet"/>
      <w:lvlText w:val="•"/>
      <w:lvlJc w:val="left"/>
      <w:pPr>
        <w:ind w:left="4504" w:hanging="708"/>
      </w:pPr>
      <w:rPr>
        <w:rFonts w:hint="default"/>
        <w:lang w:val="en-au" w:eastAsia="en-US" w:bidi="ar-SA"/>
      </w:rPr>
    </w:lvl>
    <w:lvl w:ilvl="7">
      <w:start w:val="0"/>
      <w:numFmt w:val="bullet"/>
      <w:lvlText w:val="•"/>
      <w:lvlJc w:val="left"/>
      <w:pPr>
        <w:ind w:left="5060" w:hanging="708"/>
      </w:pPr>
      <w:rPr>
        <w:rFonts w:hint="default"/>
        <w:lang w:val="en-au" w:eastAsia="en-US" w:bidi="ar-SA"/>
      </w:rPr>
    </w:lvl>
    <w:lvl w:ilvl="8">
      <w:start w:val="0"/>
      <w:numFmt w:val="bullet"/>
      <w:lvlText w:val="•"/>
      <w:lvlJc w:val="left"/>
      <w:pPr>
        <w:ind w:left="5616" w:hanging="708"/>
      </w:pPr>
      <w:rPr>
        <w:rFonts w:hint="default"/>
        <w:lang w:val="en-au" w:eastAsia="en-US" w:bidi="ar-SA"/>
      </w:rPr>
    </w:lvl>
  </w:abstractNum>
  <w:abstractNum w:abstractNumId="4">
    <w:multiLevelType w:val="hybridMultilevel"/>
    <w:lvl w:ilvl="0">
      <w:start w:val="18"/>
      <w:numFmt w:val="upperLetter"/>
      <w:lvlText w:val="%1"/>
      <w:lvlJc w:val="left"/>
      <w:pPr>
        <w:ind w:left="9321" w:hanging="8734"/>
        <w:jc w:val="left"/>
      </w:pPr>
      <w:rPr>
        <w:rFonts w:hint="default"/>
        <w:lang w:val="en-au" w:eastAsia="en-US" w:bidi="ar-SA"/>
      </w:rPr>
    </w:lvl>
    <w:lvl w:ilvl="1">
      <w:start w:val="1"/>
      <w:numFmt w:val="decimal"/>
      <w:lvlText w:val="%1.%2"/>
      <w:lvlJc w:val="left"/>
      <w:pPr>
        <w:ind w:left="9321" w:hanging="8734"/>
        <w:jc w:val="left"/>
      </w:pPr>
      <w:rPr>
        <w:rFonts w:hint="default" w:ascii="Arial Narrow" w:hAnsi="Arial Narrow" w:eastAsia="Arial Narrow" w:cs="Arial Narrow"/>
        <w:b/>
        <w:bCs/>
        <w:w w:val="99"/>
        <w:sz w:val="20"/>
        <w:szCs w:val="20"/>
        <w:lang w:val="en-au" w:eastAsia="en-US" w:bidi="ar-SA"/>
      </w:rPr>
    </w:lvl>
    <w:lvl w:ilvl="2">
      <w:start w:val="0"/>
      <w:numFmt w:val="bullet"/>
      <w:lvlText w:val=""/>
      <w:lvlJc w:val="left"/>
      <w:pPr>
        <w:ind w:left="9040" w:hanging="228"/>
      </w:pPr>
      <w:rPr>
        <w:rFonts w:hint="default" w:ascii="Wingdings" w:hAnsi="Wingdings" w:eastAsia="Wingdings" w:cs="Wingdings"/>
        <w:w w:val="99"/>
        <w:sz w:val="20"/>
        <w:szCs w:val="20"/>
        <w:lang w:val="en-au" w:eastAsia="en-US" w:bidi="ar-SA"/>
      </w:rPr>
    </w:lvl>
    <w:lvl w:ilvl="3">
      <w:start w:val="0"/>
      <w:numFmt w:val="bullet"/>
      <w:lvlText w:val="•"/>
      <w:lvlJc w:val="left"/>
      <w:pPr>
        <w:ind w:left="9588" w:hanging="228"/>
      </w:pPr>
      <w:rPr>
        <w:rFonts w:hint="default"/>
        <w:lang w:val="en-au" w:eastAsia="en-US" w:bidi="ar-SA"/>
      </w:rPr>
    </w:lvl>
    <w:lvl w:ilvl="4">
      <w:start w:val="0"/>
      <w:numFmt w:val="bullet"/>
      <w:lvlText w:val="•"/>
      <w:lvlJc w:val="left"/>
      <w:pPr>
        <w:ind w:left="9722" w:hanging="228"/>
      </w:pPr>
      <w:rPr>
        <w:rFonts w:hint="default"/>
        <w:lang w:val="en-au" w:eastAsia="en-US" w:bidi="ar-SA"/>
      </w:rPr>
    </w:lvl>
    <w:lvl w:ilvl="5">
      <w:start w:val="0"/>
      <w:numFmt w:val="bullet"/>
      <w:lvlText w:val="•"/>
      <w:lvlJc w:val="left"/>
      <w:pPr>
        <w:ind w:left="9856" w:hanging="228"/>
      </w:pPr>
      <w:rPr>
        <w:rFonts w:hint="default"/>
        <w:lang w:val="en-au" w:eastAsia="en-US" w:bidi="ar-SA"/>
      </w:rPr>
    </w:lvl>
    <w:lvl w:ilvl="6">
      <w:start w:val="0"/>
      <w:numFmt w:val="bullet"/>
      <w:lvlText w:val="•"/>
      <w:lvlJc w:val="left"/>
      <w:pPr>
        <w:ind w:left="9990" w:hanging="228"/>
      </w:pPr>
      <w:rPr>
        <w:rFonts w:hint="default"/>
        <w:lang w:val="en-au" w:eastAsia="en-US" w:bidi="ar-SA"/>
      </w:rPr>
    </w:lvl>
    <w:lvl w:ilvl="7">
      <w:start w:val="0"/>
      <w:numFmt w:val="bullet"/>
      <w:lvlText w:val="•"/>
      <w:lvlJc w:val="left"/>
      <w:pPr>
        <w:ind w:left="10124" w:hanging="228"/>
      </w:pPr>
      <w:rPr>
        <w:rFonts w:hint="default"/>
        <w:lang w:val="en-au" w:eastAsia="en-US" w:bidi="ar-SA"/>
      </w:rPr>
    </w:lvl>
    <w:lvl w:ilvl="8">
      <w:start w:val="0"/>
      <w:numFmt w:val="bullet"/>
      <w:lvlText w:val="•"/>
      <w:lvlJc w:val="left"/>
      <w:pPr>
        <w:ind w:left="10258" w:hanging="228"/>
      </w:pPr>
      <w:rPr>
        <w:rFonts w:hint="default"/>
        <w:lang w:val="en-au" w:eastAsia="en-US" w:bidi="ar-SA"/>
      </w:rPr>
    </w:lvl>
  </w:abstractNum>
  <w:abstractNum w:abstractNumId="3">
    <w:multiLevelType w:val="hybridMultilevel"/>
    <w:lvl w:ilvl="0">
      <w:start w:val="1"/>
      <w:numFmt w:val="lowerLetter"/>
      <w:lvlText w:val="(%1)"/>
      <w:lvlJc w:val="left"/>
      <w:pPr>
        <w:ind w:left="444" w:hanging="285"/>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3" w:hanging="285"/>
      </w:pPr>
      <w:rPr>
        <w:rFonts w:hint="default"/>
        <w:lang w:val="en-au" w:eastAsia="en-US" w:bidi="ar-SA"/>
      </w:rPr>
    </w:lvl>
    <w:lvl w:ilvl="2">
      <w:start w:val="0"/>
      <w:numFmt w:val="bullet"/>
      <w:lvlText w:val="•"/>
      <w:lvlJc w:val="left"/>
      <w:pPr>
        <w:ind w:left="1327" w:hanging="285"/>
      </w:pPr>
      <w:rPr>
        <w:rFonts w:hint="default"/>
        <w:lang w:val="en-au" w:eastAsia="en-US" w:bidi="ar-SA"/>
      </w:rPr>
    </w:lvl>
    <w:lvl w:ilvl="3">
      <w:start w:val="0"/>
      <w:numFmt w:val="bullet"/>
      <w:lvlText w:val="•"/>
      <w:lvlJc w:val="left"/>
      <w:pPr>
        <w:ind w:left="1771" w:hanging="285"/>
      </w:pPr>
      <w:rPr>
        <w:rFonts w:hint="default"/>
        <w:lang w:val="en-au" w:eastAsia="en-US" w:bidi="ar-SA"/>
      </w:rPr>
    </w:lvl>
    <w:lvl w:ilvl="4">
      <w:start w:val="0"/>
      <w:numFmt w:val="bullet"/>
      <w:lvlText w:val="•"/>
      <w:lvlJc w:val="left"/>
      <w:pPr>
        <w:ind w:left="2214" w:hanging="285"/>
      </w:pPr>
      <w:rPr>
        <w:rFonts w:hint="default"/>
        <w:lang w:val="en-au" w:eastAsia="en-US" w:bidi="ar-SA"/>
      </w:rPr>
    </w:lvl>
    <w:lvl w:ilvl="5">
      <w:start w:val="0"/>
      <w:numFmt w:val="bullet"/>
      <w:lvlText w:val="•"/>
      <w:lvlJc w:val="left"/>
      <w:pPr>
        <w:ind w:left="2658" w:hanging="285"/>
      </w:pPr>
      <w:rPr>
        <w:rFonts w:hint="default"/>
        <w:lang w:val="en-au" w:eastAsia="en-US" w:bidi="ar-SA"/>
      </w:rPr>
    </w:lvl>
    <w:lvl w:ilvl="6">
      <w:start w:val="0"/>
      <w:numFmt w:val="bullet"/>
      <w:lvlText w:val="•"/>
      <w:lvlJc w:val="left"/>
      <w:pPr>
        <w:ind w:left="3102" w:hanging="285"/>
      </w:pPr>
      <w:rPr>
        <w:rFonts w:hint="default"/>
        <w:lang w:val="en-au" w:eastAsia="en-US" w:bidi="ar-SA"/>
      </w:rPr>
    </w:lvl>
    <w:lvl w:ilvl="7">
      <w:start w:val="0"/>
      <w:numFmt w:val="bullet"/>
      <w:lvlText w:val="•"/>
      <w:lvlJc w:val="left"/>
      <w:pPr>
        <w:ind w:left="3545" w:hanging="285"/>
      </w:pPr>
      <w:rPr>
        <w:rFonts w:hint="default"/>
        <w:lang w:val="en-au" w:eastAsia="en-US" w:bidi="ar-SA"/>
      </w:rPr>
    </w:lvl>
    <w:lvl w:ilvl="8">
      <w:start w:val="0"/>
      <w:numFmt w:val="bullet"/>
      <w:lvlText w:val="•"/>
      <w:lvlJc w:val="left"/>
      <w:pPr>
        <w:ind w:left="3989" w:hanging="285"/>
      </w:pPr>
      <w:rPr>
        <w:rFonts w:hint="default"/>
        <w:lang w:val="en-au" w:eastAsia="en-US" w:bidi="ar-SA"/>
      </w:rPr>
    </w:lvl>
  </w:abstractNum>
  <w:abstractNum w:abstractNumId="2">
    <w:multiLevelType w:val="hybridMultilevel"/>
    <w:lvl w:ilvl="0">
      <w:start w:val="1"/>
      <w:numFmt w:val="lowerLetter"/>
      <w:lvlText w:val="(%1)"/>
      <w:lvlJc w:val="left"/>
      <w:pPr>
        <w:ind w:left="445" w:hanging="285"/>
        <w:jc w:val="left"/>
      </w:pPr>
      <w:rPr>
        <w:rFonts w:hint="default"/>
        <w:b/>
        <w:bCs/>
        <w:w w:val="99"/>
        <w:lang w:val="en-au" w:eastAsia="en-US" w:bidi="ar-SA"/>
      </w:rPr>
    </w:lvl>
    <w:lvl w:ilvl="1">
      <w:start w:val="1"/>
      <w:numFmt w:val="lowerRoman"/>
      <w:lvlText w:val="(%2)"/>
      <w:lvlJc w:val="left"/>
      <w:pPr>
        <w:ind w:left="989" w:hanging="240"/>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413" w:hanging="240"/>
      </w:pPr>
      <w:rPr>
        <w:rFonts w:hint="default"/>
        <w:lang w:val="en-au" w:eastAsia="en-US" w:bidi="ar-SA"/>
      </w:rPr>
    </w:lvl>
    <w:lvl w:ilvl="3">
      <w:start w:val="0"/>
      <w:numFmt w:val="bullet"/>
      <w:lvlText w:val="•"/>
      <w:lvlJc w:val="left"/>
      <w:pPr>
        <w:ind w:left="1846" w:hanging="240"/>
      </w:pPr>
      <w:rPr>
        <w:rFonts w:hint="default"/>
        <w:lang w:val="en-au" w:eastAsia="en-US" w:bidi="ar-SA"/>
      </w:rPr>
    </w:lvl>
    <w:lvl w:ilvl="4">
      <w:start w:val="0"/>
      <w:numFmt w:val="bullet"/>
      <w:lvlText w:val="•"/>
      <w:lvlJc w:val="left"/>
      <w:pPr>
        <w:ind w:left="2279" w:hanging="240"/>
      </w:pPr>
      <w:rPr>
        <w:rFonts w:hint="default"/>
        <w:lang w:val="en-au" w:eastAsia="en-US" w:bidi="ar-SA"/>
      </w:rPr>
    </w:lvl>
    <w:lvl w:ilvl="5">
      <w:start w:val="0"/>
      <w:numFmt w:val="bullet"/>
      <w:lvlText w:val="•"/>
      <w:lvlJc w:val="left"/>
      <w:pPr>
        <w:ind w:left="2712" w:hanging="240"/>
      </w:pPr>
      <w:rPr>
        <w:rFonts w:hint="default"/>
        <w:lang w:val="en-au" w:eastAsia="en-US" w:bidi="ar-SA"/>
      </w:rPr>
    </w:lvl>
    <w:lvl w:ilvl="6">
      <w:start w:val="0"/>
      <w:numFmt w:val="bullet"/>
      <w:lvlText w:val="•"/>
      <w:lvlJc w:val="left"/>
      <w:pPr>
        <w:ind w:left="3145" w:hanging="240"/>
      </w:pPr>
      <w:rPr>
        <w:rFonts w:hint="default"/>
        <w:lang w:val="en-au" w:eastAsia="en-US" w:bidi="ar-SA"/>
      </w:rPr>
    </w:lvl>
    <w:lvl w:ilvl="7">
      <w:start w:val="0"/>
      <w:numFmt w:val="bullet"/>
      <w:lvlText w:val="•"/>
      <w:lvlJc w:val="left"/>
      <w:pPr>
        <w:ind w:left="3578" w:hanging="240"/>
      </w:pPr>
      <w:rPr>
        <w:rFonts w:hint="default"/>
        <w:lang w:val="en-au" w:eastAsia="en-US" w:bidi="ar-SA"/>
      </w:rPr>
    </w:lvl>
    <w:lvl w:ilvl="8">
      <w:start w:val="0"/>
      <w:numFmt w:val="bullet"/>
      <w:lvlText w:val="•"/>
      <w:lvlJc w:val="left"/>
      <w:pPr>
        <w:ind w:left="4011" w:hanging="240"/>
      </w:pPr>
      <w:rPr>
        <w:rFonts w:hint="default"/>
        <w:lang w:val="en-au" w:eastAsia="en-US" w:bidi="ar-SA"/>
      </w:rPr>
    </w:lvl>
  </w:abstractNum>
  <w:abstractNum w:abstractNumId="1">
    <w:multiLevelType w:val="hybridMultilevel"/>
    <w:lvl w:ilvl="0">
      <w:start w:val="0"/>
      <w:numFmt w:val="bullet"/>
      <w:lvlText w:val="•"/>
      <w:lvlJc w:val="left"/>
      <w:pPr>
        <w:ind w:left="943" w:hanging="358"/>
      </w:pPr>
      <w:rPr>
        <w:rFonts w:hint="default" w:ascii="Arial" w:hAnsi="Arial" w:eastAsia="Arial" w:cs="Arial"/>
        <w:w w:val="130"/>
        <w:sz w:val="20"/>
        <w:szCs w:val="20"/>
        <w:lang w:val="en-au" w:eastAsia="en-US" w:bidi="ar-SA"/>
      </w:rPr>
    </w:lvl>
    <w:lvl w:ilvl="1">
      <w:start w:val="0"/>
      <w:numFmt w:val="bullet"/>
      <w:lvlText w:val="•"/>
      <w:lvlJc w:val="left"/>
      <w:pPr>
        <w:ind w:left="1898" w:hanging="358"/>
      </w:pPr>
      <w:rPr>
        <w:rFonts w:hint="default"/>
        <w:lang w:val="en-au" w:eastAsia="en-US" w:bidi="ar-SA"/>
      </w:rPr>
    </w:lvl>
    <w:lvl w:ilvl="2">
      <w:start w:val="0"/>
      <w:numFmt w:val="bullet"/>
      <w:lvlText w:val="•"/>
      <w:lvlJc w:val="left"/>
      <w:pPr>
        <w:ind w:left="2857" w:hanging="358"/>
      </w:pPr>
      <w:rPr>
        <w:rFonts w:hint="default"/>
        <w:lang w:val="en-au" w:eastAsia="en-US" w:bidi="ar-SA"/>
      </w:rPr>
    </w:lvl>
    <w:lvl w:ilvl="3">
      <w:start w:val="0"/>
      <w:numFmt w:val="bullet"/>
      <w:lvlText w:val="•"/>
      <w:lvlJc w:val="left"/>
      <w:pPr>
        <w:ind w:left="3815" w:hanging="358"/>
      </w:pPr>
      <w:rPr>
        <w:rFonts w:hint="default"/>
        <w:lang w:val="en-au" w:eastAsia="en-US" w:bidi="ar-SA"/>
      </w:rPr>
    </w:lvl>
    <w:lvl w:ilvl="4">
      <w:start w:val="0"/>
      <w:numFmt w:val="bullet"/>
      <w:lvlText w:val="•"/>
      <w:lvlJc w:val="left"/>
      <w:pPr>
        <w:ind w:left="4774" w:hanging="358"/>
      </w:pPr>
      <w:rPr>
        <w:rFonts w:hint="default"/>
        <w:lang w:val="en-au" w:eastAsia="en-US" w:bidi="ar-SA"/>
      </w:rPr>
    </w:lvl>
    <w:lvl w:ilvl="5">
      <w:start w:val="0"/>
      <w:numFmt w:val="bullet"/>
      <w:lvlText w:val="•"/>
      <w:lvlJc w:val="left"/>
      <w:pPr>
        <w:ind w:left="5733" w:hanging="358"/>
      </w:pPr>
      <w:rPr>
        <w:rFonts w:hint="default"/>
        <w:lang w:val="en-au" w:eastAsia="en-US" w:bidi="ar-SA"/>
      </w:rPr>
    </w:lvl>
    <w:lvl w:ilvl="6">
      <w:start w:val="0"/>
      <w:numFmt w:val="bullet"/>
      <w:lvlText w:val="•"/>
      <w:lvlJc w:val="left"/>
      <w:pPr>
        <w:ind w:left="6691" w:hanging="358"/>
      </w:pPr>
      <w:rPr>
        <w:rFonts w:hint="default"/>
        <w:lang w:val="en-au" w:eastAsia="en-US" w:bidi="ar-SA"/>
      </w:rPr>
    </w:lvl>
    <w:lvl w:ilvl="7">
      <w:start w:val="0"/>
      <w:numFmt w:val="bullet"/>
      <w:lvlText w:val="•"/>
      <w:lvlJc w:val="left"/>
      <w:pPr>
        <w:ind w:left="7650" w:hanging="358"/>
      </w:pPr>
      <w:rPr>
        <w:rFonts w:hint="default"/>
        <w:lang w:val="en-au" w:eastAsia="en-US" w:bidi="ar-SA"/>
      </w:rPr>
    </w:lvl>
    <w:lvl w:ilvl="8">
      <w:start w:val="0"/>
      <w:numFmt w:val="bullet"/>
      <w:lvlText w:val="•"/>
      <w:lvlJc w:val="left"/>
      <w:pPr>
        <w:ind w:left="8609" w:hanging="358"/>
      </w:pPr>
      <w:rPr>
        <w:rFonts w:hint="default"/>
        <w:lang w:val="en-au" w:eastAsia="en-US" w:bidi="ar-SA"/>
      </w:rPr>
    </w:lvl>
  </w:abstractNum>
  <w:abstractNum w:abstractNumId="0">
    <w:multiLevelType w:val="hybridMultilevel"/>
    <w:lvl w:ilvl="0">
      <w:start w:val="1"/>
      <w:numFmt w:val="lowerLetter"/>
      <w:lvlText w:val="%1)"/>
      <w:lvlJc w:val="left"/>
      <w:pPr>
        <w:ind w:left="830" w:hanging="36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1633" w:hanging="360"/>
      </w:pPr>
      <w:rPr>
        <w:rFonts w:hint="default"/>
        <w:lang w:val="en-au" w:eastAsia="en-US" w:bidi="ar-SA"/>
      </w:rPr>
    </w:lvl>
    <w:lvl w:ilvl="2">
      <w:start w:val="0"/>
      <w:numFmt w:val="bullet"/>
      <w:lvlText w:val="•"/>
      <w:lvlJc w:val="left"/>
      <w:pPr>
        <w:ind w:left="2427" w:hanging="360"/>
      </w:pPr>
      <w:rPr>
        <w:rFonts w:hint="default"/>
        <w:lang w:val="en-au" w:eastAsia="en-US" w:bidi="ar-SA"/>
      </w:rPr>
    </w:lvl>
    <w:lvl w:ilvl="3">
      <w:start w:val="0"/>
      <w:numFmt w:val="bullet"/>
      <w:lvlText w:val="•"/>
      <w:lvlJc w:val="left"/>
      <w:pPr>
        <w:ind w:left="3220" w:hanging="360"/>
      </w:pPr>
      <w:rPr>
        <w:rFonts w:hint="default"/>
        <w:lang w:val="en-au" w:eastAsia="en-US" w:bidi="ar-SA"/>
      </w:rPr>
    </w:lvl>
    <w:lvl w:ilvl="4">
      <w:start w:val="0"/>
      <w:numFmt w:val="bullet"/>
      <w:lvlText w:val="•"/>
      <w:lvlJc w:val="left"/>
      <w:pPr>
        <w:ind w:left="4014" w:hanging="360"/>
      </w:pPr>
      <w:rPr>
        <w:rFonts w:hint="default"/>
        <w:lang w:val="en-au" w:eastAsia="en-US" w:bidi="ar-SA"/>
      </w:rPr>
    </w:lvl>
    <w:lvl w:ilvl="5">
      <w:start w:val="0"/>
      <w:numFmt w:val="bullet"/>
      <w:lvlText w:val="•"/>
      <w:lvlJc w:val="left"/>
      <w:pPr>
        <w:ind w:left="4808" w:hanging="360"/>
      </w:pPr>
      <w:rPr>
        <w:rFonts w:hint="default"/>
        <w:lang w:val="en-au" w:eastAsia="en-US" w:bidi="ar-SA"/>
      </w:rPr>
    </w:lvl>
    <w:lvl w:ilvl="6">
      <w:start w:val="0"/>
      <w:numFmt w:val="bullet"/>
      <w:lvlText w:val="•"/>
      <w:lvlJc w:val="left"/>
      <w:pPr>
        <w:ind w:left="5601" w:hanging="360"/>
      </w:pPr>
      <w:rPr>
        <w:rFonts w:hint="default"/>
        <w:lang w:val="en-au" w:eastAsia="en-US" w:bidi="ar-SA"/>
      </w:rPr>
    </w:lvl>
    <w:lvl w:ilvl="7">
      <w:start w:val="0"/>
      <w:numFmt w:val="bullet"/>
      <w:lvlText w:val="•"/>
      <w:lvlJc w:val="left"/>
      <w:pPr>
        <w:ind w:left="6395" w:hanging="360"/>
      </w:pPr>
      <w:rPr>
        <w:rFonts w:hint="default"/>
        <w:lang w:val="en-au" w:eastAsia="en-US" w:bidi="ar-SA"/>
      </w:rPr>
    </w:lvl>
    <w:lvl w:ilvl="8">
      <w:start w:val="0"/>
      <w:numFmt w:val="bullet"/>
      <w:lvlText w:val="•"/>
      <w:lvlJc w:val="left"/>
      <w:pPr>
        <w:ind w:left="7188" w:hanging="360"/>
      </w:pPr>
      <w:rPr>
        <w:rFonts w:hint="default"/>
        <w:lang w:val="en-au"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55"/>
      <w:ind w:left="276" w:right="815"/>
      <w:jc w:val="center"/>
      <w:outlineLvl w:val="1"/>
    </w:pPr>
    <w:rPr>
      <w:rFonts w:ascii="Arial" w:hAnsi="Arial" w:eastAsia="Arial" w:cs="Arial"/>
      <w:b/>
      <w:bCs/>
      <w:sz w:val="48"/>
      <w:szCs w:val="48"/>
      <w:lang w:val="en-au" w:eastAsia="en-US" w:bidi="ar-SA"/>
    </w:rPr>
  </w:style>
  <w:style w:styleId="Heading2" w:type="paragraph">
    <w:name w:val="Heading 2"/>
    <w:basedOn w:val="Normal"/>
    <w:uiPriority w:val="1"/>
    <w:qFormat/>
    <w:pPr>
      <w:spacing w:before="173"/>
      <w:ind w:left="276"/>
      <w:jc w:val="center"/>
      <w:outlineLvl w:val="2"/>
    </w:pPr>
    <w:rPr>
      <w:rFonts w:ascii="Arial" w:hAnsi="Arial" w:eastAsia="Arial" w:cs="Arial"/>
      <w:sz w:val="40"/>
      <w:szCs w:val="40"/>
      <w:lang w:val="en-au" w:eastAsia="en-US" w:bidi="ar-SA"/>
    </w:rPr>
  </w:style>
  <w:style w:styleId="ListParagraph" w:type="paragraph">
    <w:name w:val="List Paragraph"/>
    <w:basedOn w:val="Normal"/>
    <w:uiPriority w:val="1"/>
    <w:qFormat/>
    <w:pPr>
      <w:spacing w:before="5"/>
      <w:ind w:left="943" w:hanging="904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www.abf.gov.au/importing-exporting-and-manufacturing/tariff-classification/current-tariff/schedule-4" TargetMode="External"/><Relationship Id="rId10" Type="http://schemas.openxmlformats.org/officeDocument/2006/relationships/hyperlink" Target="https://www.abf.gov.au/importing-exporting-and-manufacturing/importing/cost-of-importing-goods/refund" TargetMode="External"/><Relationship Id="rId11" Type="http://schemas.openxmlformats.org/officeDocument/2006/relationships/hyperlink" Target="https://www.abf.gov.au/importing-exporting-and-manufacturing/tariff-classification/current-tariff/schedule-4-by-law" TargetMode="External"/><Relationship Id="rId12" Type="http://schemas.openxmlformats.org/officeDocument/2006/relationships/hyperlink" Target="mailto:tradepolicy1@abf.gov.au"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2020/20; Australian Customs Notice; Item 57, By-law 2019608; Covid-19 response; coronavirus; Schedule 4 </cp:keywords>
  <dc:subject>New Concessional Item 57 and By-law No. 2019608 to Schedule 4 of the Customs Tariff Act 1995</dc:subject>
  <dc:title>ACN 2020/20</dc:title>
  <dcterms:created xsi:type="dcterms:W3CDTF">2020-12-09T22:17:25Z</dcterms:created>
  <dcterms:modified xsi:type="dcterms:W3CDTF">2020-12-09T22:17:25Z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2016</vt:lpwstr>
  </property>
  <property fmtid="{D5CDD505-2E9C-101B-9397-08002B2CF9AE}" pid="4" name="LastSaved">
    <vt:filetime>2020-12-09T00:00:00Z</vt:filetime>
  </property>
</Properties>
</file>