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4"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2048380"/>
                    </a:xfrm>
                    <a:prstGeom prst="rect">
                      <a:avLst/>
                    </a:prstGeom>
                  </pic:spPr>
                </pic:pic>
              </a:graphicData>
            </a:graphic>
          </wp:anchor>
        </w:drawing>
      </w:r>
      <w:r>
        <w:rPr>
          <w:color w:val="082144"/>
        </w:rPr>
        <w:t>Australian Customs Notice No. 2020/22</w:t>
      </w:r>
    </w:p>
    <w:p>
      <w:pPr>
        <w:spacing w:before="118"/>
        <w:ind w:left="1952" w:right="1982" w:firstLine="0"/>
        <w:jc w:val="center"/>
        <w:rPr>
          <w:sz w:val="40"/>
        </w:rPr>
      </w:pPr>
      <w:r>
        <w:rPr>
          <w:color w:val="956D23"/>
          <w:sz w:val="40"/>
        </w:rPr>
        <w:t>New Australian Trusted Trader (ATT) Benefit</w:t>
      </w:r>
    </w:p>
    <w:p>
      <w:pPr>
        <w:spacing w:before="243"/>
        <w:ind w:left="1116" w:right="0" w:firstLine="0"/>
        <w:jc w:val="left"/>
        <w:rPr>
          <w:b/>
          <w:sz w:val="24"/>
        </w:rPr>
      </w:pPr>
      <w:r>
        <w:rPr>
          <w:b/>
          <w:color w:val="956D23"/>
          <w:sz w:val="24"/>
        </w:rPr>
        <w:t>ATT Consolidated Cargo Reporting Benefit</w:t>
      </w:r>
    </w:p>
    <w:p>
      <w:pPr>
        <w:pStyle w:val="BodyText"/>
        <w:spacing w:before="9"/>
        <w:rPr>
          <w:b/>
        </w:rPr>
      </w:pPr>
    </w:p>
    <w:p>
      <w:pPr>
        <w:pStyle w:val="Heading1"/>
      </w:pPr>
      <w:r>
        <w:rPr>
          <w:color w:val="956D23"/>
        </w:rPr>
        <w:t>Consolidated cargo reporting commences for Trusted Traders</w:t>
      </w:r>
    </w:p>
    <w:p>
      <w:pPr>
        <w:pStyle w:val="BodyText"/>
        <w:spacing w:line="264" w:lineRule="auto" w:before="181"/>
        <w:ind w:left="1133" w:right="1151"/>
      </w:pPr>
      <w:r>
        <w:rPr/>
        <w:t>From 30 June 2020, new arrangements for the reporting of consolidated shipments commence for Australian Trusted Trader (ATT) importers. This benefit permits ATT cargo reporters to lodge a single cargo report for consignments from multiple suppliers, consolidated overseas and shipped to a single Trusted Trader importer.</w:t>
      </w:r>
    </w:p>
    <w:p>
      <w:pPr>
        <w:pStyle w:val="BodyText"/>
        <w:spacing w:before="178"/>
        <w:ind w:left="1133"/>
      </w:pPr>
      <w:r>
        <w:rPr/>
        <w:t>This will reduce and simplify the cargo reporting for ATT cargo reporters and ATT importers.</w:t>
      </w:r>
    </w:p>
    <w:p>
      <w:pPr>
        <w:pStyle w:val="BodyText"/>
        <w:rPr>
          <w:sz w:val="23"/>
        </w:rPr>
      </w:pPr>
    </w:p>
    <w:p>
      <w:pPr>
        <w:pStyle w:val="Heading1"/>
      </w:pPr>
      <w:r>
        <w:rPr>
          <w:color w:val="956D23"/>
        </w:rPr>
        <w:t>Changes to cargo report for consolidated shipments to Trusted Traders</w:t>
      </w:r>
    </w:p>
    <w:p>
      <w:pPr>
        <w:pStyle w:val="BodyText"/>
        <w:spacing w:line="264" w:lineRule="auto" w:before="181"/>
        <w:ind w:left="1133" w:right="1151"/>
      </w:pPr>
      <w:r>
        <w:rPr/>
        <w:t>The Consolidated Cargo Reporting benefit will allow a single cargo report for consolidated shipments to ATT importers for all sea and air cargo types.</w:t>
      </w:r>
    </w:p>
    <w:p>
      <w:pPr>
        <w:pStyle w:val="BodyText"/>
        <w:spacing w:line="264" w:lineRule="auto" w:before="180"/>
        <w:ind w:left="1133" w:right="1162"/>
      </w:pPr>
      <w:r>
        <w:rPr/>
        <w:t>Rather than submitting a cargo report for each supplier in a consolidated shipment, the Trusted Trader cargo reporter would provide one cargo report with the freight forwarder/consolidator listed in lieu of the consignor. Supplier information ordinarily provided on cargo reports will continue to be provided via the associated import declaration.</w:t>
      </w:r>
    </w:p>
    <w:p>
      <w:pPr>
        <w:pStyle w:val="BodyText"/>
        <w:spacing w:before="121"/>
        <w:ind w:left="1133"/>
      </w:pPr>
      <w:r>
        <w:rPr/>
        <w:t>To use the Consolidated Cargo Reporting (CCR) benefit the following requirements must be met:</w:t>
      </w:r>
    </w:p>
    <w:p>
      <w:pPr>
        <w:pStyle w:val="ListParagraph"/>
        <w:numPr>
          <w:ilvl w:val="0"/>
          <w:numId w:val="1"/>
        </w:numPr>
        <w:tabs>
          <w:tab w:pos="1845" w:val="left" w:leader="none"/>
          <w:tab w:pos="1847" w:val="left" w:leader="none"/>
        </w:tabs>
        <w:spacing w:line="240" w:lineRule="auto" w:before="133" w:after="0"/>
        <w:ind w:left="1846" w:right="0" w:hanging="357"/>
        <w:jc w:val="left"/>
        <w:rPr>
          <w:sz w:val="20"/>
        </w:rPr>
      </w:pPr>
      <w:r>
        <w:rPr>
          <w:sz w:val="20"/>
        </w:rPr>
        <w:t>The cargo reporter/freight forwarder is a Trusted</w:t>
      </w:r>
      <w:r>
        <w:rPr>
          <w:spacing w:val="-4"/>
          <w:sz w:val="20"/>
        </w:rPr>
        <w:t> </w:t>
      </w:r>
      <w:r>
        <w:rPr>
          <w:sz w:val="20"/>
        </w:rPr>
        <w:t>Trader;</w:t>
      </w:r>
    </w:p>
    <w:p>
      <w:pPr>
        <w:pStyle w:val="ListParagraph"/>
        <w:numPr>
          <w:ilvl w:val="0"/>
          <w:numId w:val="1"/>
        </w:numPr>
        <w:tabs>
          <w:tab w:pos="1845" w:val="left" w:leader="none"/>
          <w:tab w:pos="1847" w:val="left" w:leader="none"/>
        </w:tabs>
        <w:spacing w:line="240" w:lineRule="auto" w:before="132" w:after="0"/>
        <w:ind w:left="1846" w:right="0" w:hanging="357"/>
        <w:jc w:val="left"/>
        <w:rPr>
          <w:sz w:val="20"/>
        </w:rPr>
      </w:pPr>
      <w:r>
        <w:rPr>
          <w:sz w:val="20"/>
        </w:rPr>
        <w:t>The importer is a Trusted</w:t>
      </w:r>
      <w:r>
        <w:rPr>
          <w:spacing w:val="-4"/>
          <w:sz w:val="20"/>
        </w:rPr>
        <w:t> </w:t>
      </w:r>
      <w:r>
        <w:rPr>
          <w:sz w:val="20"/>
        </w:rPr>
        <w:t>Trader;</w:t>
      </w:r>
    </w:p>
    <w:p>
      <w:pPr>
        <w:pStyle w:val="ListParagraph"/>
        <w:numPr>
          <w:ilvl w:val="0"/>
          <w:numId w:val="1"/>
        </w:numPr>
        <w:tabs>
          <w:tab w:pos="1845" w:val="left" w:leader="none"/>
          <w:tab w:pos="1847" w:val="left" w:leader="none"/>
        </w:tabs>
        <w:spacing w:line="240" w:lineRule="auto" w:before="135" w:after="0"/>
        <w:ind w:left="1846" w:right="0" w:hanging="357"/>
        <w:jc w:val="left"/>
        <w:rPr>
          <w:sz w:val="20"/>
        </w:rPr>
      </w:pPr>
      <w:r>
        <w:rPr>
          <w:sz w:val="20"/>
        </w:rPr>
        <w:t>The supplier details are listed in the full import declaration (FID);</w:t>
      </w:r>
      <w:r>
        <w:rPr>
          <w:spacing w:val="-7"/>
          <w:sz w:val="20"/>
        </w:rPr>
        <w:t> </w:t>
      </w:r>
      <w:r>
        <w:rPr>
          <w:sz w:val="20"/>
        </w:rPr>
        <w:t>and</w:t>
      </w:r>
    </w:p>
    <w:p>
      <w:pPr>
        <w:pStyle w:val="ListParagraph"/>
        <w:numPr>
          <w:ilvl w:val="0"/>
          <w:numId w:val="1"/>
        </w:numPr>
        <w:tabs>
          <w:tab w:pos="1845" w:val="left" w:leader="none"/>
          <w:tab w:pos="1847" w:val="left" w:leader="none"/>
        </w:tabs>
        <w:spacing w:line="242" w:lineRule="auto" w:before="132" w:after="0"/>
        <w:ind w:left="1846" w:right="1656" w:hanging="356"/>
        <w:jc w:val="left"/>
        <w:rPr>
          <w:sz w:val="20"/>
        </w:rPr>
      </w:pPr>
      <w:r>
        <w:rPr>
          <w:sz w:val="20"/>
        </w:rPr>
        <w:t>The FID is lodged at least 48 hours prior to arrival at first port for sea cargo and 2 hours prior to arrival for air</w:t>
      </w:r>
      <w:r>
        <w:rPr>
          <w:spacing w:val="-4"/>
          <w:sz w:val="20"/>
        </w:rPr>
        <w:t> </w:t>
      </w:r>
      <w:r>
        <w:rPr>
          <w:sz w:val="20"/>
        </w:rPr>
        <w:t>cargo.</w:t>
      </w:r>
    </w:p>
    <w:p>
      <w:pPr>
        <w:pStyle w:val="BodyText"/>
        <w:spacing w:before="117"/>
        <w:ind w:left="1133" w:right="1036"/>
      </w:pPr>
      <w:r>
        <w:rPr/>
        <w:t>In circumstances where the cargo reporter and the broker are not the same entity, then the cargo reporter must ensure that the broker is aware of the requirement to lodge the FID at least 48 hours prior to first port of arrival for sea cargo or two hours prior to arrival for air cargo.</w:t>
      </w:r>
    </w:p>
    <w:p>
      <w:pPr>
        <w:pStyle w:val="BodyText"/>
        <w:spacing w:before="9"/>
      </w:pPr>
    </w:p>
    <w:p>
      <w:pPr>
        <w:pStyle w:val="Heading1"/>
      </w:pPr>
      <w:r>
        <w:rPr>
          <w:color w:val="956D23"/>
        </w:rPr>
        <w:t>Importers that are not Trusted Traders</w:t>
      </w:r>
    </w:p>
    <w:p>
      <w:pPr>
        <w:pStyle w:val="BodyText"/>
        <w:spacing w:line="264" w:lineRule="auto" w:before="180"/>
        <w:ind w:left="1133" w:right="1174"/>
      </w:pPr>
      <w:r>
        <w:rPr/>
        <w:t>The process for importers not accredited under ATT will not change. A cargo report and import declaration is required for each consignor (supplier) in a consolidated shipment. </w:t>
      </w:r>
      <w:hyperlink r:id="rId6">
        <w:r>
          <w:rPr>
            <w:color w:val="082144"/>
            <w:u w:val="single" w:color="082144"/>
          </w:rPr>
          <w:t>ACN 2009/47</w:t>
        </w:r>
        <w:r>
          <w:rPr>
            <w:color w:val="082144"/>
          </w:rPr>
          <w:t> </w:t>
        </w:r>
      </w:hyperlink>
      <w:r>
        <w:rPr/>
        <w:t>clarifies the standard reporting requirements for cargo arriving in Australia from a place outside Australia. In particular, the information required for advising consignee and consignor details on a cargo report submitted for the purposes of section 64AB of the </w:t>
      </w:r>
      <w:r>
        <w:rPr>
          <w:i/>
        </w:rPr>
        <w:t>Customs Act 1901 </w:t>
      </w:r>
      <w:r>
        <w:rPr/>
        <w:t>(the Act).</w:t>
      </w:r>
    </w:p>
    <w:p>
      <w:pPr>
        <w:pStyle w:val="BodyText"/>
      </w:pPr>
    </w:p>
    <w:p>
      <w:pPr>
        <w:pStyle w:val="BodyText"/>
      </w:pPr>
    </w:p>
    <w:p>
      <w:pPr>
        <w:pStyle w:val="BodyText"/>
      </w:pPr>
    </w:p>
    <w:p>
      <w:pPr>
        <w:pStyle w:val="BodyText"/>
        <w:spacing w:before="6"/>
        <w:rPr>
          <w:sz w:val="19"/>
        </w:rPr>
      </w:pPr>
    </w:p>
    <w:p>
      <w:pPr>
        <w:tabs>
          <w:tab w:pos="4364" w:val="left" w:leader="none"/>
          <w:tab w:pos="11908" w:val="left" w:leader="none"/>
        </w:tabs>
        <w:spacing w:before="92"/>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11"/>
        <w:rPr>
          <w:rFonts w:ascii="Arial-BoldItalicMT"/>
          <w:b/>
          <w:i/>
          <w:sz w:val="17"/>
        </w:rPr>
      </w:pPr>
    </w:p>
    <w:p>
      <w:pPr>
        <w:pStyle w:val="Heading1"/>
        <w:spacing w:before="93"/>
      </w:pPr>
      <w:r>
        <w:rPr/>
        <w:pict>
          <v:rect style="position:absolute;margin-left:0pt;margin-top:-45.250103pt;width:595.320pt;height:25pt;mso-position-horizontal-relative:page;mso-position-vertical-relative:paragraph;z-index:15729152" filled="true" fillcolor="#082144" stroked="false">
            <v:fill type="solid"/>
            <w10:wrap type="none"/>
          </v:rect>
        </w:pict>
      </w:r>
      <w:r>
        <w:rPr>
          <w:color w:val="956D23"/>
        </w:rPr>
        <w:t>Further information</w:t>
      </w:r>
    </w:p>
    <w:p>
      <w:pPr>
        <w:pStyle w:val="BodyText"/>
        <w:spacing w:line="264" w:lineRule="auto" w:before="180"/>
        <w:ind w:left="1133" w:right="1518"/>
      </w:pPr>
      <w:r>
        <w:rPr/>
        <w:t>For further information on how to access this and other trade facilitation benefits available under the ATT program, visit: </w:t>
      </w:r>
      <w:hyperlink r:id="rId7">
        <w:r>
          <w:rPr>
            <w:u w:val="single"/>
          </w:rPr>
          <w:t>https://www.abf.gov.au/trustedtrader</w:t>
        </w:r>
        <w:r>
          <w:rPr/>
          <w:t>.</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1"/>
        </w:rPr>
      </w:pPr>
    </w:p>
    <w:tbl>
      <w:tblPr>
        <w:tblW w:w="0" w:type="auto"/>
        <w:jc w:val="left"/>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1"/>
        <w:gridCol w:w="4725"/>
      </w:tblGrid>
      <w:tr>
        <w:trPr>
          <w:trHeight w:val="2061" w:hRule="atLeast"/>
        </w:trPr>
        <w:tc>
          <w:tcPr>
            <w:tcW w:w="4471" w:type="dxa"/>
          </w:tcPr>
          <w:p>
            <w:pPr>
              <w:pStyle w:val="TableParagraph"/>
              <w:spacing w:line="223" w:lineRule="exact"/>
              <w:rPr>
                <w:sz w:val="20"/>
              </w:rPr>
            </w:pPr>
            <w:r>
              <w:rPr>
                <w:sz w:val="20"/>
              </w:rPr>
              <w:t>(Signed)</w:t>
            </w:r>
          </w:p>
          <w:p>
            <w:pPr>
              <w:pStyle w:val="TableParagraph"/>
              <w:spacing w:before="10"/>
              <w:ind w:left="0"/>
              <w:rPr>
                <w:sz w:val="19"/>
              </w:rPr>
            </w:pPr>
          </w:p>
          <w:p>
            <w:pPr>
              <w:pStyle w:val="TableParagraph"/>
              <w:ind w:right="2528"/>
              <w:rPr>
                <w:sz w:val="20"/>
              </w:rPr>
            </w:pPr>
            <w:r>
              <w:rPr>
                <w:sz w:val="20"/>
              </w:rPr>
              <w:t>Ineke Redmond Assistant Secretary</w:t>
            </w:r>
          </w:p>
          <w:p>
            <w:pPr>
              <w:pStyle w:val="TableParagraph"/>
              <w:spacing w:line="480" w:lineRule="auto" w:before="1"/>
              <w:ind w:right="415"/>
              <w:rPr>
                <w:sz w:val="20"/>
              </w:rPr>
            </w:pPr>
            <w:r>
              <w:rPr>
                <w:sz w:val="20"/>
              </w:rPr>
              <w:t>Customs and Border Modernisation Branch Customs Group</w:t>
            </w:r>
          </w:p>
          <w:p>
            <w:pPr>
              <w:pStyle w:val="TableParagraph"/>
              <w:spacing w:line="209" w:lineRule="exact"/>
              <w:rPr>
                <w:sz w:val="20"/>
              </w:rPr>
            </w:pPr>
            <w:r>
              <w:rPr>
                <w:sz w:val="20"/>
              </w:rPr>
              <w:t>24 June 2020</w:t>
            </w:r>
          </w:p>
        </w:tc>
        <w:tc>
          <w:tcPr>
            <w:tcW w:w="4725" w:type="dxa"/>
          </w:tcPr>
          <w:p>
            <w:pPr>
              <w:pStyle w:val="TableParagraph"/>
              <w:spacing w:line="223" w:lineRule="exact"/>
              <w:ind w:left="438"/>
              <w:rPr>
                <w:sz w:val="20"/>
              </w:rPr>
            </w:pPr>
            <w:r>
              <w:rPr>
                <w:sz w:val="20"/>
              </w:rPr>
              <w:t>(Signed)</w:t>
            </w:r>
          </w:p>
          <w:p>
            <w:pPr>
              <w:pStyle w:val="TableParagraph"/>
              <w:spacing w:before="10"/>
              <w:ind w:left="0"/>
              <w:rPr>
                <w:sz w:val="19"/>
              </w:rPr>
            </w:pPr>
          </w:p>
          <w:p>
            <w:pPr>
              <w:pStyle w:val="TableParagraph"/>
              <w:ind w:left="438" w:right="2544"/>
              <w:rPr>
                <w:sz w:val="20"/>
              </w:rPr>
            </w:pPr>
            <w:r>
              <w:rPr>
                <w:sz w:val="20"/>
              </w:rPr>
              <w:t>Anita Langford Assistant Secretary</w:t>
            </w:r>
          </w:p>
          <w:p>
            <w:pPr>
              <w:pStyle w:val="TableParagraph"/>
              <w:spacing w:line="480" w:lineRule="auto" w:before="1"/>
              <w:ind w:left="438" w:right="176"/>
              <w:rPr>
                <w:sz w:val="20"/>
              </w:rPr>
            </w:pPr>
            <w:r>
              <w:rPr>
                <w:sz w:val="20"/>
              </w:rPr>
              <w:t>Trusted Trader and Trade Compliance Branch Customs Group</w:t>
            </w:r>
          </w:p>
          <w:p>
            <w:pPr>
              <w:pStyle w:val="TableParagraph"/>
              <w:spacing w:line="209" w:lineRule="exact"/>
              <w:ind w:left="438"/>
              <w:rPr>
                <w:sz w:val="20"/>
              </w:rPr>
            </w:pPr>
            <w:r>
              <w:rPr>
                <w:sz w:val="20"/>
              </w:rPr>
              <w:t>24 June 2020</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1"/>
        </w:rPr>
      </w:pPr>
    </w:p>
    <w:p>
      <w:pPr>
        <w:spacing w:before="0"/>
        <w:ind w:left="0" w:right="1132" w:firstLine="0"/>
        <w:jc w:val="right"/>
        <w:rPr>
          <w:sz w:val="14"/>
        </w:rPr>
      </w:pPr>
      <w:r>
        <w:rPr>
          <w:color w:val="5C676C"/>
          <w:sz w:val="14"/>
        </w:rPr>
        <w:t>| 2</w:t>
      </w:r>
    </w:p>
    <w:sectPr>
      <w:pgSz w:w="11910" w:h="16840"/>
      <w:pgMar w:top="1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46" w:hanging="356"/>
      </w:pPr>
      <w:rPr>
        <w:rFonts w:hint="default" w:ascii="Arial" w:hAnsi="Arial" w:eastAsia="Arial" w:cs="Arial"/>
        <w:w w:val="130"/>
        <w:sz w:val="20"/>
        <w:szCs w:val="20"/>
        <w:lang w:val="en-au" w:eastAsia="en-US" w:bidi="ar-SA"/>
      </w:rPr>
    </w:lvl>
    <w:lvl w:ilvl="1">
      <w:start w:val="0"/>
      <w:numFmt w:val="bullet"/>
      <w:lvlText w:val="•"/>
      <w:lvlJc w:val="left"/>
      <w:pPr>
        <w:ind w:left="2846" w:hanging="356"/>
      </w:pPr>
      <w:rPr>
        <w:rFonts w:hint="default"/>
        <w:lang w:val="en-au" w:eastAsia="en-US" w:bidi="ar-SA"/>
      </w:rPr>
    </w:lvl>
    <w:lvl w:ilvl="2">
      <w:start w:val="0"/>
      <w:numFmt w:val="bullet"/>
      <w:lvlText w:val="•"/>
      <w:lvlJc w:val="left"/>
      <w:pPr>
        <w:ind w:left="3853" w:hanging="356"/>
      </w:pPr>
      <w:rPr>
        <w:rFonts w:hint="default"/>
        <w:lang w:val="en-au" w:eastAsia="en-US" w:bidi="ar-SA"/>
      </w:rPr>
    </w:lvl>
    <w:lvl w:ilvl="3">
      <w:start w:val="0"/>
      <w:numFmt w:val="bullet"/>
      <w:lvlText w:val="•"/>
      <w:lvlJc w:val="left"/>
      <w:pPr>
        <w:ind w:left="4859" w:hanging="356"/>
      </w:pPr>
      <w:rPr>
        <w:rFonts w:hint="default"/>
        <w:lang w:val="en-au" w:eastAsia="en-US" w:bidi="ar-SA"/>
      </w:rPr>
    </w:lvl>
    <w:lvl w:ilvl="4">
      <w:start w:val="0"/>
      <w:numFmt w:val="bullet"/>
      <w:lvlText w:val="•"/>
      <w:lvlJc w:val="left"/>
      <w:pPr>
        <w:ind w:left="5866" w:hanging="356"/>
      </w:pPr>
      <w:rPr>
        <w:rFonts w:hint="default"/>
        <w:lang w:val="en-au" w:eastAsia="en-US" w:bidi="ar-SA"/>
      </w:rPr>
    </w:lvl>
    <w:lvl w:ilvl="5">
      <w:start w:val="0"/>
      <w:numFmt w:val="bullet"/>
      <w:lvlText w:val="•"/>
      <w:lvlJc w:val="left"/>
      <w:pPr>
        <w:ind w:left="6873" w:hanging="356"/>
      </w:pPr>
      <w:rPr>
        <w:rFonts w:hint="default"/>
        <w:lang w:val="en-au" w:eastAsia="en-US" w:bidi="ar-SA"/>
      </w:rPr>
    </w:lvl>
    <w:lvl w:ilvl="6">
      <w:start w:val="0"/>
      <w:numFmt w:val="bullet"/>
      <w:lvlText w:val="•"/>
      <w:lvlJc w:val="left"/>
      <w:pPr>
        <w:ind w:left="7879" w:hanging="356"/>
      </w:pPr>
      <w:rPr>
        <w:rFonts w:hint="default"/>
        <w:lang w:val="en-au" w:eastAsia="en-US" w:bidi="ar-SA"/>
      </w:rPr>
    </w:lvl>
    <w:lvl w:ilvl="7">
      <w:start w:val="0"/>
      <w:numFmt w:val="bullet"/>
      <w:lvlText w:val="•"/>
      <w:lvlJc w:val="left"/>
      <w:pPr>
        <w:ind w:left="8886" w:hanging="356"/>
      </w:pPr>
      <w:rPr>
        <w:rFonts w:hint="default"/>
        <w:lang w:val="en-au" w:eastAsia="en-US" w:bidi="ar-SA"/>
      </w:rPr>
    </w:lvl>
    <w:lvl w:ilvl="8">
      <w:start w:val="0"/>
      <w:numFmt w:val="bullet"/>
      <w:lvlText w:val="•"/>
      <w:lvlJc w:val="left"/>
      <w:pPr>
        <w:ind w:left="9893" w:hanging="356"/>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3"/>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132"/>
      <w:ind w:left="1846" w:hanging="357"/>
    </w:pPr>
    <w:rPr>
      <w:rFonts w:ascii="Arial" w:hAnsi="Arial" w:eastAsia="Arial" w:cs="Arial"/>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help-and-support-subsite/CustomsNotices/2009-47.pdf" TargetMode="External"/><Relationship Id="rId7" Type="http://schemas.openxmlformats.org/officeDocument/2006/relationships/hyperlink" Target="https://www.abf.gov.au/trustedtrader"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Redmond / Anita Langford</dc:creator>
  <cp:keywords>Australian Trusted Trader; Consolidated Cargo Reporting benefit; Importers; cargo reporter</cp:keywords>
  <dc:subject>Consolidated Cargo Reporting benefit</dc:subject>
  <dc:title>Australian Trusted Trader – Consolidated Cargo Reporting benefit</dc:title>
  <dcterms:created xsi:type="dcterms:W3CDTF">2020-12-09T22:16:27Z</dcterms:created>
  <dcterms:modified xsi:type="dcterms:W3CDTF">2020-12-09T22:16:27Z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2020-06-25T00:00:00Z</vt:filetime>
  </property>
  <property fmtid="{D5CDD505-2E9C-101B-9397-08002B2CF9AE}" pid="3" name="Creator">
    <vt:lpwstr>Microsoft® Word 2016</vt:lpwstr>
  </property>
  <property fmtid="{D5CDD505-2E9C-101B-9397-08002B2CF9AE}" pid="4" name="LastSaved">
    <vt:filetime>2020-12-09T00:00:00Z</vt:filetime>
  </property>
</Properties>
</file>