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sz w:val="19"/>
        </w:rPr>
      </w:pPr>
    </w:p>
    <w:p>
      <w:pPr>
        <w:pStyle w:val="Title"/>
        <w:spacing w:line="264"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-2049123</wp:posOffset>
            </wp:positionV>
            <wp:extent cx="7559675" cy="2048380"/>
            <wp:effectExtent l="0" t="0" r="0" b="0"/>
            <wp:wrapNone/>
            <wp:docPr id="1" name="image1.jpeg" descr="Australian Border Force Banne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2048380"/>
                    </a:xfrm>
                    <a:prstGeom prst="rect">
                      <a:avLst/>
                    </a:prstGeom>
                  </pic:spPr>
                </pic:pic>
              </a:graphicData>
            </a:graphic>
          </wp:anchor>
        </w:drawing>
      </w:r>
      <w:r>
        <w:rPr>
          <w:color w:val="072144"/>
        </w:rPr>
        <w:t>Australian Customs Notice No. 2020/31</w:t>
      </w:r>
    </w:p>
    <w:p>
      <w:pPr>
        <w:pStyle w:val="Heading1"/>
        <w:ind w:left="1613"/>
        <w:jc w:val="center"/>
      </w:pPr>
      <w:r>
        <w:rPr>
          <w:color w:val="956D23"/>
        </w:rPr>
        <w:t>Customs duty rates on excise-equivalent goods - August 2020</w:t>
      </w:r>
    </w:p>
    <w:p>
      <w:pPr>
        <w:pStyle w:val="BodyText"/>
        <w:spacing w:before="5"/>
        <w:rPr>
          <w:sz w:val="53"/>
        </w:rPr>
      </w:pPr>
    </w:p>
    <w:p>
      <w:pPr>
        <w:pStyle w:val="BodyText"/>
        <w:spacing w:line="264" w:lineRule="auto" w:before="1"/>
        <w:ind w:left="1133" w:right="1674"/>
      </w:pPr>
      <w:r>
        <w:rPr/>
        <w:t>This notice sets out the arrangements for the customs duty rates for certain excise-equivalent goods, including spirits, beers and fuel products as a result of the Consumer Price Index (CPI) released by the Australian Bureau of Statistics on 29 July 2020.</w:t>
      </w:r>
    </w:p>
    <w:p>
      <w:pPr>
        <w:pStyle w:val="BodyText"/>
        <w:spacing w:line="264" w:lineRule="auto" w:before="177"/>
        <w:ind w:left="1133" w:right="1199"/>
      </w:pPr>
      <w:r>
        <w:rPr/>
        <w:t>Section 19 of the </w:t>
      </w:r>
      <w:r>
        <w:rPr>
          <w:i/>
        </w:rPr>
        <w:t>Customs Tariff Act 1995 </w:t>
      </w:r>
      <w:r>
        <w:rPr/>
        <w:t>(Customs Tariff Act), provides for customs duty rates for certain excise-equivalent goods to be indexed biannually, in February and August, to the CPI by application of an indexation factor. The indexation factor is calculated by dividing the most recent June or December Quarter CPI number by the previous highest June or December Quarter CPI number occurring after the June 1983 Quarter. When the indexation factor is greater than one, the new customs duty rates are determined by the application of the indexation factor. When the indexation factor is less than or equal to one, no change to the customs duty rates are made.</w:t>
      </w:r>
    </w:p>
    <w:p>
      <w:pPr>
        <w:pStyle w:val="BodyText"/>
        <w:spacing w:before="182"/>
        <w:ind w:left="1133"/>
      </w:pPr>
      <w:r>
        <w:rPr/>
        <w:t>The figures used to calculate the indexation factor for August 2020 are set out in the table below:</w:t>
      </w:r>
    </w:p>
    <w:p>
      <w:pPr>
        <w:pStyle w:val="BodyText"/>
        <w:spacing w:before="10"/>
        <w:rPr>
          <w:sz w:val="12"/>
        </w:rPr>
      </w:pPr>
    </w:p>
    <w:tbl>
      <w:tblPr>
        <w:tblW w:w="0" w:type="auto"/>
        <w:jc w:val="left"/>
        <w:tblInd w:w="1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6"/>
        <w:gridCol w:w="3236"/>
        <w:gridCol w:w="3210"/>
      </w:tblGrid>
      <w:tr>
        <w:trPr>
          <w:trHeight w:val="806" w:hRule="atLeast"/>
        </w:trPr>
        <w:tc>
          <w:tcPr>
            <w:tcW w:w="3186" w:type="dxa"/>
            <w:tcBorders>
              <w:top w:val="single" w:sz="4" w:space="0" w:color="000000"/>
              <w:left w:val="single" w:sz="4" w:space="0" w:color="000000"/>
            </w:tcBorders>
            <w:shd w:val="clear" w:color="auto" w:fill="072144"/>
          </w:tcPr>
          <w:p>
            <w:pPr>
              <w:pStyle w:val="TableParagraph"/>
              <w:spacing w:before="0"/>
              <w:rPr>
                <w:sz w:val="26"/>
              </w:rPr>
            </w:pPr>
          </w:p>
          <w:p>
            <w:pPr>
              <w:pStyle w:val="TableParagraph"/>
              <w:spacing w:before="0"/>
              <w:ind w:left="434" w:right="406"/>
              <w:jc w:val="center"/>
              <w:rPr>
                <w:b/>
                <w:sz w:val="20"/>
              </w:rPr>
            </w:pPr>
            <w:r>
              <w:rPr>
                <w:b/>
                <w:color w:val="FFFFFF"/>
                <w:sz w:val="20"/>
              </w:rPr>
              <w:t>Most recent CPI number</w:t>
            </w:r>
          </w:p>
        </w:tc>
        <w:tc>
          <w:tcPr>
            <w:tcW w:w="3236" w:type="dxa"/>
            <w:tcBorders>
              <w:top w:val="single" w:sz="4" w:space="0" w:color="000000"/>
            </w:tcBorders>
            <w:shd w:val="clear" w:color="auto" w:fill="072144"/>
          </w:tcPr>
          <w:p>
            <w:pPr>
              <w:pStyle w:val="TableParagraph"/>
              <w:spacing w:line="264" w:lineRule="auto" w:before="174"/>
              <w:ind w:left="762" w:hanging="327"/>
              <w:rPr>
                <w:b/>
                <w:sz w:val="20"/>
              </w:rPr>
            </w:pPr>
            <w:r>
              <w:rPr>
                <w:b/>
                <w:color w:val="FFFFFF"/>
                <w:sz w:val="20"/>
              </w:rPr>
              <w:t>Highest previous June or December Quarter</w:t>
            </w:r>
          </w:p>
        </w:tc>
        <w:tc>
          <w:tcPr>
            <w:tcW w:w="3210" w:type="dxa"/>
            <w:vMerge w:val="restart"/>
            <w:tcBorders>
              <w:top w:val="single" w:sz="4" w:space="0" w:color="000000"/>
              <w:right w:val="single" w:sz="4" w:space="0" w:color="000000"/>
            </w:tcBorders>
            <w:shd w:val="clear" w:color="auto" w:fill="072144"/>
          </w:tcPr>
          <w:p>
            <w:pPr>
              <w:pStyle w:val="TableParagraph"/>
              <w:spacing w:before="0"/>
              <w:rPr>
                <w:sz w:val="22"/>
              </w:rPr>
            </w:pPr>
          </w:p>
          <w:p>
            <w:pPr>
              <w:pStyle w:val="TableParagraph"/>
              <w:spacing w:before="6"/>
              <w:rPr>
                <w:sz w:val="25"/>
              </w:rPr>
            </w:pPr>
          </w:p>
          <w:p>
            <w:pPr>
              <w:pStyle w:val="TableParagraph"/>
              <w:spacing w:before="0"/>
              <w:ind w:left="774"/>
              <w:rPr>
                <w:b/>
                <w:sz w:val="20"/>
              </w:rPr>
            </w:pPr>
            <w:r>
              <w:rPr>
                <w:b/>
                <w:color w:val="FFFFFF"/>
                <w:sz w:val="20"/>
              </w:rPr>
              <w:t>Indexation Factor</w:t>
            </w:r>
          </w:p>
        </w:tc>
      </w:tr>
      <w:tr>
        <w:trPr>
          <w:trHeight w:val="492" w:hRule="atLeast"/>
        </w:trPr>
        <w:tc>
          <w:tcPr>
            <w:tcW w:w="3186" w:type="dxa"/>
            <w:tcBorders>
              <w:left w:val="single" w:sz="4" w:space="0" w:color="000000"/>
            </w:tcBorders>
          </w:tcPr>
          <w:p>
            <w:pPr>
              <w:pStyle w:val="TableParagraph"/>
              <w:spacing w:before="117"/>
              <w:ind w:left="434" w:right="405"/>
              <w:jc w:val="center"/>
              <w:rPr>
                <w:sz w:val="20"/>
              </w:rPr>
            </w:pPr>
            <w:r>
              <w:rPr>
                <w:sz w:val="20"/>
              </w:rPr>
              <w:t>June Quarter 2020</w:t>
            </w:r>
          </w:p>
        </w:tc>
        <w:tc>
          <w:tcPr>
            <w:tcW w:w="3236" w:type="dxa"/>
          </w:tcPr>
          <w:p>
            <w:pPr>
              <w:pStyle w:val="TableParagraph"/>
              <w:spacing w:before="117"/>
              <w:ind w:left="535" w:right="504"/>
              <w:jc w:val="center"/>
              <w:rPr>
                <w:sz w:val="20"/>
              </w:rPr>
            </w:pPr>
            <w:r>
              <w:rPr>
                <w:sz w:val="20"/>
              </w:rPr>
              <w:t>December Quarter 2019</w:t>
            </w:r>
          </w:p>
        </w:tc>
        <w:tc>
          <w:tcPr>
            <w:tcW w:w="3210" w:type="dxa"/>
            <w:vMerge/>
            <w:tcBorders>
              <w:top w:val="nil"/>
              <w:right w:val="single" w:sz="4" w:space="0" w:color="000000"/>
            </w:tcBorders>
            <w:shd w:val="clear" w:color="auto" w:fill="072144"/>
          </w:tcPr>
          <w:p>
            <w:pPr>
              <w:rPr>
                <w:sz w:val="2"/>
                <w:szCs w:val="2"/>
              </w:rPr>
            </w:pPr>
          </w:p>
        </w:tc>
      </w:tr>
      <w:tr>
        <w:trPr>
          <w:trHeight w:val="494" w:hRule="atLeast"/>
        </w:trPr>
        <w:tc>
          <w:tcPr>
            <w:tcW w:w="3186" w:type="dxa"/>
            <w:tcBorders>
              <w:left w:val="single" w:sz="4" w:space="0" w:color="000000"/>
              <w:bottom w:val="single" w:sz="4" w:space="0" w:color="000000"/>
            </w:tcBorders>
          </w:tcPr>
          <w:p>
            <w:pPr>
              <w:pStyle w:val="TableParagraph"/>
              <w:spacing w:before="117"/>
              <w:ind w:left="434" w:right="405"/>
              <w:jc w:val="center"/>
              <w:rPr>
                <w:sz w:val="20"/>
              </w:rPr>
            </w:pPr>
            <w:r>
              <w:rPr>
                <w:sz w:val="20"/>
              </w:rPr>
              <w:t>114.4</w:t>
            </w:r>
          </w:p>
        </w:tc>
        <w:tc>
          <w:tcPr>
            <w:tcW w:w="3236" w:type="dxa"/>
            <w:tcBorders>
              <w:bottom w:val="single" w:sz="4" w:space="0" w:color="000000"/>
            </w:tcBorders>
          </w:tcPr>
          <w:p>
            <w:pPr>
              <w:pStyle w:val="TableParagraph"/>
              <w:spacing w:before="117"/>
              <w:ind w:left="535" w:right="503"/>
              <w:jc w:val="center"/>
              <w:rPr>
                <w:sz w:val="20"/>
              </w:rPr>
            </w:pPr>
            <w:r>
              <w:rPr>
                <w:sz w:val="20"/>
              </w:rPr>
              <w:t>116.2</w:t>
            </w:r>
          </w:p>
        </w:tc>
        <w:tc>
          <w:tcPr>
            <w:tcW w:w="3210" w:type="dxa"/>
            <w:tcBorders>
              <w:bottom w:val="single" w:sz="4" w:space="0" w:color="000000"/>
              <w:right w:val="single" w:sz="4" w:space="0" w:color="000000"/>
            </w:tcBorders>
          </w:tcPr>
          <w:p>
            <w:pPr>
              <w:pStyle w:val="TableParagraph"/>
              <w:spacing w:before="117"/>
              <w:ind w:left="1337" w:right="1327"/>
              <w:jc w:val="center"/>
              <w:rPr>
                <w:sz w:val="20"/>
              </w:rPr>
            </w:pPr>
            <w:r>
              <w:rPr>
                <w:sz w:val="20"/>
              </w:rPr>
              <w:t>0.985</w:t>
            </w:r>
          </w:p>
        </w:tc>
      </w:tr>
    </w:tbl>
    <w:p>
      <w:pPr>
        <w:pStyle w:val="BodyText"/>
        <w:spacing w:before="177"/>
        <w:ind w:left="1133"/>
      </w:pPr>
      <w:r>
        <w:rPr/>
        <w:t>As the indexation factor for August 2020 (0.985) is less than one, customs duty rates for the relevant</w:t>
      </w:r>
    </w:p>
    <w:p>
      <w:pPr>
        <w:pStyle w:val="BodyText"/>
        <w:spacing w:line="264" w:lineRule="auto" w:before="22"/>
        <w:ind w:left="1133" w:right="1096"/>
      </w:pPr>
      <w:r>
        <w:rPr/>
        <w:t>excise-equivalent goods, in Schedule 3 and Schedules 4A to 13 inclusive to the Customs Tariff, will remain at current levels.</w:t>
      </w:r>
    </w:p>
    <w:p>
      <w:pPr>
        <w:pStyle w:val="BodyText"/>
        <w:spacing w:before="180"/>
        <w:ind w:left="1133"/>
      </w:pPr>
      <w:r>
        <w:rPr/>
        <w:t>The rates of customs duty for excise-equivalent goods that continue to apply are set out in Table 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tabs>
          <w:tab w:pos="4364" w:val="left" w:leader="none"/>
          <w:tab w:pos="11908" w:val="left" w:leader="none"/>
        </w:tabs>
        <w:spacing w:before="0"/>
        <w:ind w:left="0" w:right="-15" w:firstLine="0"/>
        <w:jc w:val="left"/>
        <w:rPr>
          <w:rFonts w:ascii="Arial-BoldItalicMT" w:hAnsi="Arial-BoldItalicMT"/>
          <w:b/>
          <w:i/>
          <w:sz w:val="24"/>
        </w:rPr>
      </w:pPr>
      <w:r>
        <w:rPr>
          <w:rFonts w:ascii="Times New Roman" w:hAnsi="Times New Roman"/>
          <w:color w:val="FFFFFF"/>
          <w:sz w:val="24"/>
          <w:shd w:fill="072144" w:color="auto" w:val="clear"/>
        </w:rPr>
        <w:t> </w:t>
        <w:tab/>
      </w:r>
      <w:r>
        <w:rPr>
          <w:rFonts w:ascii="Arial-BoldItalicMT" w:hAnsi="Arial-BoldItalicMT"/>
          <w:b/>
          <w:i/>
          <w:color w:val="FFFFFF"/>
          <w:sz w:val="24"/>
          <w:shd w:fill="072144" w:color="auto" w:val="clear"/>
        </w:rPr>
        <w:t>Australia’s customs</w:t>
      </w:r>
      <w:r>
        <w:rPr>
          <w:rFonts w:ascii="Arial-BoldItalicMT" w:hAnsi="Arial-BoldItalicMT"/>
          <w:b/>
          <w:i/>
          <w:color w:val="FFFFFF"/>
          <w:spacing w:val="-11"/>
          <w:sz w:val="24"/>
          <w:shd w:fill="072144" w:color="auto" w:val="clear"/>
        </w:rPr>
        <w:t> </w:t>
      </w:r>
      <w:r>
        <w:rPr>
          <w:rFonts w:ascii="Arial-BoldItalicMT" w:hAnsi="Arial-BoldItalicMT"/>
          <w:b/>
          <w:i/>
          <w:color w:val="FFFFFF"/>
          <w:sz w:val="24"/>
          <w:shd w:fill="0721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spacing w:before="3"/>
        <w:rPr>
          <w:rFonts w:ascii="Arial-BoldItalicMT"/>
          <w:b/>
          <w:i/>
          <w:sz w:val="23"/>
        </w:rPr>
      </w:pPr>
    </w:p>
    <w:p>
      <w:pPr>
        <w:pStyle w:val="BodyText"/>
        <w:spacing w:line="264" w:lineRule="auto"/>
        <w:ind w:left="1133" w:right="1202"/>
      </w:pPr>
      <w:r>
        <w:rPr/>
        <w:t>No changes will be made to the rates of duty on goods subject to excise. Further information can be found on the Australian Taxation Office website via the following links: </w:t>
      </w:r>
      <w:hyperlink r:id="rId8">
        <w:r>
          <w:rPr>
            <w:color w:val="072144"/>
            <w:u w:val="single" w:color="072144"/>
          </w:rPr>
          <w:t>ato.gov.au/alcoholexciserates</w:t>
        </w:r>
        <w:r>
          <w:rPr>
            <w:color w:val="072144"/>
          </w:rPr>
          <w:t> </w:t>
        </w:r>
      </w:hyperlink>
      <w:r>
        <w:rPr/>
        <w:t>and </w:t>
      </w:r>
      <w:hyperlink r:id="rId9">
        <w:r>
          <w:rPr>
            <w:color w:val="072144"/>
            <w:u w:val="single" w:color="072144"/>
          </w:rPr>
          <w:t>ato.gov.au/fuelexciserates.</w:t>
        </w:r>
      </w:hyperlink>
    </w:p>
    <w:p>
      <w:pPr>
        <w:pStyle w:val="BodyText"/>
        <w:spacing w:before="180"/>
        <w:ind w:left="1133"/>
      </w:pPr>
      <w:r>
        <w:rPr/>
        <w:t>Please direct any inquiries concerning these matters to the following contacts:</w:t>
      </w:r>
    </w:p>
    <w:p>
      <w:pPr>
        <w:pStyle w:val="BodyText"/>
        <w:spacing w:before="6" w:after="1"/>
        <w:rPr>
          <w:sz w:val="12"/>
        </w:rPr>
      </w:pPr>
    </w:p>
    <w:tbl>
      <w:tblPr>
        <w:tblW w:w="0" w:type="auto"/>
        <w:jc w:val="left"/>
        <w:tblInd w:w="1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1"/>
        <w:gridCol w:w="6060"/>
      </w:tblGrid>
      <w:tr>
        <w:trPr>
          <w:trHeight w:val="563" w:hRule="atLeast"/>
        </w:trPr>
        <w:tc>
          <w:tcPr>
            <w:tcW w:w="3571" w:type="dxa"/>
            <w:shd w:val="clear" w:color="auto" w:fill="072144"/>
          </w:tcPr>
          <w:p>
            <w:pPr>
              <w:pStyle w:val="TableParagraph"/>
              <w:spacing w:before="189"/>
              <w:ind w:left="115"/>
              <w:rPr>
                <w:sz w:val="20"/>
              </w:rPr>
            </w:pPr>
            <w:r>
              <w:rPr>
                <w:color w:val="FFFFFF"/>
                <w:sz w:val="20"/>
              </w:rPr>
              <w:t>for customs duty rates</w:t>
            </w:r>
          </w:p>
        </w:tc>
        <w:tc>
          <w:tcPr>
            <w:tcW w:w="6060" w:type="dxa"/>
            <w:shd w:val="clear" w:color="auto" w:fill="072144"/>
          </w:tcPr>
          <w:p>
            <w:pPr>
              <w:pStyle w:val="TableParagraph"/>
              <w:spacing w:before="189"/>
              <w:ind w:left="1357"/>
              <w:rPr>
                <w:sz w:val="20"/>
              </w:rPr>
            </w:pPr>
            <w:r>
              <w:rPr>
                <w:color w:val="FFFFFF"/>
                <w:sz w:val="20"/>
              </w:rPr>
              <w:t>for excise duty rates</w:t>
            </w:r>
          </w:p>
        </w:tc>
      </w:tr>
      <w:tr>
        <w:trPr>
          <w:trHeight w:val="1492" w:hRule="atLeast"/>
        </w:trPr>
        <w:tc>
          <w:tcPr>
            <w:tcW w:w="3571" w:type="dxa"/>
            <w:tcBorders>
              <w:left w:val="single" w:sz="4" w:space="0" w:color="072144"/>
              <w:bottom w:val="single" w:sz="4" w:space="0" w:color="072144"/>
            </w:tcBorders>
          </w:tcPr>
          <w:p>
            <w:pPr>
              <w:pStyle w:val="TableParagraph"/>
              <w:spacing w:line="264" w:lineRule="auto" w:before="177"/>
              <w:ind w:left="110" w:right="1345"/>
              <w:rPr>
                <w:sz w:val="20"/>
              </w:rPr>
            </w:pPr>
            <w:r>
              <w:rPr>
                <w:sz w:val="20"/>
              </w:rPr>
              <w:t>Assistant Director Trade and Tariff Policy Australian Border</w:t>
            </w:r>
            <w:r>
              <w:rPr>
                <w:spacing w:val="-15"/>
                <w:sz w:val="20"/>
              </w:rPr>
              <w:t> </w:t>
            </w:r>
            <w:r>
              <w:rPr>
                <w:sz w:val="20"/>
              </w:rPr>
              <w:t>Force</w:t>
            </w:r>
          </w:p>
          <w:p>
            <w:pPr>
              <w:pStyle w:val="TableParagraph"/>
              <w:spacing w:before="179"/>
              <w:ind w:left="110"/>
              <w:rPr>
                <w:sz w:val="20"/>
              </w:rPr>
            </w:pPr>
            <w:r>
              <w:rPr>
                <w:sz w:val="20"/>
              </w:rPr>
              <w:t>Ph: (02) 6264 2143</w:t>
            </w:r>
          </w:p>
        </w:tc>
        <w:tc>
          <w:tcPr>
            <w:tcW w:w="6060" w:type="dxa"/>
            <w:tcBorders>
              <w:bottom w:val="single" w:sz="4" w:space="0" w:color="072144"/>
              <w:right w:val="single" w:sz="4" w:space="0" w:color="072144"/>
            </w:tcBorders>
          </w:tcPr>
          <w:p>
            <w:pPr>
              <w:pStyle w:val="TableParagraph"/>
              <w:spacing w:before="177"/>
              <w:ind w:left="1357"/>
              <w:rPr>
                <w:sz w:val="20"/>
              </w:rPr>
            </w:pPr>
            <w:r>
              <w:rPr>
                <w:sz w:val="20"/>
              </w:rPr>
              <w:t>Director</w:t>
            </w:r>
          </w:p>
          <w:p>
            <w:pPr>
              <w:pStyle w:val="TableParagraph"/>
              <w:spacing w:line="266" w:lineRule="auto" w:before="22"/>
              <w:ind w:left="1357" w:right="1520"/>
              <w:rPr>
                <w:sz w:val="20"/>
              </w:rPr>
            </w:pPr>
            <w:r>
              <w:rPr>
                <w:sz w:val="20"/>
              </w:rPr>
              <w:t>Indirect Tax, Revenue Performance Australian Taxation Office</w:t>
            </w:r>
          </w:p>
          <w:p>
            <w:pPr>
              <w:pStyle w:val="TableParagraph"/>
              <w:spacing w:before="176"/>
              <w:ind w:left="1357"/>
              <w:rPr>
                <w:sz w:val="20"/>
              </w:rPr>
            </w:pPr>
            <w:r>
              <w:rPr>
                <w:sz w:val="20"/>
              </w:rPr>
              <w:t>Ph: (02) 6216 1397</w:t>
            </w:r>
          </w:p>
        </w:tc>
      </w:tr>
    </w:tbl>
    <w:p>
      <w:pPr>
        <w:pStyle w:val="BodyText"/>
        <w:spacing w:line="264" w:lineRule="auto" w:before="178"/>
        <w:ind w:left="1133" w:right="1496"/>
      </w:pPr>
      <w:r>
        <w:rPr/>
        <w:t>No changes will be made to the Online Tariff available on </w:t>
      </w:r>
      <w:hyperlink r:id="rId10">
        <w:r>
          <w:rPr>
            <w:color w:val="072144"/>
            <w:u w:val="single" w:color="072144"/>
          </w:rPr>
          <w:t>www.abf.gov.au</w:t>
        </w:r>
        <w:r>
          <w:rPr>
            <w:color w:val="072144"/>
          </w:rPr>
          <w:t> </w:t>
        </w:r>
      </w:hyperlink>
      <w:r>
        <w:rPr/>
        <w:t>and no revised Customs Tariff Working Pages will be issued.</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BodyText"/>
        <w:ind w:left="1159"/>
      </w:pPr>
      <w:r>
        <w:rPr/>
        <w:t>[Signed]</w:t>
      </w:r>
    </w:p>
    <w:p>
      <w:pPr>
        <w:pStyle w:val="BodyText"/>
        <w:ind w:left="1159" w:right="8436"/>
      </w:pPr>
      <w:r>
        <w:rPr/>
        <w:t>Matthew Duckworth Assistant Secretary</w:t>
      </w:r>
    </w:p>
    <w:p>
      <w:pPr>
        <w:pStyle w:val="BodyText"/>
        <w:ind w:left="1159" w:right="6947"/>
      </w:pPr>
      <w:r>
        <w:rPr/>
        <w:t>Customs and Trade Policy Branch Customs Group</w:t>
      </w:r>
    </w:p>
    <w:p>
      <w:pPr>
        <w:pStyle w:val="BodyText"/>
        <w:spacing w:line="295" w:lineRule="auto"/>
        <w:ind w:left="1133" w:right="8436" w:firstLine="26"/>
      </w:pPr>
      <w:r>
        <w:rPr/>
        <w:t>Australian Border Force 29 July 2020</w:t>
      </w:r>
    </w:p>
    <w:p>
      <w:pPr>
        <w:spacing w:after="0" w:line="295" w:lineRule="auto"/>
        <w:sectPr>
          <w:headerReference w:type="default" r:id="rId6"/>
          <w:footerReference w:type="default" r:id="rId7"/>
          <w:pgSz w:w="11910" w:h="16840"/>
          <w:pgMar w:header="1150" w:footer="583" w:top="1640" w:bottom="780" w:left="0" w:right="0"/>
          <w:pgNumType w:start="2"/>
        </w:sectPr>
      </w:pPr>
    </w:p>
    <w:p>
      <w:pPr>
        <w:pStyle w:val="BodyText"/>
      </w:pPr>
    </w:p>
    <w:p>
      <w:pPr>
        <w:pStyle w:val="Heading1"/>
        <w:spacing w:before="265"/>
        <w:ind w:right="2049"/>
      </w:pPr>
      <w:r>
        <w:rPr>
          <w:color w:val="956D23"/>
        </w:rPr>
        <w:t>Table 1: Customs Tariff Act 1995 – Customs duty rates applying to certain excise-equivalent goods</w:t>
      </w:r>
    </w:p>
    <w:p>
      <w:pPr>
        <w:pStyle w:val="BodyText"/>
        <w:spacing w:before="1"/>
        <w:rPr>
          <w:sz w:val="16"/>
        </w:rPr>
      </w:pPr>
    </w:p>
    <w:tbl>
      <w:tblPr>
        <w:tblW w:w="0" w:type="auto"/>
        <w:jc w:val="left"/>
        <w:tblInd w:w="11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68"/>
        <w:gridCol w:w="1392"/>
        <w:gridCol w:w="881"/>
        <w:gridCol w:w="5853"/>
      </w:tblGrid>
      <w:tr>
        <w:trPr>
          <w:trHeight w:val="580" w:hRule="atLeast"/>
        </w:trPr>
        <w:tc>
          <w:tcPr>
            <w:tcW w:w="2760" w:type="dxa"/>
            <w:gridSpan w:val="2"/>
            <w:tcBorders>
              <w:left w:val="single" w:sz="6" w:space="0" w:color="000000"/>
            </w:tcBorders>
            <w:shd w:val="clear" w:color="auto" w:fill="072144"/>
          </w:tcPr>
          <w:p>
            <w:pPr>
              <w:pStyle w:val="TableParagraph"/>
              <w:spacing w:before="179"/>
              <w:ind w:left="97"/>
              <w:rPr>
                <w:b/>
                <w:sz w:val="19"/>
              </w:rPr>
            </w:pPr>
            <w:r>
              <w:rPr>
                <w:b/>
                <w:color w:val="FFFFFF"/>
                <w:w w:val="105"/>
                <w:sz w:val="19"/>
              </w:rPr>
              <w:t>Customs Tariff Subheading</w:t>
            </w:r>
          </w:p>
        </w:tc>
        <w:tc>
          <w:tcPr>
            <w:tcW w:w="6734" w:type="dxa"/>
            <w:gridSpan w:val="2"/>
            <w:shd w:val="clear" w:color="auto" w:fill="072144"/>
          </w:tcPr>
          <w:p>
            <w:pPr>
              <w:pStyle w:val="TableParagraph"/>
              <w:spacing w:before="179"/>
              <w:ind w:left="1625"/>
              <w:rPr>
                <w:b/>
                <w:sz w:val="19"/>
              </w:rPr>
            </w:pPr>
            <w:r>
              <w:rPr>
                <w:b/>
                <w:color w:val="FFFFFF"/>
                <w:w w:val="105"/>
                <w:sz w:val="19"/>
              </w:rPr>
              <w:t>Excise-equivalent customs duty rates</w:t>
            </w:r>
          </w:p>
        </w:tc>
      </w:tr>
      <w:tr>
        <w:trPr>
          <w:trHeight w:val="669" w:hRule="atLeast"/>
        </w:trPr>
        <w:tc>
          <w:tcPr>
            <w:tcW w:w="1368" w:type="dxa"/>
            <w:tcBorders>
              <w:left w:val="single" w:sz="6" w:space="0" w:color="000000"/>
              <w:right w:val="nil"/>
            </w:tcBorders>
          </w:tcPr>
          <w:p>
            <w:pPr>
              <w:pStyle w:val="TableParagraph"/>
              <w:spacing w:before="5"/>
              <w:rPr>
                <w:sz w:val="19"/>
              </w:rPr>
            </w:pPr>
          </w:p>
          <w:p>
            <w:pPr>
              <w:pStyle w:val="TableParagraph"/>
              <w:spacing w:before="1"/>
              <w:ind w:right="219"/>
              <w:jc w:val="right"/>
              <w:rPr>
                <w:sz w:val="19"/>
              </w:rPr>
            </w:pPr>
            <w:r>
              <w:rPr>
                <w:w w:val="90"/>
                <w:sz w:val="19"/>
              </w:rPr>
              <w:t>2203.00.64</w:t>
            </w:r>
          </w:p>
        </w:tc>
        <w:tc>
          <w:tcPr>
            <w:tcW w:w="1392" w:type="dxa"/>
            <w:tcBorders>
              <w:left w:val="nil"/>
            </w:tcBorders>
          </w:tcPr>
          <w:p>
            <w:pPr>
              <w:pStyle w:val="TableParagraph"/>
              <w:spacing w:before="5"/>
              <w:rPr>
                <w:sz w:val="19"/>
              </w:rPr>
            </w:pPr>
          </w:p>
          <w:p>
            <w:pPr>
              <w:pStyle w:val="TableParagraph"/>
              <w:spacing w:before="1"/>
              <w:ind w:left="202" w:right="189"/>
              <w:jc w:val="center"/>
              <w:rPr>
                <w:sz w:val="19"/>
              </w:rPr>
            </w:pPr>
            <w:r>
              <w:rPr>
                <w:sz w:val="19"/>
              </w:rPr>
              <w:t>2206.00.73</w:t>
            </w:r>
          </w:p>
        </w:tc>
        <w:tc>
          <w:tcPr>
            <w:tcW w:w="6734" w:type="dxa"/>
            <w:gridSpan w:val="2"/>
          </w:tcPr>
          <w:p>
            <w:pPr>
              <w:pStyle w:val="TableParagraph"/>
              <w:spacing w:before="49"/>
              <w:ind w:left="109"/>
              <w:rPr>
                <w:sz w:val="19"/>
              </w:rPr>
            </w:pPr>
            <w:r>
              <w:rPr>
                <w:sz w:val="19"/>
              </w:rPr>
              <w:t>$ 44.05 </w:t>
            </w:r>
            <w:r>
              <w:rPr>
                <w:position w:val="1"/>
                <w:sz w:val="19"/>
              </w:rPr>
              <w:t>per litre of alcohol, calculated on that alcohol content by which</w:t>
            </w:r>
          </w:p>
          <w:p>
            <w:pPr>
              <w:pStyle w:val="TableParagraph"/>
              <w:spacing w:before="111"/>
              <w:ind w:left="79"/>
              <w:rPr>
                <w:sz w:val="19"/>
              </w:rPr>
            </w:pPr>
            <w:r>
              <w:rPr>
                <w:sz w:val="19"/>
              </w:rPr>
              <w:t>the percentage by volume of alcohol of the goods exceeds 1.15</w:t>
            </w:r>
          </w:p>
        </w:tc>
      </w:tr>
      <w:tr>
        <w:trPr>
          <w:trHeight w:val="670" w:hRule="atLeast"/>
        </w:trPr>
        <w:tc>
          <w:tcPr>
            <w:tcW w:w="1368" w:type="dxa"/>
            <w:tcBorders>
              <w:left w:val="single" w:sz="6" w:space="0" w:color="000000"/>
              <w:right w:val="nil"/>
            </w:tcBorders>
          </w:tcPr>
          <w:p>
            <w:pPr>
              <w:pStyle w:val="TableParagraph"/>
              <w:spacing w:before="5"/>
              <w:rPr>
                <w:sz w:val="19"/>
              </w:rPr>
            </w:pPr>
          </w:p>
          <w:p>
            <w:pPr>
              <w:pStyle w:val="TableParagraph"/>
              <w:spacing w:before="0"/>
              <w:ind w:right="219"/>
              <w:jc w:val="right"/>
              <w:rPr>
                <w:sz w:val="19"/>
              </w:rPr>
            </w:pPr>
            <w:r>
              <w:rPr>
                <w:w w:val="90"/>
                <w:sz w:val="19"/>
              </w:rPr>
              <w:t>2203.00.66</w:t>
            </w:r>
          </w:p>
        </w:tc>
        <w:tc>
          <w:tcPr>
            <w:tcW w:w="1392" w:type="dxa"/>
            <w:tcBorders>
              <w:left w:val="nil"/>
            </w:tcBorders>
          </w:tcPr>
          <w:p>
            <w:pPr>
              <w:pStyle w:val="TableParagraph"/>
              <w:spacing w:before="5"/>
              <w:rPr>
                <w:sz w:val="19"/>
              </w:rPr>
            </w:pPr>
          </w:p>
          <w:p>
            <w:pPr>
              <w:pStyle w:val="TableParagraph"/>
              <w:spacing w:before="0"/>
              <w:ind w:left="202" w:right="189"/>
              <w:jc w:val="center"/>
              <w:rPr>
                <w:sz w:val="19"/>
              </w:rPr>
            </w:pPr>
            <w:r>
              <w:rPr>
                <w:sz w:val="19"/>
              </w:rPr>
              <w:t>2206.00.77</w:t>
            </w:r>
          </w:p>
        </w:tc>
        <w:tc>
          <w:tcPr>
            <w:tcW w:w="6734" w:type="dxa"/>
            <w:gridSpan w:val="2"/>
          </w:tcPr>
          <w:p>
            <w:pPr>
              <w:pStyle w:val="TableParagraph"/>
              <w:spacing w:before="49"/>
              <w:ind w:left="109"/>
              <w:rPr>
                <w:sz w:val="19"/>
              </w:rPr>
            </w:pPr>
            <w:r>
              <w:rPr>
                <w:sz w:val="19"/>
              </w:rPr>
              <w:t>$ 51.31 </w:t>
            </w:r>
            <w:r>
              <w:rPr>
                <w:position w:val="1"/>
                <w:sz w:val="19"/>
              </w:rPr>
              <w:t>per litre of alcohol, calculated on that alcohol content by which</w:t>
            </w:r>
          </w:p>
          <w:p>
            <w:pPr>
              <w:pStyle w:val="TableParagraph"/>
              <w:spacing w:before="112"/>
              <w:ind w:left="35"/>
              <w:rPr>
                <w:sz w:val="19"/>
              </w:rPr>
            </w:pPr>
            <w:r>
              <w:rPr>
                <w:sz w:val="19"/>
              </w:rPr>
              <w:t>by which the percentage by volume of alcohol of the goods exceeds 1.15</w:t>
            </w:r>
          </w:p>
        </w:tc>
      </w:tr>
      <w:tr>
        <w:trPr>
          <w:trHeight w:val="670" w:hRule="atLeast"/>
        </w:trPr>
        <w:tc>
          <w:tcPr>
            <w:tcW w:w="1368" w:type="dxa"/>
            <w:tcBorders>
              <w:left w:val="single" w:sz="6" w:space="0" w:color="000000"/>
              <w:right w:val="nil"/>
            </w:tcBorders>
          </w:tcPr>
          <w:p>
            <w:pPr>
              <w:pStyle w:val="TableParagraph"/>
              <w:spacing w:before="5"/>
              <w:rPr>
                <w:sz w:val="19"/>
              </w:rPr>
            </w:pPr>
          </w:p>
          <w:p>
            <w:pPr>
              <w:pStyle w:val="TableParagraph"/>
              <w:spacing w:before="0"/>
              <w:ind w:right="219"/>
              <w:jc w:val="right"/>
              <w:rPr>
                <w:sz w:val="19"/>
              </w:rPr>
            </w:pPr>
            <w:r>
              <w:rPr>
                <w:w w:val="90"/>
                <w:sz w:val="19"/>
              </w:rPr>
              <w:t>2203.00.69</w:t>
            </w:r>
          </w:p>
        </w:tc>
        <w:tc>
          <w:tcPr>
            <w:tcW w:w="1392" w:type="dxa"/>
            <w:tcBorders>
              <w:left w:val="nil"/>
            </w:tcBorders>
          </w:tcPr>
          <w:p>
            <w:pPr>
              <w:pStyle w:val="TableParagraph"/>
              <w:spacing w:before="5"/>
              <w:rPr>
                <w:sz w:val="19"/>
              </w:rPr>
            </w:pPr>
          </w:p>
          <w:p>
            <w:pPr>
              <w:pStyle w:val="TableParagraph"/>
              <w:spacing w:before="0"/>
              <w:ind w:left="202" w:right="189"/>
              <w:jc w:val="center"/>
              <w:rPr>
                <w:sz w:val="19"/>
              </w:rPr>
            </w:pPr>
            <w:r>
              <w:rPr>
                <w:sz w:val="19"/>
              </w:rPr>
              <w:t>2206.00.79</w:t>
            </w:r>
          </w:p>
        </w:tc>
        <w:tc>
          <w:tcPr>
            <w:tcW w:w="6734" w:type="dxa"/>
            <w:gridSpan w:val="2"/>
          </w:tcPr>
          <w:p>
            <w:pPr>
              <w:pStyle w:val="TableParagraph"/>
              <w:spacing w:before="59"/>
              <w:ind w:left="109"/>
              <w:rPr>
                <w:sz w:val="19"/>
              </w:rPr>
            </w:pPr>
            <w:r>
              <w:rPr>
                <w:sz w:val="19"/>
              </w:rPr>
              <w:t>$ 51.31 per litre of alcohol, calculated on that alcohol content by which</w:t>
            </w:r>
          </w:p>
          <w:p>
            <w:pPr>
              <w:pStyle w:val="TableParagraph"/>
              <w:spacing w:before="127"/>
              <w:ind w:left="79"/>
              <w:rPr>
                <w:sz w:val="19"/>
              </w:rPr>
            </w:pPr>
            <w:r>
              <w:rPr>
                <w:sz w:val="19"/>
              </w:rPr>
              <w:t>the percentage by volume of alcohol of the goods exceeds 1.15</w:t>
            </w:r>
          </w:p>
        </w:tc>
      </w:tr>
      <w:tr>
        <w:trPr>
          <w:trHeight w:val="670" w:hRule="atLeast"/>
        </w:trPr>
        <w:tc>
          <w:tcPr>
            <w:tcW w:w="1368" w:type="dxa"/>
            <w:tcBorders>
              <w:left w:val="single" w:sz="6" w:space="0" w:color="000000"/>
              <w:right w:val="nil"/>
            </w:tcBorders>
          </w:tcPr>
          <w:p>
            <w:pPr>
              <w:pStyle w:val="TableParagraph"/>
              <w:spacing w:before="59"/>
              <w:ind w:left="217"/>
              <w:rPr>
                <w:sz w:val="19"/>
              </w:rPr>
            </w:pPr>
            <w:r>
              <w:rPr>
                <w:spacing w:val="2"/>
                <w:sz w:val="19"/>
              </w:rPr>
              <w:t>2203.00.63</w:t>
            </w:r>
          </w:p>
          <w:p>
            <w:pPr>
              <w:pStyle w:val="TableParagraph"/>
              <w:spacing w:before="126"/>
              <w:ind w:left="217"/>
              <w:rPr>
                <w:sz w:val="19"/>
              </w:rPr>
            </w:pPr>
            <w:r>
              <w:rPr>
                <w:spacing w:val="2"/>
                <w:sz w:val="19"/>
              </w:rPr>
              <w:t>2203.00.71</w:t>
            </w:r>
          </w:p>
        </w:tc>
        <w:tc>
          <w:tcPr>
            <w:tcW w:w="1392" w:type="dxa"/>
            <w:tcBorders>
              <w:left w:val="nil"/>
            </w:tcBorders>
          </w:tcPr>
          <w:p>
            <w:pPr>
              <w:pStyle w:val="TableParagraph"/>
              <w:spacing w:before="59"/>
              <w:ind w:left="236"/>
              <w:rPr>
                <w:sz w:val="19"/>
              </w:rPr>
            </w:pPr>
            <w:r>
              <w:rPr>
                <w:spacing w:val="2"/>
                <w:sz w:val="19"/>
              </w:rPr>
              <w:t>2206.00.72</w:t>
            </w:r>
          </w:p>
          <w:p>
            <w:pPr>
              <w:pStyle w:val="TableParagraph"/>
              <w:spacing w:before="126"/>
              <w:ind w:left="236"/>
              <w:rPr>
                <w:sz w:val="19"/>
              </w:rPr>
            </w:pPr>
            <w:r>
              <w:rPr>
                <w:spacing w:val="2"/>
                <w:sz w:val="19"/>
              </w:rPr>
              <w:t>2206.00.82</w:t>
            </w:r>
          </w:p>
        </w:tc>
        <w:tc>
          <w:tcPr>
            <w:tcW w:w="6734" w:type="dxa"/>
            <w:gridSpan w:val="2"/>
          </w:tcPr>
          <w:p>
            <w:pPr>
              <w:pStyle w:val="TableParagraph"/>
              <w:tabs>
                <w:tab w:pos="454" w:val="left" w:leader="none"/>
              </w:tabs>
              <w:spacing w:before="39"/>
              <w:ind w:left="125"/>
              <w:rPr>
                <w:sz w:val="19"/>
              </w:rPr>
            </w:pPr>
            <w:r>
              <w:rPr>
                <w:sz w:val="19"/>
              </w:rPr>
              <w:t>$</w:t>
              <w:tab/>
              <w:t>8.81</w:t>
            </w:r>
            <w:r>
              <w:rPr>
                <w:spacing w:val="21"/>
                <w:sz w:val="19"/>
              </w:rPr>
              <w:t> </w:t>
            </w:r>
            <w:r>
              <w:rPr>
                <w:spacing w:val="-2"/>
                <w:position w:val="2"/>
                <w:sz w:val="19"/>
              </w:rPr>
              <w:t>per</w:t>
            </w:r>
            <w:r>
              <w:rPr>
                <w:spacing w:val="-7"/>
                <w:position w:val="2"/>
                <w:sz w:val="19"/>
              </w:rPr>
              <w:t> </w:t>
            </w:r>
            <w:r>
              <w:rPr>
                <w:spacing w:val="5"/>
                <w:position w:val="2"/>
                <w:sz w:val="19"/>
              </w:rPr>
              <w:t>litre</w:t>
            </w:r>
            <w:r>
              <w:rPr>
                <w:spacing w:val="-20"/>
                <w:position w:val="2"/>
                <w:sz w:val="19"/>
              </w:rPr>
              <w:t> </w:t>
            </w:r>
            <w:r>
              <w:rPr>
                <w:position w:val="2"/>
                <w:sz w:val="19"/>
              </w:rPr>
              <w:t>of</w:t>
            </w:r>
            <w:r>
              <w:rPr>
                <w:spacing w:val="-13"/>
                <w:position w:val="2"/>
                <w:sz w:val="19"/>
              </w:rPr>
              <w:t> </w:t>
            </w:r>
            <w:r>
              <w:rPr>
                <w:spacing w:val="6"/>
                <w:position w:val="2"/>
                <w:sz w:val="19"/>
              </w:rPr>
              <w:t>alcohol,</w:t>
            </w:r>
            <w:r>
              <w:rPr>
                <w:spacing w:val="-16"/>
                <w:position w:val="2"/>
                <w:sz w:val="19"/>
              </w:rPr>
              <w:t> </w:t>
            </w:r>
            <w:r>
              <w:rPr>
                <w:spacing w:val="5"/>
                <w:position w:val="2"/>
                <w:sz w:val="19"/>
              </w:rPr>
              <w:t>calculated</w:t>
            </w:r>
            <w:r>
              <w:rPr>
                <w:spacing w:val="-12"/>
                <w:position w:val="2"/>
                <w:sz w:val="19"/>
              </w:rPr>
              <w:t> </w:t>
            </w:r>
            <w:r>
              <w:rPr>
                <w:position w:val="2"/>
                <w:sz w:val="19"/>
              </w:rPr>
              <w:t>on</w:t>
            </w:r>
            <w:r>
              <w:rPr>
                <w:spacing w:val="-11"/>
                <w:position w:val="2"/>
                <w:sz w:val="19"/>
              </w:rPr>
              <w:t> </w:t>
            </w:r>
            <w:r>
              <w:rPr>
                <w:position w:val="2"/>
                <w:sz w:val="19"/>
              </w:rPr>
              <w:t>that</w:t>
            </w:r>
            <w:r>
              <w:rPr>
                <w:spacing w:val="-18"/>
                <w:position w:val="2"/>
                <w:sz w:val="19"/>
              </w:rPr>
              <w:t> </w:t>
            </w:r>
            <w:r>
              <w:rPr>
                <w:spacing w:val="5"/>
                <w:position w:val="2"/>
                <w:sz w:val="19"/>
              </w:rPr>
              <w:t>alcohol</w:t>
            </w:r>
            <w:r>
              <w:rPr>
                <w:position w:val="2"/>
                <w:sz w:val="19"/>
              </w:rPr>
              <w:t> content</w:t>
            </w:r>
            <w:r>
              <w:rPr>
                <w:spacing w:val="-18"/>
                <w:position w:val="2"/>
                <w:sz w:val="19"/>
              </w:rPr>
              <w:t> </w:t>
            </w:r>
            <w:r>
              <w:rPr>
                <w:position w:val="2"/>
                <w:sz w:val="19"/>
              </w:rPr>
              <w:t>by</w:t>
            </w:r>
            <w:r>
              <w:rPr>
                <w:spacing w:val="-12"/>
                <w:position w:val="2"/>
                <w:sz w:val="19"/>
              </w:rPr>
              <w:t> </w:t>
            </w:r>
            <w:r>
              <w:rPr>
                <w:spacing w:val="3"/>
                <w:position w:val="2"/>
                <w:sz w:val="19"/>
              </w:rPr>
              <w:t>which</w:t>
            </w:r>
          </w:p>
          <w:p>
            <w:pPr>
              <w:pStyle w:val="TableParagraph"/>
              <w:spacing w:before="111"/>
              <w:ind w:left="35"/>
              <w:rPr>
                <w:sz w:val="19"/>
              </w:rPr>
            </w:pPr>
            <w:r>
              <w:rPr>
                <w:sz w:val="19"/>
              </w:rPr>
              <w:t>the percentage by volume of alcohol of the goods exceeds 1.15</w:t>
            </w:r>
          </w:p>
        </w:tc>
      </w:tr>
      <w:tr>
        <w:trPr>
          <w:trHeight w:val="669" w:hRule="atLeast"/>
        </w:trPr>
        <w:tc>
          <w:tcPr>
            <w:tcW w:w="1368" w:type="dxa"/>
            <w:tcBorders>
              <w:left w:val="single" w:sz="6" w:space="0" w:color="000000"/>
              <w:right w:val="nil"/>
            </w:tcBorders>
          </w:tcPr>
          <w:p>
            <w:pPr>
              <w:pStyle w:val="TableParagraph"/>
              <w:spacing w:before="59"/>
              <w:ind w:left="217"/>
              <w:rPr>
                <w:sz w:val="19"/>
              </w:rPr>
            </w:pPr>
            <w:r>
              <w:rPr>
                <w:spacing w:val="2"/>
                <w:sz w:val="19"/>
              </w:rPr>
              <w:t>2203.00.65</w:t>
            </w:r>
          </w:p>
          <w:p>
            <w:pPr>
              <w:pStyle w:val="TableParagraph"/>
              <w:spacing w:before="126"/>
              <w:ind w:left="217"/>
              <w:rPr>
                <w:sz w:val="19"/>
              </w:rPr>
            </w:pPr>
            <w:r>
              <w:rPr>
                <w:spacing w:val="2"/>
                <w:sz w:val="19"/>
              </w:rPr>
              <w:t>2203.00.72</w:t>
            </w:r>
          </w:p>
        </w:tc>
        <w:tc>
          <w:tcPr>
            <w:tcW w:w="1392" w:type="dxa"/>
            <w:tcBorders>
              <w:left w:val="nil"/>
            </w:tcBorders>
          </w:tcPr>
          <w:p>
            <w:pPr>
              <w:pStyle w:val="TableParagraph"/>
              <w:spacing w:before="59"/>
              <w:ind w:left="236"/>
              <w:rPr>
                <w:sz w:val="19"/>
              </w:rPr>
            </w:pPr>
            <w:r>
              <w:rPr>
                <w:spacing w:val="2"/>
                <w:sz w:val="19"/>
              </w:rPr>
              <w:t>2206.00.76</w:t>
            </w:r>
          </w:p>
          <w:p>
            <w:pPr>
              <w:pStyle w:val="TableParagraph"/>
              <w:spacing w:before="126"/>
              <w:ind w:left="236"/>
              <w:rPr>
                <w:sz w:val="19"/>
              </w:rPr>
            </w:pPr>
            <w:r>
              <w:rPr>
                <w:spacing w:val="2"/>
                <w:sz w:val="19"/>
              </w:rPr>
              <w:t>2206.00.83</w:t>
            </w:r>
          </w:p>
        </w:tc>
        <w:tc>
          <w:tcPr>
            <w:tcW w:w="6734" w:type="dxa"/>
            <w:gridSpan w:val="2"/>
          </w:tcPr>
          <w:p>
            <w:pPr>
              <w:pStyle w:val="TableParagraph"/>
              <w:spacing w:before="49"/>
              <w:ind w:left="109"/>
              <w:rPr>
                <w:sz w:val="19"/>
              </w:rPr>
            </w:pPr>
            <w:r>
              <w:rPr>
                <w:sz w:val="19"/>
              </w:rPr>
              <w:t>$ 27.59 </w:t>
            </w:r>
            <w:r>
              <w:rPr>
                <w:position w:val="1"/>
                <w:sz w:val="19"/>
              </w:rPr>
              <w:t>per litre of alcohol, calculated on that alcohol content by which</w:t>
            </w:r>
          </w:p>
          <w:p>
            <w:pPr>
              <w:pStyle w:val="TableParagraph"/>
              <w:spacing w:before="111"/>
              <w:ind w:left="35"/>
              <w:rPr>
                <w:sz w:val="19"/>
              </w:rPr>
            </w:pPr>
            <w:r>
              <w:rPr>
                <w:sz w:val="19"/>
              </w:rPr>
              <w:t>by which the percentage by volume of alcohol of the goods exceeds 1.15</w:t>
            </w:r>
          </w:p>
        </w:tc>
      </w:tr>
      <w:tr>
        <w:trPr>
          <w:trHeight w:val="670" w:hRule="atLeast"/>
        </w:trPr>
        <w:tc>
          <w:tcPr>
            <w:tcW w:w="1368" w:type="dxa"/>
            <w:tcBorders>
              <w:left w:val="single" w:sz="6" w:space="0" w:color="000000"/>
              <w:right w:val="nil"/>
            </w:tcBorders>
          </w:tcPr>
          <w:p>
            <w:pPr>
              <w:pStyle w:val="TableParagraph"/>
              <w:spacing w:before="59"/>
              <w:ind w:left="217"/>
              <w:rPr>
                <w:sz w:val="19"/>
              </w:rPr>
            </w:pPr>
            <w:r>
              <w:rPr>
                <w:spacing w:val="2"/>
                <w:sz w:val="19"/>
              </w:rPr>
              <w:t>2203.00.67</w:t>
            </w:r>
          </w:p>
          <w:p>
            <w:pPr>
              <w:pStyle w:val="TableParagraph"/>
              <w:spacing w:before="127"/>
              <w:ind w:left="217"/>
              <w:rPr>
                <w:sz w:val="19"/>
              </w:rPr>
            </w:pPr>
            <w:r>
              <w:rPr>
                <w:spacing w:val="2"/>
                <w:sz w:val="19"/>
              </w:rPr>
              <w:t>2203.00.79</w:t>
            </w:r>
          </w:p>
        </w:tc>
        <w:tc>
          <w:tcPr>
            <w:tcW w:w="1392" w:type="dxa"/>
            <w:tcBorders>
              <w:left w:val="nil"/>
            </w:tcBorders>
          </w:tcPr>
          <w:p>
            <w:pPr>
              <w:pStyle w:val="TableParagraph"/>
              <w:spacing w:before="59"/>
              <w:ind w:left="236"/>
              <w:rPr>
                <w:sz w:val="19"/>
              </w:rPr>
            </w:pPr>
            <w:r>
              <w:rPr>
                <w:spacing w:val="2"/>
                <w:sz w:val="19"/>
              </w:rPr>
              <w:t>2206.00.78</w:t>
            </w:r>
          </w:p>
          <w:p>
            <w:pPr>
              <w:pStyle w:val="TableParagraph"/>
              <w:spacing w:before="127"/>
              <w:ind w:left="236"/>
              <w:rPr>
                <w:sz w:val="19"/>
              </w:rPr>
            </w:pPr>
            <w:r>
              <w:rPr>
                <w:spacing w:val="2"/>
                <w:sz w:val="19"/>
              </w:rPr>
              <w:t>2206.00.89</w:t>
            </w:r>
          </w:p>
        </w:tc>
        <w:tc>
          <w:tcPr>
            <w:tcW w:w="6734" w:type="dxa"/>
            <w:gridSpan w:val="2"/>
          </w:tcPr>
          <w:p>
            <w:pPr>
              <w:pStyle w:val="TableParagraph"/>
              <w:spacing w:before="49"/>
              <w:ind w:left="109"/>
              <w:rPr>
                <w:sz w:val="19"/>
              </w:rPr>
            </w:pPr>
            <w:r>
              <w:rPr>
                <w:sz w:val="19"/>
              </w:rPr>
              <w:t>$ 36.14 </w:t>
            </w:r>
            <w:r>
              <w:rPr>
                <w:position w:val="1"/>
                <w:sz w:val="19"/>
              </w:rPr>
              <w:t>per litre of alcohol, calculated on that alcohol content by which</w:t>
            </w:r>
          </w:p>
          <w:p>
            <w:pPr>
              <w:pStyle w:val="TableParagraph"/>
              <w:spacing w:before="112"/>
              <w:ind w:left="35"/>
              <w:rPr>
                <w:sz w:val="19"/>
              </w:rPr>
            </w:pPr>
            <w:r>
              <w:rPr>
                <w:sz w:val="19"/>
              </w:rPr>
              <w:t>the percentage by volume of alcohol of the goods exceeds 1.15</w:t>
            </w:r>
          </w:p>
        </w:tc>
      </w:tr>
      <w:tr>
        <w:trPr>
          <w:trHeight w:val="1015" w:hRule="atLeast"/>
        </w:trPr>
        <w:tc>
          <w:tcPr>
            <w:tcW w:w="1368" w:type="dxa"/>
            <w:tcBorders>
              <w:left w:val="single" w:sz="6" w:space="0" w:color="000000"/>
              <w:right w:val="nil"/>
            </w:tcBorders>
          </w:tcPr>
          <w:p>
            <w:pPr>
              <w:pStyle w:val="TableParagraph"/>
              <w:spacing w:before="59"/>
              <w:ind w:left="217"/>
              <w:rPr>
                <w:sz w:val="19"/>
              </w:rPr>
            </w:pPr>
            <w:r>
              <w:rPr>
                <w:spacing w:val="2"/>
                <w:sz w:val="19"/>
              </w:rPr>
              <w:t>2203.00.91</w:t>
            </w:r>
          </w:p>
          <w:p>
            <w:pPr>
              <w:pStyle w:val="TableParagraph"/>
              <w:spacing w:before="127"/>
              <w:ind w:left="217"/>
              <w:rPr>
                <w:sz w:val="19"/>
              </w:rPr>
            </w:pPr>
            <w:r>
              <w:rPr>
                <w:spacing w:val="2"/>
                <w:sz w:val="19"/>
              </w:rPr>
              <w:t>2203.00.99</w:t>
            </w:r>
          </w:p>
          <w:p>
            <w:pPr>
              <w:pStyle w:val="TableParagraph"/>
              <w:spacing w:before="126"/>
              <w:ind w:left="217"/>
              <w:rPr>
                <w:sz w:val="19"/>
              </w:rPr>
            </w:pPr>
            <w:r>
              <w:rPr>
                <w:spacing w:val="2"/>
                <w:sz w:val="19"/>
              </w:rPr>
              <w:t>2206.00.13</w:t>
            </w:r>
          </w:p>
        </w:tc>
        <w:tc>
          <w:tcPr>
            <w:tcW w:w="1392" w:type="dxa"/>
            <w:tcBorders>
              <w:left w:val="nil"/>
            </w:tcBorders>
          </w:tcPr>
          <w:p>
            <w:pPr>
              <w:pStyle w:val="TableParagraph"/>
              <w:spacing w:before="59"/>
              <w:ind w:left="236"/>
              <w:rPr>
                <w:sz w:val="19"/>
              </w:rPr>
            </w:pPr>
            <w:r>
              <w:rPr>
                <w:spacing w:val="2"/>
                <w:sz w:val="19"/>
              </w:rPr>
              <w:t>2206.00.14</w:t>
            </w:r>
          </w:p>
          <w:p>
            <w:pPr>
              <w:pStyle w:val="TableParagraph"/>
              <w:spacing w:before="127"/>
              <w:ind w:left="236"/>
              <w:rPr>
                <w:sz w:val="19"/>
              </w:rPr>
            </w:pPr>
            <w:r>
              <w:rPr>
                <w:spacing w:val="2"/>
                <w:sz w:val="19"/>
              </w:rPr>
              <w:t>2206.00.92</w:t>
            </w:r>
          </w:p>
          <w:p>
            <w:pPr>
              <w:pStyle w:val="TableParagraph"/>
              <w:spacing w:before="126"/>
              <w:ind w:left="236"/>
              <w:rPr>
                <w:sz w:val="19"/>
              </w:rPr>
            </w:pPr>
            <w:r>
              <w:rPr>
                <w:spacing w:val="2"/>
                <w:sz w:val="19"/>
              </w:rPr>
              <w:t>2206.00.99</w:t>
            </w:r>
          </w:p>
        </w:tc>
        <w:tc>
          <w:tcPr>
            <w:tcW w:w="881" w:type="dxa"/>
            <w:tcBorders>
              <w:right w:val="nil"/>
            </w:tcBorders>
          </w:tcPr>
          <w:p>
            <w:pPr>
              <w:pStyle w:val="TableParagraph"/>
              <w:spacing w:before="59"/>
              <w:ind w:left="121" w:right="75"/>
              <w:jc w:val="center"/>
              <w:rPr>
                <w:sz w:val="19"/>
              </w:rPr>
            </w:pPr>
            <w:r>
              <w:rPr>
                <w:sz w:val="19"/>
              </w:rPr>
              <w:t>$ 86.90</w:t>
            </w:r>
          </w:p>
        </w:tc>
        <w:tc>
          <w:tcPr>
            <w:tcW w:w="5853" w:type="dxa"/>
            <w:tcBorders>
              <w:left w:val="nil"/>
            </w:tcBorders>
          </w:tcPr>
          <w:p>
            <w:pPr>
              <w:pStyle w:val="TableParagraph"/>
              <w:spacing w:before="44"/>
              <w:ind w:left="79"/>
              <w:rPr>
                <w:sz w:val="19"/>
              </w:rPr>
            </w:pPr>
            <w:r>
              <w:rPr>
                <w:sz w:val="19"/>
              </w:rPr>
              <w:t>per litre of alcohol</w:t>
            </w:r>
          </w:p>
        </w:tc>
      </w:tr>
      <w:tr>
        <w:trPr>
          <w:trHeight w:val="5502" w:hRule="atLeast"/>
        </w:trPr>
        <w:tc>
          <w:tcPr>
            <w:tcW w:w="1368" w:type="dxa"/>
            <w:tcBorders>
              <w:left w:val="single" w:sz="6" w:space="0" w:color="000000"/>
              <w:bottom w:val="single" w:sz="6" w:space="0" w:color="000000"/>
              <w:right w:val="nil"/>
            </w:tcBorders>
          </w:tcPr>
          <w:p>
            <w:pPr>
              <w:pStyle w:val="TableParagraph"/>
              <w:spacing w:before="59"/>
              <w:ind w:left="217"/>
              <w:rPr>
                <w:sz w:val="19"/>
              </w:rPr>
            </w:pPr>
            <w:r>
              <w:rPr>
                <w:spacing w:val="2"/>
                <w:sz w:val="19"/>
              </w:rPr>
              <w:t>2204.10.23</w:t>
            </w:r>
          </w:p>
          <w:p>
            <w:pPr>
              <w:pStyle w:val="TableParagraph"/>
              <w:spacing w:before="126"/>
              <w:ind w:left="217"/>
              <w:rPr>
                <w:sz w:val="19"/>
              </w:rPr>
            </w:pPr>
            <w:r>
              <w:rPr>
                <w:spacing w:val="2"/>
                <w:sz w:val="19"/>
              </w:rPr>
              <w:t>2204.10.29</w:t>
            </w:r>
          </w:p>
          <w:p>
            <w:pPr>
              <w:pStyle w:val="TableParagraph"/>
              <w:spacing w:before="127"/>
              <w:ind w:left="217"/>
              <w:rPr>
                <w:sz w:val="19"/>
              </w:rPr>
            </w:pPr>
            <w:r>
              <w:rPr>
                <w:spacing w:val="2"/>
                <w:sz w:val="19"/>
              </w:rPr>
              <w:t>2204.10.83</w:t>
            </w:r>
          </w:p>
          <w:p>
            <w:pPr>
              <w:pStyle w:val="TableParagraph"/>
              <w:spacing w:before="126"/>
              <w:ind w:left="217"/>
              <w:rPr>
                <w:sz w:val="19"/>
              </w:rPr>
            </w:pPr>
            <w:r>
              <w:rPr>
                <w:spacing w:val="2"/>
                <w:sz w:val="19"/>
              </w:rPr>
              <w:t>2204.10.89</w:t>
            </w:r>
          </w:p>
          <w:p>
            <w:pPr>
              <w:pStyle w:val="TableParagraph"/>
              <w:spacing w:before="127"/>
              <w:ind w:left="217"/>
              <w:rPr>
                <w:sz w:val="19"/>
              </w:rPr>
            </w:pPr>
            <w:r>
              <w:rPr>
                <w:spacing w:val="2"/>
                <w:sz w:val="19"/>
              </w:rPr>
              <w:t>2204.21.30</w:t>
            </w:r>
          </w:p>
          <w:p>
            <w:pPr>
              <w:pStyle w:val="TableParagraph"/>
              <w:spacing w:before="126"/>
              <w:ind w:left="217"/>
              <w:rPr>
                <w:sz w:val="19"/>
              </w:rPr>
            </w:pPr>
            <w:r>
              <w:rPr>
                <w:spacing w:val="2"/>
                <w:sz w:val="19"/>
              </w:rPr>
              <w:t>2204.21.90</w:t>
            </w:r>
          </w:p>
          <w:p>
            <w:pPr>
              <w:pStyle w:val="TableParagraph"/>
              <w:spacing w:before="127"/>
              <w:ind w:left="217"/>
              <w:rPr>
                <w:sz w:val="19"/>
              </w:rPr>
            </w:pPr>
            <w:r>
              <w:rPr>
                <w:spacing w:val="2"/>
                <w:sz w:val="19"/>
              </w:rPr>
              <w:t>2204.22.30</w:t>
            </w:r>
          </w:p>
          <w:p>
            <w:pPr>
              <w:pStyle w:val="TableParagraph"/>
              <w:spacing w:before="127"/>
              <w:ind w:left="217"/>
              <w:rPr>
                <w:sz w:val="19"/>
              </w:rPr>
            </w:pPr>
            <w:r>
              <w:rPr>
                <w:spacing w:val="2"/>
                <w:sz w:val="19"/>
              </w:rPr>
              <w:t>2204.22.90</w:t>
            </w:r>
          </w:p>
          <w:p>
            <w:pPr>
              <w:pStyle w:val="TableParagraph"/>
              <w:spacing w:before="126"/>
              <w:ind w:left="217"/>
              <w:rPr>
                <w:sz w:val="19"/>
              </w:rPr>
            </w:pPr>
            <w:r>
              <w:rPr>
                <w:spacing w:val="2"/>
                <w:sz w:val="19"/>
              </w:rPr>
              <w:t>2204.29.30</w:t>
            </w:r>
          </w:p>
          <w:p>
            <w:pPr>
              <w:pStyle w:val="TableParagraph"/>
              <w:spacing w:before="127"/>
              <w:ind w:left="217"/>
              <w:rPr>
                <w:sz w:val="19"/>
              </w:rPr>
            </w:pPr>
            <w:r>
              <w:rPr>
                <w:spacing w:val="2"/>
                <w:sz w:val="19"/>
              </w:rPr>
              <w:t>2204.29.90</w:t>
            </w:r>
          </w:p>
          <w:p>
            <w:pPr>
              <w:pStyle w:val="TableParagraph"/>
              <w:spacing w:before="126"/>
              <w:ind w:left="217"/>
              <w:rPr>
                <w:sz w:val="19"/>
              </w:rPr>
            </w:pPr>
            <w:r>
              <w:rPr>
                <w:spacing w:val="2"/>
                <w:sz w:val="19"/>
              </w:rPr>
              <w:t>2205.10.30</w:t>
            </w:r>
          </w:p>
          <w:p>
            <w:pPr>
              <w:pStyle w:val="TableParagraph"/>
              <w:spacing w:before="126"/>
              <w:ind w:left="217"/>
              <w:rPr>
                <w:sz w:val="19"/>
              </w:rPr>
            </w:pPr>
            <w:r>
              <w:rPr>
                <w:spacing w:val="2"/>
                <w:sz w:val="19"/>
              </w:rPr>
              <w:t>2205.10.90</w:t>
            </w:r>
          </w:p>
          <w:p>
            <w:pPr>
              <w:pStyle w:val="TableParagraph"/>
              <w:spacing w:before="127"/>
              <w:ind w:left="217"/>
              <w:rPr>
                <w:sz w:val="19"/>
              </w:rPr>
            </w:pPr>
            <w:r>
              <w:rPr>
                <w:spacing w:val="2"/>
                <w:sz w:val="19"/>
              </w:rPr>
              <w:t>2205.90.30</w:t>
            </w:r>
          </w:p>
          <w:p>
            <w:pPr>
              <w:pStyle w:val="TableParagraph"/>
              <w:spacing w:before="126"/>
              <w:ind w:left="217"/>
              <w:rPr>
                <w:sz w:val="19"/>
              </w:rPr>
            </w:pPr>
            <w:r>
              <w:rPr>
                <w:spacing w:val="2"/>
                <w:sz w:val="19"/>
              </w:rPr>
              <w:t>2205.90.90</w:t>
            </w:r>
          </w:p>
          <w:p>
            <w:pPr>
              <w:pStyle w:val="TableParagraph"/>
              <w:spacing w:before="127"/>
              <w:ind w:left="217"/>
              <w:rPr>
                <w:sz w:val="19"/>
              </w:rPr>
            </w:pPr>
            <w:r>
              <w:rPr>
                <w:spacing w:val="2"/>
                <w:sz w:val="19"/>
              </w:rPr>
              <w:t>2206.00.21</w:t>
            </w:r>
          </w:p>
          <w:p>
            <w:pPr>
              <w:pStyle w:val="TableParagraph"/>
              <w:spacing w:before="127"/>
              <w:ind w:left="217"/>
              <w:rPr>
                <w:sz w:val="19"/>
              </w:rPr>
            </w:pPr>
            <w:r>
              <w:rPr>
                <w:spacing w:val="2"/>
                <w:sz w:val="19"/>
              </w:rPr>
              <w:t>2206.00.22</w:t>
            </w:r>
          </w:p>
        </w:tc>
        <w:tc>
          <w:tcPr>
            <w:tcW w:w="1392" w:type="dxa"/>
            <w:tcBorders>
              <w:left w:val="nil"/>
              <w:bottom w:val="single" w:sz="6" w:space="0" w:color="000000"/>
            </w:tcBorders>
          </w:tcPr>
          <w:p>
            <w:pPr>
              <w:pStyle w:val="TableParagraph"/>
              <w:spacing w:before="59"/>
              <w:ind w:left="236"/>
              <w:rPr>
                <w:sz w:val="19"/>
              </w:rPr>
            </w:pPr>
            <w:r>
              <w:rPr>
                <w:spacing w:val="2"/>
                <w:sz w:val="19"/>
              </w:rPr>
              <w:t>2206.00.23</w:t>
            </w:r>
          </w:p>
          <w:p>
            <w:pPr>
              <w:pStyle w:val="TableParagraph"/>
              <w:spacing w:before="126"/>
              <w:ind w:left="236"/>
              <w:rPr>
                <w:sz w:val="19"/>
              </w:rPr>
            </w:pPr>
            <w:r>
              <w:rPr>
                <w:spacing w:val="2"/>
                <w:sz w:val="19"/>
              </w:rPr>
              <w:t>2206.00.24</w:t>
            </w:r>
          </w:p>
          <w:p>
            <w:pPr>
              <w:pStyle w:val="TableParagraph"/>
              <w:spacing w:before="127"/>
              <w:ind w:left="236"/>
              <w:rPr>
                <w:sz w:val="19"/>
              </w:rPr>
            </w:pPr>
            <w:r>
              <w:rPr>
                <w:spacing w:val="2"/>
                <w:sz w:val="19"/>
              </w:rPr>
              <w:t>2206.00.52</w:t>
            </w:r>
          </w:p>
          <w:p>
            <w:pPr>
              <w:pStyle w:val="TableParagraph"/>
              <w:spacing w:before="126"/>
              <w:ind w:left="236"/>
              <w:rPr>
                <w:sz w:val="19"/>
              </w:rPr>
            </w:pPr>
            <w:r>
              <w:rPr>
                <w:spacing w:val="2"/>
                <w:sz w:val="19"/>
              </w:rPr>
              <w:t>2206.00.59</w:t>
            </w:r>
          </w:p>
          <w:p>
            <w:pPr>
              <w:pStyle w:val="TableParagraph"/>
              <w:spacing w:before="127"/>
              <w:ind w:left="236"/>
              <w:rPr>
                <w:sz w:val="19"/>
              </w:rPr>
            </w:pPr>
            <w:r>
              <w:rPr>
                <w:spacing w:val="2"/>
                <w:sz w:val="19"/>
              </w:rPr>
              <w:t>2206.00.62</w:t>
            </w:r>
          </w:p>
          <w:p>
            <w:pPr>
              <w:pStyle w:val="TableParagraph"/>
              <w:spacing w:before="126"/>
              <w:ind w:left="236"/>
              <w:rPr>
                <w:sz w:val="19"/>
              </w:rPr>
            </w:pPr>
            <w:r>
              <w:rPr>
                <w:spacing w:val="2"/>
                <w:sz w:val="19"/>
              </w:rPr>
              <w:t>2206.00.69</w:t>
            </w:r>
          </w:p>
          <w:p>
            <w:pPr>
              <w:pStyle w:val="TableParagraph"/>
              <w:spacing w:before="127"/>
              <w:ind w:left="236"/>
              <w:rPr>
                <w:sz w:val="19"/>
              </w:rPr>
            </w:pPr>
            <w:r>
              <w:rPr>
                <w:spacing w:val="2"/>
                <w:sz w:val="19"/>
              </w:rPr>
              <w:t>2207.10.00</w:t>
            </w:r>
          </w:p>
          <w:p>
            <w:pPr>
              <w:pStyle w:val="TableParagraph"/>
              <w:spacing w:before="127"/>
              <w:ind w:left="236"/>
              <w:rPr>
                <w:sz w:val="19"/>
              </w:rPr>
            </w:pPr>
            <w:r>
              <w:rPr>
                <w:spacing w:val="2"/>
                <w:sz w:val="19"/>
              </w:rPr>
              <w:t>2208.20.90</w:t>
            </w:r>
          </w:p>
          <w:p>
            <w:pPr>
              <w:pStyle w:val="TableParagraph"/>
              <w:spacing w:before="126"/>
              <w:ind w:left="236"/>
              <w:rPr>
                <w:sz w:val="19"/>
              </w:rPr>
            </w:pPr>
            <w:r>
              <w:rPr>
                <w:spacing w:val="2"/>
                <w:sz w:val="19"/>
              </w:rPr>
              <w:t>2208.30.00</w:t>
            </w:r>
          </w:p>
          <w:p>
            <w:pPr>
              <w:pStyle w:val="TableParagraph"/>
              <w:spacing w:before="127"/>
              <w:ind w:left="236"/>
              <w:rPr>
                <w:sz w:val="19"/>
              </w:rPr>
            </w:pPr>
            <w:r>
              <w:rPr>
                <w:spacing w:val="2"/>
                <w:sz w:val="19"/>
              </w:rPr>
              <w:t>2208.40.00</w:t>
            </w:r>
          </w:p>
          <w:p>
            <w:pPr>
              <w:pStyle w:val="TableParagraph"/>
              <w:spacing w:before="126"/>
              <w:ind w:left="236"/>
              <w:rPr>
                <w:sz w:val="19"/>
              </w:rPr>
            </w:pPr>
            <w:r>
              <w:rPr>
                <w:spacing w:val="2"/>
                <w:sz w:val="19"/>
              </w:rPr>
              <w:t>2208.50.00</w:t>
            </w:r>
          </w:p>
          <w:p>
            <w:pPr>
              <w:pStyle w:val="TableParagraph"/>
              <w:spacing w:before="126"/>
              <w:ind w:left="236"/>
              <w:rPr>
                <w:sz w:val="19"/>
              </w:rPr>
            </w:pPr>
            <w:r>
              <w:rPr>
                <w:spacing w:val="2"/>
                <w:sz w:val="19"/>
              </w:rPr>
              <w:t>2208.60.00</w:t>
            </w:r>
          </w:p>
          <w:p>
            <w:pPr>
              <w:pStyle w:val="TableParagraph"/>
              <w:spacing w:before="127"/>
              <w:ind w:left="236"/>
              <w:rPr>
                <w:sz w:val="19"/>
              </w:rPr>
            </w:pPr>
            <w:r>
              <w:rPr>
                <w:spacing w:val="2"/>
                <w:sz w:val="19"/>
              </w:rPr>
              <w:t>2208.70.00</w:t>
            </w:r>
          </w:p>
          <w:p>
            <w:pPr>
              <w:pStyle w:val="TableParagraph"/>
              <w:spacing w:before="126"/>
              <w:ind w:left="236"/>
              <w:rPr>
                <w:sz w:val="19"/>
              </w:rPr>
            </w:pPr>
            <w:r>
              <w:rPr>
                <w:spacing w:val="2"/>
                <w:sz w:val="19"/>
              </w:rPr>
              <w:t>2208.90.20</w:t>
            </w:r>
          </w:p>
          <w:p>
            <w:pPr>
              <w:pStyle w:val="TableParagraph"/>
              <w:spacing w:before="127"/>
              <w:ind w:left="236"/>
              <w:rPr>
                <w:sz w:val="19"/>
              </w:rPr>
            </w:pPr>
            <w:r>
              <w:rPr>
                <w:spacing w:val="2"/>
                <w:sz w:val="19"/>
              </w:rPr>
              <w:t>2208.90.90</w:t>
            </w:r>
          </w:p>
        </w:tc>
        <w:tc>
          <w:tcPr>
            <w:tcW w:w="881" w:type="dxa"/>
            <w:tcBorders>
              <w:bottom w:val="single" w:sz="6" w:space="0" w:color="000000"/>
              <w:right w:val="nil"/>
            </w:tcBorders>
          </w:tcPr>
          <w:p>
            <w:pPr>
              <w:pStyle w:val="TableParagraph"/>
              <w:spacing w:before="59"/>
              <w:ind w:left="121" w:right="75"/>
              <w:jc w:val="center"/>
              <w:rPr>
                <w:sz w:val="19"/>
              </w:rPr>
            </w:pPr>
            <w:r>
              <w:rPr>
                <w:sz w:val="19"/>
              </w:rPr>
              <w:t>$ 86.90</w:t>
            </w:r>
          </w:p>
        </w:tc>
        <w:tc>
          <w:tcPr>
            <w:tcW w:w="5853" w:type="dxa"/>
            <w:tcBorders>
              <w:left w:val="nil"/>
              <w:bottom w:val="single" w:sz="6" w:space="0" w:color="000000"/>
            </w:tcBorders>
          </w:tcPr>
          <w:p>
            <w:pPr>
              <w:pStyle w:val="TableParagraph"/>
              <w:spacing w:before="44"/>
              <w:ind w:left="79"/>
              <w:rPr>
                <w:sz w:val="19"/>
              </w:rPr>
            </w:pPr>
            <w:r>
              <w:rPr>
                <w:sz w:val="19"/>
              </w:rPr>
              <w:t>per litre of alcohol, plus customs duty where applicable</w:t>
            </w:r>
          </w:p>
        </w:tc>
      </w:tr>
      <w:tr>
        <w:trPr>
          <w:trHeight w:val="330" w:hRule="atLeast"/>
        </w:trPr>
        <w:tc>
          <w:tcPr>
            <w:tcW w:w="2760" w:type="dxa"/>
            <w:gridSpan w:val="2"/>
            <w:tcBorders>
              <w:top w:val="single" w:sz="6" w:space="0" w:color="000000"/>
              <w:left w:val="single" w:sz="6" w:space="0" w:color="000000"/>
              <w:bottom w:val="single" w:sz="6" w:space="0" w:color="000000"/>
            </w:tcBorders>
          </w:tcPr>
          <w:p>
            <w:pPr>
              <w:pStyle w:val="TableParagraph"/>
              <w:spacing w:before="62"/>
              <w:ind w:left="217"/>
              <w:rPr>
                <w:sz w:val="19"/>
              </w:rPr>
            </w:pPr>
            <w:r>
              <w:rPr>
                <w:sz w:val="19"/>
              </w:rPr>
              <w:t>2208.20.10</w:t>
            </w:r>
          </w:p>
        </w:tc>
        <w:tc>
          <w:tcPr>
            <w:tcW w:w="881" w:type="dxa"/>
            <w:tcBorders>
              <w:top w:val="single" w:sz="6" w:space="0" w:color="000000"/>
              <w:bottom w:val="single" w:sz="6" w:space="0" w:color="000000"/>
              <w:right w:val="nil"/>
            </w:tcBorders>
          </w:tcPr>
          <w:p>
            <w:pPr>
              <w:pStyle w:val="TableParagraph"/>
              <w:spacing w:before="62"/>
              <w:ind w:left="121" w:right="75"/>
              <w:jc w:val="center"/>
              <w:rPr>
                <w:sz w:val="19"/>
              </w:rPr>
            </w:pPr>
            <w:r>
              <w:rPr>
                <w:sz w:val="19"/>
              </w:rPr>
              <w:t>$ 81.16</w:t>
            </w:r>
          </w:p>
        </w:tc>
        <w:tc>
          <w:tcPr>
            <w:tcW w:w="5853" w:type="dxa"/>
            <w:tcBorders>
              <w:top w:val="single" w:sz="6" w:space="0" w:color="000000"/>
              <w:left w:val="nil"/>
              <w:bottom w:val="single" w:sz="6" w:space="0" w:color="000000"/>
            </w:tcBorders>
          </w:tcPr>
          <w:p>
            <w:pPr>
              <w:pStyle w:val="TableParagraph"/>
              <w:spacing w:before="47"/>
              <w:ind w:left="79"/>
              <w:rPr>
                <w:sz w:val="19"/>
              </w:rPr>
            </w:pPr>
            <w:r>
              <w:rPr>
                <w:sz w:val="19"/>
              </w:rPr>
              <w:t>per litre of alcohol, plus customs duty where applicable</w:t>
            </w:r>
          </w:p>
        </w:tc>
      </w:tr>
    </w:tbl>
    <w:p>
      <w:pPr>
        <w:spacing w:after="0"/>
        <w:rPr>
          <w:sz w:val="19"/>
        </w:rPr>
        <w:sectPr>
          <w:pgSz w:w="11910" w:h="16840"/>
          <w:pgMar w:header="1150" w:footer="583" w:top="1640" w:bottom="860" w:left="0" w:right="0"/>
        </w:sectPr>
      </w:pPr>
    </w:p>
    <w:p>
      <w:pPr>
        <w:pStyle w:val="BodyText"/>
      </w:pPr>
    </w:p>
    <w:p>
      <w:pPr>
        <w:pStyle w:val="BodyText"/>
        <w:spacing w:before="5"/>
        <w:rPr>
          <w:sz w:val="23"/>
        </w:rPr>
      </w:pPr>
    </w:p>
    <w:tbl>
      <w:tblPr>
        <w:tblW w:w="0" w:type="auto"/>
        <w:jc w:val="left"/>
        <w:tblInd w:w="11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68"/>
        <w:gridCol w:w="1392"/>
        <w:gridCol w:w="881"/>
        <w:gridCol w:w="5853"/>
      </w:tblGrid>
      <w:tr>
        <w:trPr>
          <w:trHeight w:val="580" w:hRule="atLeast"/>
        </w:trPr>
        <w:tc>
          <w:tcPr>
            <w:tcW w:w="2760" w:type="dxa"/>
            <w:gridSpan w:val="2"/>
            <w:tcBorders>
              <w:left w:val="single" w:sz="6" w:space="0" w:color="000000"/>
            </w:tcBorders>
            <w:shd w:val="clear" w:color="auto" w:fill="072144"/>
          </w:tcPr>
          <w:p>
            <w:pPr>
              <w:pStyle w:val="TableParagraph"/>
              <w:spacing w:line="280" w:lineRule="auto" w:before="44"/>
              <w:ind w:left="832" w:right="21" w:hanging="736"/>
              <w:rPr>
                <w:b/>
                <w:sz w:val="19"/>
              </w:rPr>
            </w:pPr>
            <w:r>
              <w:rPr>
                <w:b/>
                <w:color w:val="FFFFFF"/>
                <w:w w:val="105"/>
                <w:sz w:val="19"/>
              </w:rPr>
              <w:t>Customs Tariff Subheading (Continued)</w:t>
            </w:r>
          </w:p>
        </w:tc>
        <w:tc>
          <w:tcPr>
            <w:tcW w:w="6734" w:type="dxa"/>
            <w:gridSpan w:val="2"/>
            <w:shd w:val="clear" w:color="auto" w:fill="072144"/>
          </w:tcPr>
          <w:p>
            <w:pPr>
              <w:pStyle w:val="TableParagraph"/>
              <w:spacing w:before="179"/>
              <w:ind w:left="969" w:right="959"/>
              <w:jc w:val="center"/>
              <w:rPr>
                <w:b/>
                <w:sz w:val="19"/>
              </w:rPr>
            </w:pPr>
            <w:r>
              <w:rPr>
                <w:b/>
                <w:color w:val="FFFFFF"/>
                <w:w w:val="105"/>
                <w:sz w:val="19"/>
              </w:rPr>
              <w:t>Excise-equivalent customs duty rates (Continued)</w:t>
            </w:r>
          </w:p>
        </w:tc>
      </w:tr>
      <w:tr>
        <w:trPr>
          <w:trHeight w:val="353" w:hRule="atLeast"/>
        </w:trPr>
        <w:tc>
          <w:tcPr>
            <w:tcW w:w="1368" w:type="dxa"/>
            <w:tcBorders>
              <w:left w:val="single" w:sz="6" w:space="0" w:color="000000"/>
              <w:bottom w:val="nil"/>
              <w:right w:val="nil"/>
            </w:tcBorders>
          </w:tcPr>
          <w:p>
            <w:pPr>
              <w:pStyle w:val="TableParagraph"/>
              <w:spacing w:before="59"/>
              <w:ind w:right="219"/>
              <w:jc w:val="right"/>
              <w:rPr>
                <w:sz w:val="19"/>
              </w:rPr>
            </w:pPr>
            <w:r>
              <w:rPr>
                <w:w w:val="90"/>
                <w:sz w:val="19"/>
              </w:rPr>
              <w:t>2207.20.10</w:t>
            </w:r>
          </w:p>
        </w:tc>
        <w:tc>
          <w:tcPr>
            <w:tcW w:w="1392" w:type="dxa"/>
            <w:tcBorders>
              <w:left w:val="nil"/>
              <w:bottom w:val="nil"/>
            </w:tcBorders>
          </w:tcPr>
          <w:p>
            <w:pPr>
              <w:pStyle w:val="TableParagraph"/>
              <w:spacing w:before="59"/>
              <w:ind w:left="202" w:right="189"/>
              <w:jc w:val="center"/>
              <w:rPr>
                <w:sz w:val="19"/>
              </w:rPr>
            </w:pPr>
            <w:r>
              <w:rPr>
                <w:sz w:val="19"/>
              </w:rPr>
              <w:t>2710.91.69</w:t>
            </w:r>
          </w:p>
        </w:tc>
        <w:tc>
          <w:tcPr>
            <w:tcW w:w="6734" w:type="dxa"/>
            <w:gridSpan w:val="2"/>
            <w:vMerge w:val="restart"/>
            <w:tcBorders>
              <w:bottom w:val="single" w:sz="6" w:space="0" w:color="000000"/>
            </w:tcBorders>
          </w:tcPr>
          <w:p>
            <w:pPr>
              <w:pStyle w:val="TableParagraph"/>
              <w:spacing w:line="362" w:lineRule="auto" w:before="49"/>
              <w:ind w:left="35" w:right="1124" w:firstLine="74"/>
              <w:rPr>
                <w:sz w:val="19"/>
              </w:rPr>
            </w:pPr>
            <w:r>
              <w:rPr>
                <w:sz w:val="19"/>
              </w:rPr>
              <w:t>$ 0.423 </w:t>
            </w:r>
            <w:r>
              <w:rPr>
                <w:position w:val="1"/>
                <w:sz w:val="19"/>
              </w:rPr>
              <w:t>per litre of petroleum fuels including diesel, ethanol and </w:t>
            </w:r>
            <w:r>
              <w:rPr>
                <w:sz w:val="19"/>
              </w:rPr>
              <w:t>biodiesel, and blends thereof, plus customs duty where applicable</w:t>
            </w:r>
          </w:p>
        </w:tc>
      </w:tr>
      <w:tr>
        <w:trPr>
          <w:trHeight w:val="329" w:hRule="atLeast"/>
        </w:trPr>
        <w:tc>
          <w:tcPr>
            <w:tcW w:w="1368" w:type="dxa"/>
            <w:tcBorders>
              <w:top w:val="nil"/>
              <w:left w:val="single" w:sz="6" w:space="0" w:color="000000"/>
              <w:bottom w:val="nil"/>
              <w:right w:val="nil"/>
            </w:tcBorders>
          </w:tcPr>
          <w:p>
            <w:pPr>
              <w:pStyle w:val="TableParagraph"/>
              <w:ind w:right="219"/>
              <w:jc w:val="right"/>
              <w:rPr>
                <w:sz w:val="19"/>
              </w:rPr>
            </w:pPr>
            <w:r>
              <w:rPr>
                <w:w w:val="90"/>
                <w:sz w:val="19"/>
              </w:rPr>
              <w:t>2707.10.00</w:t>
            </w:r>
          </w:p>
        </w:tc>
        <w:tc>
          <w:tcPr>
            <w:tcW w:w="1392" w:type="dxa"/>
            <w:tcBorders>
              <w:top w:val="nil"/>
              <w:left w:val="nil"/>
              <w:bottom w:val="nil"/>
            </w:tcBorders>
          </w:tcPr>
          <w:p>
            <w:pPr>
              <w:pStyle w:val="TableParagraph"/>
              <w:ind w:left="202" w:right="189"/>
              <w:jc w:val="center"/>
              <w:rPr>
                <w:sz w:val="19"/>
              </w:rPr>
            </w:pPr>
            <w:r>
              <w:rPr>
                <w:sz w:val="19"/>
              </w:rPr>
              <w:t>2710.91.70</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ind w:right="219"/>
              <w:jc w:val="right"/>
              <w:rPr>
                <w:sz w:val="19"/>
              </w:rPr>
            </w:pPr>
            <w:r>
              <w:rPr>
                <w:w w:val="90"/>
                <w:sz w:val="19"/>
              </w:rPr>
              <w:t>2707.20.00</w:t>
            </w:r>
          </w:p>
        </w:tc>
        <w:tc>
          <w:tcPr>
            <w:tcW w:w="1392" w:type="dxa"/>
            <w:tcBorders>
              <w:top w:val="nil"/>
              <w:left w:val="nil"/>
              <w:bottom w:val="nil"/>
            </w:tcBorders>
          </w:tcPr>
          <w:p>
            <w:pPr>
              <w:pStyle w:val="TableParagraph"/>
              <w:ind w:left="202" w:right="189"/>
              <w:jc w:val="center"/>
              <w:rPr>
                <w:sz w:val="19"/>
              </w:rPr>
            </w:pPr>
            <w:r>
              <w:rPr>
                <w:sz w:val="19"/>
              </w:rPr>
              <w:t>2710.91.80</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ind w:right="219"/>
              <w:jc w:val="right"/>
              <w:rPr>
                <w:sz w:val="19"/>
              </w:rPr>
            </w:pPr>
            <w:r>
              <w:rPr>
                <w:w w:val="90"/>
                <w:sz w:val="19"/>
              </w:rPr>
              <w:t>2707.30.00</w:t>
            </w:r>
          </w:p>
        </w:tc>
        <w:tc>
          <w:tcPr>
            <w:tcW w:w="1392" w:type="dxa"/>
            <w:tcBorders>
              <w:top w:val="nil"/>
              <w:left w:val="nil"/>
              <w:bottom w:val="nil"/>
            </w:tcBorders>
          </w:tcPr>
          <w:p>
            <w:pPr>
              <w:pStyle w:val="TableParagraph"/>
              <w:ind w:left="202" w:right="189"/>
              <w:jc w:val="center"/>
              <w:rPr>
                <w:sz w:val="19"/>
              </w:rPr>
            </w:pPr>
            <w:r>
              <w:rPr>
                <w:sz w:val="19"/>
              </w:rPr>
              <w:t>2710.99.16</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ind w:right="219"/>
              <w:jc w:val="right"/>
              <w:rPr>
                <w:sz w:val="19"/>
              </w:rPr>
            </w:pPr>
            <w:r>
              <w:rPr>
                <w:w w:val="90"/>
                <w:sz w:val="19"/>
              </w:rPr>
              <w:t>2707.50.00</w:t>
            </w:r>
          </w:p>
        </w:tc>
        <w:tc>
          <w:tcPr>
            <w:tcW w:w="1392" w:type="dxa"/>
            <w:tcBorders>
              <w:top w:val="nil"/>
              <w:left w:val="nil"/>
              <w:bottom w:val="nil"/>
            </w:tcBorders>
          </w:tcPr>
          <w:p>
            <w:pPr>
              <w:pStyle w:val="TableParagraph"/>
              <w:ind w:left="202" w:right="189"/>
              <w:jc w:val="center"/>
              <w:rPr>
                <w:sz w:val="19"/>
              </w:rPr>
            </w:pPr>
            <w:r>
              <w:rPr>
                <w:sz w:val="19"/>
              </w:rPr>
              <w:t>2710.99.22</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ind w:right="219"/>
              <w:jc w:val="right"/>
              <w:rPr>
                <w:sz w:val="19"/>
              </w:rPr>
            </w:pPr>
            <w:r>
              <w:rPr>
                <w:w w:val="90"/>
                <w:sz w:val="19"/>
              </w:rPr>
              <w:t>2709.00.90</w:t>
            </w:r>
          </w:p>
        </w:tc>
        <w:tc>
          <w:tcPr>
            <w:tcW w:w="1392" w:type="dxa"/>
            <w:tcBorders>
              <w:top w:val="nil"/>
              <w:left w:val="nil"/>
              <w:bottom w:val="nil"/>
            </w:tcBorders>
          </w:tcPr>
          <w:p>
            <w:pPr>
              <w:pStyle w:val="TableParagraph"/>
              <w:ind w:left="202" w:right="189"/>
              <w:jc w:val="center"/>
              <w:rPr>
                <w:sz w:val="19"/>
              </w:rPr>
            </w:pPr>
            <w:r>
              <w:rPr>
                <w:sz w:val="19"/>
              </w:rPr>
              <w:t>2710.99.28</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ind w:right="219"/>
              <w:jc w:val="right"/>
              <w:rPr>
                <w:sz w:val="19"/>
              </w:rPr>
            </w:pPr>
            <w:r>
              <w:rPr>
                <w:w w:val="90"/>
                <w:sz w:val="19"/>
              </w:rPr>
              <w:t>2710.12.62</w:t>
            </w:r>
          </w:p>
        </w:tc>
        <w:tc>
          <w:tcPr>
            <w:tcW w:w="1392" w:type="dxa"/>
            <w:tcBorders>
              <w:top w:val="nil"/>
              <w:left w:val="nil"/>
              <w:bottom w:val="nil"/>
            </w:tcBorders>
          </w:tcPr>
          <w:p>
            <w:pPr>
              <w:pStyle w:val="TableParagraph"/>
              <w:ind w:left="202" w:right="189"/>
              <w:jc w:val="center"/>
              <w:rPr>
                <w:sz w:val="19"/>
              </w:rPr>
            </w:pPr>
            <w:r>
              <w:rPr>
                <w:sz w:val="19"/>
              </w:rPr>
              <w:t>2710.99.51</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ind w:right="219"/>
              <w:jc w:val="right"/>
              <w:rPr>
                <w:sz w:val="19"/>
              </w:rPr>
            </w:pPr>
            <w:r>
              <w:rPr>
                <w:w w:val="90"/>
                <w:sz w:val="19"/>
              </w:rPr>
              <w:t>2710.12.69</w:t>
            </w:r>
          </w:p>
        </w:tc>
        <w:tc>
          <w:tcPr>
            <w:tcW w:w="1392" w:type="dxa"/>
            <w:tcBorders>
              <w:top w:val="nil"/>
              <w:left w:val="nil"/>
              <w:bottom w:val="nil"/>
            </w:tcBorders>
          </w:tcPr>
          <w:p>
            <w:pPr>
              <w:pStyle w:val="TableParagraph"/>
              <w:ind w:left="202" w:right="189"/>
              <w:jc w:val="center"/>
              <w:rPr>
                <w:sz w:val="19"/>
              </w:rPr>
            </w:pPr>
            <w:r>
              <w:rPr>
                <w:sz w:val="19"/>
              </w:rPr>
              <w:t>2710.99.52</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ind w:right="219"/>
              <w:jc w:val="right"/>
              <w:rPr>
                <w:sz w:val="19"/>
              </w:rPr>
            </w:pPr>
            <w:r>
              <w:rPr>
                <w:w w:val="90"/>
                <w:sz w:val="19"/>
              </w:rPr>
              <w:t>2710.12.70</w:t>
            </w:r>
          </w:p>
        </w:tc>
        <w:tc>
          <w:tcPr>
            <w:tcW w:w="1392" w:type="dxa"/>
            <w:tcBorders>
              <w:top w:val="nil"/>
              <w:left w:val="nil"/>
              <w:bottom w:val="nil"/>
            </w:tcBorders>
          </w:tcPr>
          <w:p>
            <w:pPr>
              <w:pStyle w:val="TableParagraph"/>
              <w:ind w:left="202" w:right="189"/>
              <w:jc w:val="center"/>
              <w:rPr>
                <w:sz w:val="19"/>
              </w:rPr>
            </w:pPr>
            <w:r>
              <w:rPr>
                <w:sz w:val="19"/>
              </w:rPr>
              <w:t>2710.99.53</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ind w:right="219"/>
              <w:jc w:val="right"/>
              <w:rPr>
                <w:sz w:val="19"/>
              </w:rPr>
            </w:pPr>
            <w:r>
              <w:rPr>
                <w:w w:val="90"/>
                <w:sz w:val="19"/>
              </w:rPr>
              <w:t>2710.19.16</w:t>
            </w:r>
          </w:p>
        </w:tc>
        <w:tc>
          <w:tcPr>
            <w:tcW w:w="1392" w:type="dxa"/>
            <w:tcBorders>
              <w:top w:val="nil"/>
              <w:left w:val="nil"/>
              <w:bottom w:val="nil"/>
            </w:tcBorders>
          </w:tcPr>
          <w:p>
            <w:pPr>
              <w:pStyle w:val="TableParagraph"/>
              <w:ind w:left="202" w:right="189"/>
              <w:jc w:val="center"/>
              <w:rPr>
                <w:sz w:val="19"/>
              </w:rPr>
            </w:pPr>
            <w:r>
              <w:rPr>
                <w:sz w:val="19"/>
              </w:rPr>
              <w:t>2710.99.62</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ind w:right="219"/>
              <w:jc w:val="right"/>
              <w:rPr>
                <w:sz w:val="19"/>
              </w:rPr>
            </w:pPr>
            <w:r>
              <w:rPr>
                <w:w w:val="90"/>
                <w:sz w:val="19"/>
              </w:rPr>
              <w:t>2710.19.22</w:t>
            </w:r>
          </w:p>
        </w:tc>
        <w:tc>
          <w:tcPr>
            <w:tcW w:w="1392" w:type="dxa"/>
            <w:tcBorders>
              <w:top w:val="nil"/>
              <w:left w:val="nil"/>
              <w:bottom w:val="nil"/>
            </w:tcBorders>
          </w:tcPr>
          <w:p>
            <w:pPr>
              <w:pStyle w:val="TableParagraph"/>
              <w:ind w:left="202" w:right="189"/>
              <w:jc w:val="center"/>
              <w:rPr>
                <w:sz w:val="19"/>
              </w:rPr>
            </w:pPr>
            <w:r>
              <w:rPr>
                <w:sz w:val="19"/>
              </w:rPr>
              <w:t>2710.99.69</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ind w:right="219"/>
              <w:jc w:val="right"/>
              <w:rPr>
                <w:sz w:val="19"/>
              </w:rPr>
            </w:pPr>
            <w:r>
              <w:rPr>
                <w:w w:val="90"/>
                <w:sz w:val="19"/>
              </w:rPr>
              <w:t>2710.19.28</w:t>
            </w:r>
          </w:p>
        </w:tc>
        <w:tc>
          <w:tcPr>
            <w:tcW w:w="1392" w:type="dxa"/>
            <w:tcBorders>
              <w:top w:val="nil"/>
              <w:left w:val="nil"/>
              <w:bottom w:val="nil"/>
            </w:tcBorders>
          </w:tcPr>
          <w:p>
            <w:pPr>
              <w:pStyle w:val="TableParagraph"/>
              <w:ind w:left="202" w:right="189"/>
              <w:jc w:val="center"/>
              <w:rPr>
                <w:sz w:val="19"/>
              </w:rPr>
            </w:pPr>
            <w:r>
              <w:rPr>
                <w:sz w:val="19"/>
              </w:rPr>
              <w:t>2710.99.70</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ind w:right="219"/>
              <w:jc w:val="right"/>
              <w:rPr>
                <w:sz w:val="19"/>
              </w:rPr>
            </w:pPr>
            <w:r>
              <w:rPr>
                <w:w w:val="90"/>
                <w:sz w:val="19"/>
              </w:rPr>
              <w:t>2710.19.51</w:t>
            </w:r>
          </w:p>
        </w:tc>
        <w:tc>
          <w:tcPr>
            <w:tcW w:w="1392" w:type="dxa"/>
            <w:tcBorders>
              <w:top w:val="nil"/>
              <w:left w:val="nil"/>
              <w:bottom w:val="nil"/>
            </w:tcBorders>
          </w:tcPr>
          <w:p>
            <w:pPr>
              <w:pStyle w:val="TableParagraph"/>
              <w:ind w:left="202" w:right="189"/>
              <w:jc w:val="center"/>
              <w:rPr>
                <w:sz w:val="19"/>
              </w:rPr>
            </w:pPr>
            <w:r>
              <w:rPr>
                <w:sz w:val="19"/>
              </w:rPr>
              <w:t>2710.99.80</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ind w:right="219"/>
              <w:jc w:val="right"/>
              <w:rPr>
                <w:sz w:val="19"/>
              </w:rPr>
            </w:pPr>
            <w:r>
              <w:rPr>
                <w:w w:val="90"/>
                <w:sz w:val="19"/>
              </w:rPr>
              <w:t>2710.19.52</w:t>
            </w:r>
          </w:p>
        </w:tc>
        <w:tc>
          <w:tcPr>
            <w:tcW w:w="1392" w:type="dxa"/>
            <w:tcBorders>
              <w:top w:val="nil"/>
              <w:left w:val="nil"/>
              <w:bottom w:val="nil"/>
            </w:tcBorders>
          </w:tcPr>
          <w:p>
            <w:pPr>
              <w:pStyle w:val="TableParagraph"/>
              <w:ind w:left="202" w:right="189"/>
              <w:jc w:val="center"/>
              <w:rPr>
                <w:sz w:val="19"/>
              </w:rPr>
            </w:pPr>
            <w:r>
              <w:rPr>
                <w:sz w:val="19"/>
              </w:rPr>
              <w:t>2902.20.00</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ind w:right="219"/>
              <w:jc w:val="right"/>
              <w:rPr>
                <w:sz w:val="19"/>
              </w:rPr>
            </w:pPr>
            <w:r>
              <w:rPr>
                <w:w w:val="90"/>
                <w:sz w:val="19"/>
              </w:rPr>
              <w:t>2710.19.53</w:t>
            </w:r>
          </w:p>
        </w:tc>
        <w:tc>
          <w:tcPr>
            <w:tcW w:w="1392" w:type="dxa"/>
            <w:tcBorders>
              <w:top w:val="nil"/>
              <w:left w:val="nil"/>
              <w:bottom w:val="nil"/>
            </w:tcBorders>
          </w:tcPr>
          <w:p>
            <w:pPr>
              <w:pStyle w:val="TableParagraph"/>
              <w:ind w:left="202" w:right="189"/>
              <w:jc w:val="center"/>
              <w:rPr>
                <w:sz w:val="19"/>
              </w:rPr>
            </w:pPr>
            <w:r>
              <w:rPr>
                <w:sz w:val="19"/>
              </w:rPr>
              <w:t>2902.30.00</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ind w:right="219"/>
              <w:jc w:val="right"/>
              <w:rPr>
                <w:sz w:val="19"/>
              </w:rPr>
            </w:pPr>
            <w:r>
              <w:rPr>
                <w:w w:val="90"/>
                <w:sz w:val="19"/>
              </w:rPr>
              <w:t>2710.19.70</w:t>
            </w:r>
          </w:p>
        </w:tc>
        <w:tc>
          <w:tcPr>
            <w:tcW w:w="1392" w:type="dxa"/>
            <w:tcBorders>
              <w:top w:val="nil"/>
              <w:left w:val="nil"/>
              <w:bottom w:val="nil"/>
            </w:tcBorders>
          </w:tcPr>
          <w:p>
            <w:pPr>
              <w:pStyle w:val="TableParagraph"/>
              <w:ind w:left="202" w:right="189"/>
              <w:jc w:val="center"/>
              <w:rPr>
                <w:sz w:val="19"/>
              </w:rPr>
            </w:pPr>
            <w:r>
              <w:rPr>
                <w:sz w:val="19"/>
              </w:rPr>
              <w:t>2902.41.00</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ind w:right="219"/>
              <w:jc w:val="right"/>
              <w:rPr>
                <w:sz w:val="19"/>
              </w:rPr>
            </w:pPr>
            <w:r>
              <w:rPr>
                <w:w w:val="90"/>
                <w:sz w:val="19"/>
              </w:rPr>
              <w:t>2710.20.00</w:t>
            </w:r>
          </w:p>
        </w:tc>
        <w:tc>
          <w:tcPr>
            <w:tcW w:w="1392" w:type="dxa"/>
            <w:tcBorders>
              <w:top w:val="nil"/>
              <w:left w:val="nil"/>
              <w:bottom w:val="nil"/>
            </w:tcBorders>
          </w:tcPr>
          <w:p>
            <w:pPr>
              <w:pStyle w:val="TableParagraph"/>
              <w:ind w:left="202" w:right="189"/>
              <w:jc w:val="center"/>
              <w:rPr>
                <w:sz w:val="19"/>
              </w:rPr>
            </w:pPr>
            <w:r>
              <w:rPr>
                <w:sz w:val="19"/>
              </w:rPr>
              <w:t>2902.42.00</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ind w:right="219"/>
              <w:jc w:val="right"/>
              <w:rPr>
                <w:sz w:val="19"/>
              </w:rPr>
            </w:pPr>
            <w:r>
              <w:rPr>
                <w:w w:val="90"/>
                <w:sz w:val="19"/>
              </w:rPr>
              <w:t>2710.91.16</w:t>
            </w:r>
          </w:p>
        </w:tc>
        <w:tc>
          <w:tcPr>
            <w:tcW w:w="1392" w:type="dxa"/>
            <w:tcBorders>
              <w:top w:val="nil"/>
              <w:left w:val="nil"/>
              <w:bottom w:val="nil"/>
            </w:tcBorders>
          </w:tcPr>
          <w:p>
            <w:pPr>
              <w:pStyle w:val="TableParagraph"/>
              <w:ind w:left="202" w:right="189"/>
              <w:jc w:val="center"/>
              <w:rPr>
                <w:sz w:val="19"/>
              </w:rPr>
            </w:pPr>
            <w:r>
              <w:rPr>
                <w:sz w:val="19"/>
              </w:rPr>
              <w:t>2902.43.00</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ind w:right="219"/>
              <w:jc w:val="right"/>
              <w:rPr>
                <w:sz w:val="19"/>
              </w:rPr>
            </w:pPr>
            <w:r>
              <w:rPr>
                <w:w w:val="90"/>
                <w:sz w:val="19"/>
              </w:rPr>
              <w:t>2710.91.22</w:t>
            </w:r>
          </w:p>
        </w:tc>
        <w:tc>
          <w:tcPr>
            <w:tcW w:w="1392" w:type="dxa"/>
            <w:tcBorders>
              <w:top w:val="nil"/>
              <w:left w:val="nil"/>
              <w:bottom w:val="nil"/>
            </w:tcBorders>
          </w:tcPr>
          <w:p>
            <w:pPr>
              <w:pStyle w:val="TableParagraph"/>
              <w:ind w:left="202" w:right="189"/>
              <w:jc w:val="center"/>
              <w:rPr>
                <w:sz w:val="19"/>
              </w:rPr>
            </w:pPr>
            <w:r>
              <w:rPr>
                <w:sz w:val="19"/>
              </w:rPr>
              <w:t>2902.44.00</w:t>
            </w:r>
          </w:p>
        </w:tc>
        <w:tc>
          <w:tcPr>
            <w:tcW w:w="6734" w:type="dxa"/>
            <w:gridSpan w:val="2"/>
            <w:vMerge/>
            <w:tcBorders>
              <w:top w:val="nil"/>
              <w:bottom w:val="single" w:sz="6" w:space="0" w:color="000000"/>
            </w:tcBorders>
          </w:tcPr>
          <w:p>
            <w:pPr>
              <w:rPr>
                <w:sz w:val="2"/>
                <w:szCs w:val="2"/>
              </w:rPr>
            </w:pPr>
          </w:p>
        </w:tc>
      </w:tr>
      <w:tr>
        <w:trPr>
          <w:trHeight w:val="330" w:hRule="atLeast"/>
        </w:trPr>
        <w:tc>
          <w:tcPr>
            <w:tcW w:w="1368" w:type="dxa"/>
            <w:tcBorders>
              <w:top w:val="nil"/>
              <w:left w:val="single" w:sz="6" w:space="0" w:color="000000"/>
              <w:bottom w:val="nil"/>
              <w:right w:val="nil"/>
            </w:tcBorders>
          </w:tcPr>
          <w:p>
            <w:pPr>
              <w:pStyle w:val="TableParagraph"/>
              <w:ind w:right="219"/>
              <w:jc w:val="right"/>
              <w:rPr>
                <w:sz w:val="19"/>
              </w:rPr>
            </w:pPr>
            <w:r>
              <w:rPr>
                <w:w w:val="90"/>
                <w:sz w:val="19"/>
              </w:rPr>
              <w:t>2710.91.28</w:t>
            </w:r>
          </w:p>
        </w:tc>
        <w:tc>
          <w:tcPr>
            <w:tcW w:w="1392" w:type="dxa"/>
            <w:tcBorders>
              <w:top w:val="nil"/>
              <w:left w:val="nil"/>
              <w:bottom w:val="nil"/>
            </w:tcBorders>
          </w:tcPr>
          <w:p>
            <w:pPr>
              <w:pStyle w:val="TableParagraph"/>
              <w:ind w:left="202" w:right="189"/>
              <w:jc w:val="center"/>
              <w:rPr>
                <w:sz w:val="19"/>
              </w:rPr>
            </w:pPr>
            <w:r>
              <w:rPr>
                <w:sz w:val="19"/>
              </w:rPr>
              <w:t>3817.00.10</w:t>
            </w:r>
          </w:p>
        </w:tc>
        <w:tc>
          <w:tcPr>
            <w:tcW w:w="6734" w:type="dxa"/>
            <w:gridSpan w:val="2"/>
            <w:vMerge/>
            <w:tcBorders>
              <w:top w:val="nil"/>
              <w:bottom w:val="single" w:sz="6" w:space="0" w:color="000000"/>
            </w:tcBorders>
          </w:tcPr>
          <w:p>
            <w:pPr>
              <w:rPr>
                <w:sz w:val="2"/>
                <w:szCs w:val="2"/>
              </w:rPr>
            </w:pPr>
          </w:p>
        </w:tc>
      </w:tr>
      <w:tr>
        <w:trPr>
          <w:trHeight w:val="330" w:hRule="atLeast"/>
        </w:trPr>
        <w:tc>
          <w:tcPr>
            <w:tcW w:w="1368" w:type="dxa"/>
            <w:tcBorders>
              <w:top w:val="nil"/>
              <w:left w:val="single" w:sz="6" w:space="0" w:color="000000"/>
              <w:bottom w:val="nil"/>
              <w:right w:val="nil"/>
            </w:tcBorders>
          </w:tcPr>
          <w:p>
            <w:pPr>
              <w:pStyle w:val="TableParagraph"/>
              <w:spacing w:before="36"/>
              <w:ind w:right="219"/>
              <w:jc w:val="right"/>
              <w:rPr>
                <w:sz w:val="19"/>
              </w:rPr>
            </w:pPr>
            <w:r>
              <w:rPr>
                <w:w w:val="90"/>
                <w:sz w:val="19"/>
              </w:rPr>
              <w:t>2710.91.51</w:t>
            </w:r>
          </w:p>
        </w:tc>
        <w:tc>
          <w:tcPr>
            <w:tcW w:w="1392" w:type="dxa"/>
            <w:tcBorders>
              <w:top w:val="nil"/>
              <w:left w:val="nil"/>
              <w:bottom w:val="nil"/>
            </w:tcBorders>
          </w:tcPr>
          <w:p>
            <w:pPr>
              <w:pStyle w:val="TableParagraph"/>
              <w:spacing w:before="36"/>
              <w:ind w:left="202" w:right="189"/>
              <w:jc w:val="center"/>
              <w:rPr>
                <w:sz w:val="19"/>
              </w:rPr>
            </w:pPr>
            <w:r>
              <w:rPr>
                <w:sz w:val="19"/>
              </w:rPr>
              <w:t>3824.99.30</w:t>
            </w:r>
          </w:p>
        </w:tc>
        <w:tc>
          <w:tcPr>
            <w:tcW w:w="6734" w:type="dxa"/>
            <w:gridSpan w:val="2"/>
            <w:vMerge/>
            <w:tcBorders>
              <w:top w:val="nil"/>
              <w:bottom w:val="single" w:sz="6" w:space="0" w:color="000000"/>
            </w:tcBorders>
          </w:tcPr>
          <w:p>
            <w:pPr>
              <w:rPr>
                <w:sz w:val="2"/>
                <w:szCs w:val="2"/>
              </w:rPr>
            </w:pPr>
          </w:p>
        </w:tc>
      </w:tr>
      <w:tr>
        <w:trPr>
          <w:trHeight w:val="330" w:hRule="atLeast"/>
        </w:trPr>
        <w:tc>
          <w:tcPr>
            <w:tcW w:w="1368" w:type="dxa"/>
            <w:tcBorders>
              <w:top w:val="nil"/>
              <w:left w:val="single" w:sz="6" w:space="0" w:color="000000"/>
              <w:bottom w:val="nil"/>
              <w:right w:val="nil"/>
            </w:tcBorders>
          </w:tcPr>
          <w:p>
            <w:pPr>
              <w:pStyle w:val="TableParagraph"/>
              <w:ind w:right="219"/>
              <w:jc w:val="right"/>
              <w:rPr>
                <w:sz w:val="19"/>
              </w:rPr>
            </w:pPr>
            <w:r>
              <w:rPr>
                <w:w w:val="90"/>
                <w:sz w:val="19"/>
              </w:rPr>
              <w:t>2710.91.52</w:t>
            </w:r>
          </w:p>
        </w:tc>
        <w:tc>
          <w:tcPr>
            <w:tcW w:w="1392" w:type="dxa"/>
            <w:tcBorders>
              <w:top w:val="nil"/>
              <w:left w:val="nil"/>
              <w:bottom w:val="nil"/>
            </w:tcBorders>
          </w:tcPr>
          <w:p>
            <w:pPr>
              <w:pStyle w:val="TableParagraph"/>
              <w:ind w:left="202" w:right="189"/>
              <w:jc w:val="center"/>
              <w:rPr>
                <w:sz w:val="19"/>
              </w:rPr>
            </w:pPr>
            <w:r>
              <w:rPr>
                <w:sz w:val="19"/>
              </w:rPr>
              <w:t>3824.99.40</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ind w:right="219"/>
              <w:jc w:val="right"/>
              <w:rPr>
                <w:sz w:val="19"/>
              </w:rPr>
            </w:pPr>
            <w:r>
              <w:rPr>
                <w:w w:val="90"/>
                <w:sz w:val="19"/>
              </w:rPr>
              <w:t>2710.91.53</w:t>
            </w:r>
          </w:p>
        </w:tc>
        <w:tc>
          <w:tcPr>
            <w:tcW w:w="1392" w:type="dxa"/>
            <w:tcBorders>
              <w:top w:val="nil"/>
              <w:left w:val="nil"/>
              <w:bottom w:val="nil"/>
            </w:tcBorders>
          </w:tcPr>
          <w:p>
            <w:pPr>
              <w:pStyle w:val="TableParagraph"/>
              <w:ind w:left="202" w:right="189"/>
              <w:jc w:val="center"/>
              <w:rPr>
                <w:sz w:val="19"/>
              </w:rPr>
            </w:pPr>
            <w:r>
              <w:rPr>
                <w:sz w:val="19"/>
              </w:rPr>
              <w:t>3826.00.10</w:t>
            </w:r>
          </w:p>
        </w:tc>
        <w:tc>
          <w:tcPr>
            <w:tcW w:w="6734" w:type="dxa"/>
            <w:gridSpan w:val="2"/>
            <w:vMerge/>
            <w:tcBorders>
              <w:top w:val="nil"/>
              <w:bottom w:val="single" w:sz="6" w:space="0" w:color="000000"/>
            </w:tcBorders>
          </w:tcPr>
          <w:p>
            <w:pPr>
              <w:rPr>
                <w:sz w:val="2"/>
                <w:szCs w:val="2"/>
              </w:rPr>
            </w:pPr>
          </w:p>
        </w:tc>
      </w:tr>
      <w:tr>
        <w:trPr>
          <w:trHeight w:val="303" w:hRule="atLeast"/>
        </w:trPr>
        <w:tc>
          <w:tcPr>
            <w:tcW w:w="1368" w:type="dxa"/>
            <w:tcBorders>
              <w:top w:val="nil"/>
              <w:left w:val="single" w:sz="6" w:space="0" w:color="000000"/>
              <w:bottom w:val="single" w:sz="6" w:space="0" w:color="000000"/>
              <w:right w:val="nil"/>
            </w:tcBorders>
          </w:tcPr>
          <w:p>
            <w:pPr>
              <w:pStyle w:val="TableParagraph"/>
              <w:ind w:right="219"/>
              <w:jc w:val="right"/>
              <w:rPr>
                <w:sz w:val="19"/>
              </w:rPr>
            </w:pPr>
            <w:r>
              <w:rPr>
                <w:w w:val="90"/>
                <w:sz w:val="19"/>
              </w:rPr>
              <w:t>2710.91.62</w:t>
            </w:r>
          </w:p>
        </w:tc>
        <w:tc>
          <w:tcPr>
            <w:tcW w:w="1392" w:type="dxa"/>
            <w:tcBorders>
              <w:top w:val="nil"/>
              <w:left w:val="nil"/>
              <w:bottom w:val="single" w:sz="6" w:space="0" w:color="000000"/>
            </w:tcBorders>
          </w:tcPr>
          <w:p>
            <w:pPr>
              <w:pStyle w:val="TableParagraph"/>
              <w:ind w:left="202" w:right="189"/>
              <w:jc w:val="center"/>
              <w:rPr>
                <w:sz w:val="19"/>
              </w:rPr>
            </w:pPr>
            <w:r>
              <w:rPr>
                <w:sz w:val="19"/>
              </w:rPr>
              <w:t>3826.00.20</w:t>
            </w:r>
          </w:p>
        </w:tc>
        <w:tc>
          <w:tcPr>
            <w:tcW w:w="6734" w:type="dxa"/>
            <w:gridSpan w:val="2"/>
            <w:vMerge/>
            <w:tcBorders>
              <w:top w:val="nil"/>
              <w:bottom w:val="single" w:sz="6" w:space="0" w:color="000000"/>
            </w:tcBorders>
          </w:tcPr>
          <w:p>
            <w:pPr>
              <w:rPr>
                <w:sz w:val="2"/>
                <w:szCs w:val="2"/>
              </w:rPr>
            </w:pPr>
          </w:p>
        </w:tc>
      </w:tr>
      <w:tr>
        <w:trPr>
          <w:trHeight w:val="329" w:hRule="atLeast"/>
        </w:trPr>
        <w:tc>
          <w:tcPr>
            <w:tcW w:w="2760" w:type="dxa"/>
            <w:gridSpan w:val="2"/>
            <w:tcBorders>
              <w:top w:val="single" w:sz="6" w:space="0" w:color="000000"/>
              <w:left w:val="single" w:sz="6" w:space="0" w:color="000000"/>
              <w:bottom w:val="single" w:sz="6" w:space="0" w:color="000000"/>
            </w:tcBorders>
          </w:tcPr>
          <w:p>
            <w:pPr>
              <w:pStyle w:val="TableParagraph"/>
              <w:spacing w:before="62"/>
              <w:ind w:left="217"/>
              <w:rPr>
                <w:sz w:val="19"/>
              </w:rPr>
            </w:pPr>
            <w:r>
              <w:rPr>
                <w:sz w:val="19"/>
              </w:rPr>
              <w:t>2711.11.00</w:t>
            </w:r>
          </w:p>
        </w:tc>
        <w:tc>
          <w:tcPr>
            <w:tcW w:w="881" w:type="dxa"/>
            <w:tcBorders>
              <w:top w:val="single" w:sz="6" w:space="0" w:color="000000"/>
              <w:bottom w:val="single" w:sz="6" w:space="0" w:color="000000"/>
              <w:right w:val="nil"/>
            </w:tcBorders>
          </w:tcPr>
          <w:p>
            <w:pPr>
              <w:pStyle w:val="TableParagraph"/>
              <w:spacing w:before="62"/>
              <w:ind w:left="121" w:right="75"/>
              <w:jc w:val="center"/>
              <w:rPr>
                <w:sz w:val="19"/>
              </w:rPr>
            </w:pPr>
            <w:r>
              <w:rPr>
                <w:sz w:val="19"/>
              </w:rPr>
              <w:t>$ 0.290</w:t>
            </w:r>
          </w:p>
        </w:tc>
        <w:tc>
          <w:tcPr>
            <w:tcW w:w="5853" w:type="dxa"/>
            <w:tcBorders>
              <w:top w:val="single" w:sz="6" w:space="0" w:color="000000"/>
              <w:left w:val="nil"/>
              <w:bottom w:val="single" w:sz="6" w:space="0" w:color="000000"/>
            </w:tcBorders>
          </w:tcPr>
          <w:p>
            <w:pPr>
              <w:pStyle w:val="TableParagraph"/>
              <w:spacing w:before="47"/>
              <w:ind w:left="79"/>
              <w:rPr>
                <w:sz w:val="19"/>
              </w:rPr>
            </w:pPr>
            <w:r>
              <w:rPr>
                <w:sz w:val="19"/>
              </w:rPr>
              <w:t>per kilogram of liquefied natural gas</w:t>
            </w:r>
          </w:p>
        </w:tc>
      </w:tr>
      <w:tr>
        <w:trPr>
          <w:trHeight w:val="329" w:hRule="atLeast"/>
        </w:trPr>
        <w:tc>
          <w:tcPr>
            <w:tcW w:w="2760" w:type="dxa"/>
            <w:gridSpan w:val="2"/>
            <w:tcBorders>
              <w:top w:val="single" w:sz="6" w:space="0" w:color="000000"/>
              <w:left w:val="single" w:sz="6" w:space="0" w:color="000000"/>
              <w:bottom w:val="single" w:sz="6" w:space="0" w:color="000000"/>
            </w:tcBorders>
          </w:tcPr>
          <w:p>
            <w:pPr>
              <w:pStyle w:val="TableParagraph"/>
              <w:spacing w:before="62"/>
              <w:ind w:left="217"/>
              <w:rPr>
                <w:sz w:val="19"/>
              </w:rPr>
            </w:pPr>
            <w:r>
              <w:rPr>
                <w:sz w:val="19"/>
              </w:rPr>
              <w:t>2711.21.10</w:t>
            </w:r>
          </w:p>
        </w:tc>
        <w:tc>
          <w:tcPr>
            <w:tcW w:w="881" w:type="dxa"/>
            <w:tcBorders>
              <w:top w:val="single" w:sz="6" w:space="0" w:color="000000"/>
              <w:bottom w:val="single" w:sz="6" w:space="0" w:color="000000"/>
              <w:right w:val="nil"/>
            </w:tcBorders>
          </w:tcPr>
          <w:p>
            <w:pPr>
              <w:pStyle w:val="TableParagraph"/>
              <w:spacing w:before="62"/>
              <w:ind w:left="121" w:right="75"/>
              <w:jc w:val="center"/>
              <w:rPr>
                <w:sz w:val="19"/>
              </w:rPr>
            </w:pPr>
            <w:r>
              <w:rPr>
                <w:sz w:val="19"/>
              </w:rPr>
              <w:t>$ 0.290</w:t>
            </w:r>
          </w:p>
        </w:tc>
        <w:tc>
          <w:tcPr>
            <w:tcW w:w="5853" w:type="dxa"/>
            <w:tcBorders>
              <w:top w:val="single" w:sz="6" w:space="0" w:color="000000"/>
              <w:left w:val="nil"/>
              <w:bottom w:val="single" w:sz="6" w:space="0" w:color="000000"/>
            </w:tcBorders>
          </w:tcPr>
          <w:p>
            <w:pPr>
              <w:pStyle w:val="TableParagraph"/>
              <w:spacing w:before="47"/>
              <w:ind w:left="79"/>
              <w:rPr>
                <w:sz w:val="19"/>
              </w:rPr>
            </w:pPr>
            <w:r>
              <w:rPr>
                <w:sz w:val="19"/>
              </w:rPr>
              <w:t>per kilogram of compressed natural gas</w:t>
            </w:r>
          </w:p>
        </w:tc>
      </w:tr>
      <w:tr>
        <w:trPr>
          <w:trHeight w:val="329" w:hRule="atLeast"/>
        </w:trPr>
        <w:tc>
          <w:tcPr>
            <w:tcW w:w="1368" w:type="dxa"/>
            <w:tcBorders>
              <w:top w:val="single" w:sz="6" w:space="0" w:color="000000"/>
              <w:left w:val="single" w:sz="6" w:space="0" w:color="000000"/>
              <w:bottom w:val="single" w:sz="6" w:space="0" w:color="000000"/>
              <w:right w:val="nil"/>
            </w:tcBorders>
          </w:tcPr>
          <w:p>
            <w:pPr>
              <w:pStyle w:val="TableParagraph"/>
              <w:spacing w:before="62"/>
              <w:ind w:right="219"/>
              <w:jc w:val="right"/>
              <w:rPr>
                <w:sz w:val="19"/>
              </w:rPr>
            </w:pPr>
            <w:r>
              <w:rPr>
                <w:w w:val="90"/>
                <w:sz w:val="19"/>
              </w:rPr>
              <w:t>2711.12.10</w:t>
            </w:r>
          </w:p>
        </w:tc>
        <w:tc>
          <w:tcPr>
            <w:tcW w:w="1392" w:type="dxa"/>
            <w:tcBorders>
              <w:top w:val="single" w:sz="6" w:space="0" w:color="000000"/>
              <w:left w:val="nil"/>
              <w:bottom w:val="single" w:sz="6" w:space="0" w:color="000000"/>
            </w:tcBorders>
          </w:tcPr>
          <w:p>
            <w:pPr>
              <w:pStyle w:val="TableParagraph"/>
              <w:spacing w:before="62"/>
              <w:ind w:left="202" w:right="189"/>
              <w:jc w:val="center"/>
              <w:rPr>
                <w:sz w:val="19"/>
              </w:rPr>
            </w:pPr>
            <w:r>
              <w:rPr>
                <w:sz w:val="19"/>
              </w:rPr>
              <w:t>2711.13.10</w:t>
            </w:r>
          </w:p>
        </w:tc>
        <w:tc>
          <w:tcPr>
            <w:tcW w:w="881" w:type="dxa"/>
            <w:tcBorders>
              <w:top w:val="single" w:sz="6" w:space="0" w:color="000000"/>
              <w:bottom w:val="single" w:sz="6" w:space="0" w:color="000000"/>
              <w:right w:val="nil"/>
            </w:tcBorders>
          </w:tcPr>
          <w:p>
            <w:pPr>
              <w:pStyle w:val="TableParagraph"/>
              <w:spacing w:before="62"/>
              <w:ind w:left="121" w:right="75"/>
              <w:jc w:val="center"/>
              <w:rPr>
                <w:sz w:val="19"/>
              </w:rPr>
            </w:pPr>
            <w:r>
              <w:rPr>
                <w:sz w:val="19"/>
              </w:rPr>
              <w:t>$ 0.138</w:t>
            </w:r>
          </w:p>
        </w:tc>
        <w:tc>
          <w:tcPr>
            <w:tcW w:w="5853" w:type="dxa"/>
            <w:tcBorders>
              <w:top w:val="single" w:sz="6" w:space="0" w:color="000000"/>
              <w:left w:val="nil"/>
              <w:bottom w:val="single" w:sz="6" w:space="0" w:color="000000"/>
            </w:tcBorders>
          </w:tcPr>
          <w:p>
            <w:pPr>
              <w:pStyle w:val="TableParagraph"/>
              <w:spacing w:before="47"/>
              <w:ind w:left="79"/>
              <w:rPr>
                <w:sz w:val="19"/>
              </w:rPr>
            </w:pPr>
            <w:r>
              <w:rPr>
                <w:sz w:val="19"/>
              </w:rPr>
              <w:t>per litre of liquefied petroleum gas</w:t>
            </w:r>
          </w:p>
        </w:tc>
      </w:tr>
    </w:tbl>
    <w:sectPr>
      <w:pgSz w:w="11910" w:h="16840"/>
      <w:pgMar w:header="1150" w:footer="583" w:top="1640" w:bottom="7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530pt;margin-top:797.75531pt;width:11.6pt;height:9.8pt;mso-position-horizontal-relative:page;mso-position-vertical-relative:page;z-index:-16036352" type="#_x0000_t202" filled="false" stroked="false">
          <v:textbox inset="0,0,0,0">
            <w:txbxContent>
              <w:p>
                <w:pPr>
                  <w:spacing w:before="14"/>
                  <w:ind w:left="20" w:right="0" w:firstLine="0"/>
                  <w:jc w:val="left"/>
                  <w:rPr>
                    <w:sz w:val="14"/>
                  </w:rPr>
                </w:pPr>
                <w:r>
                  <w:rPr>
                    <w:color w:val="5C676C"/>
                    <w:sz w:val="14"/>
                  </w:rPr>
                  <w:t>| </w:t>
                </w:r>
                <w:r>
                  <w:rPr/>
                  <w:fldChar w:fldCharType="begin"/>
                </w:r>
                <w:r>
                  <w:rPr>
                    <w:color w:val="5C676C"/>
                    <w:sz w:val="14"/>
                  </w:rPr>
                  <w:instrText> PAGE </w:instrText>
                </w:r>
                <w:r>
                  <w:rPr/>
                  <w:fldChar w:fldCharType="separate"/>
                </w:r>
                <w:r>
                  <w:rPr/>
                  <w:t>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0pt;margin-top:57.499985pt;width:595.320pt;height:25pt;mso-position-horizontal-relative:page;mso-position-vertical-relative:page;z-index:-16036864" filled="true" fillcolor="#072144" stroked="false">
          <v:fill type="solid"/>
          <w10:wrap type="none"/>
        </v: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118"/>
      <w:ind w:left="1104" w:right="1640"/>
      <w:outlineLvl w:val="1"/>
    </w:pPr>
    <w:rPr>
      <w:rFonts w:ascii="Arial" w:hAnsi="Arial" w:eastAsia="Arial" w:cs="Arial"/>
      <w:sz w:val="40"/>
      <w:szCs w:val="40"/>
      <w:lang w:val="en-au" w:eastAsia="en-US" w:bidi="ar-SA"/>
    </w:rPr>
  </w:style>
  <w:style w:styleId="Title" w:type="paragraph">
    <w:name w:val="Title"/>
    <w:basedOn w:val="Normal"/>
    <w:uiPriority w:val="1"/>
    <w:qFormat/>
    <w:pPr>
      <w:spacing w:before="84"/>
      <w:ind w:left="2885" w:right="2885"/>
      <w:jc w:val="center"/>
    </w:pPr>
    <w:rPr>
      <w:rFonts w:ascii="Arial" w:hAnsi="Arial" w:eastAsia="Arial" w:cs="Arial"/>
      <w:b/>
      <w:bCs/>
      <w:sz w:val="48"/>
      <w:szCs w:val="4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spacing w:before="35"/>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www.ato.gov.au/Business/Excise-and-excise-equivalent-goods/Alcohol-excise/Excise-rates-for-alcohol/" TargetMode="External"/><Relationship Id="rId9" Type="http://schemas.openxmlformats.org/officeDocument/2006/relationships/hyperlink" Target="https://www.ato.gov.au/Business/Excise-and-excise-equivalent-goods/Fuel-excise/Excise-rates-for-fuel/" TargetMode="External"/><Relationship Id="rId10" Type="http://schemas.openxmlformats.org/officeDocument/2006/relationships/hyperlink" Target="http://www.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ABF</dc:creator>
  <cp:keywords>ACN; ACN 2020; ACN 2020/31; Australian Customs Notice; Consumer Price Index; CPI; August 2020; Excise-equivalent goods; beer; spirits; fuel; EEG; EEGs</cp:keywords>
  <dc:subject>Customs duties on excise-equivalent goods - August 2020</dc:subject>
  <dc:title>Australian Customs Notice 2020/31 </dc:title>
  <dcterms:created xsi:type="dcterms:W3CDTF">2020-12-09T22:29:15Z</dcterms:created>
  <dcterms:modified xsi:type="dcterms:W3CDTF">2020-12-09T22:29:15Z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Creator">
    <vt:lpwstr>Microsoft® Word 2016</vt:lpwstr>
  </property>
  <property fmtid="{D5CDD505-2E9C-101B-9397-08002B2CF9AE}" pid="4" name="LastSaved">
    <vt:filetime>2020-12-09T00:00:00Z</vt:filetime>
  </property>
</Properties>
</file>