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-2210159</wp:posOffset>
            </wp:positionV>
            <wp:extent cx="7559674" cy="2048380"/>
            <wp:effectExtent l="0" t="0" r="0" b="0"/>
            <wp:wrapNone/>
            <wp:docPr id="1" name="image1.jpeg" descr="Australian Border Force Bann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2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144"/>
        </w:rPr>
        <w:t>Australian Customs Notice No. 2020/37</w:t>
      </w:r>
    </w:p>
    <w:p>
      <w:pPr>
        <w:spacing w:line="309" w:lineRule="auto" w:before="413"/>
        <w:ind w:left="2897" w:right="2909" w:firstLine="1361"/>
        <w:jc w:val="left"/>
        <w:rPr>
          <w:sz w:val="36"/>
        </w:rPr>
      </w:pPr>
      <w:r>
        <w:rPr>
          <w:color w:val="956D23"/>
          <w:sz w:val="36"/>
        </w:rPr>
        <w:t>Objectionable Goods ‘advocating the doing of a terrorist act’</w:t>
      </w:r>
    </w:p>
    <w:p>
      <w:pPr>
        <w:spacing w:before="2"/>
        <w:ind w:left="1133" w:right="1207" w:firstLine="0"/>
        <w:jc w:val="left"/>
        <w:rPr>
          <w:sz w:val="22"/>
        </w:rPr>
      </w:pPr>
      <w:r>
        <w:rPr>
          <w:sz w:val="22"/>
        </w:rPr>
        <w:t>From 27 August 2020, the definition of ‘advocating the doing of a terrorist act’ has been amended in Regulation 4A of the </w:t>
      </w:r>
      <w:r>
        <w:rPr>
          <w:i/>
          <w:sz w:val="22"/>
        </w:rPr>
        <w:t>Customs (Prohibited Imports) Regulations 1956 </w:t>
      </w:r>
      <w:r>
        <w:rPr>
          <w:sz w:val="22"/>
        </w:rPr>
        <w:t>(PI Regulations) and Regulation 3 of the </w:t>
      </w:r>
      <w:r>
        <w:rPr>
          <w:i/>
          <w:sz w:val="22"/>
        </w:rPr>
        <w:t>Customs (Prohibited Exports) Regulations 1958 </w:t>
      </w:r>
      <w:r>
        <w:rPr>
          <w:sz w:val="22"/>
        </w:rPr>
        <w:t>(PE Regulations). This amendment aligns the definition with the </w:t>
      </w:r>
      <w:r>
        <w:rPr>
          <w:i/>
          <w:sz w:val="22"/>
        </w:rPr>
        <w:t>Classification (Publications, Films and Computer Games) Act 1995 </w:t>
      </w:r>
      <w:r>
        <w:rPr>
          <w:sz w:val="22"/>
        </w:rPr>
        <w:t>and the </w:t>
      </w:r>
      <w:r>
        <w:rPr>
          <w:i/>
          <w:sz w:val="22"/>
        </w:rPr>
        <w:t>Criminal Code Act 1995</w:t>
      </w:r>
      <w:r>
        <w:rPr>
          <w:sz w:val="22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>
          <w:color w:val="956D23"/>
        </w:rPr>
        <w:t>Definition of ‘doing a terrorist act’</w:t>
      </w:r>
    </w:p>
    <w:p>
      <w:pPr>
        <w:pStyle w:val="BodyText"/>
        <w:spacing w:before="121"/>
        <w:ind w:left="1133" w:right="1303"/>
      </w:pPr>
      <w:r>
        <w:rPr/>
        <w:t>Paragraph 4A(1B)(c) of the PI Regulations and paragraph 3(2A)(c) of the PE Regulations prohibit the import and export of goods that ‘advocate the doing of a terrorist act’ if the goods praise the doing of a terrorist act and there is a risk that such praise might lead a person to engage in a terrorist act. The amended Regulations now require the risk be ‘substantial’.</w:t>
      </w:r>
    </w:p>
    <w:p>
      <w:pPr>
        <w:pStyle w:val="BodyText"/>
      </w:pPr>
    </w:p>
    <w:p>
      <w:pPr>
        <w:pStyle w:val="BodyText"/>
        <w:ind w:left="1133" w:right="1487"/>
      </w:pPr>
      <w:r>
        <w:rPr/>
        <w:t>Paragraphs 4A(1B)(a) of the PI Regulations and 3(2A)(a) of the PE Regulations prescribe that goods will advocate the doing of a terrorist act if they ‘counsel or urge’ such acts. The amended Regulations now include material that ‘promotes’ and ‘encourages’ the doing of a terrorist act.</w:t>
      </w:r>
    </w:p>
    <w:p>
      <w:pPr>
        <w:pStyle w:val="Heading1"/>
        <w:spacing w:before="177"/>
      </w:pPr>
      <w:r>
        <w:rPr>
          <w:color w:val="956D23"/>
        </w:rPr>
        <w:t>Further information</w:t>
      </w:r>
    </w:p>
    <w:p>
      <w:pPr>
        <w:pStyle w:val="BodyText"/>
        <w:spacing w:line="264" w:lineRule="auto" w:before="208"/>
        <w:ind w:left="1133" w:right="1658"/>
      </w:pPr>
      <w:r>
        <w:rPr/>
        <w:t>For information regarding these changes, please consult the relevant legislation, including the explanatory statement, at </w:t>
      </w:r>
      <w:r>
        <w:rPr>
          <w:color w:val="082144"/>
          <w:u w:val="single" w:color="082144"/>
        </w:rPr>
        <w:t>https://</w:t>
      </w:r>
      <w:hyperlink r:id="rId6">
        <w:r>
          <w:rPr>
            <w:color w:val="082144"/>
            <w:u w:val="single" w:color="082144"/>
          </w:rPr>
          <w:t>www.legislation.gov.au/Details/F2020L01046</w:t>
        </w:r>
        <w:r>
          <w:rPr/>
          <w:t>.</w:t>
        </w:r>
      </w:hyperlink>
    </w:p>
    <w:p>
      <w:pPr>
        <w:pStyle w:val="BodyText"/>
        <w:spacing w:line="264" w:lineRule="auto" w:before="181"/>
        <w:ind w:left="1133" w:right="2392"/>
      </w:pPr>
      <w:r>
        <w:rPr/>
        <w:t>For information on the Australian controls on objectionable goods, please see: </w:t>
      </w:r>
      <w:r>
        <w:rPr>
          <w:color w:val="082144"/>
          <w:u w:val="single" w:color="082144"/>
        </w:rPr>
        <w:t>https://</w:t>
      </w:r>
      <w:hyperlink r:id="rId7">
        <w:r>
          <w:rPr>
            <w:color w:val="082144"/>
            <w:u w:val="single" w:color="082144"/>
          </w:rPr>
          <w:t>www.abf.gov.au/importing-exporting-and-manufacturing/prohibited-</w:t>
        </w:r>
      </w:hyperlink>
      <w:r>
        <w:rPr>
          <w:color w:val="082144"/>
        </w:rPr>
        <w:t> </w:t>
      </w:r>
      <w:r>
        <w:rPr>
          <w:color w:val="082144"/>
          <w:u w:val="single" w:color="082144"/>
        </w:rPr>
        <w:t>goods/categories/miscellaneous</w:t>
      </w:r>
      <w:r>
        <w:rPr>
          <w:color w:val="082144"/>
        </w:rPr>
        <w:t> </w:t>
      </w:r>
      <w:r>
        <w:rPr/>
        <w:t>and select ‘pornography’ and ‘objectionable material’.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3"/>
        <w:ind w:left="1133"/>
      </w:pPr>
      <w:r>
        <w:rPr/>
        <w:t>[Signed]</w:t>
      </w:r>
    </w:p>
    <w:p>
      <w:pPr>
        <w:pStyle w:val="BodyText"/>
        <w:spacing w:line="264" w:lineRule="auto" w:before="146"/>
        <w:ind w:left="1133" w:right="8825"/>
      </w:pPr>
      <w:r>
        <w:rPr/>
        <w:t>Matthew Duckworth Assistant Secretary</w:t>
      </w:r>
    </w:p>
    <w:p>
      <w:pPr>
        <w:pStyle w:val="BodyText"/>
        <w:spacing w:line="491" w:lineRule="auto"/>
        <w:ind w:left="1133" w:right="7418"/>
      </w:pPr>
      <w:r>
        <w:rPr/>
        <w:t>Customs and Trade Policy Branch 24 August 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4364" w:val="left" w:leader="none"/>
          <w:tab w:pos="11908" w:val="left" w:leader="none"/>
        </w:tabs>
        <w:spacing w:before="92"/>
        <w:ind w:left="0" w:right="-15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Times New Roman" w:hAnsi="Times New Roman"/>
          <w:color w:val="FFFFFF"/>
          <w:sz w:val="24"/>
          <w:shd w:fill="082144" w:color="auto" w:val="clear"/>
        </w:rPr>
        <w:t> </w:t>
        <w:tab/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Australia’s customs</w:t>
      </w:r>
      <w:r>
        <w:rPr>
          <w:rFonts w:ascii="Arial-BoldItalicMT" w:hAnsi="Arial-BoldItalicMT"/>
          <w:b/>
          <w:i/>
          <w:color w:val="FFFFFF"/>
          <w:spacing w:val="-11"/>
          <w:sz w:val="24"/>
          <w:shd w:fill="08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service</w:t>
        <w:tab/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33"/>
      <w:outlineLvl w:val="1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4630" w:right="2871" w:hanging="1746"/>
    </w:pPr>
    <w:rPr>
      <w:rFonts w:ascii="Arial" w:hAnsi="Arial" w:eastAsia="Arial" w:cs="Arial"/>
      <w:b/>
      <w:bCs/>
      <w:sz w:val="48"/>
      <w:szCs w:val="4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legislation.gov.au/Details/F2020L01046" TargetMode="External"/><Relationship Id="rId7" Type="http://schemas.openxmlformats.org/officeDocument/2006/relationships/hyperlink" Target="http://www.abf.gov.au/importing-exporting-and-manufacturing/prohibited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Border Force</dc:creator>
  <cp:keywords>Objectionable, Publications, Films, Games, Import, Export, Prohibited, Regulation</cp:keywords>
  <dc:subject>Criminal Code and Customs Regulations</dc:subject>
  <dc:title>Australian Customs Notice 2020/37 - Objectionable Goods 'advocating the doing of a terrorist act'</dc:title>
  <dcterms:created xsi:type="dcterms:W3CDTF">2020-12-09T22:14:43Z</dcterms:created>
  <dcterms:modified xsi:type="dcterms:W3CDTF">2020-12-09T22:14:43Z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LastSaved">
    <vt:filetime>2020-12-09T00:00:00Z</vt:filetime>
  </property>
</Properties>
</file>