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7"/>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109478</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6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ind w:left="8" w:right="900"/>
        <w:spacing w:after="0" w:line="327" w:lineRule="auto"/>
        <w:rPr>
          <w:sz w:val="20"/>
          <w:szCs w:val="20"/>
          <w:color w:val="auto"/>
        </w:rPr>
      </w:pPr>
      <w:r>
        <w:rPr>
          <w:rFonts w:ascii="Times New Roman" w:cs="Times New Roman" w:eastAsia="Times New Roman" w:hAnsi="Times New Roman"/>
          <w:sz w:val="27"/>
          <w:szCs w:val="27"/>
          <w:color w:val="auto"/>
        </w:rPr>
        <w:t xml:space="preserve">Regulation of extension growth and </w:t>
      </w:r>
      <w:r>
        <w:rPr>
          <w:rFonts w:ascii="Arial" w:cs="Arial" w:eastAsia="Arial" w:hAnsi="Arial"/>
          <w:sz w:val="27"/>
          <w:szCs w:val="27"/>
          <w:color w:val="auto"/>
        </w:rPr>
        <w:t>fl</w:t>
      </w:r>
      <w:r>
        <w:rPr>
          <w:rFonts w:ascii="Times New Roman" w:cs="Times New Roman" w:eastAsia="Times New Roman" w:hAnsi="Times New Roman"/>
          <w:sz w:val="27"/>
          <w:szCs w:val="27"/>
          <w:color w:val="auto"/>
        </w:rPr>
        <w:t xml:space="preserve">owering of seedlings by blue radiation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and the red to far-red ratio of sole-source lighting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-478790</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Mengzi Zhang</w:t>
      </w:r>
      <w:hyperlink w:anchor="page7">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Yujin Park</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Erik S. Runkle</w:t>
      </w:r>
      <w:hyperlink w:anchor="page7">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hyperlink w:anchor="page7">
        <w:r>
          <w:rPr>
            <w:rFonts w:ascii="Times New Roman" w:cs="Times New Roman" w:eastAsia="Times New Roman" w:hAnsi="Times New Roman"/>
            <w:sz w:val="21"/>
            <w:szCs w:val="21"/>
            <w:color w:val="004A76"/>
          </w:rPr>
          <w:t>*</w:t>
        </w:r>
      </w:hyperlink>
    </w:p>
    <w:p>
      <w:pPr>
        <w:spacing w:after="0" w:line="44" w:lineRule="exact"/>
        <w:rPr>
          <w:rFonts w:ascii="Times New Roman" w:cs="Times New Roman" w:eastAsia="Times New Roman" w:hAnsi="Times New Roman"/>
          <w:sz w:val="21"/>
          <w:szCs w:val="21"/>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Horticulture, 1066 Bogue Street, Michigan State University, East Lansing, MI 48824, United States</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8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Mid-Florida Research &amp; Education Center, University of Florida, United States</w:t>
      </w:r>
    </w:p>
    <w:p>
      <w:pPr>
        <w:spacing w:after="0" w:line="25" w:lineRule="exact"/>
        <w:rPr>
          <w:rFonts w:ascii="Times New Roman" w:cs="Times New Roman" w:eastAsia="Times New Roman" w:hAnsi="Times New Roman"/>
          <w:sz w:val="17"/>
          <w:szCs w:val="17"/>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College of Integrative Sciences and Arts, Arizona State University, United States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8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33.2pt,8.65pt" o:allowincell="f" strokecolor="#000000" strokeweight="0.2491pt"/>
            </w:pict>
          </mc:Fallback>
        </mc:AlternateContent>
      </w:r>
    </w:p>
    <w:p>
      <w:pPr>
        <w:spacing w:after="0" w:line="23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Bedding plants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Controlled-environment agriculture</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LEDs</w:t>
      </w:r>
    </w:p>
    <w:p>
      <w:pPr>
        <w:spacing w:after="0" w:line="22" w:lineRule="exact"/>
        <w:rPr>
          <w:rFonts w:ascii="Times New Roman" w:cs="Times New Roman" w:eastAsia="Times New Roman" w:hAnsi="Times New Roman"/>
          <w:sz w:val="21"/>
          <w:szCs w:val="21"/>
          <w:color w:val="auto"/>
        </w:rPr>
      </w:pPr>
    </w:p>
    <w:p>
      <w:pPr>
        <w:ind w:left="8" w:right="800"/>
        <w:spacing w:after="0" w:line="274" w:lineRule="auto"/>
        <w:rPr>
          <w:sz w:val="20"/>
          <w:szCs w:val="20"/>
          <w:color w:val="auto"/>
        </w:rPr>
      </w:pPr>
      <w:r>
        <w:rPr>
          <w:rFonts w:ascii="Times New Roman" w:cs="Times New Roman" w:eastAsia="Times New Roman" w:hAnsi="Times New Roman"/>
          <w:sz w:val="13"/>
          <w:szCs w:val="13"/>
          <w:color w:val="auto"/>
        </w:rPr>
        <w:t>Phytochrome photoequilibrium Plugs</w:t>
      </w:r>
    </w:p>
    <w:p>
      <w:pPr>
        <w:spacing w:after="0" w:line="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Radiation quality</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6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7" w:lineRule="exact"/>
        <w:rPr>
          <w:rFonts w:ascii="Times New Roman" w:cs="Times New Roman" w:eastAsia="Times New Roman" w:hAnsi="Times New Roman"/>
          <w:sz w:val="21"/>
          <w:szCs w:val="21"/>
          <w:color w:val="auto"/>
        </w:rPr>
      </w:pPr>
    </w:p>
    <w:p>
      <w:pPr>
        <w:jc w:val="both"/>
        <w:spacing w:after="0" w:line="247" w:lineRule="auto"/>
        <w:rPr>
          <w:sz w:val="20"/>
          <w:szCs w:val="20"/>
          <w:color w:val="auto"/>
        </w:rPr>
      </w:pPr>
      <w:r>
        <w:rPr>
          <w:rFonts w:ascii="Times New Roman" w:cs="Times New Roman" w:eastAsia="Times New Roman" w:hAnsi="Times New Roman"/>
          <w:sz w:val="14"/>
          <w:szCs w:val="14"/>
          <w:color w:val="auto"/>
        </w:rPr>
        <w:t>Manipulating the radiation spectrum of sole-source lighting (SSL) with light-emitting diodes (LEDs) enables the regulation of growth, development, and quality attributes of ornamental transplants. We quanti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ed growth responses and subsequent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owering of annual bedding plant seedlings grown at 20 °C under eight SSL combi-nations of blue (B; 400</w:t>
      </w:r>
      <w:r>
        <w:rPr>
          <w:rFonts w:ascii="Arial" w:cs="Arial" w:eastAsia="Arial" w:hAnsi="Arial"/>
          <w:sz w:val="14"/>
          <w:szCs w:val="14"/>
          <w:color w:val="auto"/>
        </w:rPr>
        <w:t>−</w:t>
      </w:r>
      <w:r>
        <w:rPr>
          <w:rFonts w:ascii="Times New Roman" w:cs="Times New Roman" w:eastAsia="Times New Roman" w:hAnsi="Times New Roman"/>
          <w:sz w:val="14"/>
          <w:szCs w:val="14"/>
          <w:color w:val="auto"/>
        </w:rPr>
        <w:t>500 nm), red (R; 600</w:t>
      </w:r>
      <w:r>
        <w:rPr>
          <w:rFonts w:ascii="Arial" w:cs="Arial" w:eastAsia="Arial" w:hAnsi="Arial"/>
          <w:sz w:val="14"/>
          <w:szCs w:val="14"/>
          <w:color w:val="auto"/>
        </w:rPr>
        <w:t>−</w:t>
      </w:r>
      <w:r>
        <w:rPr>
          <w:rFonts w:ascii="Times New Roman" w:cs="Times New Roman" w:eastAsia="Times New Roman" w:hAnsi="Times New Roman"/>
          <w:sz w:val="14"/>
          <w:szCs w:val="14"/>
          <w:color w:val="auto"/>
        </w:rPr>
        <w:t>700 nm), and far-red (FR; 700</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800 nm) radiation (subscript values indicate the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ux density of each waveband, in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160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160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10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160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160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40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60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120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60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120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10</w:t>
      </w:r>
      <w:r>
        <w:rPr>
          <w:rFonts w:ascii="Times New Roman" w:cs="Times New Roman" w:eastAsia="Times New Roman" w:hAnsi="Times New Roman"/>
          <w:sz w:val="14"/>
          <w:szCs w:val="14"/>
          <w:color w:val="auto"/>
        </w:rPr>
        <w:t>, B</w:t>
      </w:r>
      <w:r>
        <w:rPr>
          <w:rFonts w:ascii="Times New Roman" w:cs="Times New Roman" w:eastAsia="Times New Roman" w:hAnsi="Times New Roman"/>
          <w:sz w:val="19"/>
          <w:szCs w:val="19"/>
          <w:color w:val="auto"/>
          <w:vertAlign w:val="subscript"/>
        </w:rPr>
        <w:t>60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120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14"/>
          <w:szCs w:val="14"/>
          <w:color w:val="auto"/>
        </w:rPr>
        <w:t>, and B</w:t>
      </w:r>
      <w:r>
        <w:rPr>
          <w:rFonts w:ascii="Times New Roman" w:cs="Times New Roman" w:eastAsia="Times New Roman" w:hAnsi="Times New Roman"/>
          <w:sz w:val="19"/>
          <w:szCs w:val="19"/>
          <w:color w:val="auto"/>
          <w:vertAlign w:val="subscript"/>
        </w:rPr>
        <w:t>60</w:t>
      </w:r>
      <w:r>
        <w:rPr>
          <w:rFonts w:ascii="Times New Roman" w:cs="Times New Roman" w:eastAsia="Times New Roman" w:hAnsi="Times New Roman"/>
          <w:sz w:val="14"/>
          <w:szCs w:val="14"/>
          <w:color w:val="auto"/>
        </w:rPr>
        <w:t>R</w:t>
      </w:r>
      <w:r>
        <w:rPr>
          <w:rFonts w:ascii="Times New Roman" w:cs="Times New Roman" w:eastAsia="Times New Roman" w:hAnsi="Times New Roman"/>
          <w:sz w:val="19"/>
          <w:szCs w:val="19"/>
          <w:color w:val="auto"/>
          <w:vertAlign w:val="subscript"/>
        </w:rPr>
        <w:t>120</w:t>
      </w:r>
      <w:r>
        <w:rPr>
          <w:rFonts w:ascii="Times New Roman" w:cs="Times New Roman" w:eastAsia="Times New Roman" w:hAnsi="Times New Roman"/>
          <w:sz w:val="14"/>
          <w:szCs w:val="14"/>
          <w:color w:val="auto"/>
        </w:rPr>
        <w:t>FR</w:t>
      </w:r>
      <w:r>
        <w:rPr>
          <w:rFonts w:ascii="Times New Roman" w:cs="Times New Roman" w:eastAsia="Times New Roman" w:hAnsi="Times New Roman"/>
          <w:sz w:val="19"/>
          <w:szCs w:val="19"/>
          <w:color w:val="auto"/>
          <w:vertAlign w:val="subscript"/>
        </w:rPr>
        <w:t>40</w:t>
      </w:r>
      <w:r>
        <w:rPr>
          <w:rFonts w:ascii="Times New Roman" w:cs="Times New Roman" w:eastAsia="Times New Roman" w:hAnsi="Times New Roman"/>
          <w:sz w:val="14"/>
          <w:szCs w:val="14"/>
          <w:color w:val="auto"/>
        </w:rPr>
        <w:t>. Seedlings were also grown indoors under warm-white (WW</w:t>
      </w:r>
      <w:r>
        <w:rPr>
          <w:rFonts w:ascii="Times New Roman" w:cs="Times New Roman" w:eastAsia="Times New Roman" w:hAnsi="Times New Roman"/>
          <w:sz w:val="19"/>
          <w:szCs w:val="19"/>
          <w:color w:val="auto"/>
          <w:vertAlign w:val="subscript"/>
        </w:rPr>
        <w:t>180</w:t>
      </w:r>
      <w:r>
        <w:rPr>
          <w:rFonts w:ascii="Times New Roman" w:cs="Times New Roman" w:eastAsia="Times New Roman" w:hAnsi="Times New Roman"/>
          <w:sz w:val="14"/>
          <w:szCs w:val="14"/>
          <w:color w:val="auto"/>
        </w:rPr>
        <w:t xml:space="preserve">) LEDs or in a greenhouse for comparison. Among all nine species tested, the addition of FR at 40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increased the seedling height of only snapdragon (Antirrhinum majus, by 64</w:t>
      </w:r>
      <w:r>
        <w:rPr>
          <w:rFonts w:ascii="Arial" w:cs="Arial" w:eastAsia="Arial" w:hAnsi="Arial"/>
          <w:sz w:val="14"/>
          <w:szCs w:val="14"/>
          <w:color w:val="auto"/>
        </w:rPr>
        <w:t>–</w:t>
      </w:r>
      <w:r>
        <w:rPr>
          <w:rFonts w:ascii="Times New Roman" w:cs="Times New Roman" w:eastAsia="Times New Roman" w:hAnsi="Times New Roman"/>
          <w:sz w:val="14"/>
          <w:szCs w:val="14"/>
          <w:color w:val="auto"/>
        </w:rPr>
        <w:t>134%) and zinnia (Zinnia elegans, by 52</w:t>
      </w:r>
      <w:r>
        <w:rPr>
          <w:rFonts w:ascii="Arial" w:cs="Arial" w:eastAsia="Arial" w:hAnsi="Arial"/>
          <w:sz w:val="14"/>
          <w:szCs w:val="14"/>
          <w:color w:val="auto"/>
        </w:rPr>
        <w:t>–</w:t>
      </w:r>
      <w:r>
        <w:rPr>
          <w:rFonts w:ascii="Times New Roman" w:cs="Times New Roman" w:eastAsia="Times New Roman" w:hAnsi="Times New Roman"/>
          <w:sz w:val="14"/>
          <w:szCs w:val="14"/>
          <w:color w:val="auto"/>
        </w:rPr>
        <w:t>96%), regardless of the proportion of B, compared with SSL treatments without FR or in the greenhouse. Similarly, WW</w:t>
      </w:r>
      <w:r>
        <w:rPr>
          <w:rFonts w:ascii="Times New Roman" w:cs="Times New Roman" w:eastAsia="Times New Roman" w:hAnsi="Times New Roman"/>
          <w:sz w:val="19"/>
          <w:szCs w:val="19"/>
          <w:color w:val="auto"/>
          <w:vertAlign w:val="subscript"/>
        </w:rPr>
        <w:t>180</w:t>
      </w:r>
      <w:r>
        <w:rPr>
          <w:rFonts w:ascii="Times New Roman" w:cs="Times New Roman" w:eastAsia="Times New Roman" w:hAnsi="Times New Roman"/>
          <w:sz w:val="14"/>
          <w:szCs w:val="14"/>
          <w:color w:val="auto"/>
        </w:rPr>
        <w:t xml:space="preserve"> promoted seedling stem elongation in snapdragon (by 75</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139%) compared with SSL without FR or the greenhouse control, but not in the other species. Relative chlorophyll content of zinnia and petunia (Petunia × hybrida) generally decreased as the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ux density of FR increased, and in both species was 13</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14% greater under B at 60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than at 20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Radiation treatments did not in</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uence leaf area and dry shoot weight in any species. The subsequent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owering of snapdragon was ac-celerated by 7</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11 d with the additional 20 or 40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of FR, or under WW</w:t>
      </w:r>
      <w:r>
        <w:rPr>
          <w:rFonts w:ascii="Times New Roman" w:cs="Times New Roman" w:eastAsia="Times New Roman" w:hAnsi="Times New Roman"/>
          <w:sz w:val="19"/>
          <w:szCs w:val="19"/>
          <w:color w:val="auto"/>
          <w:vertAlign w:val="subscript"/>
        </w:rPr>
        <w:t>180</w:t>
      </w:r>
      <w:r>
        <w:rPr>
          <w:rFonts w:ascii="Times New Roman" w:cs="Times New Roman" w:eastAsia="Times New Roman" w:hAnsi="Times New Roman"/>
          <w:sz w:val="14"/>
          <w:szCs w:val="14"/>
          <w:color w:val="auto"/>
        </w:rPr>
        <w:t xml:space="preserve">, compared with SSL without FR or the greenhouse control. We conclude that when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20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of B is delivered to crops, the addition of FR at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20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can accelerate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owering of at least some long-day plants, with little to no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on extension growth, but has no e</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 on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owering of day-neutral or short-day plants.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234950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8.5pt" to="354.65pt,18.5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7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Most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oriculture crops, including annuals, herbaceous perennials, potted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plants, and cut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owers, are produced in two distinct phases: the young plant stage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nish plant stage (</w:t>
      </w:r>
      <w:hyperlink w:anchor="page7">
        <w:r>
          <w:rPr>
            <w:rFonts w:ascii="Times New Roman" w:cs="Times New Roman" w:eastAsia="Times New Roman" w:hAnsi="Times New Roman"/>
            <w:sz w:val="16"/>
            <w:szCs w:val="16"/>
            <w:color w:val="004A76"/>
          </w:rPr>
          <w:t>Lopez et al.,</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 To meet the largest market period during the spring and early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summer, most young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oriculture plants are produced commercially in greenhouses during the late winter and early spring. However, during this time, low ambient temperature and photosynthetic daily light in-tegral (DLI) in temperate climates are limiting factors to consistently produce high-quality plants on schedule (</w:t>
      </w:r>
      <w:hyperlink w:anchor="page7">
        <w:r>
          <w:rPr>
            <w:rFonts w:ascii="Times New Roman" w:cs="Times New Roman" w:eastAsia="Times New Roman" w:hAnsi="Times New Roman"/>
            <w:sz w:val="16"/>
            <w:szCs w:val="16"/>
            <w:color w:val="004A76"/>
          </w:rPr>
          <w:t>Lopez and Runkle, 2008</w:t>
        </w:r>
      </w:hyperlink>
      <w:r>
        <w:rPr>
          <w:rFonts w:ascii="Times New Roman" w:cs="Times New Roman" w:eastAsia="Times New Roman" w:hAnsi="Times New Roman"/>
          <w:sz w:val="16"/>
          <w:szCs w:val="16"/>
          <w:color w:val="000000"/>
        </w:rPr>
        <w:t>). Commercially, sole-source lighting (SSL) is most commonly used in closed systems (e.g., plant factory) for the production of high-value specialty crops such as leafy greens, microgreens, and herbs (</w:t>
      </w:r>
      <w:hyperlink w:anchor="page7">
        <w:r>
          <w:rPr>
            <w:rFonts w:ascii="Times New Roman" w:cs="Times New Roman" w:eastAsia="Times New Roman" w:hAnsi="Times New Roman"/>
            <w:sz w:val="16"/>
            <w:szCs w:val="16"/>
            <w:color w:val="004A76"/>
          </w:rPr>
          <w:t>Mitchell</w:t>
        </w:r>
      </w:hyperlink>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drawing>
          <wp:anchor simplePos="0" relativeHeight="251657728" behindDoc="1" locked="0" layoutInCell="0" allowOverlap="1">
            <wp:simplePos x="0" y="0"/>
            <wp:positionH relativeFrom="column">
              <wp:posOffset>0</wp:posOffset>
            </wp:positionH>
            <wp:positionV relativeFrom="paragraph">
              <wp:posOffset>204470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55" w:lineRule="exact"/>
        <w:rPr>
          <w:rFonts w:ascii="Times New Roman" w:cs="Times New Roman" w:eastAsia="Times New Roman" w:hAnsi="Times New Roman"/>
          <w:sz w:val="16"/>
          <w:szCs w:val="16"/>
          <w:color w:val="004A76"/>
        </w:rPr>
      </w:pPr>
    </w:p>
    <w:p>
      <w:pPr>
        <w:jc w:val="both"/>
        <w:spacing w:after="0" w:line="272" w:lineRule="auto"/>
        <w:rPr>
          <w:rFonts w:ascii="Times New Roman" w:cs="Times New Roman" w:eastAsia="Times New Roman" w:hAnsi="Times New Roman"/>
          <w:sz w:val="16"/>
          <w:szCs w:val="16"/>
          <w:color w:val="004A76"/>
        </w:rPr>
      </w:pPr>
      <w:hyperlink w:anchor="page7">
        <w:r>
          <w:rPr>
            <w:rFonts w:ascii="Times New Roman" w:cs="Times New Roman" w:eastAsia="Times New Roman" w:hAnsi="Times New Roman"/>
            <w:sz w:val="16"/>
            <w:szCs w:val="16"/>
            <w:color w:val="004A76"/>
          </w:rPr>
          <w:t>and Stutte, 2017</w:t>
        </w:r>
      </w:hyperlink>
      <w:r>
        <w:rPr>
          <w:rFonts w:ascii="Times New Roman" w:cs="Times New Roman" w:eastAsia="Times New Roman" w:hAnsi="Times New Roman"/>
          <w:sz w:val="16"/>
          <w:szCs w:val="16"/>
          <w:color w:val="000000"/>
        </w:rPr>
        <w:t>). However, there is increasing interest in growing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uniform and reliable high-value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oriculture and vegetable transplants indoors, where the environment can be controlled with SSL from light-emitting diodes (LEDs).</w:t>
      </w:r>
    </w:p>
    <w:p>
      <w:pPr>
        <w:spacing w:after="0" w:line="2"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SSL from LEDs enables control of the radiation spectrum, which photoreceptors perceive and then regulate plant growth, development, and quality attributes. At least two families of photoreceptors, crypto-chrome and phototropins, perceive blue (B; 400</w:t>
      </w:r>
      <w:r>
        <w:rPr>
          <w:rFonts w:ascii="Arial" w:cs="Arial" w:eastAsia="Arial" w:hAnsi="Arial"/>
          <w:sz w:val="16"/>
          <w:szCs w:val="16"/>
          <w:color w:val="auto"/>
        </w:rPr>
        <w:t>−</w:t>
      </w:r>
      <w:r>
        <w:rPr>
          <w:rFonts w:ascii="Times New Roman" w:cs="Times New Roman" w:eastAsia="Times New Roman" w:hAnsi="Times New Roman"/>
          <w:sz w:val="16"/>
          <w:szCs w:val="16"/>
          <w:color w:val="auto"/>
        </w:rPr>
        <w:t>500 nm) radiation (</w:t>
      </w:r>
      <w:hyperlink w:anchor="page7">
        <w:r>
          <w:rPr>
            <w:rFonts w:ascii="Times New Roman" w:cs="Times New Roman" w:eastAsia="Times New Roman" w:hAnsi="Times New Roman"/>
            <w:sz w:val="16"/>
            <w:szCs w:val="16"/>
            <w:color w:val="004A76"/>
          </w:rPr>
          <w:t>Fraser et al., 2016</w:t>
        </w:r>
      </w:hyperlink>
      <w:r>
        <w:rPr>
          <w:rFonts w:ascii="Times New Roman" w:cs="Times New Roman" w:eastAsia="Times New Roman" w:hAnsi="Times New Roman"/>
          <w:sz w:val="16"/>
          <w:szCs w:val="16"/>
          <w:color w:val="auto"/>
        </w:rPr>
        <w:t>). B radiation typically inhibits extension growth and increases the production of secondary metabolites such as protective compounds (e.g., anthocyanins). Therefore, adding B radiation to a red-dominant spectrum inhibits stem extension and increases leaf chlor-ophyll concentration (</w:t>
      </w:r>
      <w:hyperlink w:anchor="page7">
        <w:r>
          <w:rPr>
            <w:rFonts w:ascii="Times New Roman" w:cs="Times New Roman" w:eastAsia="Times New Roman" w:hAnsi="Times New Roman"/>
            <w:sz w:val="16"/>
            <w:szCs w:val="16"/>
            <w:color w:val="004A76"/>
          </w:rPr>
          <w:t>Lobiuc et al., 2017</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Mitchell et al., 2012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Wang</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 xml:space="preserve">Wollaeger and Runkle (2015)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substituting</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169" w:lineRule="exact"/>
        <w:rPr>
          <w:rFonts w:ascii="Times New Roman" w:cs="Times New Roman" w:eastAsia="Times New Roman" w:hAnsi="Times New Roman"/>
          <w:sz w:val="16"/>
          <w:szCs w:val="16"/>
          <w:color w:val="auto"/>
        </w:rPr>
      </w:pPr>
    </w:p>
    <w:p>
      <w:pPr>
        <w:ind w:left="8" w:firstLine="128"/>
        <w:spacing w:after="0" w:line="268" w:lineRule="auto"/>
        <w:rPr>
          <w:sz w:val="20"/>
          <w:szCs w:val="20"/>
          <w:color w:val="auto"/>
        </w:rPr>
      </w:pPr>
      <w:r>
        <w:rPr>
          <w:rFonts w:ascii="Times New Roman" w:cs="Times New Roman" w:eastAsia="Times New Roman" w:hAnsi="Times New Roman"/>
          <w:sz w:val="14"/>
          <w:szCs w:val="14"/>
          <w:color w:val="auto"/>
        </w:rPr>
        <w:t xml:space="preserve">Abbreviations: B, blue; CELL, controlled-environment lighting laboratory; DLI, daily light integral; FR, far red; HPS, high-pressure sodium; LDP, long-day plant; LEDs, light-emitting diodes; PPE, phytochrome photoequilibrium; PPFD, photosynthetic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ux density; R, red; SSL, sole-source lighting; WW, warm white</w:t>
      </w:r>
    </w:p>
    <w:p>
      <w:pPr>
        <w:ind w:left="128"/>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4"/>
          <w:szCs w:val="14"/>
          <w:color w:val="auto"/>
        </w:rPr>
        <w:t>Corresponding author.</w:t>
      </w:r>
    </w:p>
    <w:p>
      <w:pPr>
        <w:spacing w:after="0" w:line="86" w:lineRule="exact"/>
        <w:rPr>
          <w:rFonts w:ascii="Times New Roman" w:cs="Times New Roman" w:eastAsia="Times New Roman" w:hAnsi="Times New Roman"/>
          <w:sz w:val="16"/>
          <w:szCs w:val="16"/>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runkleer@msu.edu</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(E.S. Runkle).</w:t>
      </w:r>
    </w:p>
    <w:p>
      <w:pPr>
        <w:spacing w:after="0" w:line="156" w:lineRule="exact"/>
        <w:rPr>
          <w:rFonts w:ascii="Times New Roman" w:cs="Times New Roman" w:eastAsia="Times New Roman" w:hAnsi="Times New Roman"/>
          <w:sz w:val="16"/>
          <w:szCs w:val="16"/>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https://doi.org/10.1016/j.scienta.2020.109478</w:t>
        </w:r>
      </w:hyperlink>
    </w:p>
    <w:p>
      <w:pPr>
        <w:spacing w:after="0" w:line="1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14 January 2020; Received in revised form 23 April 2020; Accepted 11 May 2020</w:t>
      </w:r>
    </w:p>
    <w:p>
      <w:pPr>
        <w:ind w:left="8"/>
        <w:spacing w:after="0"/>
        <w:rPr>
          <w:sz w:val="20"/>
          <w:szCs w:val="20"/>
          <w:color w:val="auto"/>
        </w:rPr>
      </w:pPr>
      <w:r>
        <w:rPr>
          <w:rFonts w:ascii="Arial" w:cs="Arial" w:eastAsia="Arial" w:hAnsi="Arial"/>
          <w:sz w:val="14"/>
          <w:szCs w:val="14"/>
          <w:color w:val="auto"/>
        </w:rPr>
        <w:t>Available online 29 June 2020</w:t>
      </w:r>
    </w:p>
    <w:p>
      <w:pPr>
        <w:spacing w:after="0" w:line="3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M. Zhang, et al.</w:t>
      </w:r>
    </w:p>
    <w:p>
      <w:pPr>
        <w:spacing w:after="0" w:line="283" w:lineRule="exact"/>
        <w:rPr>
          <w:sz w:val="20"/>
          <w:szCs w:val="20"/>
          <w:color w:val="auto"/>
        </w:rPr>
      </w:pPr>
    </w:p>
    <w:p>
      <w:pPr>
        <w:jc w:val="both"/>
        <w:ind w:left="8" w:hanging="8"/>
        <w:spacing w:after="0" w:line="272" w:lineRule="auto"/>
        <w:tabs>
          <w:tab w:leader="none" w:pos="278"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of red (R; 600</w:t>
      </w:r>
      <w:r>
        <w:rPr>
          <w:rFonts w:ascii="Arial" w:cs="Arial" w:eastAsia="Arial" w:hAnsi="Arial"/>
          <w:sz w:val="16"/>
          <w:szCs w:val="16"/>
          <w:color w:val="auto"/>
        </w:rPr>
        <w:t>−</w:t>
      </w:r>
      <w:r>
        <w:rPr>
          <w:rFonts w:ascii="Times New Roman" w:cs="Times New Roman" w:eastAsia="Times New Roman" w:hAnsi="Times New Roman"/>
          <w:sz w:val="16"/>
          <w:szCs w:val="16"/>
          <w:color w:val="auto"/>
        </w:rPr>
        <w:t>700 nm) (peaks = 634 and 664 nm) with B (peak = 446 nm) inhibited the stem length of impatiens (Impatiens walleriana), salvia (Salvia splendens), and tomato (Solanum lycopersicum) by 48</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54% at a photosynthetic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(PPFD) of</w:t>
      </w:r>
    </w:p>
    <w:p>
      <w:pPr>
        <w:spacing w:after="0" w:line="1" w:lineRule="exact"/>
        <w:rPr>
          <w:rFonts w:ascii="Times New Roman" w:cs="Times New Roman" w:eastAsia="Times New Roman" w:hAnsi="Times New Roman"/>
          <w:sz w:val="16"/>
          <w:szCs w:val="16"/>
          <w:color w:val="auto"/>
        </w:rPr>
      </w:pPr>
    </w:p>
    <w:p>
      <w:pPr>
        <w:jc w:val="both"/>
        <w:ind w:left="8" w:hanging="8"/>
        <w:spacing w:after="0" w:line="253" w:lineRule="auto"/>
        <w:tabs>
          <w:tab w:leader="none" w:pos="310" w:val="left"/>
        </w:tabs>
        <w:numPr>
          <w:ilvl w:val="0"/>
          <w:numId w:val="4"/>
        </w:numPr>
        <w:rPr>
          <w:rFonts w:ascii="Times New Roman" w:cs="Times New Roman" w:eastAsia="Times New Roman" w:hAnsi="Times New Roman"/>
          <w:sz w:val="16"/>
          <w:szCs w:val="16"/>
          <w:color w:val="auto"/>
        </w:rPr>
      </w:pP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Similarly, hypocotyl length of lettuce (Lactuca sativa)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seedlings decreased by 93% when R radiation (peak = 660 nm) was substituted with B at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(peaks = 435</w:t>
      </w:r>
      <w:r>
        <w:rPr>
          <w:rFonts w:ascii="Arial" w:cs="Arial" w:eastAsia="Arial" w:hAnsi="Arial"/>
          <w:sz w:val="16"/>
          <w:szCs w:val="16"/>
          <w:color w:val="auto"/>
        </w:rPr>
        <w:t>−</w:t>
      </w:r>
      <w:r>
        <w:rPr>
          <w:rFonts w:ascii="Times New Roman" w:cs="Times New Roman" w:eastAsia="Times New Roman" w:hAnsi="Times New Roman"/>
          <w:sz w:val="16"/>
          <w:szCs w:val="16"/>
          <w:color w:val="auto"/>
        </w:rPr>
        <w:t>470 nm) under a similar PPFD (</w:t>
      </w:r>
      <w:hyperlink w:anchor="page7">
        <w:r>
          <w:rPr>
            <w:rFonts w:ascii="Times New Roman" w:cs="Times New Roman" w:eastAsia="Times New Roman" w:hAnsi="Times New Roman"/>
            <w:sz w:val="16"/>
            <w:szCs w:val="16"/>
            <w:color w:val="004A76"/>
          </w:rPr>
          <w:t>Hoenecke et al., 1992</w:t>
        </w:r>
      </w:hyperlink>
      <w:r>
        <w:rPr>
          <w:rFonts w:ascii="Times New Roman" w:cs="Times New Roman" w:eastAsia="Times New Roman" w:hAnsi="Times New Roman"/>
          <w:sz w:val="16"/>
          <w:szCs w:val="16"/>
          <w:color w:val="auto"/>
        </w:rPr>
        <w:t>). Leaf chlorophyll concentration of cucumber (Cucumis sativus) increased by 38% as the proportion of B increased from 0% to 50% (</w:t>
      </w:r>
      <w:hyperlink w:anchor="page7">
        <w:r>
          <w:rPr>
            <w:rFonts w:ascii="Times New Roman" w:cs="Times New Roman" w:eastAsia="Times New Roman" w:hAnsi="Times New Roman"/>
            <w:sz w:val="16"/>
            <w:szCs w:val="16"/>
            <w:color w:val="004A76"/>
          </w:rPr>
          <w:t>Hogewoning et al., 2010</w:t>
        </w:r>
      </w:hyperlink>
      <w:r>
        <w:rPr>
          <w:rFonts w:ascii="Times New Roman" w:cs="Times New Roman" w:eastAsia="Times New Roman" w:hAnsi="Times New Roman"/>
          <w:sz w:val="16"/>
          <w:szCs w:val="16"/>
          <w:color w:val="auto"/>
        </w:rPr>
        <w:t xml:space="preserve">). However, in-creasing B can inhibit leaf expansion and subsequent plant growth. For example, cucumber seedlings were grown under supplemental lighting at 54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with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B:R under a low DLI in the greenhouse (</w:t>
      </w:r>
      <w:hyperlink w:anchor="page7">
        <w:r>
          <w:rPr>
            <w:rFonts w:ascii="Times New Roman" w:cs="Times New Roman" w:eastAsia="Times New Roman" w:hAnsi="Times New Roman"/>
            <w:sz w:val="16"/>
            <w:szCs w:val="16"/>
            <w:color w:val="004A76"/>
          </w:rPr>
          <w:t>Hernández and Kubota, 2014</w:t>
        </w:r>
      </w:hyperlink>
      <w:r>
        <w:rPr>
          <w:rFonts w:ascii="Times New Roman" w:cs="Times New Roman" w:eastAsia="Times New Roman" w:hAnsi="Times New Roman"/>
          <w:sz w:val="16"/>
          <w:szCs w:val="16"/>
          <w:color w:val="auto"/>
        </w:rPr>
        <w:t>). Leaf area of seedlings decreased by 7% and 13% as the B proportion increased from 0% to 4% and 16%, re-spectively. In a separate study, the leaf area of tomato, cucumber, and pepper (Capsicum annum) grown indoors decreased by 24</w:t>
      </w:r>
      <w:r>
        <w:rPr>
          <w:rFonts w:ascii="Arial" w:cs="Arial" w:eastAsia="Arial" w:hAnsi="Arial"/>
          <w:sz w:val="16"/>
          <w:szCs w:val="16"/>
          <w:color w:val="auto"/>
        </w:rPr>
        <w:t>–</w:t>
      </w:r>
      <w:r>
        <w:rPr>
          <w:rFonts w:ascii="Times New Roman" w:cs="Times New Roman" w:eastAsia="Times New Roman" w:hAnsi="Times New Roman"/>
          <w:sz w:val="16"/>
          <w:szCs w:val="16"/>
          <w:color w:val="auto"/>
        </w:rPr>
        <w:t>40% when the B proportion of SSL increased from 10% to 30% with a total PPFD of</w:t>
      </w:r>
    </w:p>
    <w:p>
      <w:pPr>
        <w:spacing w:after="0" w:line="10" w:lineRule="exact"/>
        <w:rPr>
          <w:rFonts w:ascii="Times New Roman" w:cs="Times New Roman" w:eastAsia="Times New Roman" w:hAnsi="Times New Roman"/>
          <w:sz w:val="16"/>
          <w:szCs w:val="16"/>
          <w:color w:val="auto"/>
        </w:rPr>
      </w:pPr>
    </w:p>
    <w:p>
      <w:pPr>
        <w:ind w:left="8" w:hanging="8"/>
        <w:spacing w:after="0" w:line="235" w:lineRule="auto"/>
        <w:tabs>
          <w:tab w:leader="none" w:pos="310" w:val="left"/>
        </w:tabs>
        <w:numPr>
          <w:ilvl w:val="0"/>
          <w:numId w:val="5"/>
        </w:numPr>
        <w:rPr>
          <w:rFonts w:ascii="Times New Roman" w:cs="Times New Roman" w:eastAsia="Times New Roman" w:hAnsi="Times New Roman"/>
          <w:sz w:val="16"/>
          <w:szCs w:val="16"/>
          <w:color w:val="auto"/>
        </w:rPr>
      </w:pP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similarly the dry mass decreased by 14</w:t>
      </w:r>
      <w:r>
        <w:rPr>
          <w:rFonts w:ascii="Arial" w:cs="Arial" w:eastAsia="Arial" w:hAnsi="Arial"/>
          <w:sz w:val="16"/>
          <w:szCs w:val="16"/>
          <w:color w:val="auto"/>
        </w:rPr>
        <w:t>–</w:t>
      </w:r>
      <w:r>
        <w:rPr>
          <w:rFonts w:ascii="Times New Roman" w:cs="Times New Roman" w:eastAsia="Times New Roman" w:hAnsi="Times New Roman"/>
          <w:sz w:val="16"/>
          <w:szCs w:val="16"/>
          <w:color w:val="auto"/>
        </w:rPr>
        <w:t>26%</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7">
        <w:r>
          <w:rPr>
            <w:rFonts w:ascii="Times New Roman" w:cs="Times New Roman" w:eastAsia="Times New Roman" w:hAnsi="Times New Roman"/>
            <w:sz w:val="16"/>
            <w:szCs w:val="16"/>
            <w:color w:val="004A76"/>
          </w:rPr>
          <w:t>Snowden et al., 2016</w:t>
        </w:r>
      </w:hyperlink>
      <w:r>
        <w:rPr>
          <w:rFonts w:ascii="Times New Roman" w:cs="Times New Roman" w:eastAsia="Times New Roman" w:hAnsi="Times New Roman"/>
          <w:sz w:val="16"/>
          <w:szCs w:val="16"/>
          <w:color w:val="auto"/>
        </w:rPr>
        <w:t>).</w:t>
      </w:r>
    </w:p>
    <w:p>
      <w:pPr>
        <w:spacing w:after="0" w:line="14" w:lineRule="exact"/>
        <w:rPr>
          <w:rFonts w:ascii="Times New Roman" w:cs="Times New Roman" w:eastAsia="Times New Roman" w:hAnsi="Times New Roman"/>
          <w:sz w:val="16"/>
          <w:szCs w:val="16"/>
          <w:color w:val="auto"/>
        </w:rPr>
      </w:pPr>
    </w:p>
    <w:p>
      <w:pPr>
        <w:jc w:val="both"/>
        <w:ind w:left="8"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More recently, studies have investigated the merits of including far-red (FR, 700</w:t>
      </w:r>
      <w:r>
        <w:rPr>
          <w:rFonts w:ascii="Arial" w:cs="Arial" w:eastAsia="Arial" w:hAnsi="Arial"/>
          <w:sz w:val="16"/>
          <w:szCs w:val="16"/>
          <w:color w:val="auto"/>
        </w:rPr>
        <w:t>−</w:t>
      </w:r>
      <w:r>
        <w:rPr>
          <w:rFonts w:ascii="Times New Roman" w:cs="Times New Roman" w:eastAsia="Times New Roman" w:hAnsi="Times New Roman"/>
          <w:sz w:val="16"/>
          <w:szCs w:val="16"/>
          <w:color w:val="auto"/>
        </w:rPr>
        <w:t>800 nm) radiation in SSL (</w:t>
      </w:r>
      <w:hyperlink w:anchor="page7">
        <w:r>
          <w:rPr>
            <w:rFonts w:ascii="Times New Roman" w:cs="Times New Roman" w:eastAsia="Times New Roman" w:hAnsi="Times New Roman"/>
            <w:sz w:val="16"/>
            <w:szCs w:val="16"/>
            <w:color w:val="004A76"/>
          </w:rPr>
          <w:t>Craver and Lopez, 2015</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Lee</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Meng and Runkle,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Park and Runkle,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Phytochrome is another photoreceptor family and primarily mediates responses to R and FR radiation. It exists in a photoequilibrium of two forms, one that primarily absorbs R radiation and another that pri-marily absorbs FR radiation. The R:FR of SSL establishes a phytochrome photoequilibrium (PPE) that regulates shade-avoidance responses and in some cases,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owering. In particular, extension growth (e.g., leaf expansion and internode elongation) increases as the R:FR decreases, especially for shade-avoiding crops. For example, the inclusion of FR (peak =731 nm) radiation to a B + R spectrum (peaks = 447 and</w:t>
      </w:r>
    </w:p>
    <w:p>
      <w:pPr>
        <w:spacing w:after="0" w:line="6" w:lineRule="exact"/>
        <w:rPr>
          <w:rFonts w:ascii="Times New Roman" w:cs="Times New Roman" w:eastAsia="Times New Roman" w:hAnsi="Times New Roman"/>
          <w:sz w:val="16"/>
          <w:szCs w:val="16"/>
          <w:color w:val="004A76"/>
        </w:rPr>
      </w:pPr>
    </w:p>
    <w:p>
      <w:pPr>
        <w:jc w:val="both"/>
        <w:ind w:left="8" w:hanging="8"/>
        <w:spacing w:after="0" w:line="273" w:lineRule="auto"/>
        <w:tabs>
          <w:tab w:leader="none" w:pos="31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nm) stimulated stem elongation in petunia (Petunia ×hybrida), geranium (Pelagonium × hortorum), snapdragon (Antirrhinum majus), and impatiens, and leaf expansion and subsequent dry matter accu-mulation in geranium and snapdragon (Park and Runkle, 2017). Simi-larly, the addition of FR (peak = 735 nm) to B + R (peaks = 440 and</w:t>
      </w:r>
    </w:p>
    <w:p>
      <w:pPr>
        <w:ind w:left="308" w:hanging="308"/>
        <w:spacing w:after="0"/>
        <w:tabs>
          <w:tab w:leader="none" w:pos="308"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nm) increased leaf area and shoot fresh weight of lettuce by</w:t>
      </w:r>
    </w:p>
    <w:p>
      <w:pPr>
        <w:spacing w:after="0" w:line="24" w:lineRule="exact"/>
        <w:rPr>
          <w:rFonts w:ascii="Times New Roman" w:cs="Times New Roman" w:eastAsia="Times New Roman" w:hAnsi="Times New Roman"/>
          <w:sz w:val="16"/>
          <w:szCs w:val="16"/>
          <w:color w:val="auto"/>
        </w:rPr>
      </w:pPr>
    </w:p>
    <w:p>
      <w:pPr>
        <w:jc w:val="both"/>
        <w:ind w:left="8" w:hanging="8"/>
        <w:spacing w:after="0" w:line="260" w:lineRule="auto"/>
        <w:tabs>
          <w:tab w:leader="none" w:pos="188" w:val="left"/>
        </w:tabs>
        <w:numPr>
          <w:ilvl w:val="0"/>
          <w:numId w:val="8"/>
        </w:numPr>
        <w:rPr>
          <w:rFonts w:ascii="Times New Roman" w:cs="Times New Roman" w:eastAsia="Times New Roman" w:hAnsi="Times New Roman"/>
          <w:sz w:val="16"/>
          <w:szCs w:val="16"/>
          <w:color w:val="auto"/>
        </w:rPr>
      </w:pPr>
      <w:r>
        <w:rPr>
          <w:rFonts w:ascii="Arial" w:cs="Arial" w:eastAsia="Arial" w:hAnsi="Arial"/>
          <w:sz w:val="16"/>
          <w:szCs w:val="16"/>
          <w:color w:val="auto"/>
        </w:rPr>
        <w:t>–</w:t>
      </w:r>
      <w:r>
        <w:rPr>
          <w:rFonts w:ascii="Times New Roman" w:cs="Times New Roman" w:eastAsia="Times New Roman" w:hAnsi="Times New Roman"/>
          <w:sz w:val="16"/>
          <w:szCs w:val="16"/>
          <w:color w:val="auto"/>
        </w:rPr>
        <w:t>60% and 21</w:t>
      </w:r>
      <w:r>
        <w:rPr>
          <w:rFonts w:ascii="Arial" w:cs="Arial" w:eastAsia="Arial" w:hAnsi="Arial"/>
          <w:sz w:val="16"/>
          <w:szCs w:val="16"/>
          <w:color w:val="auto"/>
        </w:rPr>
        <w:t>–</w:t>
      </w:r>
      <w:r>
        <w:rPr>
          <w:rFonts w:ascii="Times New Roman" w:cs="Times New Roman" w:eastAsia="Times New Roman" w:hAnsi="Times New Roman"/>
          <w:sz w:val="16"/>
          <w:szCs w:val="16"/>
          <w:color w:val="auto"/>
        </w:rPr>
        <w:t>52%, respectively (</w:t>
      </w:r>
      <w:hyperlink w:anchor="page7">
        <w:r>
          <w:rPr>
            <w:rFonts w:ascii="Times New Roman" w:cs="Times New Roman" w:eastAsia="Times New Roman" w:hAnsi="Times New Roman"/>
            <w:sz w:val="16"/>
            <w:szCs w:val="16"/>
            <w:color w:val="004A76"/>
          </w:rPr>
          <w:t>Lee et al., 2016</w:t>
        </w:r>
      </w:hyperlink>
      <w:r>
        <w:rPr>
          <w:rFonts w:ascii="Times New Roman" w:cs="Times New Roman" w:eastAsia="Times New Roman" w:hAnsi="Times New Roman"/>
          <w:sz w:val="16"/>
          <w:szCs w:val="16"/>
          <w:color w:val="auto"/>
        </w:rPr>
        <w:t>). In addition, FR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radiation can promote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of some long-day plants (LDPs). </w:t>
      </w:r>
      <w:hyperlink w:anchor="page7">
        <w:r>
          <w:rPr>
            <w:rFonts w:ascii="Times New Roman" w:cs="Times New Roman" w:eastAsia="Times New Roman" w:hAnsi="Times New Roman"/>
            <w:sz w:val="16"/>
            <w:szCs w:val="16"/>
            <w:color w:val="004A76"/>
          </w:rPr>
          <w:t>Craig and Runkle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reported that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of petunia, snapdragon, black-eyed susan (Rudbeckia hirta), and fuchsia (Fuchsia × hybrida) was accelerated when FR was added to R light as night-interruption lighting in greenhouses. Similarly,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of snapdragon was accelerated by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12 d when B + R at 160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included FR at 16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64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during indoor production of seedlings (Park and Runkle, 2017). Including FR radiation with B ra-diation at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attenuated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FR on extension growth but not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w:t>
      </w:r>
      <w:hyperlink w:anchor="page7">
        <w:r>
          <w:rPr>
            <w:rFonts w:ascii="Times New Roman" w:cs="Times New Roman" w:eastAsia="Times New Roman" w:hAnsi="Times New Roman"/>
            <w:sz w:val="16"/>
            <w:szCs w:val="16"/>
            <w:color w:val="004A76"/>
          </w:rPr>
          <w:t>Park and Runkle, 2019</w:t>
        </w:r>
      </w:hyperlink>
      <w:r>
        <w:rPr>
          <w:rFonts w:ascii="Times New Roman" w:cs="Times New Roman" w:eastAsia="Times New Roman" w:hAnsi="Times New Roman"/>
          <w:sz w:val="16"/>
          <w:szCs w:val="16"/>
          <w:color w:val="auto"/>
        </w:rPr>
        <w:t>). However, con-sidering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sensitivities of plants to FR radiation and inter-active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radiation wavebands, more information is needed on how FR interacts with B and R radiation to elicit desired quality attri-butes of ornamental crops.</w:t>
      </w:r>
    </w:p>
    <w:p>
      <w:pPr>
        <w:spacing w:after="0" w:line="216" w:lineRule="exact"/>
        <w:rPr>
          <w:rFonts w:ascii="Times New Roman" w:cs="Times New Roman" w:eastAsia="Times New Roman" w:hAnsi="Times New Roman"/>
          <w:sz w:val="16"/>
          <w:szCs w:val="16"/>
          <w:color w:val="auto"/>
        </w:rPr>
      </w:pPr>
    </w:p>
    <w:p>
      <w:pPr>
        <w:jc w:val="both"/>
        <w:ind w:left="8"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 better understand the interactions between R, B, and FR radia-tion on the physiology of a variety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oriculture crop seedlings with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shade tolerance, we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the responses of adding FR radiation to two combinations of B + R SSL lighting, and compared plants with those grown under white SSL, or under greenhouse condi-tions. We anticipated that the sensitivity of plants to FR radiation would be related to the shade tolerance and photoperiodic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response of crops.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cally, we hypothesized that FR would promote stem elongation, leaf expansion, and subsequent seedling growth more in shade-avoiding species than in shade-tolerant ones. The inclusion of FR in a radiation spectrum would accelerate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of at least some LDP, but minimally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in short-day plants and day-neutral plants. We also hypothesized that an</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109478</w:t>
      </w:r>
    </w:p>
    <w:p>
      <w:pPr>
        <w:spacing w:after="0" w:line="333" w:lineRule="exact"/>
        <w:rPr>
          <w:rFonts w:ascii="Arial" w:cs="Arial" w:eastAsia="Arial" w:hAnsi="Arial"/>
          <w:sz w:val="16"/>
          <w:szCs w:val="16"/>
          <w:color w:val="auto"/>
        </w:rPr>
      </w:pPr>
    </w:p>
    <w:p>
      <w:pPr>
        <w:jc w:val="both"/>
        <w:spacing w:after="0" w:line="292" w:lineRule="auto"/>
        <w:rPr>
          <w:sz w:val="20"/>
          <w:szCs w:val="20"/>
          <w:color w:val="auto"/>
        </w:rPr>
      </w:pPr>
      <w:r>
        <w:rPr>
          <w:rFonts w:ascii="Times New Roman" w:cs="Times New Roman" w:eastAsia="Times New Roman" w:hAnsi="Times New Roman"/>
          <w:sz w:val="16"/>
          <w:szCs w:val="16"/>
          <w:color w:val="auto"/>
        </w:rPr>
        <w:t>increase in B radiation would mitigate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FR radiation on stem elongation and leaf expansion while increasing leaf chlorophyll concentration.</w:t>
      </w:r>
    </w:p>
    <w:p>
      <w:pPr>
        <w:spacing w:after="0" w:line="386"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Arial" w:cs="Arial" w:eastAsia="Arial" w:hAnsi="Arial"/>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Plant material</w:t>
      </w:r>
    </w:p>
    <w:p>
      <w:pPr>
        <w:spacing w:after="0" w:line="234" w:lineRule="exact"/>
        <w:rPr>
          <w:rFonts w:ascii="Arial" w:cs="Arial" w:eastAsia="Arial" w:hAnsi="Arial"/>
          <w:sz w:val="16"/>
          <w:szCs w:val="16"/>
          <w:color w:val="auto"/>
        </w:rPr>
      </w:pPr>
    </w:p>
    <w:p>
      <w:pPr>
        <w:jc w:val="both"/>
        <w:ind w:firstLine="250"/>
        <w:spacing w:after="0" w:line="262" w:lineRule="auto"/>
        <w:rPr>
          <w:sz w:val="20"/>
          <w:szCs w:val="20"/>
          <w:color w:val="auto"/>
        </w:rPr>
      </w:pPr>
      <w:r>
        <w:rPr>
          <w:rFonts w:ascii="Times New Roman" w:cs="Times New Roman" w:eastAsia="Times New Roman" w:hAnsi="Times New Roman"/>
          <w:sz w:val="16"/>
          <w:szCs w:val="16"/>
          <w:color w:val="auto"/>
        </w:rPr>
        <w:t xml:space="preserve">LDPs dianthus (Dianthus barbatus) </w:t>
      </w:r>
      <w:r>
        <w:rPr>
          <w:rFonts w:ascii="Arial" w:cs="Arial" w:eastAsia="Arial" w:hAnsi="Arial"/>
          <w:sz w:val="16"/>
          <w:szCs w:val="16"/>
          <w:color w:val="auto"/>
        </w:rPr>
        <w:t>‘</w:t>
      </w:r>
      <w:r>
        <w:rPr>
          <w:rFonts w:ascii="Times New Roman" w:cs="Times New Roman" w:eastAsia="Times New Roman" w:hAnsi="Times New Roman"/>
          <w:sz w:val="16"/>
          <w:szCs w:val="16"/>
          <w:color w:val="auto"/>
        </w:rPr>
        <w:t>Jolt Cherry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petunia </w:t>
      </w:r>
      <w:r>
        <w:rPr>
          <w:rFonts w:ascii="Arial" w:cs="Arial" w:eastAsia="Arial" w:hAnsi="Arial"/>
          <w:sz w:val="16"/>
          <w:szCs w:val="16"/>
          <w:color w:val="auto"/>
        </w:rPr>
        <w:t>‘</w:t>
      </w:r>
      <w:r>
        <w:rPr>
          <w:rFonts w:ascii="Times New Roman" w:cs="Times New Roman" w:eastAsia="Times New Roman" w:hAnsi="Times New Roman"/>
          <w:sz w:val="16"/>
          <w:szCs w:val="16"/>
          <w:color w:val="auto"/>
        </w:rPr>
        <w:t>Wave Blue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snapdragon </w:t>
      </w:r>
      <w:r>
        <w:rPr>
          <w:rFonts w:ascii="Arial" w:cs="Arial" w:eastAsia="Arial" w:hAnsi="Arial"/>
          <w:sz w:val="16"/>
          <w:szCs w:val="16"/>
          <w:color w:val="auto"/>
        </w:rPr>
        <w:t>‘</w:t>
      </w:r>
      <w:r>
        <w:rPr>
          <w:rFonts w:ascii="Times New Roman" w:cs="Times New Roman" w:eastAsia="Times New Roman" w:hAnsi="Times New Roman"/>
          <w:sz w:val="16"/>
          <w:szCs w:val="16"/>
          <w:color w:val="auto"/>
        </w:rPr>
        <w:t>Liberty Classic Yellow</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short-day plants African marigold (Tagetes erecta) </w:t>
      </w:r>
      <w:r>
        <w:rPr>
          <w:rFonts w:ascii="Arial" w:cs="Arial" w:eastAsia="Arial" w:hAnsi="Arial"/>
          <w:sz w:val="16"/>
          <w:szCs w:val="16"/>
          <w:color w:val="auto"/>
        </w:rPr>
        <w:t>‘</w:t>
      </w:r>
      <w:r>
        <w:rPr>
          <w:rFonts w:ascii="Times New Roman" w:cs="Times New Roman" w:eastAsia="Times New Roman" w:hAnsi="Times New Roman"/>
          <w:sz w:val="16"/>
          <w:szCs w:val="16"/>
          <w:color w:val="auto"/>
        </w:rPr>
        <w:t>Antigua Orange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coleus (Solenostemon scu-tellarioides) </w:t>
      </w:r>
      <w:r>
        <w:rPr>
          <w:rFonts w:ascii="Arial" w:cs="Arial" w:eastAsia="Arial" w:hAnsi="Arial"/>
          <w:sz w:val="16"/>
          <w:szCs w:val="16"/>
          <w:color w:val="auto"/>
        </w:rPr>
        <w:t>‘</w:t>
      </w:r>
      <w:r>
        <w:rPr>
          <w:rFonts w:ascii="Times New Roman" w:cs="Times New Roman" w:eastAsia="Times New Roman" w:hAnsi="Times New Roman"/>
          <w:sz w:val="16"/>
          <w:szCs w:val="16"/>
          <w:color w:val="auto"/>
        </w:rPr>
        <w:t>Wizard Golden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zinnia (Zinnia elegans) </w:t>
      </w:r>
      <w:r>
        <w:rPr>
          <w:rFonts w:ascii="Arial" w:cs="Arial" w:eastAsia="Arial" w:hAnsi="Arial"/>
          <w:sz w:val="16"/>
          <w:szCs w:val="16"/>
          <w:color w:val="auto"/>
        </w:rPr>
        <w:t>‘</w:t>
      </w:r>
      <w:r>
        <w:rPr>
          <w:rFonts w:ascii="Times New Roman" w:cs="Times New Roman" w:eastAsia="Times New Roman" w:hAnsi="Times New Roman"/>
          <w:sz w:val="16"/>
          <w:szCs w:val="16"/>
          <w:color w:val="auto"/>
        </w:rPr>
        <w:t>Magellan Pink</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day-neutral plants geranium </w:t>
      </w:r>
      <w:r>
        <w:rPr>
          <w:rFonts w:ascii="Arial" w:cs="Arial" w:eastAsia="Arial" w:hAnsi="Arial"/>
          <w:sz w:val="16"/>
          <w:szCs w:val="16"/>
          <w:color w:val="auto"/>
        </w:rPr>
        <w:t>‘</w:t>
      </w:r>
      <w:r>
        <w:rPr>
          <w:rFonts w:ascii="Times New Roman" w:cs="Times New Roman" w:eastAsia="Times New Roman" w:hAnsi="Times New Roman"/>
          <w:sz w:val="16"/>
          <w:szCs w:val="16"/>
          <w:color w:val="auto"/>
        </w:rPr>
        <w:t>Pinto Premium Orange Bicolor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im-patiens </w:t>
      </w:r>
      <w:r>
        <w:rPr>
          <w:rFonts w:ascii="Arial" w:cs="Arial" w:eastAsia="Arial" w:hAnsi="Arial"/>
          <w:sz w:val="16"/>
          <w:szCs w:val="16"/>
          <w:color w:val="auto"/>
        </w:rPr>
        <w:t>‘</w:t>
      </w:r>
      <w:r>
        <w:rPr>
          <w:rFonts w:ascii="Times New Roman" w:cs="Times New Roman" w:eastAsia="Times New Roman" w:hAnsi="Times New Roman"/>
          <w:sz w:val="16"/>
          <w:szCs w:val="16"/>
          <w:color w:val="auto"/>
        </w:rPr>
        <w:t>Super El</w:t>
      </w:r>
      <w:r>
        <w:rPr>
          <w:rFonts w:ascii="Arial" w:cs="Arial" w:eastAsia="Arial" w:hAnsi="Arial"/>
          <w:sz w:val="16"/>
          <w:szCs w:val="16"/>
          <w:color w:val="auto"/>
        </w:rPr>
        <w:t>fi</w:t>
      </w:r>
      <w:r>
        <w:rPr>
          <w:rFonts w:ascii="Times New Roman" w:cs="Times New Roman" w:eastAsia="Times New Roman" w:hAnsi="Times New Roman"/>
          <w:sz w:val="16"/>
          <w:szCs w:val="16"/>
          <w:color w:val="auto"/>
        </w:rPr>
        <w:t>n XP Red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tomato </w:t>
      </w:r>
      <w:r>
        <w:rPr>
          <w:rFonts w:ascii="Arial" w:cs="Arial" w:eastAsia="Arial" w:hAnsi="Arial"/>
          <w:sz w:val="16"/>
          <w:szCs w:val="16"/>
          <w:color w:val="auto"/>
        </w:rPr>
        <w:t>‘</w:t>
      </w:r>
      <w:r>
        <w:rPr>
          <w:rFonts w:ascii="Times New Roman" w:cs="Times New Roman" w:eastAsia="Times New Roman" w:hAnsi="Times New Roman"/>
          <w:sz w:val="16"/>
          <w:szCs w:val="16"/>
          <w:color w:val="auto"/>
        </w:rPr>
        <w:t>Micro Tom</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were selected for study according to commercial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photoperiodic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response, and shade tolerance. Impatiens and coleus are shade-tolerant plants, whereas the others are shade-avoiding plants. Seeds of each species were sown in 128-cell plug trays by a commercial young-plant producer (Raker-Roberta</w:t>
      </w:r>
      <w:r>
        <w:rPr>
          <w:rFonts w:ascii="Arial" w:cs="Arial" w:eastAsia="Arial" w:hAnsi="Arial"/>
          <w:sz w:val="16"/>
          <w:szCs w:val="16"/>
          <w:color w:val="auto"/>
        </w:rPr>
        <w:t>’</w:t>
      </w:r>
      <w:r>
        <w:rPr>
          <w:rFonts w:ascii="Times New Roman" w:cs="Times New Roman" w:eastAsia="Times New Roman" w:hAnsi="Times New Roman"/>
          <w:sz w:val="16"/>
          <w:szCs w:val="16"/>
          <w:color w:val="auto"/>
        </w:rPr>
        <w:t>s, Litch</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MI). They were transferred to an environmentally controlled glass-glazed research greenhouse at Michigan State University (East Lansing, MI) within 7 d of seed sow and grown at 20 °C until the appearance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true leaves. A 16-h photoperiod (from 0600 to 2200 </w:t>
      </w:r>
      <w:r>
        <w:rPr>
          <w:rFonts w:ascii="Times New Roman" w:cs="Times New Roman" w:eastAsia="Times New Roman" w:hAnsi="Times New Roman"/>
          <w:sz w:val="11"/>
          <w:szCs w:val="11"/>
          <w:color w:val="auto"/>
        </w:rPr>
        <w:t>HR</w:t>
      </w:r>
      <w:r>
        <w:rPr>
          <w:rFonts w:ascii="Times New Roman" w:cs="Times New Roman" w:eastAsia="Times New Roman" w:hAnsi="Times New Roman"/>
          <w:sz w:val="16"/>
          <w:szCs w:val="16"/>
          <w:color w:val="auto"/>
        </w:rPr>
        <w:t xml:space="preserve">) was delivered with ambient solar radiation supplemented by high-pressure sodium (HPS)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xtures (400 W; LR48877; P.L. Light System, Beamsville, Ontario, Canada) that automatically turned on when the PPFD outdoors was &lt; 440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The average PPFD at seedling height from the HPS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xtures was 67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For each replication, the days from seed sow to the start of the radiation treatments were as follows (re-plication 1, 2): African marigold (8, 10), coleus (12, 16), dianthus (9, 10), geranium (8, 10), impatiens (12, 14), petunia (12, 16), snapdragon (14, 16), tomato (12, 10), and zinnia (8, 10). Each plug tray was then divided into four sections, each with 32 seedlings, thinned to one seedling per cell, and placed under the SSL treatments.</w:t>
      </w: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31" w:lineRule="exact"/>
        <w:rPr>
          <w:rFonts w:ascii="Arial" w:cs="Arial" w:eastAsia="Arial" w:hAnsi="Arial"/>
          <w:sz w:val="16"/>
          <w:szCs w:val="16"/>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2.2. Radiation treatments and environmental conditions during the seedling stage</w:t>
      </w:r>
    </w:p>
    <w:p>
      <w:pPr>
        <w:spacing w:after="0" w:line="189" w:lineRule="exact"/>
        <w:rPr>
          <w:rFonts w:ascii="Arial" w:cs="Arial" w:eastAsia="Arial" w:hAnsi="Arial"/>
          <w:sz w:val="16"/>
          <w:szCs w:val="16"/>
          <w:color w:val="auto"/>
        </w:rPr>
      </w:pPr>
    </w:p>
    <w:p>
      <w:pPr>
        <w:jc w:val="both"/>
        <w:ind w:firstLine="249"/>
        <w:spacing w:after="0" w:line="271" w:lineRule="auto"/>
        <w:rPr>
          <w:sz w:val="20"/>
          <w:szCs w:val="20"/>
          <w:color w:val="auto"/>
        </w:rPr>
      </w:pPr>
      <w:r>
        <w:rPr>
          <w:rFonts w:ascii="Times New Roman" w:cs="Times New Roman" w:eastAsia="Times New Roman" w:hAnsi="Times New Roman"/>
          <w:sz w:val="16"/>
          <w:szCs w:val="16"/>
          <w:color w:val="auto"/>
        </w:rPr>
        <w:t xml:space="preserve">The experiment was performed in one of the two compartments of the Michigan State University Controlled -Environment Lighting Laboratory (CELL), which had four racks in each compartment. Each rack (1.2 × 0.6 × 2.4 m) contained three vertically stacked shelves and the top of each shelf contained three LED panels (OSRAM, Beverly, MA) 0.5 m above the seedling trays. The panels contained B (peak = 449 nm), R (peak = 664 nm), FR (peak = 733 nm), and warm white (WW; peak = 639 nm) LEDs that faced down toward the plants. The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of each LED type was independently adjusted by computer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software customized by OSRAM. Radiation treatments were designed to determine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the addition of FR radiation to typical B+R spectra with either a low or high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Three racks provided the following nine SSL radiation treatments with an 18-h photoperiod (subscript values indicate the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of each waveband, in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6"/>
          <w:szCs w:val="16"/>
          <w:color w:val="auto"/>
        </w:rPr>
        <w:t>,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w:t>
      </w:r>
    </w:p>
    <w:p>
      <w:pPr>
        <w:spacing w:after="0" w:line="198" w:lineRule="exact"/>
        <w:rPr>
          <w:rFonts w:ascii="Arial" w:cs="Arial" w:eastAsia="Arial" w:hAnsi="Arial"/>
          <w:sz w:val="16"/>
          <w:szCs w:val="16"/>
          <w:color w:val="auto"/>
        </w:rPr>
      </w:pPr>
    </w:p>
    <w:p>
      <w:pPr>
        <w:jc w:val="both"/>
        <w:spacing w:after="0" w:line="237" w:lineRule="auto"/>
        <w:rPr>
          <w:rFonts w:ascii="Times New Roman" w:cs="Times New Roman" w:eastAsia="Times New Roman" w:hAnsi="Times New Roman"/>
          <w:sz w:val="15"/>
          <w:szCs w:val="15"/>
          <w:color w:val="auto"/>
        </w:rPr>
      </w:pPr>
      <w:r>
        <w:rPr>
          <w:rFonts w:ascii="Times New Roman" w:cs="Times New Roman" w:eastAsia="Times New Roman" w:hAnsi="Times New Roman"/>
          <w:sz w:val="31"/>
          <w:szCs w:val="31"/>
          <w:color w:val="auto"/>
          <w:vertAlign w:val="superscript"/>
        </w:rPr>
        <w:t>B</w:t>
      </w:r>
      <w:r>
        <w:rPr>
          <w:rFonts w:ascii="Times New Roman" w:cs="Times New Roman" w:eastAsia="Times New Roman" w:hAnsi="Times New Roman"/>
          <w:sz w:val="11"/>
          <w:szCs w:val="11"/>
          <w:color w:val="auto"/>
        </w:rPr>
        <w:t>20</w:t>
      </w:r>
      <w:r>
        <w:rPr>
          <w:rFonts w:ascii="Times New Roman" w:cs="Times New Roman" w:eastAsia="Times New Roman" w:hAnsi="Times New Roman"/>
          <w:sz w:val="31"/>
          <w:szCs w:val="31"/>
          <w:color w:val="auto"/>
          <w:vertAlign w:val="superscript"/>
        </w:rPr>
        <w:t>R</w:t>
      </w:r>
      <w:r>
        <w:rPr>
          <w:rFonts w:ascii="Times New Roman" w:cs="Times New Roman" w:eastAsia="Times New Roman" w:hAnsi="Times New Roman"/>
          <w:sz w:val="11"/>
          <w:szCs w:val="11"/>
          <w:color w:val="auto"/>
        </w:rPr>
        <w:t>160</w:t>
      </w:r>
      <w:r>
        <w:rPr>
          <w:rFonts w:ascii="Times New Roman" w:cs="Times New Roman" w:eastAsia="Times New Roman" w:hAnsi="Times New Roman"/>
          <w:sz w:val="31"/>
          <w:szCs w:val="31"/>
          <w:color w:val="auto"/>
          <w:vertAlign w:val="superscript"/>
        </w:rPr>
        <w:t>FR</w:t>
      </w:r>
      <w:r>
        <w:rPr>
          <w:rFonts w:ascii="Times New Roman" w:cs="Times New Roman" w:eastAsia="Times New Roman" w:hAnsi="Times New Roman"/>
          <w:sz w:val="11"/>
          <w:szCs w:val="11"/>
          <w:color w:val="auto"/>
        </w:rPr>
        <w:t>40</w:t>
      </w:r>
      <w:r>
        <w:rPr>
          <w:rFonts w:ascii="Times New Roman" w:cs="Times New Roman" w:eastAsia="Times New Roman" w:hAnsi="Times New Roman"/>
          <w:sz w:val="31"/>
          <w:szCs w:val="31"/>
          <w:color w:val="auto"/>
          <w:vertAlign w:val="superscript"/>
        </w:rPr>
        <w:t>, B</w:t>
      </w:r>
      <w:r>
        <w:rPr>
          <w:rFonts w:ascii="Times New Roman" w:cs="Times New Roman" w:eastAsia="Times New Roman" w:hAnsi="Times New Roman"/>
          <w:sz w:val="11"/>
          <w:szCs w:val="11"/>
          <w:color w:val="auto"/>
        </w:rPr>
        <w:t>60</w:t>
      </w:r>
      <w:r>
        <w:rPr>
          <w:rFonts w:ascii="Times New Roman" w:cs="Times New Roman" w:eastAsia="Times New Roman" w:hAnsi="Times New Roman"/>
          <w:sz w:val="31"/>
          <w:szCs w:val="31"/>
          <w:color w:val="auto"/>
          <w:vertAlign w:val="superscript"/>
        </w:rPr>
        <w:t>R</w:t>
      </w:r>
      <w:r>
        <w:rPr>
          <w:rFonts w:ascii="Times New Roman" w:cs="Times New Roman" w:eastAsia="Times New Roman" w:hAnsi="Times New Roman"/>
          <w:sz w:val="11"/>
          <w:szCs w:val="11"/>
          <w:color w:val="auto"/>
        </w:rPr>
        <w:t xml:space="preserve">120 </w:t>
      </w:r>
      <w:r>
        <w:rPr>
          <w:rFonts w:ascii="Times New Roman" w:cs="Times New Roman" w:eastAsia="Times New Roman" w:hAnsi="Times New Roman"/>
          <w:sz w:val="31"/>
          <w:szCs w:val="31"/>
          <w:color w:val="auto"/>
          <w:vertAlign w:val="superscript"/>
        </w:rPr>
        <w:t>, B</w:t>
      </w:r>
      <w:r>
        <w:rPr>
          <w:rFonts w:ascii="Times New Roman" w:cs="Times New Roman" w:eastAsia="Times New Roman" w:hAnsi="Times New Roman"/>
          <w:sz w:val="11"/>
          <w:szCs w:val="11"/>
          <w:color w:val="auto"/>
        </w:rPr>
        <w:t>60</w:t>
      </w:r>
      <w:r>
        <w:rPr>
          <w:rFonts w:ascii="Times New Roman" w:cs="Times New Roman" w:eastAsia="Times New Roman" w:hAnsi="Times New Roman"/>
          <w:sz w:val="31"/>
          <w:szCs w:val="31"/>
          <w:color w:val="auto"/>
          <w:vertAlign w:val="superscript"/>
        </w:rPr>
        <w:t>R</w:t>
      </w:r>
      <w:r>
        <w:rPr>
          <w:rFonts w:ascii="Times New Roman" w:cs="Times New Roman" w:eastAsia="Times New Roman" w:hAnsi="Times New Roman"/>
          <w:sz w:val="11"/>
          <w:szCs w:val="11"/>
          <w:color w:val="auto"/>
        </w:rPr>
        <w:t>120</w:t>
      </w:r>
      <w:r>
        <w:rPr>
          <w:rFonts w:ascii="Times New Roman" w:cs="Times New Roman" w:eastAsia="Times New Roman" w:hAnsi="Times New Roman"/>
          <w:sz w:val="31"/>
          <w:szCs w:val="31"/>
          <w:color w:val="auto"/>
          <w:vertAlign w:val="superscript"/>
        </w:rPr>
        <w:t>FR</w:t>
      </w:r>
      <w:r>
        <w:rPr>
          <w:rFonts w:ascii="Times New Roman" w:cs="Times New Roman" w:eastAsia="Times New Roman" w:hAnsi="Times New Roman"/>
          <w:sz w:val="11"/>
          <w:szCs w:val="11"/>
          <w:color w:val="auto"/>
        </w:rPr>
        <w:t>10</w:t>
      </w:r>
      <w:r>
        <w:rPr>
          <w:rFonts w:ascii="Times New Roman" w:cs="Times New Roman" w:eastAsia="Times New Roman" w:hAnsi="Times New Roman"/>
          <w:sz w:val="31"/>
          <w:szCs w:val="31"/>
          <w:color w:val="auto"/>
          <w:vertAlign w:val="superscript"/>
        </w:rPr>
        <w:t>, B</w:t>
      </w:r>
      <w:r>
        <w:rPr>
          <w:rFonts w:ascii="Times New Roman" w:cs="Times New Roman" w:eastAsia="Times New Roman" w:hAnsi="Times New Roman"/>
          <w:sz w:val="11"/>
          <w:szCs w:val="11"/>
          <w:color w:val="auto"/>
        </w:rPr>
        <w:t>60</w:t>
      </w:r>
      <w:r>
        <w:rPr>
          <w:rFonts w:ascii="Times New Roman" w:cs="Times New Roman" w:eastAsia="Times New Roman" w:hAnsi="Times New Roman"/>
          <w:sz w:val="31"/>
          <w:szCs w:val="31"/>
          <w:color w:val="auto"/>
          <w:vertAlign w:val="superscript"/>
        </w:rPr>
        <w:t>R</w:t>
      </w:r>
      <w:r>
        <w:rPr>
          <w:rFonts w:ascii="Times New Roman" w:cs="Times New Roman" w:eastAsia="Times New Roman" w:hAnsi="Times New Roman"/>
          <w:sz w:val="11"/>
          <w:szCs w:val="11"/>
          <w:color w:val="auto"/>
        </w:rPr>
        <w:t>120</w:t>
      </w:r>
      <w:r>
        <w:rPr>
          <w:rFonts w:ascii="Times New Roman" w:cs="Times New Roman" w:eastAsia="Times New Roman" w:hAnsi="Times New Roman"/>
          <w:sz w:val="31"/>
          <w:szCs w:val="31"/>
          <w:color w:val="auto"/>
          <w:vertAlign w:val="superscript"/>
        </w:rPr>
        <w:t>FR</w:t>
      </w:r>
      <w:r>
        <w:rPr>
          <w:rFonts w:ascii="Times New Roman" w:cs="Times New Roman" w:eastAsia="Times New Roman" w:hAnsi="Times New Roman"/>
          <w:sz w:val="11"/>
          <w:szCs w:val="11"/>
          <w:color w:val="auto"/>
        </w:rPr>
        <w:t>20</w:t>
      </w:r>
      <w:r>
        <w:rPr>
          <w:rFonts w:ascii="Times New Roman" w:cs="Times New Roman" w:eastAsia="Times New Roman" w:hAnsi="Times New Roman"/>
          <w:sz w:val="31"/>
          <w:szCs w:val="31"/>
          <w:color w:val="auto"/>
          <w:vertAlign w:val="superscript"/>
        </w:rPr>
        <w:t>, B</w:t>
      </w:r>
      <w:r>
        <w:rPr>
          <w:rFonts w:ascii="Times New Roman" w:cs="Times New Roman" w:eastAsia="Times New Roman" w:hAnsi="Times New Roman"/>
          <w:sz w:val="11"/>
          <w:szCs w:val="11"/>
          <w:color w:val="auto"/>
        </w:rPr>
        <w:t>60</w:t>
      </w:r>
      <w:r>
        <w:rPr>
          <w:rFonts w:ascii="Times New Roman" w:cs="Times New Roman" w:eastAsia="Times New Roman" w:hAnsi="Times New Roman"/>
          <w:sz w:val="31"/>
          <w:szCs w:val="31"/>
          <w:color w:val="auto"/>
          <w:vertAlign w:val="superscript"/>
        </w:rPr>
        <w:t>R</w:t>
      </w:r>
      <w:r>
        <w:rPr>
          <w:rFonts w:ascii="Times New Roman" w:cs="Times New Roman" w:eastAsia="Times New Roman" w:hAnsi="Times New Roman"/>
          <w:sz w:val="11"/>
          <w:szCs w:val="11"/>
          <w:color w:val="auto"/>
        </w:rPr>
        <w:t>120</w:t>
      </w:r>
      <w:r>
        <w:rPr>
          <w:rFonts w:ascii="Times New Roman" w:cs="Times New Roman" w:eastAsia="Times New Roman" w:hAnsi="Times New Roman"/>
          <w:sz w:val="31"/>
          <w:szCs w:val="31"/>
          <w:color w:val="auto"/>
          <w:vertAlign w:val="superscript"/>
        </w:rPr>
        <w:t>FR</w:t>
      </w:r>
      <w:r>
        <w:rPr>
          <w:rFonts w:ascii="Times New Roman" w:cs="Times New Roman" w:eastAsia="Times New Roman" w:hAnsi="Times New Roman"/>
          <w:sz w:val="11"/>
          <w:szCs w:val="11"/>
          <w:color w:val="auto"/>
        </w:rPr>
        <w:t>40</w:t>
      </w:r>
      <w:r>
        <w:rPr>
          <w:rFonts w:ascii="Times New Roman" w:cs="Times New Roman" w:eastAsia="Times New Roman" w:hAnsi="Times New Roman"/>
          <w:sz w:val="31"/>
          <w:szCs w:val="31"/>
          <w:color w:val="auto"/>
          <w:vertAlign w:val="superscript"/>
        </w:rPr>
        <w:t>, and</w:t>
      </w:r>
      <w:r>
        <w:rPr>
          <w:rFonts w:ascii="Times New Roman" w:cs="Times New Roman" w:eastAsia="Times New Roman" w:hAnsi="Times New Roman"/>
          <w:sz w:val="11"/>
          <w:szCs w:val="11"/>
          <w:color w:val="auto"/>
        </w:rPr>
        <w:t xml:space="preserve"> </w:t>
      </w:r>
      <w:r>
        <w:rPr>
          <w:rFonts w:ascii="Times New Roman" w:cs="Times New Roman" w:eastAsia="Times New Roman" w:hAnsi="Times New Roman"/>
          <w:sz w:val="15"/>
          <w:szCs w:val="15"/>
          <w:color w:val="auto"/>
        </w:rPr>
        <w:t>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5"/>
          <w:szCs w:val="15"/>
          <w:color w:val="auto"/>
        </w:rPr>
        <w:t xml:space="preserve"> (</w:t>
      </w:r>
      <w:hyperlink w:anchor="page7">
        <w:r>
          <w:rPr>
            <w:rFonts w:ascii="Times New Roman" w:cs="Times New Roman" w:eastAsia="Times New Roman" w:hAnsi="Times New Roman"/>
            <w:sz w:val="15"/>
            <w:szCs w:val="15"/>
            <w:color w:val="004A76"/>
          </w:rPr>
          <w:t>Fig. 1</w:t>
        </w:r>
      </w:hyperlink>
      <w:r>
        <w:rPr>
          <w:rFonts w:ascii="Times New Roman" w:cs="Times New Roman" w:eastAsia="Times New Roman" w:hAnsi="Times New Roman"/>
          <w:sz w:val="15"/>
          <w:szCs w:val="15"/>
          <w:color w:val="auto"/>
        </w:rPr>
        <w:t xml:space="preserve">; </w:t>
      </w:r>
      <w:hyperlink w:anchor="page7">
        <w:r>
          <w:rPr>
            <w:rFonts w:ascii="Times New Roman" w:cs="Times New Roman" w:eastAsia="Times New Roman" w:hAnsi="Times New Roman"/>
            <w:sz w:val="15"/>
            <w:szCs w:val="15"/>
            <w:color w:val="004A76"/>
          </w:rPr>
          <w:t>Table 1</w:t>
        </w:r>
      </w:hyperlink>
      <w:r>
        <w:rPr>
          <w:rFonts w:ascii="Times New Roman" w:cs="Times New Roman" w:eastAsia="Times New Roman" w:hAnsi="Times New Roman"/>
          <w:sz w:val="15"/>
          <w:szCs w:val="15"/>
          <w:color w:val="auto"/>
        </w:rPr>
        <w:t>). The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5"/>
          <w:szCs w:val="15"/>
          <w:color w:val="auto"/>
        </w:rPr>
        <w:t xml:space="preserve"> treatment emitted a photon </w:t>
      </w:r>
      <w:r>
        <w:rPr>
          <w:rFonts w:ascii="Arial" w:cs="Arial" w:eastAsia="Arial" w:hAnsi="Arial"/>
          <w:sz w:val="15"/>
          <w:szCs w:val="15"/>
          <w:color w:val="auto"/>
        </w:rPr>
        <w:t>fl</w:t>
      </w:r>
      <w:r>
        <w:rPr>
          <w:rFonts w:ascii="Times New Roman" w:cs="Times New Roman" w:eastAsia="Times New Roman" w:hAnsi="Times New Roman"/>
          <w:sz w:val="15"/>
          <w:szCs w:val="15"/>
          <w:color w:val="auto"/>
        </w:rPr>
        <w:t>ux density for B, green (500</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600 nm), R, and FR of 14, 54, 95, and 17 </w:t>
      </w:r>
      <w:r>
        <w:rPr>
          <w:rFonts w:ascii="Arial" w:cs="Arial" w:eastAsia="Arial" w:hAnsi="Arial"/>
          <w:sz w:val="15"/>
          <w:szCs w:val="15"/>
          <w:color w:val="auto"/>
        </w:rPr>
        <w:t>μ</w:t>
      </w:r>
      <w:r>
        <w:rPr>
          <w:rFonts w:ascii="Times New Roman" w:cs="Times New Roman" w:eastAsia="Times New Roman" w:hAnsi="Times New Roman"/>
          <w:sz w:val="15"/>
          <w:szCs w:val="15"/>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5"/>
          <w:szCs w:val="15"/>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5"/>
          <w:szCs w:val="15"/>
          <w:color w:val="auto"/>
        </w:rPr>
        <w:t xml:space="preserve">, respectively. To serve as another comparison, seedlings were grown in a greenhouse under ambient sunlight with supplemental lighting from HPS </w:t>
      </w:r>
      <w:r>
        <w:rPr>
          <w:rFonts w:ascii="Arial" w:cs="Arial" w:eastAsia="Arial" w:hAnsi="Arial"/>
          <w:sz w:val="15"/>
          <w:szCs w:val="15"/>
          <w:color w:val="auto"/>
        </w:rPr>
        <w:t>fi</w:t>
      </w:r>
      <w:r>
        <w:rPr>
          <w:rFonts w:ascii="Times New Roman" w:cs="Times New Roman" w:eastAsia="Times New Roman" w:hAnsi="Times New Roman"/>
          <w:sz w:val="15"/>
          <w:szCs w:val="15"/>
          <w:color w:val="auto"/>
        </w:rPr>
        <w:t xml:space="preserve">xtures at a PPFD of 100 </w:t>
      </w:r>
      <w:r>
        <w:rPr>
          <w:rFonts w:ascii="Arial" w:cs="Arial" w:eastAsia="Arial" w:hAnsi="Arial"/>
          <w:sz w:val="15"/>
          <w:szCs w:val="15"/>
          <w:color w:val="auto"/>
        </w:rPr>
        <w:t>μ</w:t>
      </w:r>
      <w:r>
        <w:rPr>
          <w:rFonts w:ascii="Times New Roman" w:cs="Times New Roman" w:eastAsia="Times New Roman" w:hAnsi="Times New Roman"/>
          <w:sz w:val="15"/>
          <w:szCs w:val="15"/>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5"/>
          <w:szCs w:val="15"/>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5"/>
          <w:szCs w:val="15"/>
          <w:color w:val="auto"/>
        </w:rPr>
        <w:t xml:space="preserve"> at plant height to achieve an 18-h photoperiod and a similar DLI. For each radiation treatment, the R:FR (calculated with 100-nm wavebands), PPE (esti-mated as described by </w:t>
      </w:r>
      <w:hyperlink w:anchor="page7">
        <w:r>
          <w:rPr>
            <w:rFonts w:ascii="Times New Roman" w:cs="Times New Roman" w:eastAsia="Times New Roman" w:hAnsi="Times New Roman"/>
            <w:sz w:val="15"/>
            <w:szCs w:val="15"/>
            <w:color w:val="004A76"/>
          </w:rPr>
          <w:t>Sager et al., 1988</w:t>
        </w:r>
      </w:hyperlink>
      <w:r>
        <w:rPr>
          <w:rFonts w:ascii="Times New Roman" w:cs="Times New Roman" w:eastAsia="Times New Roman" w:hAnsi="Times New Roman"/>
          <w:sz w:val="15"/>
          <w:szCs w:val="15"/>
          <w:color w:val="auto"/>
        </w:rPr>
        <w:t xml:space="preserve">), and the average DLI are re-ported in </w:t>
      </w:r>
      <w:hyperlink w:anchor="page7">
        <w:r>
          <w:rPr>
            <w:rFonts w:ascii="Times New Roman" w:cs="Times New Roman" w:eastAsia="Times New Roman" w:hAnsi="Times New Roman"/>
            <w:sz w:val="15"/>
            <w:szCs w:val="15"/>
            <w:color w:val="004A76"/>
          </w:rPr>
          <w:t>Table 1</w:t>
        </w:r>
      </w:hyperlink>
      <w:r>
        <w:rPr>
          <w:rFonts w:ascii="Times New Roman" w:cs="Times New Roman" w:eastAsia="Times New Roman" w:hAnsi="Times New Roman"/>
          <w:sz w:val="15"/>
          <w:szCs w:val="15"/>
          <w:color w:val="auto"/>
        </w:rPr>
        <w:t>.</w:t>
      </w:r>
    </w:p>
    <w:p>
      <w:pPr>
        <w:spacing w:after="0" w:line="19" w:lineRule="exact"/>
        <w:rPr>
          <w:rFonts w:ascii="Times New Roman" w:cs="Times New Roman" w:eastAsia="Times New Roman" w:hAnsi="Times New Roman"/>
          <w:sz w:val="15"/>
          <w:szCs w:val="15"/>
          <w:color w:val="auto"/>
        </w:rPr>
      </w:pPr>
    </w:p>
    <w:p>
      <w:pPr>
        <w:jc w:val="both"/>
        <w:ind w:firstLine="250"/>
        <w:spacing w:after="0" w:line="280" w:lineRule="auto"/>
        <w:rPr>
          <w:sz w:val="20"/>
          <w:szCs w:val="20"/>
          <w:color w:val="auto"/>
        </w:rPr>
      </w:pPr>
      <w:r>
        <w:rPr>
          <w:rFonts w:ascii="Times New Roman" w:cs="Times New Roman" w:eastAsia="Times New Roman" w:hAnsi="Times New Roman"/>
          <w:sz w:val="16"/>
          <w:szCs w:val="16"/>
          <w:color w:val="auto"/>
        </w:rPr>
        <w:t>All seedlings were grown at a constant 20 °C. The PPFD at plant height in CELL or on the greenhouse bench was measured by quantum sensors (LI-190SA; LI-COR, Lincoln, NE). Seedling trays within each</w:t>
      </w:r>
    </w:p>
    <w:p>
      <w:pPr>
        <w:spacing w:after="0" w:line="186" w:lineRule="exact"/>
        <w:rPr>
          <w:rFonts w:ascii="Times New Roman" w:cs="Times New Roman" w:eastAsia="Times New Roman" w:hAnsi="Times New Roman"/>
          <w:sz w:val="15"/>
          <w:szCs w:val="15"/>
          <w:color w:val="auto"/>
        </w:rPr>
      </w:pPr>
    </w:p>
    <w:p>
      <w:pPr>
        <w:sectPr>
          <w:pgSz w:w="11900" w:h="15874" w:orient="portrait"/>
          <w:cols w:equalWidth="0" w:num="2">
            <w:col w:w="5028" w:space="360"/>
            <w:col w:w="5020"/>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8"/>
          </w:cols>
          <w:pgMar w:left="752"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 Zhang,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170180</wp:posOffset>
            </wp:positionV>
            <wp:extent cx="4867910" cy="41471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4867910" cy="4147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4"/>
          <w:szCs w:val="14"/>
          <w:color w:val="auto"/>
        </w:rPr>
        <w:t xml:space="preserve">Spectral characteristics and average photosynthetic daily light integral (DLI) of nine sole-source radiation treatments in two replications (rep) delivered in-doors by blue (B; peak = 449 nm), red (R; peak = 664 nm), far-red (FR; peak = 733 nm), and warm white (WW) light-emitting diodes (LEDs) or one greenhouse treatment with sunlight supplemented by high-pressure sodium (HPS)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xtures. The subscript values that follow each LED type indicate their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ux density in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95250</wp:posOffset>
                </wp:positionV>
                <wp:extent cx="318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7.5pt" to="250.65pt,7.5pt" o:allowincell="f" strokecolor="#000000" strokeweight="0.498pt"/>
            </w:pict>
          </mc:Fallback>
        </mc:AlternateContent>
      </w:r>
    </w:p>
    <w:p>
      <w:pPr>
        <w:spacing w:after="0" w:line="201" w:lineRule="exact"/>
        <w:rPr>
          <w:sz w:val="20"/>
          <w:szCs w:val="20"/>
          <w:color w:val="auto"/>
        </w:rPr>
      </w:pPr>
    </w:p>
    <w:tbl>
      <w:tblPr>
        <w:tblLayout w:type="fixed"/>
        <w:tblInd w:w="0" w:type="dxa"/>
        <w:tblCellMar>
          <w:top w:w="0" w:type="dxa"/>
          <w:left w:w="0" w:type="dxa"/>
          <w:bottom w:w="0" w:type="dxa"/>
          <w:right w:w="0" w:type="dxa"/>
        </w:tblCellMar>
      </w:tblPr>
      <w:tr>
        <w:trPr>
          <w:trHeight w:val="225"/>
        </w:trPr>
        <w:tc>
          <w:tcPr>
            <w:tcW w:w="120" w:type="dxa"/>
            <w:vAlign w:val="bottom"/>
          </w:tcPr>
          <w:p>
            <w:pPr>
              <w:spacing w:after="0"/>
              <w:rPr>
                <w:sz w:val="19"/>
                <w:szCs w:val="19"/>
                <w:color w:val="auto"/>
              </w:rPr>
            </w:pPr>
          </w:p>
        </w:tc>
        <w:tc>
          <w:tcPr>
            <w:tcW w:w="17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Radiation treatment</w:t>
            </w:r>
          </w:p>
        </w:tc>
        <w:tc>
          <w:tcPr>
            <w:tcW w:w="7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R:FR</w:t>
            </w:r>
            <w:r>
              <w:rPr>
                <w:rFonts w:ascii="Times New Roman" w:cs="Times New Roman" w:eastAsia="Times New Roman" w:hAnsi="Times New Roman"/>
                <w:sz w:val="17"/>
                <w:szCs w:val="17"/>
                <w:color w:val="004A76"/>
                <w:vertAlign w:val="superscript"/>
              </w:rPr>
              <w:t>a</w:t>
            </w:r>
          </w:p>
        </w:tc>
        <w:tc>
          <w:tcPr>
            <w:tcW w:w="90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PPE</w:t>
            </w:r>
            <w:r>
              <w:rPr>
                <w:rFonts w:ascii="Times New Roman" w:cs="Times New Roman" w:eastAsia="Times New Roman" w:hAnsi="Times New Roman"/>
                <w:sz w:val="17"/>
                <w:szCs w:val="17"/>
                <w:color w:val="004A76"/>
                <w:vertAlign w:val="superscript"/>
              </w:rPr>
              <w:t>b</w:t>
            </w:r>
          </w:p>
        </w:tc>
        <w:tc>
          <w:tcPr>
            <w:tcW w:w="14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DLI (mol m</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d</w:t>
            </w:r>
            <w:r>
              <w:rPr>
                <w:rFonts w:ascii="Arial" w:cs="Arial" w:eastAsia="Arial" w:hAnsi="Arial"/>
                <w:sz w:val="17"/>
                <w:szCs w:val="17"/>
                <w:color w:val="auto"/>
                <w:vertAlign w:val="superscript"/>
              </w:rPr>
              <w:t>–</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20" w:type="dxa"/>
            <w:vAlign w:val="bottom"/>
          </w:tcPr>
          <w:p>
            <w:pPr>
              <w:spacing w:after="0"/>
              <w:rPr>
                <w:sz w:val="19"/>
                <w:szCs w:val="19"/>
                <w:color w:val="auto"/>
              </w:rPr>
            </w:pPr>
          </w:p>
        </w:tc>
      </w:tr>
      <w:tr>
        <w:trPr>
          <w:trHeight w:val="37"/>
        </w:trPr>
        <w:tc>
          <w:tcPr>
            <w:tcW w:w="120" w:type="dxa"/>
            <w:vAlign w:val="bottom"/>
          </w:tcPr>
          <w:p>
            <w:pPr>
              <w:spacing w:after="0"/>
              <w:rPr>
                <w:sz w:val="3"/>
                <w:szCs w:val="3"/>
                <w:color w:val="auto"/>
              </w:rPr>
            </w:pPr>
          </w:p>
        </w:tc>
        <w:tc>
          <w:tcPr>
            <w:tcW w:w="880" w:type="dxa"/>
            <w:vAlign w:val="bottom"/>
          </w:tcPr>
          <w:p>
            <w:pPr>
              <w:spacing w:after="0"/>
              <w:rPr>
                <w:sz w:val="3"/>
                <w:szCs w:val="3"/>
                <w:color w:val="auto"/>
              </w:rPr>
            </w:pPr>
          </w:p>
        </w:tc>
        <w:tc>
          <w:tcPr>
            <w:tcW w:w="860" w:type="dxa"/>
            <w:vAlign w:val="bottom"/>
          </w:tcPr>
          <w:p>
            <w:pPr>
              <w:spacing w:after="0"/>
              <w:rPr>
                <w:sz w:val="3"/>
                <w:szCs w:val="3"/>
                <w:color w:val="auto"/>
              </w:rPr>
            </w:pPr>
          </w:p>
        </w:tc>
        <w:tc>
          <w:tcPr>
            <w:tcW w:w="220" w:type="dxa"/>
            <w:vAlign w:val="bottom"/>
          </w:tcPr>
          <w:p>
            <w:pPr>
              <w:spacing w:after="0"/>
              <w:rPr>
                <w:sz w:val="3"/>
                <w:szCs w:val="3"/>
                <w:color w:val="auto"/>
              </w:rPr>
            </w:pPr>
          </w:p>
        </w:tc>
        <w:tc>
          <w:tcPr>
            <w:tcW w:w="520" w:type="dxa"/>
            <w:vAlign w:val="bottom"/>
          </w:tcPr>
          <w:p>
            <w:pPr>
              <w:spacing w:after="0"/>
              <w:rPr>
                <w:sz w:val="3"/>
                <w:szCs w:val="3"/>
                <w:color w:val="auto"/>
              </w:rPr>
            </w:pPr>
          </w:p>
        </w:tc>
        <w:tc>
          <w:tcPr>
            <w:tcW w:w="900" w:type="dxa"/>
            <w:vAlign w:val="bottom"/>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r>
      <w:tr>
        <w:trPr>
          <w:trHeight w:val="235"/>
        </w:trPr>
        <w:tc>
          <w:tcPr>
            <w:tcW w:w="120" w:type="dxa"/>
            <w:vAlign w:val="bottom"/>
          </w:tcPr>
          <w:p>
            <w:pPr>
              <w:spacing w:after="0"/>
              <w:rPr>
                <w:sz w:val="20"/>
                <w:szCs w:val="20"/>
                <w:color w:val="auto"/>
              </w:rPr>
            </w:pPr>
          </w:p>
        </w:tc>
        <w:tc>
          <w:tcPr>
            <w:tcW w:w="880" w:type="dxa"/>
            <w:vAlign w:val="bottom"/>
            <w:tcBorders>
              <w:bottom w:val="single" w:sz="8" w:color="auto"/>
            </w:tcBorders>
          </w:tcPr>
          <w:p>
            <w:pPr>
              <w:spacing w:after="0"/>
              <w:rPr>
                <w:sz w:val="20"/>
                <w:szCs w:val="20"/>
                <w:color w:val="auto"/>
              </w:rPr>
            </w:pPr>
          </w:p>
        </w:tc>
        <w:tc>
          <w:tcPr>
            <w:tcW w:w="860" w:type="dxa"/>
            <w:vAlign w:val="bottom"/>
            <w:tcBorders>
              <w:bottom w:val="single" w:sz="8" w:color="auto"/>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52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3"/>
                <w:szCs w:val="13"/>
                <w:color w:val="auto"/>
              </w:rPr>
              <w:t>Rep 1</w:t>
            </w:r>
          </w:p>
        </w:tc>
        <w:tc>
          <w:tcPr>
            <w:tcW w:w="760" w:type="dxa"/>
            <w:vAlign w:val="bottom"/>
          </w:tcPr>
          <w:p>
            <w:pPr>
              <w:jc w:val="right"/>
              <w:ind w:right="96"/>
              <w:spacing w:after="0"/>
              <w:rPr>
                <w:sz w:val="20"/>
                <w:szCs w:val="20"/>
                <w:color w:val="auto"/>
              </w:rPr>
            </w:pPr>
            <w:r>
              <w:rPr>
                <w:rFonts w:ascii="Times New Roman" w:cs="Times New Roman" w:eastAsia="Times New Roman" w:hAnsi="Times New Roman"/>
                <w:sz w:val="13"/>
                <w:szCs w:val="13"/>
                <w:color w:val="auto"/>
              </w:rPr>
              <w:t>Rep 2</w:t>
            </w:r>
          </w:p>
        </w:tc>
        <w:tc>
          <w:tcPr>
            <w:tcW w:w="120" w:type="dxa"/>
            <w:vAlign w:val="bottom"/>
          </w:tcPr>
          <w:p>
            <w:pPr>
              <w:spacing w:after="0"/>
              <w:rPr>
                <w:sz w:val="20"/>
                <w:szCs w:val="20"/>
                <w:color w:val="auto"/>
              </w:rPr>
            </w:pPr>
          </w:p>
        </w:tc>
      </w:tr>
      <w:tr>
        <w:trPr>
          <w:trHeight w:val="57"/>
        </w:trPr>
        <w:tc>
          <w:tcPr>
            <w:tcW w:w="12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gridSpan w:val="2"/>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42"/>
        </w:trPr>
        <w:tc>
          <w:tcPr>
            <w:tcW w:w="120" w:type="dxa"/>
            <w:vAlign w:val="bottom"/>
          </w:tcPr>
          <w:p>
            <w:pPr>
              <w:spacing w:after="0"/>
              <w:rPr>
                <w:sz w:val="21"/>
                <w:szCs w:val="21"/>
                <w:color w:val="auto"/>
              </w:rPr>
            </w:pPr>
          </w:p>
        </w:tc>
        <w:tc>
          <w:tcPr>
            <w:tcW w:w="880" w:type="dxa"/>
            <w:vAlign w:val="bottom"/>
          </w:tcPr>
          <w:p>
            <w:pPr>
              <w:spacing w:after="0" w:line="242" w:lineRule="exact"/>
              <w:rPr>
                <w:sz w:val="20"/>
                <w:szCs w:val="20"/>
                <w:color w:val="auto"/>
              </w:rPr>
            </w:pPr>
            <w:r>
              <w:rPr>
                <w:rFonts w:ascii="Times New Roman" w:cs="Times New Roman" w:eastAsia="Times New Roman" w:hAnsi="Times New Roman"/>
                <w:sz w:val="25"/>
                <w:szCs w:val="25"/>
                <w:color w:val="auto"/>
                <w:vertAlign w:val="superscript"/>
              </w:rPr>
              <w:t>B</w:t>
            </w:r>
            <w:r>
              <w:rPr>
                <w:rFonts w:ascii="Times New Roman" w:cs="Times New Roman" w:eastAsia="Times New Roman" w:hAnsi="Times New Roman"/>
                <w:sz w:val="9"/>
                <w:szCs w:val="9"/>
                <w:color w:val="auto"/>
              </w:rPr>
              <w:t>20</w:t>
            </w:r>
            <w:r>
              <w:rPr>
                <w:rFonts w:ascii="Times New Roman" w:cs="Times New Roman" w:eastAsia="Times New Roman" w:hAnsi="Times New Roman"/>
                <w:sz w:val="25"/>
                <w:szCs w:val="25"/>
                <w:color w:val="auto"/>
                <w:vertAlign w:val="superscript"/>
              </w:rPr>
              <w:t>R</w:t>
            </w:r>
            <w:r>
              <w:rPr>
                <w:rFonts w:ascii="Times New Roman" w:cs="Times New Roman" w:eastAsia="Times New Roman" w:hAnsi="Times New Roman"/>
                <w:sz w:val="9"/>
                <w:szCs w:val="9"/>
                <w:color w:val="auto"/>
              </w:rPr>
              <w:t>160</w:t>
            </w:r>
          </w:p>
        </w:tc>
        <w:tc>
          <w:tcPr>
            <w:tcW w:w="860" w:type="dxa"/>
            <w:vAlign w:val="bottom"/>
          </w:tcPr>
          <w:p>
            <w:pPr>
              <w:spacing w:after="0"/>
              <w:rPr>
                <w:sz w:val="21"/>
                <w:szCs w:val="21"/>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1:0</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0.88</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12.0</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11.7</w:t>
            </w:r>
          </w:p>
        </w:tc>
        <w:tc>
          <w:tcPr>
            <w:tcW w:w="120" w:type="dxa"/>
            <w:vAlign w:val="bottom"/>
          </w:tcPr>
          <w:p>
            <w:pPr>
              <w:spacing w:after="0"/>
              <w:rPr>
                <w:sz w:val="21"/>
                <w:szCs w:val="21"/>
                <w:color w:val="auto"/>
              </w:rPr>
            </w:pPr>
          </w:p>
        </w:tc>
      </w:tr>
      <w:tr>
        <w:trPr>
          <w:trHeight w:val="172"/>
        </w:trPr>
        <w:tc>
          <w:tcPr>
            <w:tcW w:w="120" w:type="dxa"/>
            <w:vAlign w:val="bottom"/>
          </w:tcPr>
          <w:p>
            <w:pPr>
              <w:spacing w:after="0"/>
              <w:rPr>
                <w:sz w:val="14"/>
                <w:szCs w:val="14"/>
                <w:color w:val="auto"/>
              </w:rPr>
            </w:pPr>
          </w:p>
        </w:tc>
        <w:tc>
          <w:tcPr>
            <w:tcW w:w="880" w:type="dxa"/>
            <w:vAlign w:val="bottom"/>
          </w:tcPr>
          <w:p>
            <w:pPr>
              <w:spacing w:after="0" w:line="173"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20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160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10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16:1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0.87</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11.7</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11.7</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20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160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20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8:1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0.85</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11.7</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11.4</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20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160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40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4:1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0.83</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11.9</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11.6</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60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120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1:0</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0.87</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11.7</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11.8</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60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120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10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12:1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0.85</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11.5</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11.7</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60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120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20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6:1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0.84</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11.9</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11.5</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7"/>
                <w:szCs w:val="7"/>
                <w:color w:val="auto"/>
              </w:rPr>
              <w:t>60</w:t>
            </w:r>
            <w:r>
              <w:rPr>
                <w:rFonts w:ascii="Times New Roman" w:cs="Times New Roman" w:eastAsia="Times New Roman" w:hAnsi="Times New Roman"/>
                <w:sz w:val="19"/>
                <w:szCs w:val="19"/>
                <w:color w:val="auto"/>
                <w:vertAlign w:val="superscript"/>
              </w:rPr>
              <w:t>R</w:t>
            </w:r>
            <w:r>
              <w:rPr>
                <w:rFonts w:ascii="Times New Roman" w:cs="Times New Roman" w:eastAsia="Times New Roman" w:hAnsi="Times New Roman"/>
                <w:sz w:val="7"/>
                <w:szCs w:val="7"/>
                <w:color w:val="auto"/>
              </w:rPr>
              <w:t>120</w:t>
            </w:r>
            <w:r>
              <w:rPr>
                <w:rFonts w:ascii="Times New Roman" w:cs="Times New Roman" w:eastAsia="Times New Roman" w:hAnsi="Times New Roman"/>
                <w:sz w:val="19"/>
                <w:szCs w:val="19"/>
                <w:color w:val="auto"/>
                <w:vertAlign w:val="superscript"/>
              </w:rPr>
              <w:t>FR</w:t>
            </w:r>
            <w:r>
              <w:rPr>
                <w:rFonts w:ascii="Times New Roman" w:cs="Times New Roman" w:eastAsia="Times New Roman" w:hAnsi="Times New Roman"/>
                <w:sz w:val="7"/>
                <w:szCs w:val="7"/>
                <w:color w:val="auto"/>
              </w:rPr>
              <w:t>40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3:1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0.81</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11.9</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11.8</w:t>
            </w:r>
          </w:p>
        </w:tc>
        <w:tc>
          <w:tcPr>
            <w:tcW w:w="120" w:type="dxa"/>
            <w:vAlign w:val="bottom"/>
          </w:tcPr>
          <w:p>
            <w:pPr>
              <w:spacing w:after="0"/>
              <w:rPr>
                <w:sz w:val="14"/>
                <w:szCs w:val="14"/>
                <w:color w:val="auto"/>
              </w:rPr>
            </w:pPr>
          </w:p>
        </w:tc>
      </w:tr>
      <w:tr>
        <w:trPr>
          <w:trHeight w:val="171"/>
        </w:trPr>
        <w:tc>
          <w:tcPr>
            <w:tcW w:w="120" w:type="dxa"/>
            <w:vAlign w:val="bottom"/>
          </w:tcPr>
          <w:p>
            <w:pPr>
              <w:spacing w:after="0"/>
              <w:rPr>
                <w:sz w:val="14"/>
                <w:szCs w:val="14"/>
                <w:color w:val="auto"/>
              </w:rPr>
            </w:pPr>
          </w:p>
        </w:tc>
        <w:tc>
          <w:tcPr>
            <w:tcW w:w="880" w:type="dxa"/>
            <w:vAlign w:val="bottom"/>
          </w:tcPr>
          <w:p>
            <w:pPr>
              <w:spacing w:after="0" w:line="172" w:lineRule="exact"/>
              <w:rPr>
                <w:sz w:val="20"/>
                <w:szCs w:val="20"/>
                <w:color w:val="auto"/>
              </w:rPr>
            </w:pPr>
            <w:r>
              <w:rPr>
                <w:rFonts w:ascii="Times New Roman" w:cs="Times New Roman" w:eastAsia="Times New Roman" w:hAnsi="Times New Roman"/>
                <w:sz w:val="19"/>
                <w:szCs w:val="19"/>
                <w:color w:val="auto"/>
                <w:vertAlign w:val="superscript"/>
              </w:rPr>
              <w:t>WW</w:t>
            </w:r>
            <w:r>
              <w:rPr>
                <w:rFonts w:ascii="Times New Roman" w:cs="Times New Roman" w:eastAsia="Times New Roman" w:hAnsi="Times New Roman"/>
                <w:sz w:val="7"/>
                <w:szCs w:val="7"/>
                <w:color w:val="auto"/>
              </w:rPr>
              <w:t>180</w:t>
            </w:r>
          </w:p>
        </w:tc>
        <w:tc>
          <w:tcPr>
            <w:tcW w:w="860" w:type="dxa"/>
            <w:vAlign w:val="bottom"/>
          </w:tcPr>
          <w:p>
            <w:pPr>
              <w:spacing w:after="0"/>
              <w:rPr>
                <w:sz w:val="14"/>
                <w:szCs w:val="14"/>
                <w:color w:val="auto"/>
              </w:rPr>
            </w:pP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5:1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0.83</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11.6</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11.6</w:t>
            </w:r>
          </w:p>
        </w:tc>
        <w:tc>
          <w:tcPr>
            <w:tcW w:w="120" w:type="dxa"/>
            <w:vAlign w:val="bottom"/>
          </w:tcPr>
          <w:p>
            <w:pPr>
              <w:spacing w:after="0"/>
              <w:rPr>
                <w:sz w:val="14"/>
                <w:szCs w:val="14"/>
                <w:color w:val="auto"/>
              </w:rPr>
            </w:pPr>
          </w:p>
        </w:tc>
      </w:tr>
      <w:tr>
        <w:trPr>
          <w:trHeight w:val="156"/>
        </w:trPr>
        <w:tc>
          <w:tcPr>
            <w:tcW w:w="120" w:type="dxa"/>
            <w:vAlign w:val="bottom"/>
          </w:tcPr>
          <w:p>
            <w:pPr>
              <w:spacing w:after="0"/>
              <w:rPr>
                <w:sz w:val="13"/>
                <w:szCs w:val="13"/>
                <w:color w:val="auto"/>
              </w:rPr>
            </w:pP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Greenhouse</w:t>
            </w:r>
          </w:p>
        </w:tc>
        <w:tc>
          <w:tcPr>
            <w:tcW w:w="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HPS</w:t>
            </w: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5:1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0.86</w:t>
            </w:r>
          </w:p>
        </w:tc>
        <w:tc>
          <w:tcPr>
            <w:tcW w:w="6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12.1</w:t>
            </w:r>
          </w:p>
        </w:tc>
        <w:tc>
          <w:tcPr>
            <w:tcW w:w="7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12.5</w:t>
            </w:r>
          </w:p>
        </w:tc>
        <w:tc>
          <w:tcPr>
            <w:tcW w:w="120" w:type="dxa"/>
            <w:vAlign w:val="bottom"/>
          </w:tcPr>
          <w:p>
            <w:pPr>
              <w:spacing w:after="0"/>
              <w:rPr>
                <w:sz w:val="13"/>
                <w:szCs w:val="13"/>
                <w:color w:val="auto"/>
              </w:rPr>
            </w:pPr>
          </w:p>
        </w:tc>
      </w:tr>
      <w:tr>
        <w:trPr>
          <w:trHeight w:val="172"/>
        </w:trPr>
        <w:tc>
          <w:tcPr>
            <w:tcW w:w="12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Sunlight</w:t>
            </w:r>
          </w:p>
        </w:tc>
        <w:tc>
          <w:tcPr>
            <w:tcW w:w="74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1:1</w:t>
            </w:r>
          </w:p>
        </w:tc>
        <w:tc>
          <w:tcPr>
            <w:tcW w:w="9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0.72</w:t>
            </w:r>
          </w:p>
        </w:tc>
        <w:tc>
          <w:tcPr>
            <w:tcW w:w="6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2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23" w:lineRule="exact"/>
        <w:rPr>
          <w:sz w:val="20"/>
          <w:szCs w:val="20"/>
          <w:color w:val="auto"/>
        </w:rPr>
      </w:pPr>
    </w:p>
    <w:p>
      <w:pPr>
        <w:ind w:left="260" w:hanging="129"/>
        <w:spacing w:after="0"/>
        <w:tabs>
          <w:tab w:leader="none" w:pos="260" w:val="left"/>
        </w:tabs>
        <w:numPr>
          <w:ilvl w:val="0"/>
          <w:numId w:val="9"/>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 xml:space="preserve">R:FR: Ratio of the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ux integral of R (600</w:t>
      </w:r>
      <w:r>
        <w:rPr>
          <w:rFonts w:ascii="Arial" w:cs="Arial" w:eastAsia="Arial" w:hAnsi="Arial"/>
          <w:sz w:val="14"/>
          <w:szCs w:val="14"/>
          <w:color w:val="auto"/>
        </w:rPr>
        <w:t>−</w:t>
      </w:r>
      <w:r>
        <w:rPr>
          <w:rFonts w:ascii="Times New Roman" w:cs="Times New Roman" w:eastAsia="Times New Roman" w:hAnsi="Times New Roman"/>
          <w:sz w:val="14"/>
          <w:szCs w:val="14"/>
          <w:color w:val="auto"/>
        </w:rPr>
        <w:t>700 nm) and FR</w:t>
      </w:r>
    </w:p>
    <w:p>
      <w:pPr>
        <w:spacing w:after="0" w:line="28" w:lineRule="exact"/>
        <w:rPr>
          <w:rFonts w:ascii="Times New Roman" w:cs="Times New Roman" w:eastAsia="Times New Roman" w:hAnsi="Times New Roman"/>
          <w:sz w:val="19"/>
          <w:szCs w:val="19"/>
          <w:color w:val="auto"/>
          <w:vertAlign w:val="superscript"/>
        </w:rPr>
      </w:pPr>
    </w:p>
    <w:p>
      <w:pPr>
        <w:spacing w:after="0"/>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(700</w:t>
      </w:r>
      <w:r>
        <w:rPr>
          <w:rFonts w:ascii="Arial" w:cs="Arial" w:eastAsia="Arial" w:hAnsi="Arial"/>
          <w:sz w:val="14"/>
          <w:szCs w:val="14"/>
          <w:color w:val="auto"/>
        </w:rPr>
        <w:t>−</w:t>
      </w:r>
      <w:r>
        <w:rPr>
          <w:rFonts w:ascii="Times New Roman" w:cs="Times New Roman" w:eastAsia="Times New Roman" w:hAnsi="Times New Roman"/>
          <w:sz w:val="14"/>
          <w:szCs w:val="14"/>
          <w:color w:val="auto"/>
        </w:rPr>
        <w:t>800 nm) radiation.</w:t>
      </w:r>
    </w:p>
    <w:p>
      <w:pPr>
        <w:ind w:left="280" w:hanging="149"/>
        <w:spacing w:after="0" w:line="210" w:lineRule="auto"/>
        <w:tabs>
          <w:tab w:leader="none" w:pos="28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PPE: Phytochrome photoequilibria estimated following </w:t>
      </w:r>
      <w:hyperlink w:anchor="page7">
        <w:r>
          <w:rPr>
            <w:rFonts w:ascii="Times New Roman" w:cs="Times New Roman" w:eastAsia="Times New Roman" w:hAnsi="Times New Roman"/>
            <w:sz w:val="14"/>
            <w:szCs w:val="14"/>
            <w:color w:val="004A76"/>
          </w:rPr>
          <w:t>Sager et al. (1988)</w:t>
        </w:r>
      </w:hyperlink>
      <w:r>
        <w:rPr>
          <w:rFonts w:ascii="Times New Roman" w:cs="Times New Roman" w:eastAsia="Times New Roman" w:hAnsi="Times New Roman"/>
          <w:sz w:val="14"/>
          <w:szCs w:val="14"/>
          <w:color w:val="auto"/>
        </w:rPr>
        <w:t>.</w:t>
      </w:r>
    </w:p>
    <w:p>
      <w:pPr>
        <w:spacing w:after="0" w:line="228"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radiation treatment (shelf) were rotated every day to prevent positional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Air temperature in CELL and the greenhouse was measured near plant height by thermocouples (Type E; Omega Engineering, Stamford, CT). Temperature and the PPFD at both locations were collected by data loggers (CR-1000; Campbell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Logan, UT) every 10 s and</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58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average  values  were</w:t>
            </w:r>
          </w:p>
        </w:tc>
        <w:tc>
          <w:tcPr>
            <w:tcW w:w="1440" w:type="dxa"/>
            <w:vAlign w:val="bottom"/>
            <w:gridSpan w:val="3"/>
          </w:tcPr>
          <w:p>
            <w:pPr>
              <w:jc w:val="right"/>
              <w:spacing w:after="0"/>
              <w:rPr>
                <w:sz w:val="20"/>
                <w:szCs w:val="20"/>
                <w:color w:val="auto"/>
              </w:rPr>
            </w:pPr>
            <w:r>
              <w:rPr>
                <w:rFonts w:ascii="Times New Roman" w:cs="Times New Roman" w:eastAsia="Times New Roman" w:hAnsi="Times New Roman"/>
                <w:sz w:val="16"/>
                <w:szCs w:val="16"/>
                <w:color w:val="auto"/>
              </w:rPr>
              <w:t>recorded  hourly.</w:t>
            </w:r>
          </w:p>
        </w:tc>
        <w:tc>
          <w:tcPr>
            <w:tcW w:w="68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w:t>
            </w:r>
          </w:p>
        </w:tc>
        <w:tc>
          <w:tcPr>
            <w:tcW w:w="132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air  temperatures</w:t>
            </w:r>
          </w:p>
        </w:tc>
      </w:tr>
      <w:tr>
        <w:trPr>
          <w:trHeight w:val="209"/>
        </w:trPr>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 ± standard</w:t>
            </w:r>
          </w:p>
        </w:tc>
        <w:tc>
          <w:tcPr>
            <w:tcW w:w="5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error)</w:t>
            </w:r>
          </w:p>
        </w:tc>
        <w:tc>
          <w:tcPr>
            <w:tcW w:w="18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in</w:t>
            </w:r>
          </w:p>
        </w:tc>
        <w:tc>
          <w:tcPr>
            <w:tcW w:w="40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9"/>
              </w:rPr>
              <w:t>two</w:t>
            </w:r>
          </w:p>
        </w:tc>
        <w:tc>
          <w:tcPr>
            <w:tcW w:w="1540" w:type="dxa"/>
            <w:vAlign w:val="bottom"/>
            <w:gridSpan w:val="2"/>
          </w:tcPr>
          <w:p>
            <w:pPr>
              <w:ind w:left="140"/>
              <w:spacing w:after="0"/>
              <w:rPr>
                <w:sz w:val="20"/>
                <w:szCs w:val="20"/>
                <w:color w:val="auto"/>
              </w:rPr>
            </w:pPr>
            <w:r>
              <w:rPr>
                <w:rFonts w:ascii="Times New Roman" w:cs="Times New Roman" w:eastAsia="Times New Roman" w:hAnsi="Times New Roman"/>
                <w:sz w:val="16"/>
                <w:szCs w:val="16"/>
                <w:color w:val="auto"/>
              </w:rPr>
              <w:t>replications  were</w:t>
            </w:r>
          </w:p>
        </w:tc>
        <w:tc>
          <w:tcPr>
            <w:tcW w:w="10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20.1 ± 0.5</w:t>
            </w:r>
          </w:p>
        </w:tc>
        <w:tc>
          <w:tcPr>
            <w:tcW w:w="3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and</w:t>
            </w:r>
          </w:p>
        </w:tc>
      </w:tr>
      <w:tr>
        <w:trPr>
          <w:trHeight w:val="210"/>
        </w:trPr>
        <w:tc>
          <w:tcPr>
            <w:tcW w:w="1020" w:type="dxa"/>
            <w:vAlign w:val="bottom"/>
          </w:tcPr>
          <w:p>
            <w:pPr>
              <w:spacing w:after="0"/>
              <w:rPr>
                <w:sz w:val="20"/>
                <w:szCs w:val="20"/>
                <w:color w:val="auto"/>
              </w:rPr>
            </w:pPr>
            <w:r>
              <w:rPr>
                <w:rFonts w:ascii="Times New Roman" w:cs="Times New Roman" w:eastAsia="Times New Roman" w:hAnsi="Times New Roman"/>
                <w:sz w:val="16"/>
                <w:szCs w:val="16"/>
                <w:color w:val="auto"/>
              </w:rPr>
              <w:t>19.9 ± 1.3 °C</w:t>
            </w:r>
          </w:p>
        </w:tc>
        <w:tc>
          <w:tcPr>
            <w:tcW w:w="74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in CELL</w:t>
            </w:r>
          </w:p>
        </w:tc>
        <w:tc>
          <w:tcPr>
            <w:tcW w:w="40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and</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19.9 ± 0.6</w:t>
            </w:r>
          </w:p>
        </w:tc>
        <w:tc>
          <w:tcPr>
            <w:tcW w:w="1700" w:type="dxa"/>
            <w:vAlign w:val="bottom"/>
            <w:gridSpan w:val="2"/>
          </w:tcPr>
          <w:p>
            <w:pPr>
              <w:ind w:left="60"/>
              <w:spacing w:after="0"/>
              <w:rPr>
                <w:sz w:val="20"/>
                <w:szCs w:val="20"/>
                <w:color w:val="auto"/>
              </w:rPr>
            </w:pPr>
            <w:r>
              <w:rPr>
                <w:rFonts w:ascii="Times New Roman" w:cs="Times New Roman" w:eastAsia="Times New Roman" w:hAnsi="Times New Roman"/>
                <w:sz w:val="16"/>
                <w:szCs w:val="16"/>
                <w:color w:val="auto"/>
              </w:rPr>
              <w:t>and 21.2 ± 1.1 °C in</w:t>
            </w:r>
          </w:p>
        </w:tc>
        <w:tc>
          <w:tcPr>
            <w:tcW w:w="3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the</w:t>
            </w:r>
          </w:p>
        </w:tc>
      </w:tr>
    </w:tbl>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109478</w:t>
      </w:r>
    </w:p>
    <w:p>
      <w:pPr>
        <w:spacing w:after="0" w:line="280" w:lineRule="exact"/>
        <w:rPr>
          <w:sz w:val="20"/>
          <w:szCs w:val="20"/>
          <w:color w:val="auto"/>
        </w:rPr>
      </w:pPr>
    </w:p>
    <w:p>
      <w:pPr>
        <w:jc w:val="both"/>
        <w:ind w:left="2500"/>
        <w:spacing w:after="0" w:line="279"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The spectral distribution of nine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sole-source lighting treatments deliv-ered from blue (B; 400</w:t>
      </w:r>
      <w:r>
        <w:rPr>
          <w:rFonts w:ascii="Arial" w:cs="Arial" w:eastAsia="Arial" w:hAnsi="Arial"/>
          <w:sz w:val="14"/>
          <w:szCs w:val="14"/>
          <w:color w:val="auto"/>
        </w:rPr>
        <w:t>–</w:t>
      </w:r>
      <w:r>
        <w:rPr>
          <w:rFonts w:ascii="Times New Roman" w:cs="Times New Roman" w:eastAsia="Times New Roman" w:hAnsi="Times New Roman"/>
          <w:sz w:val="14"/>
          <w:szCs w:val="14"/>
          <w:color w:val="auto"/>
        </w:rPr>
        <w:t>500 nm), red (R; 600</w:t>
      </w:r>
      <w:r>
        <w:rPr>
          <w:rFonts w:ascii="Arial" w:cs="Arial" w:eastAsia="Arial" w:hAnsi="Arial"/>
          <w:sz w:val="14"/>
          <w:szCs w:val="14"/>
          <w:color w:val="auto"/>
        </w:rPr>
        <w:t>–</w:t>
      </w:r>
      <w:r>
        <w:rPr>
          <w:rFonts w:ascii="Times New Roman" w:cs="Times New Roman" w:eastAsia="Times New Roman" w:hAnsi="Times New Roman"/>
          <w:sz w:val="14"/>
          <w:szCs w:val="14"/>
          <w:color w:val="auto"/>
        </w:rPr>
        <w:t>700 nm), far-red (FR; 700</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800 nm), and warm white (WW) light-emitting diodes (LEDs) indoors and supplemental lighting from high-pres-sure sodium (HPS)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xtures. The sub-script values after each LED type in-dicate their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ux density in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The numbers above the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peak of each LED type and HPS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xture indicate the peak wavelength. (For in-terpretation of the references to colour in this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legend, the reader is re-ferred to the web version of this ar-ticle.)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greenhouse, respectively.</w:t>
      </w:r>
    </w:p>
    <w:p>
      <w:pPr>
        <w:spacing w:after="0" w:line="26" w:lineRule="exact"/>
        <w:rPr>
          <w:sz w:val="20"/>
          <w:szCs w:val="20"/>
          <w:color w:val="auto"/>
        </w:rPr>
      </w:pPr>
    </w:p>
    <w:p>
      <w:pPr>
        <w:jc w:val="both"/>
        <w:ind w:firstLine="249"/>
        <w:spacing w:after="0" w:line="268" w:lineRule="auto"/>
        <w:rPr>
          <w:sz w:val="20"/>
          <w:szCs w:val="20"/>
          <w:color w:val="auto"/>
        </w:rPr>
      </w:pPr>
      <w:r>
        <w:rPr>
          <w:rFonts w:ascii="Times New Roman" w:cs="Times New Roman" w:eastAsia="Times New Roman" w:hAnsi="Times New Roman"/>
          <w:sz w:val="16"/>
          <w:szCs w:val="16"/>
          <w:color w:val="auto"/>
        </w:rPr>
        <w:t>In CELL, the temperature was automatically controlled by an air conditioner (HBH030A3C20CRS; Heat Controller, Jackson, MI) and the air conditioner was controlled by a thermostat (TH8321R1001; Honeywell, Morris Plains, NJ) through a gateway and wireless sensor (THM6000R1002, C7189R1004; Honeywell). Humidity was monitored by a transmitter (HMDW110; Vaisala, Helsinki, Finland) and in re-plication 2, increased by a humidi</w:t>
      </w:r>
      <w:r>
        <w:rPr>
          <w:rFonts w:ascii="Arial" w:cs="Arial" w:eastAsia="Arial" w:hAnsi="Arial"/>
          <w:sz w:val="16"/>
          <w:szCs w:val="16"/>
          <w:color w:val="auto"/>
        </w:rPr>
        <w:t>fi</w:t>
      </w:r>
      <w:r>
        <w:rPr>
          <w:rFonts w:ascii="Times New Roman" w:cs="Times New Roman" w:eastAsia="Times New Roman" w:hAnsi="Times New Roman"/>
          <w:sz w:val="16"/>
          <w:szCs w:val="16"/>
          <w:color w:val="auto"/>
        </w:rPr>
        <w:t>er (LV600HH; L</w:t>
      </w:r>
      <w:r>
        <w:rPr>
          <w:rFonts w:ascii="Arial" w:cs="Arial" w:eastAsia="Arial" w:hAnsi="Arial"/>
          <w:sz w:val="16"/>
          <w:szCs w:val="16"/>
          <w:color w:val="auto"/>
        </w:rPr>
        <w:t>ӗ</w:t>
      </w:r>
      <w:r>
        <w:rPr>
          <w:rFonts w:ascii="Times New Roman" w:cs="Times New Roman" w:eastAsia="Times New Roman" w:hAnsi="Times New Roman"/>
          <w:sz w:val="16"/>
          <w:szCs w:val="16"/>
          <w:color w:val="auto"/>
        </w:rPr>
        <w:t>voit, Anaheim, CA) that ran continuously. The actual average relative humidity in the compartment was 29% and 41% in replication 1 and 2, respectively. In the greenhouse, whitewash (Kool Ray Classic; Continental Products Co., Euclid, OH) was applied to the greenhouse glazing to reduce the am-bient light intensity to deliver a DLI similar to that in the SSL treat-ments. Roof vents and fans were controlled by a greenhouse environ-mental control system (Integro 725; Priva North America, Vineland, Ontario, Canada). In both locations, seedlings were irrigated as neces-sary with deionized water supplemented with a water-soluble fertilizer containing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50 N, 19 P, 50 K, 23 Ca, 4 Mg, 1 Fe, 0.5 Cu, 0.5 Zn, 0.5 Mn, 0.3 B, and 0.1 Mo (Michigan State University Plug Special; GreenCare Fertilizers, Inc., Kankakee, IL).</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2.3. Environmental conditions during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nish stage</w:t>
      </w:r>
    </w:p>
    <w:p>
      <w:pPr>
        <w:spacing w:after="0" w:line="234"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At the end of the seedling stage, when the seedlings had well-de-veloped root systems, ten seedlings of each species from each radiation treatment and replication were selected and transplanted into 10-cm pots containing 70% peatmoss, 21% perlite, and 9% vermiculite potting media (SUREMIX; Michigan Grower Products, Inc., Galesburg, MI) and randomly placed on benches in the research greenhouse. For each re-plication, the number of days under the radiation treatments before seedling data collection and transplanting was (replication 1, 2): African marigold (27, 27), coleus (35, 32), dianthus (27, 26), geranium</w:t>
      </w:r>
    </w:p>
    <w:p>
      <w:pPr>
        <w:spacing w:after="0" w:line="195"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 Zhang, et al.</w:t>
      </w:r>
    </w:p>
    <w:p>
      <w:pPr>
        <w:spacing w:after="0" w:line="28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6"/>
          <w:szCs w:val="16"/>
          <w:color w:val="auto"/>
        </w:rPr>
        <w:t xml:space="preserve">(27, 27), impatiens (23, 24), petunia (25, 24), snapdragon (29, 28), tomato (22, 24), and zinnia (21, 21). Plants were grown at a constant 20 °C under a 16-h photoperiod provided by sunlight supplemented by 400-W HPS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xtures at a PPFD of 59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measurements were made during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nish stage in the greenhouse with a spectroradiometer (PS-200; Apogee Instruments Inc., Logan, UT) above the benches at nine representative positions at plant height. HPS </w:t>
      </w:r>
      <w:r>
        <w:rPr>
          <w:rFonts w:ascii="Arial" w:cs="Arial" w:eastAsia="Arial" w:hAnsi="Arial"/>
          <w:sz w:val="16"/>
          <w:szCs w:val="16"/>
          <w:color w:val="auto"/>
        </w:rPr>
        <w:t>fi</w:t>
      </w:r>
      <w:r>
        <w:rPr>
          <w:rFonts w:ascii="Times New Roman" w:cs="Times New Roman" w:eastAsia="Times New Roman" w:hAnsi="Times New Roman"/>
          <w:sz w:val="16"/>
          <w:szCs w:val="16"/>
          <w:color w:val="auto"/>
        </w:rPr>
        <w:t>xtures were automatically turned on from 0600 to 2200</w:t>
      </w:r>
      <w:r>
        <w:rPr>
          <w:rFonts w:ascii="Arial" w:cs="Arial" w:eastAsia="Arial" w:hAnsi="Arial"/>
          <w:sz w:val="16"/>
          <w:szCs w:val="16"/>
          <w:color w:val="auto"/>
        </w:rPr>
        <w:t xml:space="preserve"> </w:t>
      </w:r>
      <w:r>
        <w:rPr>
          <w:rFonts w:ascii="Times New Roman" w:cs="Times New Roman" w:eastAsia="Times New Roman" w:hAnsi="Times New Roman"/>
          <w:sz w:val="11"/>
          <w:szCs w:val="11"/>
          <w:color w:val="auto"/>
        </w:rPr>
        <w:t>HR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when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PPFD was &lt; 437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Air temperature and PPFD were mon-itored and recorded as described above. The average air temperature and DLI during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nish stage in the greenhouse for replication 1/2 were 20.0/20.6 °C and 10.2/15.2 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respectively. Plants were irrigated as necessary with reverse osmosis water supplemented with a water-soluble fertilizer containing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125 N, 12 P, 100 K, 65 Ca, 12 Mg, 1 Fe and Cu, 0.5 Mn and Zn, 0.3 B, and 0.1 Mo (Michigan State University RO Water Special; GreenCare Fertilizers, Inc.).</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Data collection and analysis</w:t>
      </w:r>
    </w:p>
    <w:p>
      <w:pPr>
        <w:spacing w:after="0" w:line="234"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The experiment was performed twice. The most uniform 20 plants from each tray section of each species in each radiation treatment and replication were selected for data collection: ten for the seedling stage and ten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nish stage. At the end of the seedling stage, stem length (from media level to apical meristem), leaf number, and leaf area [using a leaf area meter (LI-3000; LI-COR)] were measured for all nine species. Leaves with leaf length of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 cm (or 3 cm for geranium, tomato, and African marigold) were counted in leaf number and included in leaf area. The average leaf area was calculated by dividing total leaf area by leaf number. An index of relative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chlorophyll concentration (estimated by SPAD value) was measured on the second (for geranium) or third (for coleus, petunia, and zinnia) leaf from the meristem, using a SPAD meter (SPAD-502, Minolta Corporation, Ltd., Osaka, Japan). Three readings per leaf were taken and the average was recorded. After plants were dried in an oven at 80 °C for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5 d, shoot dry weight of all species and root dry weight of petunia, tomato, and zinnia were mea-sured with a balance (A&amp;D Weighing GR-1000, San Jose, CA). During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nish stage, date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open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and visible bud or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 number at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rst</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owering was recorded on all species except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coleus. Plant height at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(length of the primary stem from the substrate surface to the top of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orescence) was measured except for impatiens. Leaf number on the primary stem at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was re-corded for snapdragon, tomato, and zinnia.</w:t>
      </w:r>
    </w:p>
    <w:p>
      <w:pPr>
        <w:spacing w:after="0" w:line="201"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 xml:space="preserve">The experiment used a randomized complete block design. Two replications were considered as two blocks and each shelf in CELL or the bench in the greenhouse was regarded as the experimental unit for the radiation treatment. Within the experimental unit, ten individual seedlings and ten individual plants at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nish stage per species were the subsamples. Data were pooled from two replications and were analyzed with the SAS (version 9.4; SAS Institute, Inc., Cary, NC) mixed-model (PROC MIXED) and glimmix-model (PROC GLIMMIX) procedures. Pairwise comparisons between lighting treatments were performed with Tukey</w:t>
      </w:r>
      <w:r>
        <w:rPr>
          <w:rFonts w:ascii="Arial" w:cs="Arial" w:eastAsia="Arial" w:hAnsi="Arial"/>
          <w:sz w:val="16"/>
          <w:szCs w:val="16"/>
          <w:color w:val="auto"/>
        </w:rPr>
        <w:t>’</w:t>
      </w:r>
      <w:r>
        <w:rPr>
          <w:rFonts w:ascii="Times New Roman" w:cs="Times New Roman" w:eastAsia="Times New Roman" w:hAnsi="Times New Roman"/>
          <w:sz w:val="16"/>
          <w:szCs w:val="16"/>
          <w:color w:val="auto"/>
        </w:rPr>
        <w:t>s honest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 test at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w:t>
      </w:r>
    </w:p>
    <w:p>
      <w:pPr>
        <w:spacing w:after="0" w:line="181"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Seedling stage</w:t>
      </w:r>
    </w:p>
    <w:p>
      <w:pPr>
        <w:spacing w:after="0" w:line="234" w:lineRule="exact"/>
        <w:rPr>
          <w:sz w:val="20"/>
          <w:szCs w:val="20"/>
          <w:color w:val="auto"/>
        </w:rPr>
      </w:pPr>
    </w:p>
    <w:p>
      <w:pPr>
        <w:jc w:val="both"/>
        <w:ind w:firstLine="249"/>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Seedling stem length of all species was similar among the ten ra-diation treatments except for snapdragon, petunia, and zinnia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Stem length of snapdragon and zinnia generally increased as FR was added to either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or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Seedlings were 64</w:t>
      </w:r>
      <w:r>
        <w:rPr>
          <w:rFonts w:ascii="Arial" w:cs="Arial" w:eastAsia="Arial" w:hAnsi="Arial"/>
          <w:sz w:val="16"/>
          <w:szCs w:val="16"/>
          <w:color w:val="auto"/>
        </w:rPr>
        <w:t>–</w:t>
      </w:r>
      <w:r>
        <w:rPr>
          <w:rFonts w:ascii="Times New Roman" w:cs="Times New Roman" w:eastAsia="Times New Roman" w:hAnsi="Times New Roman"/>
          <w:sz w:val="16"/>
          <w:szCs w:val="16"/>
          <w:color w:val="auto"/>
        </w:rPr>
        <w:t>134% (for snapdragon) and 52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96 % (for zinnia) taller with the addition of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compared with that in the greenhouse or indoor treat-ments without FR. In snapdragon, stem length under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was si-milar to that under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40</w:t>
      </w:r>
      <w:r>
        <w:rPr>
          <w:rFonts w:ascii="Times New Roman" w:cs="Times New Roman" w:eastAsia="Times New Roman" w:hAnsi="Times New Roman"/>
          <w:sz w:val="16"/>
          <w:szCs w:val="16"/>
          <w:color w:val="auto"/>
        </w:rPr>
        <w:t>, and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40</w:t>
      </w:r>
      <w:r>
        <w:rPr>
          <w:rFonts w:ascii="Times New Roman" w:cs="Times New Roman" w:eastAsia="Times New Roman" w:hAnsi="Times New Roman"/>
          <w:sz w:val="16"/>
          <w:szCs w:val="16"/>
          <w:color w:val="auto"/>
        </w:rPr>
        <w:t>. In contrast, zinnia stem length under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was statistically similar to</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109478</w:t>
      </w:r>
    </w:p>
    <w:p>
      <w:pPr>
        <w:spacing w:after="0" w:line="33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6"/>
          <w:szCs w:val="16"/>
          <w:color w:val="auto"/>
        </w:rPr>
        <w:t>that under the other treatments. In petunia, stem length was 92% and 108% taller in the greenhouse than the indoor treatments without FR (i.e.,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and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respectively, whereas stem length under these three treatments was similar to that in the other radiation treat-ments.</w:t>
      </w:r>
    </w:p>
    <w:p>
      <w:pPr>
        <w:spacing w:after="0" w:line="181" w:lineRule="exact"/>
        <w:rPr>
          <w:sz w:val="20"/>
          <w:szCs w:val="20"/>
          <w:color w:val="auto"/>
        </w:rPr>
      </w:pPr>
    </w:p>
    <w:p>
      <w:pPr>
        <w:jc w:val="both"/>
        <w:ind w:firstLine="25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the SPAD value of zinnia decreased by 17% with the addition of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Similarly, in petunia, the SPAD value 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decreased by 16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23% with additional FR at </w:t>
      </w:r>
      <w:r>
        <w:rPr>
          <w:rFonts w:ascii="Arial" w:cs="Arial" w:eastAsia="Arial" w:hAnsi="Arial"/>
          <w:sz w:val="16"/>
          <w:szCs w:val="16"/>
          <w:color w:val="auto"/>
        </w:rPr>
        <w:t>≥</w:t>
      </w:r>
      <w:r>
        <w:rPr>
          <w:rFonts w:ascii="Times New Roman" w:cs="Times New Roman" w:eastAsia="Times New Roman" w:hAnsi="Times New Roman"/>
          <w:sz w:val="16"/>
          <w:szCs w:val="16"/>
          <w:color w:val="auto"/>
        </w:rPr>
        <w:t>20</w:t>
      </w:r>
      <w:r>
        <w:rPr>
          <w:rFonts w:ascii="Arial" w:cs="Arial" w:eastAsia="Arial" w:hAnsi="Arial"/>
          <w:sz w:val="16"/>
          <w:szCs w:val="16"/>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Under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SPAD value in petunia decreased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with the addition of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SPAD value of zinnia and petunia was 14% or 13% higher 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or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respectively, whereas SPAD value was similar 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and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when the same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of FR was added. In geranium and coleus, there were no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SPAD value among treatments (Supple-mentary Table).</w:t>
      </w:r>
    </w:p>
    <w:p>
      <w:pPr>
        <w:spacing w:after="0" w:line="43" w:lineRule="exact"/>
        <w:rPr>
          <w:sz w:val="20"/>
          <w:szCs w:val="20"/>
          <w:color w:val="auto"/>
        </w:rPr>
      </w:pPr>
    </w:p>
    <w:p>
      <w:pPr>
        <w:jc w:val="both"/>
        <w:ind w:firstLine="250"/>
        <w:spacing w:after="0" w:line="24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Radiation treatment did not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average leaf area or dry shoot weight in any species (</w:t>
      </w:r>
      <w:hyperlink w:anchor="page7">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Similarly, dry root weight of zinnia and petunia were similar under the radiation treatments. In tomato, the dry root weight of seedlings under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6"/>
          <w:szCs w:val="16"/>
          <w:color w:val="auto"/>
        </w:rPr>
        <w:t xml:space="preserve"> was 40</w:t>
      </w:r>
      <w:r>
        <w:rPr>
          <w:rFonts w:ascii="Arial" w:cs="Arial" w:eastAsia="Arial" w:hAnsi="Arial"/>
          <w:sz w:val="16"/>
          <w:szCs w:val="16"/>
          <w:color w:val="auto"/>
        </w:rPr>
        <w:t>–</w:t>
      </w:r>
      <w:r>
        <w:rPr>
          <w:rFonts w:ascii="Times New Roman" w:cs="Times New Roman" w:eastAsia="Times New Roman" w:hAnsi="Times New Roman"/>
          <w:sz w:val="16"/>
          <w:szCs w:val="16"/>
          <w:color w:val="auto"/>
        </w:rPr>
        <w:t>47% greater than that under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indoors or in the greenhouse, but dry root weight under these three treatments was similar to that in the other treatments (Supplementary Table).</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3.2.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w:t>
      </w:r>
    </w:p>
    <w:p>
      <w:pPr>
        <w:spacing w:after="0" w:line="234" w:lineRule="exact"/>
        <w:rPr>
          <w:sz w:val="20"/>
          <w:szCs w:val="20"/>
          <w:color w:val="auto"/>
        </w:rPr>
      </w:pPr>
    </w:p>
    <w:p>
      <w:pPr>
        <w:jc w:val="both"/>
        <w:ind w:firstLine="25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Radiation treatments during the seedling stage had little to no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days to subsequent visible bud or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orescence number, plant height at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or leaf number in all the species tested except for snapdragon (</w:t>
      </w:r>
      <w:hyperlink w:anchor="page7">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xml:space="preserve">). In snapdragon,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was accelerated by 7</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11 d with FR at 20 or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(with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or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or under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compared with indoor treatments without FR or in the greenhouse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xml:space="preserve">). Plant height of snapdragon at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was 17</w:t>
      </w:r>
      <w:r>
        <w:rPr>
          <w:rFonts w:ascii="Arial" w:cs="Arial" w:eastAsia="Arial" w:hAnsi="Arial"/>
          <w:sz w:val="16"/>
          <w:szCs w:val="16"/>
          <w:color w:val="auto"/>
        </w:rPr>
        <w:t>–</w:t>
      </w:r>
      <w:r>
        <w:rPr>
          <w:rFonts w:ascii="Times New Roman" w:cs="Times New Roman" w:eastAsia="Times New Roman" w:hAnsi="Times New Roman"/>
          <w:sz w:val="16"/>
          <w:szCs w:val="16"/>
          <w:color w:val="auto"/>
        </w:rPr>
        <w:t>32% shorter with the addition of FR at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(with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or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or under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compared with that of seedling treatments without FR radiation. Snapdragon developed</w:t>
      </w:r>
    </w:p>
    <w:p>
      <w:pPr>
        <w:spacing w:after="0" w:line="1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6"/>
          <w:szCs w:val="16"/>
          <w:color w:val="auto"/>
        </w:rPr>
        <w:t>8</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29% fewer visible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 buds with the addition of FR at 20 or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with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FR at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with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and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xml:space="preserve"> compared with indoor treatments without FR radiation or in the greenhouse. In addition, snapdragon developed 9 or 10 fewer leaves before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with the additions of FR at 20 or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to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or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 </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to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compared with indoor treatments without FR radiation. In geranium, plants at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had an average of one more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 when seedlings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were grown 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than under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 and those had an in</w:t>
      </w:r>
      <w:r>
        <w:rPr>
          <w:rFonts w:ascii="Arial" w:cs="Arial" w:eastAsia="Arial" w:hAnsi="Arial"/>
          <w:sz w:val="16"/>
          <w:szCs w:val="16"/>
          <w:color w:val="auto"/>
        </w:rPr>
        <w:t>fl</w:t>
      </w:r>
      <w:r>
        <w:rPr>
          <w:rFonts w:ascii="Times New Roman" w:cs="Times New Roman" w:eastAsia="Times New Roman" w:hAnsi="Times New Roman"/>
          <w:sz w:val="16"/>
          <w:szCs w:val="16"/>
          <w:color w:val="auto"/>
        </w:rPr>
        <w:t>orescence number similar to that of seedlings grown under the other treatments (Supplementary Table).</w:t>
      </w:r>
    </w:p>
    <w:p>
      <w:pPr>
        <w:spacing w:after="0" w:line="375"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sz w:val="20"/>
          <w:szCs w:val="20"/>
          <w:color w:val="auto"/>
        </w:rPr>
      </w:pPr>
    </w:p>
    <w:p>
      <w:pPr>
        <w:jc w:val="both"/>
        <w:ind w:firstLine="250"/>
        <w:spacing w:after="0" w:line="26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Under vegetative shade outdoors, the R:FR decreases, and in re-sponse, plants elongate in an attempt to better capture photosynthetic light (</w:t>
      </w:r>
      <w:hyperlink w:anchor="page7">
        <w:r>
          <w:rPr>
            <w:rFonts w:ascii="Times New Roman" w:cs="Times New Roman" w:eastAsia="Times New Roman" w:hAnsi="Times New Roman"/>
            <w:sz w:val="16"/>
            <w:szCs w:val="16"/>
            <w:color w:val="004A76"/>
          </w:rPr>
          <w:t>Franklin, 2008</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Gommers et al., 2013</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Smith, 1994</w:t>
        </w:r>
      </w:hyperlink>
      <w:r>
        <w:rPr>
          <w:rFonts w:ascii="Times New Roman" w:cs="Times New Roman" w:eastAsia="Times New Roman" w:hAnsi="Times New Roman"/>
          <w:sz w:val="16"/>
          <w:szCs w:val="16"/>
          <w:color w:val="auto"/>
        </w:rPr>
        <w:t>). The sensi-tivity of extension growth to the R:FR depends on shade-tolerance and species. For example, when the R:FR increased from 1:1 to 1:0, stem length of shade-avoiding geranium, snapdragon, and petunia decreased by 41</w:t>
      </w:r>
      <w:r>
        <w:rPr>
          <w:rFonts w:ascii="Arial" w:cs="Arial" w:eastAsia="Arial" w:hAnsi="Arial"/>
          <w:sz w:val="16"/>
          <w:szCs w:val="16"/>
          <w:color w:val="auto"/>
        </w:rPr>
        <w:t>–</w:t>
      </w:r>
      <w:r>
        <w:rPr>
          <w:rFonts w:ascii="Times New Roman" w:cs="Times New Roman" w:eastAsia="Times New Roman" w:hAnsi="Times New Roman"/>
          <w:sz w:val="16"/>
          <w:szCs w:val="16"/>
          <w:color w:val="auto"/>
        </w:rPr>
        <w:t>95%, whereas that of shade-tolerant impatiens decreased by 24% (</w:t>
      </w:r>
      <w:hyperlink w:anchor="page7">
        <w:r>
          <w:rPr>
            <w:rFonts w:ascii="Times New Roman" w:cs="Times New Roman" w:eastAsia="Times New Roman" w:hAnsi="Times New Roman"/>
            <w:sz w:val="16"/>
            <w:szCs w:val="16"/>
            <w:color w:val="004A76"/>
          </w:rPr>
          <w:t>Park and Runkle, 2017</w:t>
        </w:r>
      </w:hyperlink>
      <w:r>
        <w:rPr>
          <w:rFonts w:ascii="Times New Roman" w:cs="Times New Roman" w:eastAsia="Times New Roman" w:hAnsi="Times New Roman"/>
          <w:sz w:val="16"/>
          <w:szCs w:val="16"/>
          <w:color w:val="auto"/>
        </w:rPr>
        <w:t xml:space="preserve">). We postulated that the reduction in R:FR by the addition of a relatively low FR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in SSL would promote stem elongation and leaf expansion of seedlings in shade-avoiding species and have less of 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in shade-tolerant species. Our results show that the addition of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increased stem length of shade-avoiding snapdragon and zinnia by 64</w:t>
      </w:r>
      <w:r>
        <w:rPr>
          <w:rFonts w:ascii="Arial" w:cs="Arial" w:eastAsia="Arial" w:hAnsi="Arial"/>
          <w:sz w:val="16"/>
          <w:szCs w:val="16"/>
          <w:color w:val="auto"/>
        </w:rPr>
        <w:t>–</w:t>
      </w:r>
      <w:r>
        <w:rPr>
          <w:rFonts w:ascii="Times New Roman" w:cs="Times New Roman" w:eastAsia="Times New Roman" w:hAnsi="Times New Roman"/>
          <w:sz w:val="16"/>
          <w:szCs w:val="16"/>
          <w:color w:val="auto"/>
        </w:rPr>
        <w:t>71% and 93</w:t>
      </w:r>
      <w:r>
        <w:rPr>
          <w:rFonts w:ascii="Arial" w:cs="Arial" w:eastAsia="Arial" w:hAnsi="Arial"/>
          <w:sz w:val="16"/>
          <w:szCs w:val="16"/>
          <w:color w:val="auto"/>
        </w:rPr>
        <w:t>–</w:t>
      </w:r>
      <w:r>
        <w:rPr>
          <w:rFonts w:ascii="Times New Roman" w:cs="Times New Roman" w:eastAsia="Times New Roman" w:hAnsi="Times New Roman"/>
          <w:sz w:val="16"/>
          <w:szCs w:val="16"/>
          <w:color w:val="auto"/>
        </w:rPr>
        <w:t>96%, respectively, under both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 xml:space="preserve"> and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In contrast, the addition of FR did not meaningfully increase extension growth in the other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shade-avoiding species and both shade-tolerant species, coleus and impatiens.</w:t>
      </w:r>
    </w:p>
    <w:p>
      <w:pPr>
        <w:spacing w:after="0" w:line="408"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6"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M. Zhang, et al.</w:t>
      </w:r>
      <w:r>
        <w:rPr>
          <w:sz w:val="20"/>
          <w:szCs w:val="20"/>
          <w:color w:val="auto"/>
        </w:rPr>
        <w:tab/>
      </w:r>
      <w:r>
        <w:rPr>
          <w:rFonts w:ascii="Arial" w:cs="Arial" w:eastAsia="Arial" w:hAnsi="Arial"/>
          <w:sz w:val="12"/>
          <w:szCs w:val="12"/>
          <w:i w:val="1"/>
          <w:iCs w:val="1"/>
          <w:color w:val="auto"/>
        </w:rPr>
        <w:t>Scientia Horticulturae 272 (2020) 109478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561340</wp:posOffset>
            </wp:positionH>
            <wp:positionV relativeFrom="paragraph">
              <wp:posOffset>199390</wp:posOffset>
            </wp:positionV>
            <wp:extent cx="5471160" cy="57804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5471160" cy="5780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both"/>
        <w:spacing w:after="0" w:line="256"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Stem length of seedlings grown under eight sole-source lighting treatments emitting 0 to 40</w:t>
      </w:r>
      <w:r>
        <w:rPr>
          <w:rFonts w:ascii="Arial" w:cs="Arial" w:eastAsia="Arial" w:hAnsi="Arial"/>
          <w:sz w:val="14"/>
          <w:szCs w:val="14"/>
          <w:color w:val="auto"/>
        </w:rPr>
        <w:t xml:space="preserve">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of far-red (FR; 700</w:t>
      </w:r>
      <w:r>
        <w:rPr>
          <w:rFonts w:ascii="Arial" w:cs="Arial" w:eastAsia="Arial" w:hAnsi="Arial"/>
          <w:sz w:val="14"/>
          <w:szCs w:val="14"/>
          <w:color w:val="auto"/>
        </w:rPr>
        <w:t>–</w:t>
      </w:r>
      <w:r>
        <w:rPr>
          <w:rFonts w:ascii="Times New Roman" w:cs="Times New Roman" w:eastAsia="Times New Roman" w:hAnsi="Times New Roman"/>
          <w:sz w:val="14"/>
          <w:szCs w:val="14"/>
          <w:color w:val="auto"/>
        </w:rPr>
        <w:t>800 nm) radiation with 20 or</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60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of blue (B; 400</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500 nm) radiation and 120 or 160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of red (R; 600</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700 nm) radiation, or one treatment from warm white (WW) light-emitting diodes at 180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Plants were also grown in a greenhouse for comparison. The top, middle, and bottom rows represent long-day plants, short-day plants, and day-neutral plants, respectively. Data for each species represent the mean of two replications with 10 subsamples (plants) per replication. Means sharing the same letter are not statistically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 test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 and NS indicates nonsigni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cance. Error bars indicate the standard error, which was calculated by 20 subsamples from two replications. (For interpretation of the references to colour in this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legend, the reader is referred to the web version of this article.)</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74" w:lineRule="exact"/>
        <w:rPr>
          <w:sz w:val="20"/>
          <w:szCs w:val="20"/>
          <w:color w:val="auto"/>
        </w:rPr>
      </w:pPr>
    </w:p>
    <w:p>
      <w:pPr>
        <w:jc w:val="both"/>
        <w:ind w:firstLine="249"/>
        <w:spacing w:after="0" w:line="267"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magnitude of phytochrome-mediated plant responses depends on the relative amount of active phytochrome, or PPE. In a wide range of species, stem elongation increases linearly as the estimated PPE de-creases (</w:t>
      </w:r>
      <w:hyperlink w:anchor="page7">
        <w:r>
          <w:rPr>
            <w:rFonts w:ascii="Times New Roman" w:cs="Times New Roman" w:eastAsia="Times New Roman" w:hAnsi="Times New Roman"/>
            <w:sz w:val="16"/>
            <w:szCs w:val="16"/>
            <w:color w:val="004A76"/>
          </w:rPr>
          <w:t>Runkle and Heins, 2001</w:t>
        </w:r>
      </w:hyperlink>
      <w:r>
        <w:rPr>
          <w:rFonts w:ascii="Times New Roman" w:cs="Times New Roman" w:eastAsia="Times New Roman" w:hAnsi="Times New Roman"/>
          <w:sz w:val="16"/>
          <w:szCs w:val="16"/>
          <w:color w:val="auto"/>
        </w:rPr>
        <w:t>). A PPE is established depending on the incident R:FR with a hyperbolic relationship (</w:t>
      </w:r>
      <w:hyperlink w:anchor="page7">
        <w:r>
          <w:rPr>
            <w:rFonts w:ascii="Times New Roman" w:cs="Times New Roman" w:eastAsia="Times New Roman" w:hAnsi="Times New Roman"/>
            <w:sz w:val="16"/>
            <w:szCs w:val="16"/>
            <w:color w:val="004A76"/>
          </w:rPr>
          <w:t>Smith, 1982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Craig</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and Runkle, 2016</w:t>
        </w:r>
      </w:hyperlink>
      <w:r>
        <w:rPr>
          <w:rFonts w:ascii="Times New Roman" w:cs="Times New Roman" w:eastAsia="Times New Roman" w:hAnsi="Times New Roman"/>
          <w:sz w:val="16"/>
          <w:szCs w:val="16"/>
          <w:color w:val="000000"/>
        </w:rPr>
        <w:t>). As R:FR increases up to 1.2, the PPE value increases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sharply, but the PPE value begins to plateau as R:FR &gt; 1.2. In this study, the addition of 10</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40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of FR in SSL decreased the R:FR from 1:0 to 3:1 but only caused a small decrease in PPE, from 0.88 to 0.81 (</w:t>
      </w:r>
      <w:hyperlink w:anchor="page7">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 Therefore, in less sensitive shade-avoiding species and shade-tolerant species, the weak stem elongation responses from the decrease in R:FR can be attributed to the small decrease in PPE. In addition, although the R:FR and estimated PPE value have been used to predict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the radiation spectrum on phytochrome-mediated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54" w:lineRule="exact"/>
        <w:rPr>
          <w:rFonts w:ascii="Times New Roman" w:cs="Times New Roman" w:eastAsia="Times New Roman" w:hAnsi="Times New Roman"/>
          <w:sz w:val="16"/>
          <w:szCs w:val="16"/>
          <w:color w:val="auto"/>
        </w:rPr>
      </w:pPr>
    </w:p>
    <w:p>
      <w:pPr>
        <w:jc w:val="both"/>
        <w:spacing w:after="0" w:line="250" w:lineRule="auto"/>
        <w:rPr>
          <w:sz w:val="20"/>
          <w:szCs w:val="20"/>
          <w:color w:val="auto"/>
        </w:rPr>
      </w:pPr>
      <w:r>
        <w:rPr>
          <w:rFonts w:ascii="Times New Roman" w:cs="Times New Roman" w:eastAsia="Times New Roman" w:hAnsi="Times New Roman"/>
          <w:sz w:val="16"/>
          <w:szCs w:val="16"/>
          <w:color w:val="auto"/>
        </w:rPr>
        <w:t>extension growth, the PPE value of the radiation treatments was a more accurate predictor of extension growth in our study. For example, WW</w:t>
      </w:r>
      <w:r>
        <w:rPr>
          <w:rFonts w:ascii="Times New Roman" w:cs="Times New Roman" w:eastAsia="Times New Roman" w:hAnsi="Times New Roman"/>
          <w:sz w:val="21"/>
          <w:szCs w:val="21"/>
          <w:color w:val="auto"/>
          <w:vertAlign w:val="subscript"/>
        </w:rPr>
        <w:t>180</w:t>
      </w:r>
      <w:r>
        <w:rPr>
          <w:rFonts w:ascii="Times New Roman" w:cs="Times New Roman" w:eastAsia="Times New Roman" w:hAnsi="Times New Roman"/>
          <w:sz w:val="16"/>
          <w:szCs w:val="16"/>
          <w:color w:val="auto"/>
        </w:rPr>
        <w:t>, which had an R:FR = 5, had a PPE value similar to that of B</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160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40</w:t>
      </w:r>
      <w:r>
        <w:rPr>
          <w:rFonts w:ascii="Times New Roman" w:cs="Times New Roman" w:eastAsia="Times New Roman" w:hAnsi="Times New Roman"/>
          <w:sz w:val="16"/>
          <w:szCs w:val="16"/>
          <w:color w:val="auto"/>
        </w:rPr>
        <w:t xml:space="preserve"> (R:FR = 4). Both treatments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seedling growth similarly in all species, including snapdragon and zinnia, under the same PPFD. In addition,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10</w:t>
      </w:r>
      <w:r>
        <w:rPr>
          <w:rFonts w:ascii="Times New Roman" w:cs="Times New Roman" w:eastAsia="Times New Roman" w:hAnsi="Times New Roman"/>
          <w:sz w:val="16"/>
          <w:szCs w:val="16"/>
          <w:color w:val="auto"/>
        </w:rPr>
        <w:t xml:space="preserve"> and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Times New Roman" w:cs="Times New Roman" w:eastAsia="Times New Roman" w:hAnsi="Times New Roman"/>
          <w:sz w:val="16"/>
          <w:szCs w:val="16"/>
          <w:color w:val="auto"/>
        </w:rPr>
        <w:t>FR</w:t>
      </w:r>
      <w:r>
        <w:rPr>
          <w:rFonts w:ascii="Times New Roman" w:cs="Times New Roman" w:eastAsia="Times New Roman" w:hAnsi="Times New Roman"/>
          <w:sz w:val="21"/>
          <w:szCs w:val="21"/>
          <w:color w:val="auto"/>
          <w:vertAlign w:val="subscript"/>
        </w:rPr>
        <w:t>20</w:t>
      </w:r>
      <w:r>
        <w:rPr>
          <w:rFonts w:ascii="Times New Roman" w:cs="Times New Roman" w:eastAsia="Times New Roman" w:hAnsi="Times New Roman"/>
          <w:sz w:val="16"/>
          <w:szCs w:val="16"/>
          <w:color w:val="auto"/>
        </w:rPr>
        <w:t>, which had si-milar PPE values but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R:FRs (12:1 and 6:1, respectively), had similar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on promoting stem elongation on snapdragon, zinnia, and petunia. Together,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indicate that the PPE value is a better indicator to assess crop extension growth responses compared with the R:FR, especially under higher R:FR conditions.</w:t>
      </w:r>
    </w:p>
    <w:p>
      <w:pPr>
        <w:spacing w:after="0" w:line="12" w:lineRule="exact"/>
        <w:rPr>
          <w:rFonts w:ascii="Times New Roman" w:cs="Times New Roman" w:eastAsia="Times New Roman" w:hAnsi="Times New Roman"/>
          <w:sz w:val="16"/>
          <w:szCs w:val="16"/>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 xml:space="preserve">FR radiation is involved in regulation of photoperiodic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responses in some LDPs. During a long night,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of a wide range of LDPs is promoted most when the night is interrupted with R</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7"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M. Zhang, et al.</w:t>
      </w:r>
      <w:r>
        <w:rPr>
          <w:sz w:val="20"/>
          <w:szCs w:val="20"/>
          <w:color w:val="auto"/>
        </w:rPr>
        <w:tab/>
      </w:r>
      <w:r>
        <w:rPr>
          <w:rFonts w:ascii="Arial" w:cs="Arial" w:eastAsia="Arial" w:hAnsi="Arial"/>
          <w:sz w:val="12"/>
          <w:szCs w:val="12"/>
          <w:i w:val="1"/>
          <w:iCs w:val="1"/>
          <w:color w:val="auto"/>
        </w:rPr>
        <w:t>Scientia Horticulturae 272 (2020) 109478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199390</wp:posOffset>
            </wp:positionV>
            <wp:extent cx="6427470" cy="29749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6427470" cy="297497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spacing w:after="0" w:line="288" w:lineRule="auto"/>
        <w:rPr>
          <w:rFonts w:ascii="Times New Roman" w:cs="Times New Roman" w:eastAsia="Times New Roman" w:hAnsi="Times New Roman"/>
          <w:sz w:val="14"/>
          <w:szCs w:val="14"/>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Relative chlorophyll content (SPAD index) value of petunia (left)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zinnia (right) seedlings grown under nine sole-source lighting treatments de-livered by blue (B), red (R), far-red (FR), and warm white (WW) light-emitting diodes indoors and one greenhouse treatment as described in </w:t>
      </w:r>
      <w:hyperlink w:anchor="page7">
        <w:r>
          <w:rPr>
            <w:rFonts w:ascii="Times New Roman" w:cs="Times New Roman" w:eastAsia="Times New Roman" w:hAnsi="Times New Roman"/>
            <w:sz w:val="14"/>
            <w:szCs w:val="14"/>
            <w:color w:val="004A76"/>
          </w:rPr>
          <w:t>Fig. 2</w:t>
        </w:r>
      </w:hyperlink>
      <w:r>
        <w:rPr>
          <w:rFonts w:ascii="Times New Roman" w:cs="Times New Roman" w:eastAsia="Times New Roman" w:hAnsi="Times New Roman"/>
          <w:sz w:val="14"/>
          <w:szCs w:val="14"/>
          <w:color w:val="auto"/>
        </w:rPr>
        <w:t>. Data for each species represent the mean of two replications with 10 subsamples (plants) per replication. Means sharing the same letter are not statistically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 test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 Error bars indicate the standard error, which was calculated by 20 subsamples from two replications. (For interpretation of the references to colour in this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legend, the reader is referred to the web version of this article.)</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3"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14"/>
          <w:szCs w:val="14"/>
          <w:color w:val="auto"/>
        </w:rPr>
        <w:t>Average leaf area, dry shoot weight, and dry root weight of nine species at the end of the seedling stage. Lighting treatments had no statistical e</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 on any species, and thus, data for each species were pooled from all lighting treat-ments. Data for each species represent the mean ( ± </w:t>
      </w:r>
      <w:r>
        <w:rPr>
          <w:rFonts w:ascii="Times New Roman" w:cs="Times New Roman" w:eastAsia="Times New Roman" w:hAnsi="Times New Roman"/>
          <w:sz w:val="10"/>
          <w:szCs w:val="10"/>
          <w:color w:val="auto"/>
        </w:rPr>
        <w:t>SE</w:t>
      </w:r>
      <w:r>
        <w:rPr>
          <w:rFonts w:ascii="Times New Roman" w:cs="Times New Roman" w:eastAsia="Times New Roman" w:hAnsi="Times New Roman"/>
          <w:sz w:val="14"/>
          <w:szCs w:val="14"/>
          <w:color w:val="auto"/>
        </w:rPr>
        <w:t>) of two replications with 10 subsamples (plants) per replication.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122555</wp:posOffset>
                </wp:positionV>
                <wp:extent cx="3187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65pt" to="250.65pt,9.65pt" o:allowincell="f" strokecolor="#000000" strokeweight="0.498pt"/>
            </w:pict>
          </mc:Fallback>
        </mc:AlternateContent>
      </w:r>
    </w:p>
    <w:p>
      <w:pPr>
        <w:spacing w:after="0" w:line="259"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Species</w:t>
            </w: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Average leaf area</w:t>
            </w:r>
          </w:p>
        </w:tc>
        <w:tc>
          <w:tcPr>
            <w:tcW w:w="128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Dry shoot weight</w:t>
            </w: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Dry root weight</w:t>
            </w:r>
          </w:p>
        </w:tc>
      </w:tr>
      <w:tr>
        <w:trPr>
          <w:trHeight w:val="196"/>
        </w:trPr>
        <w:tc>
          <w:tcPr>
            <w:tcW w:w="1180" w:type="dxa"/>
            <w:vAlign w:val="bottom"/>
          </w:tcPr>
          <w:p>
            <w:pPr>
              <w:spacing w:after="0"/>
              <w:rPr>
                <w:sz w:val="17"/>
                <w:szCs w:val="17"/>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680" w:type="dxa"/>
            <w:vAlign w:val="bottom"/>
          </w:tcPr>
          <w:p>
            <w:pPr>
              <w:spacing w:after="0"/>
              <w:rPr>
                <w:sz w:val="17"/>
                <w:szCs w:val="17"/>
                <w:color w:val="auto"/>
              </w:rPr>
            </w:pPr>
          </w:p>
        </w:tc>
        <w:tc>
          <w:tcPr>
            <w:tcW w:w="6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(g)</w:t>
            </w:r>
          </w:p>
        </w:tc>
        <w:tc>
          <w:tcPr>
            <w:tcW w:w="680" w:type="dxa"/>
            <w:vAlign w:val="bottom"/>
          </w:tcPr>
          <w:p>
            <w:pPr>
              <w:spacing w:after="0"/>
              <w:rPr>
                <w:sz w:val="17"/>
                <w:szCs w:val="17"/>
                <w:color w:val="auto"/>
              </w:rPr>
            </w:pPr>
          </w:p>
        </w:tc>
        <w:tc>
          <w:tcPr>
            <w:tcW w:w="13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w:t>
            </w:r>
          </w:p>
        </w:tc>
      </w:tr>
      <w:tr>
        <w:trPr>
          <w:trHeight w:val="58"/>
        </w:trPr>
        <w:tc>
          <w:tcPr>
            <w:tcW w:w="118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r>
      <w:tr>
        <w:trPr>
          <w:trHeight w:val="242"/>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African marigold</w:t>
            </w:r>
          </w:p>
        </w:tc>
        <w:tc>
          <w:tcPr>
            <w:tcW w:w="5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5.96</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1.45</w:t>
            </w:r>
          </w:p>
        </w:tc>
        <w:tc>
          <w:tcPr>
            <w:tcW w:w="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0.19</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0.06</w:t>
            </w:r>
          </w:p>
        </w:tc>
        <w:tc>
          <w:tcPr>
            <w:tcW w:w="1300" w:type="dxa"/>
            <w:vAlign w:val="bottom"/>
          </w:tcPr>
          <w:p>
            <w:pPr>
              <w:ind w:left="600"/>
              <w:spacing w:after="0"/>
              <w:rPr>
                <w:rFonts w:ascii="Arial" w:cs="Arial" w:eastAsia="Arial" w:hAnsi="Arial"/>
                <w:sz w:val="13"/>
                <w:szCs w:val="13"/>
                <w:color w:val="auto"/>
              </w:rPr>
            </w:pPr>
            <w:r>
              <w:rPr>
                <w:rFonts w:ascii="Arial" w:cs="Arial" w:eastAsia="Arial" w:hAnsi="Arial"/>
                <w:sz w:val="13"/>
                <w:szCs w:val="13"/>
                <w:color w:val="auto"/>
              </w:rPr>
              <w:t>–</w:t>
            </w:r>
            <w:hyperlink w:anchor="page7">
              <w:r>
                <w:rPr>
                  <w:rFonts w:ascii="Times New Roman" w:cs="Times New Roman" w:eastAsia="Times New Roman" w:hAnsi="Times New Roman"/>
                  <w:sz w:val="17"/>
                  <w:szCs w:val="17"/>
                  <w:color w:val="004A76"/>
                  <w:vertAlign w:val="superscript"/>
                </w:rPr>
                <w:t>a</w:t>
              </w:r>
            </w:hyperlink>
          </w:p>
        </w:tc>
      </w:tr>
      <w:tr>
        <w:trPr>
          <w:trHeight w:val="168"/>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Coleus</w:t>
            </w:r>
          </w:p>
        </w:tc>
        <w:tc>
          <w:tcPr>
            <w:tcW w:w="5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4.39</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1.56</w:t>
            </w:r>
          </w:p>
        </w:tc>
        <w:tc>
          <w:tcPr>
            <w:tcW w:w="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0.10</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0.03</w:t>
            </w:r>
          </w:p>
        </w:tc>
        <w:tc>
          <w:tcPr>
            <w:tcW w:w="130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2"/>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Dianthus</w:t>
            </w:r>
          </w:p>
        </w:tc>
        <w:tc>
          <w:tcPr>
            <w:tcW w:w="5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3.99</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0.69</w:t>
            </w:r>
          </w:p>
        </w:tc>
        <w:tc>
          <w:tcPr>
            <w:tcW w:w="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0.15</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0.03</w:t>
            </w:r>
          </w:p>
        </w:tc>
        <w:tc>
          <w:tcPr>
            <w:tcW w:w="130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1"/>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Geranium</w:t>
            </w:r>
          </w:p>
        </w:tc>
        <w:tc>
          <w:tcPr>
            <w:tcW w:w="12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11.56 ± 2.04</w:t>
            </w:r>
          </w:p>
        </w:tc>
        <w:tc>
          <w:tcPr>
            <w:tcW w:w="128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0.23 ± 0.06</w:t>
            </w:r>
          </w:p>
        </w:tc>
        <w:tc>
          <w:tcPr>
            <w:tcW w:w="130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1"/>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Impatiens</w:t>
            </w:r>
          </w:p>
        </w:tc>
        <w:tc>
          <w:tcPr>
            <w:tcW w:w="5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3.11</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0.84</w:t>
            </w:r>
          </w:p>
        </w:tc>
        <w:tc>
          <w:tcPr>
            <w:tcW w:w="6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0.08</w:t>
            </w:r>
          </w:p>
        </w:tc>
        <w:tc>
          <w:tcPr>
            <w:tcW w:w="68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 0.04</w:t>
            </w:r>
          </w:p>
        </w:tc>
        <w:tc>
          <w:tcPr>
            <w:tcW w:w="130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59"/>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Petunia</w:t>
            </w:r>
          </w:p>
        </w:tc>
        <w:tc>
          <w:tcPr>
            <w:tcW w:w="126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2.37 ± 1.03</w:t>
            </w:r>
          </w:p>
        </w:tc>
        <w:tc>
          <w:tcPr>
            <w:tcW w:w="128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0.10 ± 0.03</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0.042 ± 0.02</w:t>
            </w:r>
          </w:p>
        </w:tc>
      </w:tr>
      <w:tr>
        <w:trPr>
          <w:trHeight w:val="183"/>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Snapdragon</w:t>
            </w:r>
          </w:p>
        </w:tc>
        <w:tc>
          <w:tcPr>
            <w:tcW w:w="126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3.46 ± 0.79</w:t>
            </w:r>
          </w:p>
        </w:tc>
        <w:tc>
          <w:tcPr>
            <w:tcW w:w="128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0.16 ± 0.04</w:t>
            </w:r>
          </w:p>
        </w:tc>
        <w:tc>
          <w:tcPr>
            <w:tcW w:w="130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59"/>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Tomato</w:t>
            </w:r>
          </w:p>
        </w:tc>
        <w:tc>
          <w:tcPr>
            <w:tcW w:w="126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6.20 ± 1.50</w:t>
            </w:r>
          </w:p>
        </w:tc>
        <w:tc>
          <w:tcPr>
            <w:tcW w:w="128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0.15 ± 0.04</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0.023 ± 0.01</w:t>
            </w:r>
          </w:p>
        </w:tc>
      </w:tr>
      <w:tr>
        <w:trPr>
          <w:trHeight w:val="171"/>
        </w:trPr>
        <w:tc>
          <w:tcPr>
            <w:tcW w:w="11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Zinnia</w:t>
            </w:r>
          </w:p>
        </w:tc>
        <w:tc>
          <w:tcPr>
            <w:tcW w:w="126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8.02 ± 1.96</w:t>
            </w:r>
          </w:p>
        </w:tc>
        <w:tc>
          <w:tcPr>
            <w:tcW w:w="1280" w:type="dxa"/>
            <w:vAlign w:val="bottom"/>
            <w:gridSpan w:val="2"/>
          </w:tcPr>
          <w:p>
            <w:pPr>
              <w:jc w:val="right"/>
              <w:ind w:right="156"/>
              <w:spacing w:after="0"/>
              <w:rPr>
                <w:sz w:val="20"/>
                <w:szCs w:val="20"/>
                <w:color w:val="auto"/>
              </w:rPr>
            </w:pPr>
            <w:r>
              <w:rPr>
                <w:rFonts w:ascii="Times New Roman" w:cs="Times New Roman" w:eastAsia="Times New Roman" w:hAnsi="Times New Roman"/>
                <w:sz w:val="13"/>
                <w:szCs w:val="13"/>
                <w:color w:val="auto"/>
              </w:rPr>
              <w:t>0.14 ± 0.03</w:t>
            </w:r>
          </w:p>
        </w:tc>
        <w:tc>
          <w:tcPr>
            <w:tcW w:w="13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0.062 ± 0.02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23" w:lineRule="exact"/>
        <w:rPr>
          <w:sz w:val="20"/>
          <w:szCs w:val="20"/>
          <w:color w:val="auto"/>
        </w:rPr>
      </w:pPr>
    </w:p>
    <w:p>
      <w:pPr>
        <w:ind w:left="260" w:hanging="129"/>
        <w:spacing w:after="0"/>
        <w:tabs>
          <w:tab w:leader="none" w:pos="260" w:val="left"/>
        </w:tabs>
        <w:numPr>
          <w:ilvl w:val="0"/>
          <w:numId w:val="10"/>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Data not collected.</w:t>
      </w:r>
    </w:p>
    <w:p>
      <w:pPr>
        <w:spacing w:after="0" w:line="257" w:lineRule="exact"/>
        <w:rPr>
          <w:sz w:val="20"/>
          <w:szCs w:val="20"/>
          <w:color w:val="auto"/>
        </w:rPr>
      </w:pPr>
    </w:p>
    <w:p>
      <w:pPr>
        <w:spacing w:after="0"/>
        <w:rPr>
          <w:sz w:val="20"/>
          <w:szCs w:val="20"/>
          <w:color w:val="auto"/>
        </w:rPr>
      </w:pPr>
      <w:r>
        <w:rPr>
          <w:rFonts w:ascii="Arial" w:cs="Arial" w:eastAsia="Arial" w:hAnsi="Arial"/>
          <w:sz w:val="14"/>
          <w:szCs w:val="14"/>
          <w:color w:val="auto"/>
        </w:rPr>
        <w:t>Table 3</w:t>
      </w:r>
    </w:p>
    <w:p>
      <w:pPr>
        <w:spacing w:after="0" w:line="33"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14"/>
          <w:szCs w:val="14"/>
          <w:color w:val="auto"/>
        </w:rPr>
        <w:t xml:space="preserve">Days to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 after transplant, visible bud or in</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orescence number at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rst </w:t>
      </w:r>
      <w:r>
        <w:rPr>
          <w:rFonts w:ascii="Arial" w:cs="Arial" w:eastAsia="Arial" w:hAnsi="Arial"/>
          <w:sz w:val="14"/>
          <w:szCs w:val="14"/>
          <w:color w:val="auto"/>
        </w:rPr>
        <w:t>fl</w:t>
      </w:r>
      <w:r>
        <w:rPr>
          <w:rFonts w:ascii="Times New Roman" w:cs="Times New Roman" w:eastAsia="Times New Roman" w:hAnsi="Times New Roman"/>
          <w:sz w:val="14"/>
          <w:szCs w:val="14"/>
          <w:color w:val="auto"/>
        </w:rPr>
        <w:t>owering, plant height at</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owering, and leaf number of eight species at the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nish stage. Lighting treatments had no statistical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on eight of the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species and data for each species were pooled from all lighting treatments. Data for each species represent the mean ( ± </w:t>
      </w:r>
      <w:r>
        <w:rPr>
          <w:rFonts w:ascii="Times New Roman" w:cs="Times New Roman" w:eastAsia="Times New Roman" w:hAnsi="Times New Roman"/>
          <w:sz w:val="10"/>
          <w:szCs w:val="10"/>
          <w:color w:val="auto"/>
        </w:rPr>
        <w:t>SE</w:t>
      </w:r>
      <w:r>
        <w:rPr>
          <w:rFonts w:ascii="Times New Roman" w:cs="Times New Roman" w:eastAsia="Times New Roman" w:hAnsi="Times New Roman"/>
          <w:sz w:val="14"/>
          <w:szCs w:val="14"/>
          <w:color w:val="auto"/>
        </w:rPr>
        <w:t>) of two replications with 10 sub-samples (plants) per replication.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124460</wp:posOffset>
                </wp:positionV>
                <wp:extent cx="3187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8pt" to="250.65pt,9.8pt" o:allowincell="f" strokecolor="#000000" strokeweight="0.498pt"/>
            </w:pict>
          </mc:Fallback>
        </mc:AlternateContent>
      </w: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Species</w:t>
            </w: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Days to</w:t>
            </w:r>
          </w:p>
        </w:tc>
        <w:tc>
          <w:tcPr>
            <w:tcW w:w="10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 xml:space="preserve">Visible </w:t>
            </w:r>
            <w:r>
              <w:rPr>
                <w:rFonts w:ascii="Arial" w:cs="Arial" w:eastAsia="Arial" w:hAnsi="Arial"/>
                <w:sz w:val="13"/>
                <w:szCs w:val="13"/>
                <w:color w:val="auto"/>
              </w:rPr>
              <w:t>fl</w:t>
            </w:r>
            <w:r>
              <w:rPr>
                <w:rFonts w:ascii="Times New Roman" w:cs="Times New Roman" w:eastAsia="Times New Roman" w:hAnsi="Times New Roman"/>
                <w:sz w:val="13"/>
                <w:szCs w:val="13"/>
                <w:color w:val="auto"/>
              </w:rPr>
              <w:t>ower</w:t>
            </w:r>
          </w:p>
        </w:tc>
        <w:tc>
          <w:tcPr>
            <w:tcW w:w="9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Plant height</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Leaf</w:t>
            </w:r>
          </w:p>
        </w:tc>
      </w:tr>
      <w:tr>
        <w:trPr>
          <w:trHeight w:val="171"/>
        </w:trPr>
        <w:tc>
          <w:tcPr>
            <w:tcW w:w="1160" w:type="dxa"/>
            <w:vAlign w:val="bottom"/>
          </w:tcPr>
          <w:p>
            <w:pPr>
              <w:spacing w:after="0"/>
              <w:rPr>
                <w:sz w:val="14"/>
                <w:szCs w:val="14"/>
                <w:color w:val="auto"/>
              </w:rPr>
            </w:pPr>
          </w:p>
        </w:tc>
        <w:tc>
          <w:tcPr>
            <w:tcW w:w="860" w:type="dxa"/>
            <w:vAlign w:val="bottom"/>
            <w:gridSpan w:val="2"/>
          </w:tcPr>
          <w:p>
            <w:pPr>
              <w:ind w:left="100"/>
              <w:spacing w:after="0"/>
              <w:rPr>
                <w:sz w:val="20"/>
                <w:szCs w:val="20"/>
                <w:color w:val="auto"/>
              </w:rPr>
            </w:pPr>
            <w:r>
              <w:rPr>
                <w:rFonts w:ascii="Arial" w:cs="Arial" w:eastAsia="Arial" w:hAnsi="Arial"/>
                <w:sz w:val="13"/>
                <w:szCs w:val="13"/>
                <w:color w:val="auto"/>
              </w:rPr>
              <w:t>fl</w:t>
            </w:r>
            <w:r>
              <w:rPr>
                <w:rFonts w:ascii="Times New Roman" w:cs="Times New Roman" w:eastAsia="Times New Roman" w:hAnsi="Times New Roman"/>
                <w:sz w:val="13"/>
                <w:szCs w:val="13"/>
                <w:color w:val="auto"/>
              </w:rPr>
              <w:t>ower after</w:t>
            </w:r>
          </w:p>
        </w:tc>
        <w:tc>
          <w:tcPr>
            <w:tcW w:w="5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bud or</w:t>
            </w:r>
          </w:p>
        </w:tc>
        <w:tc>
          <w:tcPr>
            <w:tcW w:w="580" w:type="dxa"/>
            <w:vAlign w:val="bottom"/>
          </w:tcPr>
          <w:p>
            <w:pPr>
              <w:spacing w:after="0"/>
              <w:rPr>
                <w:sz w:val="14"/>
                <w:szCs w:val="14"/>
                <w:color w:val="auto"/>
              </w:rPr>
            </w:pPr>
          </w:p>
        </w:tc>
        <w:tc>
          <w:tcPr>
            <w:tcW w:w="9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 xml:space="preserve">at </w:t>
            </w:r>
            <w:r>
              <w:rPr>
                <w:rFonts w:ascii="Arial" w:cs="Arial" w:eastAsia="Arial" w:hAnsi="Arial"/>
                <w:sz w:val="13"/>
                <w:szCs w:val="13"/>
                <w:color w:val="auto"/>
              </w:rPr>
              <w:t>fl</w:t>
            </w:r>
            <w:r>
              <w:rPr>
                <w:rFonts w:ascii="Times New Roman" w:cs="Times New Roman" w:eastAsia="Times New Roman" w:hAnsi="Times New Roman"/>
                <w:sz w:val="13"/>
                <w:szCs w:val="13"/>
                <w:color w:val="auto"/>
              </w:rPr>
              <w:t>owering</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number at</w:t>
            </w:r>
          </w:p>
        </w:tc>
      </w:tr>
      <w:tr>
        <w:trPr>
          <w:trHeight w:val="171"/>
        </w:trPr>
        <w:tc>
          <w:tcPr>
            <w:tcW w:w="1160" w:type="dxa"/>
            <w:vAlign w:val="bottom"/>
          </w:tcPr>
          <w:p>
            <w:pPr>
              <w:spacing w:after="0"/>
              <w:rPr>
                <w:sz w:val="14"/>
                <w:szCs w:val="14"/>
                <w:color w:val="auto"/>
              </w:rPr>
            </w:pP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transplant</w:t>
            </w:r>
          </w:p>
        </w:tc>
        <w:tc>
          <w:tcPr>
            <w:tcW w:w="10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in</w:t>
            </w:r>
            <w:r>
              <w:rPr>
                <w:rFonts w:ascii="Arial" w:cs="Arial" w:eastAsia="Arial" w:hAnsi="Arial"/>
                <w:sz w:val="13"/>
                <w:szCs w:val="13"/>
                <w:color w:val="auto"/>
              </w:rPr>
              <w:t>fl</w:t>
            </w:r>
            <w:r>
              <w:rPr>
                <w:rFonts w:ascii="Times New Roman" w:cs="Times New Roman" w:eastAsia="Times New Roman" w:hAnsi="Times New Roman"/>
                <w:sz w:val="13"/>
                <w:szCs w:val="13"/>
                <w:color w:val="auto"/>
              </w:rPr>
              <w:t>orescence</w:t>
            </w:r>
          </w:p>
        </w:tc>
        <w:tc>
          <w:tcPr>
            <w:tcW w:w="9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(cm)</w:t>
            </w:r>
          </w:p>
        </w:tc>
        <w:tc>
          <w:tcPr>
            <w:tcW w:w="940" w:type="dxa"/>
            <w:vAlign w:val="bottom"/>
          </w:tcPr>
          <w:p>
            <w:pPr>
              <w:ind w:left="120"/>
              <w:spacing w:after="0"/>
              <w:rPr>
                <w:sz w:val="20"/>
                <w:szCs w:val="20"/>
                <w:color w:val="auto"/>
              </w:rPr>
            </w:pPr>
            <w:r>
              <w:rPr>
                <w:rFonts w:ascii="Arial" w:cs="Arial" w:eastAsia="Arial" w:hAnsi="Arial"/>
                <w:sz w:val="13"/>
                <w:szCs w:val="13"/>
                <w:color w:val="auto"/>
              </w:rPr>
              <w:t>fl</w:t>
            </w:r>
            <w:r>
              <w:rPr>
                <w:rFonts w:ascii="Times New Roman" w:cs="Times New Roman" w:eastAsia="Times New Roman" w:hAnsi="Times New Roman"/>
                <w:sz w:val="13"/>
                <w:szCs w:val="13"/>
                <w:color w:val="auto"/>
              </w:rPr>
              <w:t>owering</w:t>
            </w:r>
          </w:p>
        </w:tc>
      </w:tr>
      <w:tr>
        <w:trPr>
          <w:trHeight w:val="171"/>
        </w:trPr>
        <w:tc>
          <w:tcPr>
            <w:tcW w:w="11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10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number</w:t>
            </w:r>
          </w:p>
        </w:tc>
        <w:tc>
          <w:tcPr>
            <w:tcW w:w="980" w:type="dxa"/>
            <w:vAlign w:val="bottom"/>
          </w:tcPr>
          <w:p>
            <w:pPr>
              <w:spacing w:after="0"/>
              <w:rPr>
                <w:sz w:val="14"/>
                <w:szCs w:val="14"/>
                <w:color w:val="auto"/>
              </w:rPr>
            </w:pPr>
          </w:p>
        </w:tc>
        <w:tc>
          <w:tcPr>
            <w:tcW w:w="940" w:type="dxa"/>
            <w:vAlign w:val="bottom"/>
          </w:tcPr>
          <w:p>
            <w:pPr>
              <w:spacing w:after="0"/>
              <w:rPr>
                <w:sz w:val="14"/>
                <w:szCs w:val="14"/>
                <w:color w:val="auto"/>
              </w:rPr>
            </w:pPr>
          </w:p>
        </w:tc>
      </w:tr>
      <w:tr>
        <w:trPr>
          <w:trHeight w:val="83"/>
        </w:trPr>
        <w:tc>
          <w:tcPr>
            <w:tcW w:w="116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gridSpan w:val="2"/>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r>
      <w:tr>
        <w:trPr>
          <w:trHeight w:val="243"/>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African marigold</w:t>
            </w:r>
          </w:p>
        </w:tc>
        <w:tc>
          <w:tcPr>
            <w:tcW w:w="3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39</w:t>
            </w:r>
          </w:p>
        </w:tc>
        <w:tc>
          <w:tcPr>
            <w:tcW w:w="480" w:type="dxa"/>
            <w:vAlign w:val="bottom"/>
          </w:tcPr>
          <w:p>
            <w:pPr>
              <w:jc w:val="right"/>
              <w:ind w:right="136"/>
              <w:spacing w:after="0"/>
              <w:rPr>
                <w:sz w:val="20"/>
                <w:szCs w:val="20"/>
                <w:color w:val="auto"/>
              </w:rPr>
            </w:pPr>
            <w:r>
              <w:rPr>
                <w:rFonts w:ascii="Times New Roman" w:cs="Times New Roman" w:eastAsia="Times New Roman" w:hAnsi="Times New Roman"/>
                <w:sz w:val="13"/>
                <w:szCs w:val="13"/>
                <w:color w:val="auto"/>
              </w:rPr>
              <w:t>± 3</w:t>
            </w:r>
          </w:p>
        </w:tc>
        <w:tc>
          <w:tcPr>
            <w:tcW w:w="10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13.8 ± 2.1</w:t>
            </w:r>
          </w:p>
        </w:tc>
        <w:tc>
          <w:tcPr>
            <w:tcW w:w="9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13.8 ± 1.5</w:t>
            </w:r>
          </w:p>
        </w:tc>
        <w:tc>
          <w:tcPr>
            <w:tcW w:w="940" w:type="dxa"/>
            <w:vAlign w:val="bottom"/>
          </w:tcPr>
          <w:p>
            <w:pPr>
              <w:ind w:left="420"/>
              <w:spacing w:after="0"/>
              <w:rPr>
                <w:rFonts w:ascii="Arial" w:cs="Arial" w:eastAsia="Arial" w:hAnsi="Arial"/>
                <w:sz w:val="13"/>
                <w:szCs w:val="13"/>
                <w:color w:val="auto"/>
              </w:rPr>
            </w:pPr>
            <w:r>
              <w:rPr>
                <w:rFonts w:ascii="Arial" w:cs="Arial" w:eastAsia="Arial" w:hAnsi="Arial"/>
                <w:sz w:val="13"/>
                <w:szCs w:val="13"/>
                <w:color w:val="auto"/>
              </w:rPr>
              <w:t>–</w:t>
            </w:r>
            <w:hyperlink w:anchor="page7">
              <w:r>
                <w:rPr>
                  <w:rFonts w:ascii="Times New Roman" w:cs="Times New Roman" w:eastAsia="Times New Roman" w:hAnsi="Times New Roman"/>
                  <w:sz w:val="17"/>
                  <w:szCs w:val="17"/>
                  <w:color w:val="004A76"/>
                  <w:vertAlign w:val="superscript"/>
                </w:rPr>
                <w:t>a</w:t>
              </w:r>
            </w:hyperlink>
          </w:p>
        </w:tc>
      </w:tr>
      <w:tr>
        <w:trPr>
          <w:trHeight w:val="168"/>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Coleus</w:t>
            </w:r>
          </w:p>
        </w:tc>
        <w:tc>
          <w:tcPr>
            <w:tcW w:w="380" w:type="dxa"/>
            <w:vAlign w:val="bottom"/>
          </w:tcPr>
          <w:p>
            <w:pPr>
              <w:spacing w:after="0"/>
              <w:rPr>
                <w:sz w:val="14"/>
                <w:szCs w:val="14"/>
                <w:color w:val="auto"/>
              </w:rPr>
            </w:pPr>
          </w:p>
        </w:tc>
        <w:tc>
          <w:tcPr>
            <w:tcW w:w="480" w:type="dxa"/>
            <w:vAlign w:val="bottom"/>
          </w:tcPr>
          <w:p>
            <w:pPr>
              <w:jc w:val="right"/>
              <w:ind w:right="316"/>
              <w:spacing w:after="0"/>
              <w:rPr>
                <w:sz w:val="20"/>
                <w:szCs w:val="20"/>
                <w:color w:val="auto"/>
              </w:rPr>
            </w:pPr>
            <w:r>
              <w:rPr>
                <w:rFonts w:ascii="Arial" w:cs="Arial" w:eastAsia="Arial" w:hAnsi="Arial"/>
                <w:sz w:val="13"/>
                <w:szCs w:val="13"/>
                <w:color w:val="auto"/>
              </w:rPr>
              <w:t>–</w:t>
            </w:r>
          </w:p>
        </w:tc>
        <w:tc>
          <w:tcPr>
            <w:tcW w:w="500" w:type="dxa"/>
            <w:vAlign w:val="bottom"/>
          </w:tcPr>
          <w:p>
            <w:pPr>
              <w:spacing w:after="0"/>
              <w:rPr>
                <w:sz w:val="14"/>
                <w:szCs w:val="14"/>
                <w:color w:val="auto"/>
              </w:rPr>
            </w:pPr>
          </w:p>
        </w:tc>
        <w:tc>
          <w:tcPr>
            <w:tcW w:w="580" w:type="dxa"/>
            <w:vAlign w:val="bottom"/>
          </w:tcPr>
          <w:p>
            <w:pPr>
              <w:jc w:val="center"/>
              <w:ind w:right="376"/>
              <w:spacing w:after="0"/>
              <w:rPr>
                <w:sz w:val="20"/>
                <w:szCs w:val="20"/>
                <w:color w:val="auto"/>
              </w:rPr>
            </w:pPr>
            <w:r>
              <w:rPr>
                <w:rFonts w:ascii="Arial" w:cs="Arial" w:eastAsia="Arial" w:hAnsi="Arial"/>
                <w:sz w:val="13"/>
                <w:szCs w:val="13"/>
                <w:color w:val="auto"/>
                <w:w w:val="82"/>
              </w:rPr>
              <w:t>–</w:t>
            </w:r>
          </w:p>
        </w:tc>
        <w:tc>
          <w:tcPr>
            <w:tcW w:w="9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11.6 ± 2.5</w:t>
            </w:r>
          </w:p>
        </w:tc>
        <w:tc>
          <w:tcPr>
            <w:tcW w:w="94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Dianthus</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55±4</w:t>
            </w:r>
          </w:p>
        </w:tc>
        <w:tc>
          <w:tcPr>
            <w:tcW w:w="10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15.7 ± 2.2</w:t>
            </w:r>
          </w:p>
        </w:tc>
        <w:tc>
          <w:tcPr>
            <w:tcW w:w="9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46.7 ± 5.3</w:t>
            </w:r>
          </w:p>
        </w:tc>
        <w:tc>
          <w:tcPr>
            <w:tcW w:w="94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Geranium</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51±4</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3.0</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w:t>
            </w:r>
          </w:p>
        </w:tc>
        <w:tc>
          <w:tcPr>
            <w:tcW w:w="9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22.9 ± 2.2</w:t>
            </w:r>
          </w:p>
        </w:tc>
        <w:tc>
          <w:tcPr>
            <w:tcW w:w="94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Impatiens</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19±5</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26.9</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12.3</w:t>
            </w:r>
          </w:p>
        </w:tc>
        <w:tc>
          <w:tcPr>
            <w:tcW w:w="980" w:type="dxa"/>
            <w:vAlign w:val="bottom"/>
          </w:tcPr>
          <w:p>
            <w:pPr>
              <w:jc w:val="center"/>
              <w:ind w:left="16"/>
              <w:spacing w:after="0"/>
              <w:rPr>
                <w:sz w:val="20"/>
                <w:szCs w:val="20"/>
                <w:color w:val="auto"/>
              </w:rPr>
            </w:pPr>
            <w:r>
              <w:rPr>
                <w:rFonts w:ascii="Arial" w:cs="Arial" w:eastAsia="Arial" w:hAnsi="Arial"/>
                <w:sz w:val="13"/>
                <w:szCs w:val="13"/>
                <w:color w:val="auto"/>
                <w:w w:val="82"/>
              </w:rPr>
              <w:t>–</w:t>
            </w:r>
          </w:p>
        </w:tc>
        <w:tc>
          <w:tcPr>
            <w:tcW w:w="94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72"/>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Petunia</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24±4</w:t>
            </w:r>
          </w:p>
        </w:tc>
        <w:tc>
          <w:tcPr>
            <w:tcW w:w="108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18.9 ± 7.8</w:t>
            </w:r>
          </w:p>
        </w:tc>
        <w:tc>
          <w:tcPr>
            <w:tcW w:w="980" w:type="dxa"/>
            <w:vAlign w:val="bottom"/>
          </w:tcPr>
          <w:p>
            <w:pPr>
              <w:jc w:val="center"/>
              <w:ind w:left="36"/>
              <w:spacing w:after="0"/>
              <w:rPr>
                <w:sz w:val="20"/>
                <w:szCs w:val="20"/>
                <w:color w:val="auto"/>
              </w:rPr>
            </w:pPr>
            <w:r>
              <w:rPr>
                <w:rFonts w:ascii="Times New Roman" w:cs="Times New Roman" w:eastAsia="Times New Roman" w:hAnsi="Times New Roman"/>
                <w:sz w:val="13"/>
                <w:szCs w:val="13"/>
                <w:color w:val="auto"/>
              </w:rPr>
              <w:t>7.9 ± 1.8</w:t>
            </w:r>
          </w:p>
        </w:tc>
        <w:tc>
          <w:tcPr>
            <w:tcW w:w="940" w:type="dxa"/>
            <w:vAlign w:val="bottom"/>
          </w:tcPr>
          <w:p>
            <w:pPr>
              <w:jc w:val="center"/>
              <w:spacing w:after="0"/>
              <w:rPr>
                <w:sz w:val="20"/>
                <w:szCs w:val="20"/>
                <w:color w:val="auto"/>
              </w:rPr>
            </w:pPr>
            <w:r>
              <w:rPr>
                <w:rFonts w:ascii="Arial" w:cs="Arial" w:eastAsia="Arial" w:hAnsi="Arial"/>
                <w:sz w:val="13"/>
                <w:szCs w:val="13"/>
                <w:color w:val="auto"/>
                <w:w w:val="82"/>
              </w:rPr>
              <w:t>–</w:t>
            </w:r>
          </w:p>
        </w:tc>
      </w:tr>
      <w:tr>
        <w:trPr>
          <w:trHeight w:val="159"/>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Tomato</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10±3</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6.1</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2.3</w:t>
            </w:r>
          </w:p>
        </w:tc>
        <w:tc>
          <w:tcPr>
            <w:tcW w:w="980" w:type="dxa"/>
            <w:vAlign w:val="bottom"/>
          </w:tcPr>
          <w:p>
            <w:pPr>
              <w:jc w:val="center"/>
              <w:ind w:left="36"/>
              <w:spacing w:after="0"/>
              <w:rPr>
                <w:sz w:val="20"/>
                <w:szCs w:val="20"/>
                <w:color w:val="auto"/>
              </w:rPr>
            </w:pPr>
            <w:r>
              <w:rPr>
                <w:rFonts w:ascii="Times New Roman" w:cs="Times New Roman" w:eastAsia="Times New Roman" w:hAnsi="Times New Roman"/>
                <w:sz w:val="13"/>
                <w:szCs w:val="13"/>
                <w:color w:val="auto"/>
              </w:rPr>
              <w:t>6.8 ± 1.2</w:t>
            </w:r>
          </w:p>
        </w:tc>
        <w:tc>
          <w:tcPr>
            <w:tcW w:w="9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4.2 ± 0.7</w:t>
            </w:r>
          </w:p>
        </w:tc>
      </w:tr>
      <w:tr>
        <w:trPr>
          <w:trHeight w:val="171"/>
        </w:trPr>
        <w:tc>
          <w:tcPr>
            <w:tcW w:w="11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Zinnia</w:t>
            </w:r>
          </w:p>
        </w:tc>
        <w:tc>
          <w:tcPr>
            <w:tcW w:w="860" w:type="dxa"/>
            <w:vAlign w:val="bottom"/>
            <w:gridSpan w:val="2"/>
          </w:tcPr>
          <w:p>
            <w:pPr>
              <w:jc w:val="right"/>
              <w:ind w:right="136"/>
              <w:spacing w:after="0"/>
              <w:rPr>
                <w:sz w:val="20"/>
                <w:szCs w:val="20"/>
                <w:color w:val="auto"/>
              </w:rPr>
            </w:pPr>
            <w:r>
              <w:rPr>
                <w:rFonts w:ascii="Times New Roman" w:cs="Times New Roman" w:eastAsia="Times New Roman" w:hAnsi="Times New Roman"/>
                <w:sz w:val="13"/>
                <w:szCs w:val="13"/>
                <w:color w:val="auto"/>
              </w:rPr>
              <w:t>27±2</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4.2</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w:t>
            </w:r>
          </w:p>
        </w:tc>
        <w:tc>
          <w:tcPr>
            <w:tcW w:w="9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15.8 ± 3.0</w:t>
            </w:r>
          </w:p>
        </w:tc>
        <w:tc>
          <w:tcPr>
            <w:tcW w:w="9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8.2 ± 0.7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23" w:lineRule="exact"/>
        <w:rPr>
          <w:sz w:val="20"/>
          <w:szCs w:val="20"/>
          <w:color w:val="auto"/>
        </w:rPr>
      </w:pPr>
    </w:p>
    <w:p>
      <w:pPr>
        <w:ind w:left="260" w:hanging="129"/>
        <w:spacing w:after="0"/>
        <w:tabs>
          <w:tab w:leader="none" w:pos="260" w:val="left"/>
        </w:tabs>
        <w:numPr>
          <w:ilvl w:val="0"/>
          <w:numId w:val="11"/>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Data not collected.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left="8"/>
        <w:spacing w:after="0" w:line="288" w:lineRule="auto"/>
        <w:rPr>
          <w:rFonts w:ascii="Times New Roman" w:cs="Times New Roman" w:eastAsia="Times New Roman" w:hAnsi="Times New Roman"/>
          <w:sz w:val="14"/>
          <w:szCs w:val="14"/>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Days to</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ower after transplant, visible bud number, plant height, and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leaf number at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owering of snapdragon when seedlings were grown under nine sole-source lighting treatments delivered by blue (B), red (R), far-red (FR), and warm white (WW) light-emitting diodes (LEDs) indoors and one greenhouse treatment as described in </w:t>
      </w:r>
      <w:hyperlink w:anchor="page7">
        <w:r>
          <w:rPr>
            <w:rFonts w:ascii="Times New Roman" w:cs="Times New Roman" w:eastAsia="Times New Roman" w:hAnsi="Times New Roman"/>
            <w:sz w:val="14"/>
            <w:szCs w:val="14"/>
            <w:color w:val="004A76"/>
          </w:rPr>
          <w:t>Fig. 2</w:t>
        </w:r>
      </w:hyperlink>
      <w:r>
        <w:rPr>
          <w:rFonts w:ascii="Times New Roman" w:cs="Times New Roman" w:eastAsia="Times New Roman" w:hAnsi="Times New Roman"/>
          <w:sz w:val="14"/>
          <w:szCs w:val="14"/>
          <w:color w:val="auto"/>
        </w:rPr>
        <w:t>. Data represent the mean of two replications with 10 subsamples (plants) per replication. Means sharing the same letter are not statistically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by Tukey</w:t>
      </w:r>
      <w:r>
        <w:rPr>
          <w:rFonts w:ascii="Arial" w:cs="Arial" w:eastAsia="Arial" w:hAnsi="Arial"/>
          <w:sz w:val="14"/>
          <w:szCs w:val="14"/>
          <w:color w:val="auto"/>
        </w:rPr>
        <w:t>’</w:t>
      </w:r>
      <w:r>
        <w:rPr>
          <w:rFonts w:ascii="Times New Roman" w:cs="Times New Roman" w:eastAsia="Times New Roman" w:hAnsi="Times New Roman"/>
          <w:sz w:val="14"/>
          <w:szCs w:val="14"/>
          <w:color w:val="auto"/>
        </w:rPr>
        <w:t>s honest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 test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0.05. Error bars indicate the standard error, which was calculated by 20 subsamples from two replications. (For interpretation of the references to colour in this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legend, the reader is referred to the web version of this article.)</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8"/>
        <w:spacing w:after="0" w:line="261"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and FR (</w:t>
      </w:r>
      <w:hyperlink w:anchor="page7">
        <w:r>
          <w:rPr>
            <w:rFonts w:ascii="Times New Roman" w:cs="Times New Roman" w:eastAsia="Times New Roman" w:hAnsi="Times New Roman"/>
            <w:sz w:val="16"/>
            <w:szCs w:val="16"/>
            <w:color w:val="004A76"/>
          </w:rPr>
          <w:t>Downs and Thomas, 1982</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Oh and Runkle, 2016</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Craig and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Runkle, 2016</w:t>
        </w:r>
      </w:hyperlink>
      <w:r>
        <w:rPr>
          <w:rFonts w:ascii="Times New Roman" w:cs="Times New Roman" w:eastAsia="Times New Roman" w:hAnsi="Times New Roman"/>
          <w:sz w:val="16"/>
          <w:szCs w:val="16"/>
          <w:color w:val="000000"/>
        </w:rPr>
        <w:t>). For example, in LDPs including snapdragon, night-in-terruption lighting with an intermediate PPE value (between 0.63 and 0.80) was the most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ective at promoting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owering (</w:t>
      </w:r>
      <w:hyperlink w:anchor="page7">
        <w:r>
          <w:rPr>
            <w:rFonts w:ascii="Times New Roman" w:cs="Times New Roman" w:eastAsia="Times New Roman" w:hAnsi="Times New Roman"/>
            <w:sz w:val="16"/>
            <w:szCs w:val="16"/>
            <w:color w:val="004A76"/>
          </w:rPr>
          <w:t>Craig and Runkle,</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 In a separate study, the subsequent</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owering of snapdragon was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accelerated when SSL included FR at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16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(creating a PPE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0.85), and the acceleration was saturated when the PPE was between 0.69 and 0.85 (</w:t>
      </w:r>
      <w:hyperlink w:anchor="page7">
        <w:r>
          <w:rPr>
            <w:rFonts w:ascii="Times New Roman" w:cs="Times New Roman" w:eastAsia="Times New Roman" w:hAnsi="Times New Roman"/>
            <w:sz w:val="16"/>
            <w:szCs w:val="16"/>
            <w:color w:val="004A76"/>
          </w:rPr>
          <w:t>Park and Runkle, 2017</w:t>
        </w:r>
      </w:hyperlink>
      <w:r>
        <w:rPr>
          <w:rFonts w:ascii="Times New Roman" w:cs="Times New Roman" w:eastAsia="Times New Roman" w:hAnsi="Times New Roman"/>
          <w:sz w:val="16"/>
          <w:szCs w:val="16"/>
          <w:color w:val="000000"/>
        </w:rPr>
        <w:t xml:space="preserve">). In addition, when the PPE was between 0.69 and 0.89, increasing B photon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ux density from</w:t>
      </w:r>
    </w:p>
    <w:p>
      <w:pPr>
        <w:spacing w:after="0" w:line="2" w:lineRule="exact"/>
        <w:rPr>
          <w:rFonts w:ascii="Times New Roman" w:cs="Times New Roman" w:eastAsia="Times New Roman" w:hAnsi="Times New Roman"/>
          <w:sz w:val="16"/>
          <w:szCs w:val="16"/>
          <w:color w:val="000000"/>
        </w:rPr>
      </w:pPr>
    </w:p>
    <w:p>
      <w:pPr>
        <w:jc w:val="both"/>
        <w:ind w:left="8" w:hanging="8"/>
        <w:spacing w:after="0" w:line="249" w:lineRule="auto"/>
        <w:tabs>
          <w:tab w:leader="none" w:pos="161"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did not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promotive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FR on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in snapdragon (</w:t>
      </w:r>
      <w:hyperlink w:anchor="page7">
        <w:r>
          <w:rPr>
            <w:rFonts w:ascii="Times New Roman" w:cs="Times New Roman" w:eastAsia="Times New Roman" w:hAnsi="Times New Roman"/>
            <w:sz w:val="16"/>
            <w:szCs w:val="16"/>
            <w:color w:val="004A76"/>
          </w:rPr>
          <w:t>Park and Runkle, 2019</w:t>
        </w:r>
      </w:hyperlink>
      <w:r>
        <w:rPr>
          <w:rFonts w:ascii="Times New Roman" w:cs="Times New Roman" w:eastAsia="Times New Roman" w:hAnsi="Times New Roman"/>
          <w:sz w:val="16"/>
          <w:szCs w:val="16"/>
          <w:color w:val="auto"/>
        </w:rPr>
        <w:t xml:space="preserve">). Con-sistent with this response, the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of snapdragon in this study was hastened when SSL included FR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p>
    <w:p>
      <w:pPr>
        <w:ind w:left="8"/>
        <w:spacing w:after="0" w:line="207" w:lineRule="auto"/>
        <w:rPr>
          <w:sz w:val="20"/>
          <w:szCs w:val="20"/>
          <w:color w:val="auto"/>
        </w:rPr>
      </w:pPr>
      <w:r>
        <w:rPr>
          <w:rFonts w:ascii="Times New Roman" w:cs="Times New Roman" w:eastAsia="Times New Roman" w:hAnsi="Times New Roman"/>
          <w:sz w:val="16"/>
          <w:szCs w:val="16"/>
          <w:color w:val="auto"/>
        </w:rPr>
        <w:t>(creating a PPE of 0.81 to 0.85) regardless of whether B radiation was at</w:t>
      </w:r>
    </w:p>
    <w:p>
      <w:pPr>
        <w:spacing w:after="0" w:line="1" w:lineRule="exact"/>
        <w:rPr>
          <w:rFonts w:ascii="Times New Roman" w:cs="Times New Roman" w:eastAsia="Times New Roman" w:hAnsi="Times New Roman"/>
          <w:sz w:val="16"/>
          <w:szCs w:val="16"/>
          <w:color w:val="000000"/>
        </w:rPr>
      </w:pPr>
    </w:p>
    <w:p>
      <w:pPr>
        <w:ind w:left="228" w:hanging="228"/>
        <w:spacing w:after="0"/>
        <w:tabs>
          <w:tab w:leader="none" w:pos="22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or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w:t>
      </w:r>
    </w:p>
    <w:p>
      <w:pPr>
        <w:spacing w:after="0" w:line="18" w:lineRule="exact"/>
        <w:rPr>
          <w:rFonts w:ascii="Times New Roman" w:cs="Times New Roman" w:eastAsia="Times New Roman" w:hAnsi="Times New Roman"/>
          <w:sz w:val="16"/>
          <w:szCs w:val="16"/>
          <w:color w:val="auto"/>
        </w:rPr>
      </w:pPr>
    </w:p>
    <w:p>
      <w:pPr>
        <w:ind w:left="248"/>
        <w:spacing w:after="0" w:line="20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 estimated chlorophyll concentration by measuring SPAD values</w:t>
      </w:r>
    </w:p>
    <w:p>
      <w:pPr>
        <w:spacing w:after="0" w:line="15" w:lineRule="exact"/>
        <w:rPr>
          <w:rFonts w:ascii="Times New Roman" w:cs="Times New Roman" w:eastAsia="Times New Roman" w:hAnsi="Times New Roman"/>
          <w:sz w:val="16"/>
          <w:szCs w:val="16"/>
          <w:color w:val="000000"/>
        </w:rPr>
      </w:pPr>
    </w:p>
    <w:p>
      <w:pPr>
        <w:jc w:val="both"/>
        <w:ind w:left="8"/>
        <w:spacing w:after="0" w:line="267"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of leaves, which have been positively and closely correlated with de-structive leaf chlorophyll measurements in a variety of crops (</w:t>
      </w:r>
      <w:hyperlink w:anchor="page7">
        <w:r>
          <w:rPr>
            <w:rFonts w:ascii="Times New Roman" w:cs="Times New Roman" w:eastAsia="Times New Roman" w:hAnsi="Times New Roman"/>
            <w:sz w:val="16"/>
            <w:szCs w:val="16"/>
            <w:color w:val="004A76"/>
          </w:rPr>
          <w:t>Azia and</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Stewart, 2001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Monje and Bugbee, 1992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Schaper and Chacko, 1991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Turner and Jund, 1991</w:t>
        </w:r>
      </w:hyperlink>
      <w:r>
        <w:rPr>
          <w:rFonts w:ascii="Times New Roman" w:cs="Times New Roman" w:eastAsia="Times New Roman" w:hAnsi="Times New Roman"/>
          <w:sz w:val="16"/>
          <w:szCs w:val="16"/>
          <w:color w:val="000000"/>
        </w:rPr>
        <w:t>). Both phytochromes and cryptochromes are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involved in controlling chlorophyll biosynthesis and catabolism (</w:t>
      </w:r>
      <w:hyperlink w:anchor="page7">
        <w:r>
          <w:rPr>
            <w:rFonts w:ascii="Times New Roman" w:cs="Times New Roman" w:eastAsia="Times New Roman" w:hAnsi="Times New Roman"/>
            <w:sz w:val="16"/>
            <w:szCs w:val="16"/>
            <w:color w:val="004A76"/>
          </w:rPr>
          <w:t>Ne</w:t>
        </w:r>
        <w:r>
          <w:rPr>
            <w:rFonts w:ascii="Arial" w:cs="Arial" w:eastAsia="Arial" w:hAnsi="Arial"/>
            <w:sz w:val="16"/>
            <w:szCs w:val="16"/>
            <w:color w:val="004A76"/>
          </w:rPr>
          <w:t>ﬀ</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and Chory, 1998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Stephenson and Terry, 2008</w:t>
        </w:r>
      </w:hyperlink>
      <w:r>
        <w:rPr>
          <w:rFonts w:ascii="Times New Roman" w:cs="Times New Roman" w:eastAsia="Times New Roman" w:hAnsi="Times New Roman"/>
          <w:sz w:val="16"/>
          <w:szCs w:val="16"/>
          <w:color w:val="000000"/>
        </w:rPr>
        <w:t>). Although the relative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contributions and interactions of phytochromes and cryptochromes on regulating chlorophyll accumulation are not clear, FR and B radiation generally can have antagonistic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ects on chlorophyll concentration; increasing FR decreases chlorophyll concentration, whereas B increases it. For example, lettuce grown indoors had 12% less chlorophyll con-centration in leaves with supplemental FR lighting of 160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than without it (</w:t>
      </w:r>
      <w:hyperlink w:anchor="page7">
        <w:r>
          <w:rPr>
            <w:rFonts w:ascii="Times New Roman" w:cs="Times New Roman" w:eastAsia="Times New Roman" w:hAnsi="Times New Roman"/>
            <w:sz w:val="16"/>
            <w:szCs w:val="16"/>
            <w:color w:val="004A76"/>
          </w:rPr>
          <w:t>Li and Kubota, 2009</w:t>
        </w:r>
      </w:hyperlink>
      <w:r>
        <w:rPr>
          <w:rFonts w:ascii="Times New Roman" w:cs="Times New Roman" w:eastAsia="Times New Roman" w:hAnsi="Times New Roman"/>
          <w:sz w:val="16"/>
          <w:szCs w:val="16"/>
          <w:color w:val="000000"/>
        </w:rPr>
        <w:t>). In geranium, petunia, and snapdragon seedlings, SPAD value decreased linearly as the estimated PPE decreased (as the R:FR decreased) (</w:t>
      </w:r>
      <w:hyperlink w:anchor="page7">
        <w:r>
          <w:rPr>
            <w:rFonts w:ascii="Times New Roman" w:cs="Times New Roman" w:eastAsia="Times New Roman" w:hAnsi="Times New Roman"/>
            <w:sz w:val="16"/>
            <w:szCs w:val="16"/>
            <w:color w:val="004A76"/>
          </w:rPr>
          <w:t>Park and Runkle, 2017</w:t>
        </w:r>
      </w:hyperlink>
      <w:r>
        <w:rPr>
          <w:rFonts w:ascii="Times New Roman" w:cs="Times New Roman" w:eastAsia="Times New Roman" w:hAnsi="Times New Roman"/>
          <w:sz w:val="16"/>
          <w:szCs w:val="16"/>
          <w:color w:val="000000"/>
        </w:rPr>
        <w:t>). In</w:t>
      </w:r>
    </w:p>
    <w:p>
      <w:pPr>
        <w:spacing w:after="0" w:line="200" w:lineRule="exact"/>
        <w:rPr>
          <w:rFonts w:ascii="Times New Roman" w:cs="Times New Roman" w:eastAsia="Times New Roman" w:hAnsi="Times New Roman"/>
          <w:sz w:val="16"/>
          <w:szCs w:val="16"/>
          <w:color w:val="004A76"/>
        </w:rPr>
      </w:pPr>
    </w:p>
    <w:p>
      <w:pPr>
        <w:sectPr>
          <w:pgSz w:w="11900" w:h="15874" w:orient="portrait"/>
          <w:cols w:equalWidth="0" w:num="2">
            <w:col w:w="5020" w:space="352"/>
            <w:col w:w="5028"/>
          </w:cols>
          <w:pgMar w:left="760" w:top="676" w:right="746" w:bottom="37" w:gutter="0" w:footer="0" w:header="0"/>
          <w:type w:val="continuous"/>
        </w:sectPr>
      </w:pPr>
    </w:p>
    <w:p>
      <w:pPr>
        <w:spacing w:after="0" w:line="345"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M. Zhang, et al.</w:t>
      </w:r>
    </w:p>
    <w:p>
      <w:pPr>
        <w:spacing w:after="0" w:line="263" w:lineRule="exact"/>
        <w:rPr>
          <w:sz w:val="20"/>
          <w:szCs w:val="20"/>
          <w:color w:val="auto"/>
        </w:rPr>
      </w:pPr>
    </w:p>
    <w:p>
      <w:pPr>
        <w:jc w:val="both"/>
        <w:ind w:left="8"/>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contrast, increasing B from 0 to 90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at a total PPFD of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increased the chlorophyll concentration in cucumber seedlings by 50% (</w:t>
      </w:r>
      <w:hyperlink w:anchor="page7">
        <w:r>
          <w:rPr>
            <w:rFonts w:ascii="Times New Roman" w:cs="Times New Roman" w:eastAsia="Times New Roman" w:hAnsi="Times New Roman"/>
            <w:sz w:val="16"/>
            <w:szCs w:val="16"/>
            <w:color w:val="004A76"/>
          </w:rPr>
          <w:t>Hernández and Kubota, 2016</w:t>
        </w:r>
      </w:hyperlink>
      <w:r>
        <w:rPr>
          <w:rFonts w:ascii="Times New Roman" w:cs="Times New Roman" w:eastAsia="Times New Roman" w:hAnsi="Times New Roman"/>
          <w:sz w:val="16"/>
          <w:szCs w:val="16"/>
          <w:color w:val="auto"/>
        </w:rPr>
        <w:t>). Similarly, the chlorophyll concentration in lettuce increased by 23% as B increased from 0% to 11% at a PPFD of 200 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Wang et al., 2016</w:t>
        </w:r>
      </w:hyperlink>
      <w:r>
        <w:rPr>
          <w:rFonts w:ascii="Times New Roman" w:cs="Times New Roman" w:eastAsia="Times New Roman" w:hAnsi="Times New Roman"/>
          <w:sz w:val="16"/>
          <w:szCs w:val="16"/>
          <w:color w:val="auto"/>
        </w:rPr>
        <w:t xml:space="preserve">). In this study, the addition of FR at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decreased the SPAD value of zinnia and petunia (regardless of the B proportion) and FR at </w:t>
      </w:r>
      <w:r>
        <w:rPr>
          <w:rFonts w:ascii="Arial" w:cs="Arial" w:eastAsia="Arial" w:hAnsi="Arial"/>
          <w:sz w:val="16"/>
          <w:szCs w:val="16"/>
          <w:color w:val="auto"/>
        </w:rPr>
        <w:t>≥</w:t>
      </w:r>
      <w:r>
        <w:rPr>
          <w:rFonts w:ascii="Times New Roman" w:cs="Times New Roman" w:eastAsia="Times New Roman" w:hAnsi="Times New Roman"/>
          <w:sz w:val="16"/>
          <w:szCs w:val="16"/>
          <w:color w:val="auto"/>
        </w:rPr>
        <w:t>20</w:t>
      </w:r>
      <w:r>
        <w:rPr>
          <w:rFonts w:ascii="Arial" w:cs="Arial" w:eastAsia="Arial" w:hAnsi="Arial"/>
          <w:sz w:val="16"/>
          <w:szCs w:val="16"/>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decreased the SPAD value of petunia under B</w:t>
      </w:r>
      <w:r>
        <w:rPr>
          <w:rFonts w:ascii="Times New Roman" w:cs="Times New Roman" w:eastAsia="Times New Roman" w:hAnsi="Times New Roman"/>
          <w:sz w:val="21"/>
          <w:szCs w:val="21"/>
          <w:color w:val="auto"/>
          <w:vertAlign w:val="subscript"/>
        </w:rPr>
        <w:t>60</w:t>
      </w:r>
      <w:r>
        <w:rPr>
          <w:rFonts w:ascii="Times New Roman" w:cs="Times New Roman" w:eastAsia="Times New Roman" w:hAnsi="Times New Roman"/>
          <w:sz w:val="16"/>
          <w:szCs w:val="16"/>
          <w:color w:val="auto"/>
        </w:rPr>
        <w:t>R</w:t>
      </w:r>
      <w:r>
        <w:rPr>
          <w:rFonts w:ascii="Times New Roman" w:cs="Times New Roman" w:eastAsia="Times New Roman" w:hAnsi="Times New Roman"/>
          <w:sz w:val="21"/>
          <w:szCs w:val="21"/>
          <w:color w:val="auto"/>
          <w:vertAlign w:val="subscript"/>
        </w:rPr>
        <w:t>120</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7">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 Increasing B from 20 to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increased the SPAD value in petunia and zinnia by 13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14% only without FR. However, SPAD values of SSL treatments with the same FR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were all similar under B radiation at 20 or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suggesting that the inclusion of FR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can diminish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increasing B by 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p>
      <w:pPr>
        <w:spacing w:after="0" w:line="45" w:lineRule="exact"/>
        <w:rPr>
          <w:rFonts w:ascii="Times New Roman" w:cs="Times New Roman" w:eastAsia="Times New Roman" w:hAnsi="Times New Roman"/>
          <w:sz w:val="16"/>
          <w:szCs w:val="16"/>
          <w:color w:val="auto"/>
        </w:rPr>
      </w:pPr>
    </w:p>
    <w:p>
      <w:pPr>
        <w:jc w:val="both"/>
        <w:ind w:left="8" w:firstLine="249"/>
        <w:spacing w:after="0" w:line="259"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Increasing the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inhibited plant height, leaf area, and shoot dry weight in many species (</w:t>
      </w:r>
      <w:hyperlink w:anchor="page7">
        <w:r>
          <w:rPr>
            <w:rFonts w:ascii="Times New Roman" w:cs="Times New Roman" w:eastAsia="Times New Roman" w:hAnsi="Times New Roman"/>
            <w:sz w:val="16"/>
            <w:szCs w:val="16"/>
            <w:color w:val="004A76"/>
          </w:rPr>
          <w:t>Hernández and Kubota,</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Nanya 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7">
        <w:r>
          <w:rPr>
            <w:rFonts w:ascii="Times New Roman" w:cs="Times New Roman" w:eastAsia="Times New Roman" w:hAnsi="Times New Roman"/>
            <w:sz w:val="16"/>
            <w:szCs w:val="16"/>
            <w:color w:val="004A76"/>
          </w:rPr>
          <w:t>Snowden et al., 2016</w:t>
        </w:r>
      </w:hyperlink>
      <w:r>
        <w:rPr>
          <w:rFonts w:ascii="Times New Roman" w:cs="Times New Roman" w:eastAsia="Times New Roman" w:hAnsi="Times New Roman"/>
          <w:sz w:val="16"/>
          <w:szCs w:val="16"/>
          <w:color w:val="000000"/>
        </w:rPr>
        <w:t>). In addition, increasing</w:t>
      </w:r>
    </w:p>
    <w:p>
      <w:pPr>
        <w:spacing w:after="0" w:line="2" w:lineRule="exact"/>
        <w:rPr>
          <w:rFonts w:ascii="Times New Roman" w:cs="Times New Roman" w:eastAsia="Times New Roman" w:hAnsi="Times New Roman"/>
          <w:sz w:val="16"/>
          <w:szCs w:val="16"/>
          <w:color w:val="004A76"/>
        </w:rPr>
      </w:pPr>
    </w:p>
    <w:p>
      <w:pPr>
        <w:jc w:val="both"/>
        <w:ind w:left="8" w:hanging="8"/>
        <w:spacing w:after="0"/>
        <w:tabs>
          <w:tab w:leader="none" w:pos="168" w:val="left"/>
        </w:tabs>
        <w:numPr>
          <w:ilvl w:val="0"/>
          <w:numId w:val="14"/>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from 0 to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suppressed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R:FR or PPE on seedling height of petunia, geranium, and coleus (</w:t>
      </w:r>
      <w:hyperlink w:anchor="page7">
        <w:r>
          <w:rPr>
            <w:rFonts w:ascii="Times New Roman" w:cs="Times New Roman" w:eastAsia="Times New Roman" w:hAnsi="Times New Roman"/>
            <w:sz w:val="16"/>
            <w:szCs w:val="16"/>
            <w:color w:val="004A76"/>
          </w:rPr>
          <w:t>Park and Runkle,</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In this study, increasing B from 20 to 60</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did not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 seedling height in any species tested. </w:t>
      </w:r>
      <w:hyperlink w:anchor="page7">
        <w:r>
          <w:rPr>
            <w:rFonts w:ascii="Times New Roman" w:cs="Times New Roman" w:eastAsia="Times New Roman" w:hAnsi="Times New Roman"/>
            <w:sz w:val="16"/>
            <w:szCs w:val="16"/>
            <w:color w:val="004A76"/>
          </w:rPr>
          <w:t>Wollaeger and Runkle</w:t>
        </w:r>
      </w:hyperlink>
      <w:r>
        <w:rPr>
          <w:rFonts w:ascii="Times New Roman" w:cs="Times New Roman" w:eastAsia="Times New Roman" w:hAnsi="Times New Roman"/>
          <w:sz w:val="16"/>
          <w:szCs w:val="16"/>
          <w:color w:val="000000"/>
        </w:rPr>
        <w:t xml:space="preserve"> </w:t>
      </w:r>
      <w:hyperlink w:anchor="page7">
        <w:r>
          <w:rPr>
            <w:rFonts w:ascii="Times New Roman" w:cs="Times New Roman" w:eastAsia="Times New Roman" w:hAnsi="Times New Roman"/>
            <w:sz w:val="16"/>
            <w:szCs w:val="16"/>
            <w:color w:val="004A76"/>
          </w:rPr>
          <w:t xml:space="preserve">(2015)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increasing B radiation from 0 to 10</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under a pure R radiation spectrum inhibited plant height of impatiens, salvia, and tomato, but plants under B at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10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were gen-erally of similar height. In impatiens and salvia, there was little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 on seedling height when B radiation increased from 20 to 80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This suggests that B radiation at 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was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to saturate the suppressive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B on seedling stem elongation of most of the crops studied.</w:t>
      </w:r>
    </w:p>
    <w:p>
      <w:pPr>
        <w:spacing w:after="0" w:line="135" w:lineRule="exact"/>
        <w:rPr>
          <w:rFonts w:ascii="Times New Roman" w:cs="Times New Roman" w:eastAsia="Times New Roman" w:hAnsi="Times New Roman"/>
          <w:sz w:val="16"/>
          <w:szCs w:val="16"/>
          <w:color w:val="004A76"/>
        </w:rPr>
      </w:pPr>
    </w:p>
    <w:p>
      <w:pPr>
        <w:jc w:val="both"/>
        <w:ind w:left="8" w:firstLine="249"/>
        <w:spacing w:after="0" w:line="24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Increasing B radiation from 20 to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did not change the leaf area and shoot dry weight in any of the species tested. In cucumber, the fresh and dry mass of seedlings was similar but leaf area decreased as the B proportion increased from 0% to 16% at a PPFD of 54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Hernández and Kubota, 2014</w:t>
        </w:r>
      </w:hyperlink>
      <w:r>
        <w:rPr>
          <w:rFonts w:ascii="Times New Roman" w:cs="Times New Roman" w:eastAsia="Times New Roman" w:hAnsi="Times New Roman"/>
          <w:sz w:val="16"/>
          <w:szCs w:val="16"/>
          <w:color w:val="auto"/>
        </w:rPr>
        <w:t xml:space="preserve">). An increase of B from 10% to 75% at a PPFD of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however, decreased leaf area and shoot dry mass of cucumber seedlings by 41% and 24%, respectively (</w:t>
      </w:r>
      <w:hyperlink w:anchor="page7">
        <w:r>
          <w:rPr>
            <w:rFonts w:ascii="Times New Roman" w:cs="Times New Roman" w:eastAsia="Times New Roman" w:hAnsi="Times New Roman"/>
            <w:sz w:val="16"/>
            <w:szCs w:val="16"/>
            <w:color w:val="004A76"/>
          </w:rPr>
          <w:t>Hernández and Kubota, 2016</w:t>
        </w:r>
      </w:hyperlink>
      <w:r>
        <w:rPr>
          <w:rFonts w:ascii="Times New Roman" w:cs="Times New Roman" w:eastAsia="Times New Roman" w:hAnsi="Times New Roman"/>
          <w:sz w:val="16"/>
          <w:szCs w:val="16"/>
          <w:color w:val="auto"/>
        </w:rPr>
        <w:t xml:space="preserve">). </w:t>
      </w:r>
      <w:hyperlink w:anchor="page7">
        <w:r>
          <w:rPr>
            <w:rFonts w:ascii="Times New Roman" w:cs="Times New Roman" w:eastAsia="Times New Roman" w:hAnsi="Times New Roman"/>
            <w:sz w:val="16"/>
            <w:szCs w:val="16"/>
            <w:color w:val="004A76"/>
          </w:rPr>
          <w:t>Snowden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also reported that dry mass and leaf area of tomato, cucumber, and pepper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decreased when B was increased from 10% to 30% under a high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but only tomato developed a smaller leaf and a reduced dry mass under a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of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Therefore,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B radiation on leaf area and shoot mass depend, at least in part, on the species, PPFD, and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8"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5. Conclusions</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48" w:lineRule="auto"/>
        <w:rPr>
          <w:sz w:val="20"/>
          <w:szCs w:val="20"/>
          <w:color w:val="auto"/>
        </w:rPr>
      </w:pPr>
      <w:r>
        <w:rPr>
          <w:rFonts w:ascii="Times New Roman" w:cs="Times New Roman" w:eastAsia="Times New Roman" w:hAnsi="Times New Roman"/>
          <w:sz w:val="16"/>
          <w:szCs w:val="16"/>
          <w:color w:val="auto"/>
        </w:rPr>
        <w:t>The sensitivity of plants to FR radiation is species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Including </w:t>
      </w:r>
      <w:r>
        <w:rPr>
          <w:rFonts w:ascii="Arial" w:cs="Arial" w:eastAsia="Arial" w:hAnsi="Arial"/>
          <w:sz w:val="16"/>
          <w:szCs w:val="16"/>
          <w:color w:val="auto"/>
        </w:rPr>
        <w:t>≥</w:t>
      </w:r>
      <w:r>
        <w:rPr>
          <w:rFonts w:ascii="Times New Roman" w:cs="Times New Roman" w:eastAsia="Times New Roman" w:hAnsi="Times New Roman"/>
          <w:sz w:val="16"/>
          <w:szCs w:val="16"/>
          <w:color w:val="auto"/>
        </w:rPr>
        <w:t>40</w:t>
      </w:r>
      <w:r>
        <w:rPr>
          <w:rFonts w:ascii="Arial" w:cs="Arial" w:eastAsia="Arial" w:hAnsi="Arial"/>
          <w:sz w:val="16"/>
          <w:szCs w:val="16"/>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of FR radiation with R + B SSL (PPE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0.83) in-creased the extension growth of two shade-avoiding species, but gen-erally a low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density of FR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had little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seedling growth of the other shade-avoiding species and the shade-tolerant species. The inclusion of FR radiation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 </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during the seedling stage accelerated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of at least some LDP, but had little or no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short-day and day-neutral plants. Seedling growth and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with or without FR were similar under the two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densities, except that the chlorophyll concentration in zinnia and petunia seedlings increased when the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was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without FR. We concluded that SSL that emits a modest B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(e.g., </w:t>
      </w:r>
      <w:r>
        <w:rPr>
          <w:rFonts w:ascii="Arial" w:cs="Arial" w:eastAsia="Arial" w:hAnsi="Arial"/>
          <w:sz w:val="16"/>
          <w:szCs w:val="16"/>
          <w:color w:val="auto"/>
        </w:rPr>
        <w:t>≥</w:t>
      </w:r>
      <w:r>
        <w:rPr>
          <w:rFonts w:ascii="Times New Roman" w:cs="Times New Roman" w:eastAsia="Times New Roman" w:hAnsi="Times New Roman"/>
          <w:sz w:val="16"/>
          <w:szCs w:val="16"/>
          <w:color w:val="auto"/>
        </w:rPr>
        <w:t>20</w:t>
      </w:r>
      <w:r>
        <w:rPr>
          <w:rFonts w:ascii="Arial" w:cs="Arial" w:eastAsia="Arial" w:hAnsi="Arial"/>
          <w:sz w:val="16"/>
          <w:szCs w:val="16"/>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has an estimated PPE between 0.81 and 0.85 is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recommended to produce relatively compact seedlings and accelerate subsequent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of sensitive LDPs. We also concluded that PPE value is a better indicator of crop extension growth responses than R:FR with 100-nm wavebands.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109478</w:t>
      </w:r>
    </w:p>
    <w:p>
      <w:pPr>
        <w:spacing w:after="0" w:line="330"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auto"/>
        </w:rPr>
      </w:pPr>
    </w:p>
    <w:p>
      <w:pPr>
        <w:ind w:left="8" w:firstLine="250"/>
        <w:spacing w:after="0" w:line="272" w:lineRule="auto"/>
        <w:rPr>
          <w:sz w:val="20"/>
          <w:szCs w:val="20"/>
          <w:color w:val="auto"/>
        </w:rPr>
      </w:pPr>
      <w:r>
        <w:rPr>
          <w:rFonts w:ascii="Arial" w:cs="Arial" w:eastAsia="Arial" w:hAnsi="Arial"/>
          <w:sz w:val="16"/>
          <w:szCs w:val="16"/>
          <w:color w:val="auto"/>
        </w:rPr>
        <w:t xml:space="preserve">Mengzi Zhang: </w:t>
      </w:r>
      <w:r>
        <w:rPr>
          <w:rFonts w:ascii="Times New Roman" w:cs="Times New Roman" w:eastAsia="Times New Roman" w:hAnsi="Times New Roman"/>
          <w:sz w:val="16"/>
          <w:szCs w:val="16"/>
          <w:color w:val="auto"/>
        </w:rPr>
        <w:t>Conceptualization, Methodology, Validation,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Formal analysis, Investigation, Writing - original draft, Writing - review</w:t>
      </w:r>
    </w:p>
    <w:p>
      <w:pPr>
        <w:spacing w:after="0" w:line="1" w:lineRule="exact"/>
        <w:rPr>
          <w:rFonts w:ascii="Times New Roman" w:cs="Times New Roman" w:eastAsia="Times New Roman" w:hAnsi="Times New Roman"/>
          <w:sz w:val="16"/>
          <w:szCs w:val="16"/>
          <w:color w:val="auto"/>
        </w:rPr>
      </w:pPr>
    </w:p>
    <w:p>
      <w:pPr>
        <w:jc w:val="both"/>
        <w:ind w:left="8" w:hanging="8"/>
        <w:spacing w:after="0" w:line="278" w:lineRule="auto"/>
        <w:tabs>
          <w:tab w:leader="none" w:pos="203"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editing, Visualization. </w:t>
      </w:r>
      <w:r>
        <w:rPr>
          <w:rFonts w:ascii="Arial" w:cs="Arial" w:eastAsia="Arial" w:hAnsi="Arial"/>
          <w:sz w:val="16"/>
          <w:szCs w:val="16"/>
          <w:color w:val="auto"/>
        </w:rPr>
        <w:t>Yujin Park:</w:t>
      </w:r>
      <w:r>
        <w:rPr>
          <w:rFonts w:ascii="Times New Roman" w:cs="Times New Roman" w:eastAsia="Times New Roman" w:hAnsi="Times New Roman"/>
          <w:sz w:val="16"/>
          <w:szCs w:val="16"/>
          <w:color w:val="auto"/>
        </w:rPr>
        <w:t xml:space="preserve"> Conceptualization, Validation, Investigation, Resources, Writing - review &amp; editing. </w:t>
      </w:r>
      <w:r>
        <w:rPr>
          <w:rFonts w:ascii="Arial" w:cs="Arial" w:eastAsia="Arial" w:hAnsi="Arial"/>
          <w:sz w:val="16"/>
          <w:szCs w:val="16"/>
          <w:color w:val="auto"/>
        </w:rPr>
        <w:t>Erik S. Runkle:</w:t>
      </w:r>
      <w:r>
        <w:rPr>
          <w:rFonts w:ascii="Times New Roman" w:cs="Times New Roman" w:eastAsia="Times New Roman" w:hAnsi="Times New Roman"/>
          <w:sz w:val="16"/>
          <w:szCs w:val="16"/>
          <w:color w:val="auto"/>
        </w:rPr>
        <w:t xml:space="preserve"> Conceptualization, Methodology, Validation, Writing - review &amp; editing, Supervision, Project administration, Funding acquisition.</w:t>
      </w:r>
    </w:p>
    <w:p>
      <w:pPr>
        <w:spacing w:after="0" w:line="19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Acknowledgments</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76" w:lineRule="auto"/>
        <w:rPr>
          <w:sz w:val="20"/>
          <w:szCs w:val="20"/>
          <w:color w:val="auto"/>
        </w:rPr>
      </w:pPr>
      <w:r>
        <w:rPr>
          <w:rFonts w:ascii="Times New Roman" w:cs="Times New Roman" w:eastAsia="Times New Roman" w:hAnsi="Times New Roman"/>
          <w:sz w:val="16"/>
          <w:szCs w:val="16"/>
          <w:color w:val="auto"/>
        </w:rPr>
        <w:t>We gratefully acknowledge the American Floral Endowment and OSRAM for supporting this project, Raker-Roberta</w:t>
      </w:r>
      <w:r>
        <w:rPr>
          <w:rFonts w:ascii="Arial" w:cs="Arial" w:eastAsia="Arial" w:hAnsi="Arial"/>
          <w:sz w:val="16"/>
          <w:szCs w:val="16"/>
          <w:color w:val="auto"/>
        </w:rPr>
        <w:t>’</w:t>
      </w:r>
      <w:r>
        <w:rPr>
          <w:rFonts w:ascii="Times New Roman" w:cs="Times New Roman" w:eastAsia="Times New Roman" w:hAnsi="Times New Roman"/>
          <w:sz w:val="16"/>
          <w:szCs w:val="16"/>
          <w:color w:val="auto"/>
        </w:rPr>
        <w:t>s and Syngenta Flowers for the donation of plant material, and Nate DuRussel for technical assistance. This work was supported by the USDA National Institute of Food and Agriculture, Hatch project 192266.</w:t>
      </w:r>
    </w:p>
    <w:p>
      <w:pPr>
        <w:spacing w:after="0" w:line="194"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Appendix A. Supplementary data</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8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https://doi.org/10.1016/j.scienta.2020.109478</w:t>
        </w:r>
      </w:hyperlink>
      <w:r>
        <w:rPr>
          <w:rFonts w:ascii="Times New Roman" w:cs="Times New Roman" w:eastAsia="Times New Roman" w:hAnsi="Times New Roman"/>
          <w:sz w:val="16"/>
          <w:szCs w:val="16"/>
          <w:color w:val="auto"/>
        </w:rPr>
        <w:t>.</w:t>
      </w:r>
    </w:p>
    <w:p>
      <w:pPr>
        <w:spacing w:after="0" w:line="184"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References</w:t>
      </w:r>
    </w:p>
    <w:p>
      <w:pPr>
        <w:spacing w:after="0" w:line="269" w:lineRule="exact"/>
        <w:rPr>
          <w:rFonts w:ascii="Times New Roman" w:cs="Times New Roman" w:eastAsia="Times New Roman" w:hAnsi="Times New Roman"/>
          <w:sz w:val="16"/>
          <w:szCs w:val="16"/>
          <w:color w:val="auto"/>
        </w:rPr>
      </w:pPr>
    </w:p>
    <w:p>
      <w:pPr>
        <w:ind w:left="248" w:right="100" w:hanging="238"/>
        <w:spacing w:after="0" w:line="261" w:lineRule="auto"/>
        <w:rPr>
          <w:rFonts w:ascii="Times New Roman" w:cs="Times New Roman" w:eastAsia="Times New Roman" w:hAnsi="Times New Roman"/>
          <w:sz w:val="13"/>
          <w:szCs w:val="13"/>
          <w:color w:val="004A76"/>
        </w:rPr>
      </w:pPr>
      <w:hyperlink r:id="rId20">
        <w:r>
          <w:rPr>
            <w:rFonts w:ascii="Times New Roman" w:cs="Times New Roman" w:eastAsia="Times New Roman" w:hAnsi="Times New Roman"/>
            <w:sz w:val="13"/>
            <w:szCs w:val="13"/>
            <w:color w:val="004A76"/>
          </w:rPr>
          <w:t>Azia, F., Stewart, K.A., 2001. Relationships between extractable chlorophyll and SPAD</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values in muskmelon leaves. J. Plant Nutr. 24, 961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966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8" w:hanging="238"/>
        <w:spacing w:after="0" w:line="255" w:lineRule="auto"/>
        <w:rPr>
          <w:rFonts w:ascii="Times New Roman" w:cs="Times New Roman" w:eastAsia="Times New Roman" w:hAnsi="Times New Roman"/>
          <w:sz w:val="13"/>
          <w:szCs w:val="13"/>
          <w:color w:val="004A76"/>
        </w:rPr>
      </w:pPr>
      <w:hyperlink r:id="rId21">
        <w:r>
          <w:rPr>
            <w:rFonts w:ascii="Times New Roman" w:cs="Times New Roman" w:eastAsia="Times New Roman" w:hAnsi="Times New Roman"/>
            <w:sz w:val="13"/>
            <w:szCs w:val="13"/>
            <w:color w:val="004A76"/>
          </w:rPr>
          <w:t>Craig, D.S., Runkle, E.S., 2016. An intermediate phytochrome photoequilibria from night-</w:t>
        </w:r>
      </w:hyperlink>
      <w:hyperlink r:id="rId21">
        <w:r>
          <w:rPr>
            <w:rFonts w:ascii="Times New Roman" w:cs="Times New Roman" w:eastAsia="Times New Roman" w:hAnsi="Times New Roman"/>
            <w:sz w:val="13"/>
            <w:szCs w:val="13"/>
            <w:color w:val="004A76"/>
          </w:rPr>
          <w:t xml:space="preserve">interruption lighting optimally promotes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of several long-day plants.</w:t>
        </w:r>
      </w:hyperlink>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Environ. Exp. Bot. 121, 132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40" w:hanging="238"/>
        <w:spacing w:after="0" w:line="255" w:lineRule="auto"/>
        <w:rPr>
          <w:rFonts w:ascii="Times New Roman" w:cs="Times New Roman" w:eastAsia="Times New Roman" w:hAnsi="Times New Roman"/>
          <w:sz w:val="13"/>
          <w:szCs w:val="13"/>
          <w:color w:val="004A76"/>
        </w:rPr>
      </w:pPr>
      <w:hyperlink r:id="rId22">
        <w:r>
          <w:rPr>
            <w:rFonts w:ascii="Times New Roman" w:cs="Times New Roman" w:eastAsia="Times New Roman" w:hAnsi="Times New Roman"/>
            <w:sz w:val="13"/>
            <w:szCs w:val="13"/>
            <w:color w:val="004A76"/>
          </w:rPr>
          <w:t>Craver, J.K., Lopez, R.G., 2015. Sole-source lighting in horticulture: bedding plant plug</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production. Greenhouse Grower 33, 40</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w:t>
        </w:r>
      </w:hyperlink>
      <w:r>
        <w:rPr>
          <w:rFonts w:ascii="Times New Roman" w:cs="Times New Roman" w:eastAsia="Times New Roman" w:hAnsi="Times New Roman"/>
          <w:sz w:val="13"/>
          <w:szCs w:val="13"/>
          <w:color w:val="000000"/>
        </w:rPr>
        <w:t>.</w:t>
      </w:r>
    </w:p>
    <w:p>
      <w:pPr>
        <w:ind w:left="248" w:right="100" w:hanging="238"/>
        <w:spacing w:after="0" w:line="255"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 xml:space="preserve">Downs, R.J., Thomas, J.F., 1982. Phytochrome regulation of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in the long-day</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plant, Hyoscyamus niger. Plant Physiol. 70, 898</w:t>
        </w:r>
        <w:r>
          <w:rPr>
            <w:rFonts w:ascii="Arial" w:cs="Arial" w:eastAsia="Arial" w:hAnsi="Arial"/>
            <w:sz w:val="13"/>
            <w:szCs w:val="13"/>
            <w:color w:val="004A76"/>
          </w:rPr>
          <w:t>–</w:t>
        </w:r>
        <w:r>
          <w:rPr>
            <w:rFonts w:ascii="Times New Roman" w:cs="Times New Roman" w:eastAsia="Times New Roman" w:hAnsi="Times New Roman"/>
            <w:sz w:val="13"/>
            <w:szCs w:val="13"/>
            <w:color w:val="004A76"/>
          </w:rPr>
          <w:t>900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8"/>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Franklin, K.A., 2008. Shade avoidance. New Phytol. 179, 930</w:t>
        </w:r>
        <w:r>
          <w:rPr>
            <w:rFonts w:ascii="Arial" w:cs="Arial" w:eastAsia="Arial" w:hAnsi="Arial"/>
            <w:sz w:val="13"/>
            <w:szCs w:val="13"/>
            <w:color w:val="004A76"/>
          </w:rPr>
          <w:t>–</w:t>
        </w:r>
        <w:r>
          <w:rPr>
            <w:rFonts w:ascii="Times New Roman" w:cs="Times New Roman" w:eastAsia="Times New Roman" w:hAnsi="Times New Roman"/>
            <w:sz w:val="13"/>
            <w:szCs w:val="13"/>
            <w:color w:val="004A76"/>
          </w:rPr>
          <w:t>944</w:t>
        </w:r>
      </w:hyperlink>
      <w:r>
        <w:rPr>
          <w:rFonts w:ascii="Times New Roman" w:cs="Times New Roman" w:eastAsia="Times New Roman" w:hAnsi="Times New Roman"/>
          <w:sz w:val="13"/>
          <w:szCs w:val="13"/>
          <w:color w:val="000000"/>
        </w:rPr>
        <w:t>.</w:t>
      </w:r>
    </w:p>
    <w:p>
      <w:pPr>
        <w:spacing w:after="0" w:line="7" w:lineRule="exact"/>
        <w:rPr>
          <w:sz w:val="20"/>
          <w:szCs w:val="20"/>
          <w:color w:val="auto"/>
        </w:rPr>
      </w:pPr>
    </w:p>
    <w:p>
      <w:pPr>
        <w:ind w:left="8"/>
        <w:spacing w:after="0"/>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Fraser, D.P., Hayes, S., Franklin, K.A., 2016. Photoreceptor crosstalk in shade avoidance.</w:t>
        </w:r>
      </w:hyperlink>
    </w:p>
    <w:p>
      <w:pPr>
        <w:spacing w:after="0" w:line="3" w:lineRule="exact"/>
        <w:rPr>
          <w:sz w:val="20"/>
          <w:szCs w:val="20"/>
          <w:color w:val="auto"/>
        </w:rPr>
      </w:pPr>
    </w:p>
    <w:p>
      <w:pPr>
        <w:ind w:left="248"/>
        <w:spacing w:after="0"/>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Curr. Opin. Plant Biol. 33,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8" w:right="80" w:hanging="238"/>
        <w:spacing w:after="0" w:line="256"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Gommers, C.M., Visser, E.J., St Onge, K.R., Voesenek, L.A., Pierik, R., 2013. Shade tol-</w:t>
        </w:r>
      </w:hyperlink>
      <w:hyperlink r:id="rId26">
        <w:r>
          <w:rPr>
            <w:rFonts w:ascii="Times New Roman" w:cs="Times New Roman" w:eastAsia="Times New Roman" w:hAnsi="Times New Roman"/>
            <w:sz w:val="13"/>
            <w:szCs w:val="13"/>
            <w:color w:val="004A76"/>
          </w:rPr>
          <w:t>erance: when growing tall is not an option. Trends Plant Sci. 18, 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71</w:t>
        </w:r>
      </w:hyperlink>
      <w:r>
        <w:rPr>
          <w:rFonts w:ascii="Times New Roman" w:cs="Times New Roman" w:eastAsia="Times New Roman" w:hAnsi="Times New Roman"/>
          <w:sz w:val="13"/>
          <w:szCs w:val="13"/>
          <w:color w:val="000000"/>
        </w:rPr>
        <w:t>.</w:t>
      </w:r>
    </w:p>
    <w:p>
      <w:pPr>
        <w:ind w:left="248" w:right="80" w:hanging="238"/>
        <w:spacing w:after="0" w:line="254"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Hernández, R., Kubota, C., 2014. Growth and morphological response of cucumber</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 xml:space="preserve">seedlings to supplemental red and blue photon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ux ratios under varied solar daily</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light integrals. Scientia Hort. 173, 92</w:t>
        </w:r>
        <w:r>
          <w:rPr>
            <w:rFonts w:ascii="Arial" w:cs="Arial" w:eastAsia="Arial" w:hAnsi="Arial"/>
            <w:sz w:val="13"/>
            <w:szCs w:val="13"/>
            <w:color w:val="004A76"/>
          </w:rPr>
          <w:t>–</w:t>
        </w:r>
        <w:r>
          <w:rPr>
            <w:rFonts w:ascii="Times New Roman" w:cs="Times New Roman" w:eastAsia="Times New Roman" w:hAnsi="Times New Roman"/>
            <w:sz w:val="13"/>
            <w:szCs w:val="13"/>
            <w:color w:val="004A76"/>
          </w:rPr>
          <w:t>99</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8" w:hanging="238"/>
        <w:spacing w:after="0" w:line="254"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Hernández, R., Kubota, C., 2016. Physiological responses of cucumber seedlings under</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erent blue and red photon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ux ratios using LEDs. Environ. Exp. Bot. 121, 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74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8" w:right="2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 xml:space="preserve">Hoenecke, M.E., Bula, R.J., Tibbitts, T.W., 1992. Importance of </w:t>
        </w:r>
        <w:r>
          <w:rPr>
            <w:rFonts w:ascii="Arial" w:cs="Arial" w:eastAsia="Arial" w:hAnsi="Arial"/>
            <w:sz w:val="13"/>
            <w:szCs w:val="13"/>
            <w:color w:val="004A76"/>
          </w:rPr>
          <w:t>“</w:t>
        </w:r>
        <w:r>
          <w:rPr>
            <w:rFonts w:ascii="Times New Roman" w:cs="Times New Roman" w:eastAsia="Times New Roman" w:hAnsi="Times New Roman"/>
            <w:sz w:val="13"/>
            <w:szCs w:val="13"/>
            <w:color w:val="004A76"/>
          </w:rPr>
          <w:t>blue</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photon levels for</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lettuce seedlings grown under red-light-emitting diodes. HortScience 27, 427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8" w:hanging="238"/>
        <w:spacing w:after="0" w:line="255"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Hogewoning, S.W., Trouwborst, G., Maljaars, H., Poorter, H., van Ieperen, W., Harbinson,</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J., 2010. Blue light dose</w:t>
        </w:r>
        <w:r>
          <w:rPr>
            <w:rFonts w:ascii="Arial" w:cs="Arial" w:eastAsia="Arial" w:hAnsi="Arial"/>
            <w:sz w:val="13"/>
            <w:szCs w:val="13"/>
            <w:color w:val="004A76"/>
          </w:rPr>
          <w:t>–</w:t>
        </w:r>
        <w:r>
          <w:rPr>
            <w:rFonts w:ascii="Times New Roman" w:cs="Times New Roman" w:eastAsia="Times New Roman" w:hAnsi="Times New Roman"/>
            <w:sz w:val="13"/>
            <w:szCs w:val="13"/>
            <w:color w:val="004A76"/>
          </w:rPr>
          <w:t>responses of leaf photosynthesis, morphology, and chemical</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composition of Cucumis sativus grown under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combinations of red and blue</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light. J. Exp. Bot. 61, 3107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3117</w:t>
        </w:r>
      </w:hyperlink>
      <w:r>
        <w:rPr>
          <w:rFonts w:ascii="Times New Roman" w:cs="Times New Roman" w:eastAsia="Times New Roman" w:hAnsi="Times New Roman"/>
          <w:sz w:val="13"/>
          <w:szCs w:val="13"/>
          <w:color w:val="000000"/>
        </w:rPr>
        <w:t>.</w:t>
      </w:r>
    </w:p>
    <w:p>
      <w:pPr>
        <w:jc w:val="both"/>
        <w:ind w:left="248"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Lee, M.J., Son, K.H., Oh, M.M., 2016. Increase in biomass and bioactive compounds in</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lettuce under various ratios of red to far-red LED light supplemented with blue LED</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light. Hort. Environ. Biotechnol. 57, 139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240" w:hanging="238"/>
        <w:spacing w:after="0" w:line="254"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Li, Q., Kubota, C., 2009.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supplemental light quality on growth and phyto-</w:t>
        </w:r>
      </w:hyperlink>
      <w:hyperlink r:id="rId32">
        <w:r>
          <w:rPr>
            <w:rFonts w:ascii="Times New Roman" w:cs="Times New Roman" w:eastAsia="Times New Roman" w:hAnsi="Times New Roman"/>
            <w:sz w:val="13"/>
            <w:szCs w:val="13"/>
            <w:color w:val="004A76"/>
          </w:rPr>
          <w:t>chemicals of baby leaf lettuce. Environ. Expt. Bot. 67, 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8" w:hanging="238"/>
        <w:spacing w:after="0" w:line="255"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Lobiuc, A., Vasilache, V., Oroian, M., Stoleru, T., Burducea, M., Pintilie, O., Zam</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rache,</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M.M., 2017. Blue and red LED illumination improves growth and bioactive com-</w:t>
        </w:r>
      </w:hyperlink>
      <w:hyperlink r:id="rId33">
        <w:r>
          <w:rPr>
            <w:rFonts w:ascii="Times New Roman" w:cs="Times New Roman" w:eastAsia="Times New Roman" w:hAnsi="Times New Roman"/>
            <w:sz w:val="13"/>
            <w:szCs w:val="13"/>
            <w:color w:val="004A76"/>
          </w:rPr>
          <w:t>pounds contents in acyanic and cyanic Ocimum basilicum L. microgreens. Molecules</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22, 2111</w:t>
        </w:r>
      </w:hyperlink>
      <w:r>
        <w:rPr>
          <w:rFonts w:ascii="Times New Roman" w:cs="Times New Roman" w:eastAsia="Times New Roman" w:hAnsi="Times New Roman"/>
          <w:sz w:val="13"/>
          <w:szCs w:val="13"/>
          <w:color w:val="000000"/>
        </w:rPr>
        <w:t>.</w:t>
      </w:r>
    </w:p>
    <w:p>
      <w:pPr>
        <w:spacing w:after="0" w:line="152" w:lineRule="exact"/>
        <w:rPr>
          <w:rFonts w:ascii="Times New Roman" w:cs="Times New Roman" w:eastAsia="Times New Roman" w:hAnsi="Times New Roman"/>
          <w:sz w:val="13"/>
          <w:szCs w:val="13"/>
          <w:color w:val="004A76"/>
        </w:rPr>
      </w:pPr>
    </w:p>
    <w:p>
      <w:pPr>
        <w:ind w:left="248" w:right="80" w:hanging="238"/>
        <w:spacing w:after="0" w:line="259"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Lopez, R.G., Runkle, E.S., 2008. Photosynthetic daily light integral during propagation</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uences rooting and growth of cuttings and subsequent development of New</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Guinea impatiens and petunia. HortScience 43, 2052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2059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8" w:right="60" w:hanging="238"/>
        <w:spacing w:after="0" w:line="250"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Lopez, R., Currey, C., Runkle, E., 2017. Light and young plants, p. 109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118. In: Lopez,</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R.G., Runkle, E.S. (Eds.), Light Management in Controlled Environments. Meister</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Media Worldwide, OH</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8"/>
        <w:spacing w:after="0" w:line="255"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Meng, Q., Runkle, E.S., 2017. Far red is the new red. Inside Grower 2, 26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Mitchell, C., Stutte, G., 2017. Sole-source lighting for controlled-environment agriculture,</w:t>
        </w:r>
      </w:hyperlink>
    </w:p>
    <w:p>
      <w:pPr>
        <w:ind w:left="248" w:right="300"/>
        <w:spacing w:after="0" w:line="256"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p. 48</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 In: Lopez, R.G., Runkle, E.S. (Eds.), Light Management in Controlled</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Environments. Meister Media Worldwide, OH</w:t>
        </w:r>
      </w:hyperlink>
      <w:r>
        <w:rPr>
          <w:rFonts w:ascii="Times New Roman" w:cs="Times New Roman" w:eastAsia="Times New Roman" w:hAnsi="Times New Roman"/>
          <w:sz w:val="13"/>
          <w:szCs w:val="13"/>
          <w:color w:val="000000"/>
        </w:rPr>
        <w:t>.</w:t>
      </w:r>
    </w:p>
    <w:p>
      <w:pPr>
        <w:ind w:left="248" w:hanging="238"/>
        <w:spacing w:after="0" w:line="265"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Mitchell, C.A., Both, A.J., Bourget, C.M., Burr, J.F., Kubota, C., Lopez, R.G., Morrow, R.C.,</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Runkle, E.S., 2012. Horticultural science focus-LEDs: the future of greenhouse</w:t>
        </w:r>
      </w:hyperlink>
    </w:p>
    <w:p>
      <w:pPr>
        <w:spacing w:after="0" w:line="200" w:lineRule="exact"/>
        <w:rPr>
          <w:sz w:val="20"/>
          <w:szCs w:val="20"/>
          <w:color w:val="auto"/>
        </w:rPr>
      </w:pPr>
    </w:p>
    <w:p>
      <w:pPr>
        <w:sectPr>
          <w:pgSz w:w="11900" w:h="15874" w:orient="portrait"/>
          <w:cols w:equalWidth="0" w:num="2">
            <w:col w:w="5028" w:space="352"/>
            <w:col w:w="5028"/>
          </w:cols>
          <w:pgMar w:left="752" w:top="676" w:right="746" w:bottom="37" w:gutter="0" w:footer="0" w:header="0"/>
        </w:sectPr>
      </w:pPr>
    </w:p>
    <w:p>
      <w:pPr>
        <w:spacing w:after="0" w:line="108" w:lineRule="exact"/>
        <w:rPr>
          <w:sz w:val="20"/>
          <w:szCs w:val="20"/>
          <w:color w:val="auto"/>
        </w:rPr>
      </w:pPr>
    </w:p>
    <w:p>
      <w:pPr>
        <w:jc w:val="center"/>
        <w:ind w:right="12"/>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8"/>
          </w:cols>
          <w:pgMar w:left="752"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 Zhang, et al.</w:t>
      </w:r>
    </w:p>
    <w:p>
      <w:pPr>
        <w:spacing w:after="0" w:line="31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lighting!. Chronica Hort. 52, 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w:t>
        </w:r>
      </w:hyperlink>
      <w:r>
        <w:rPr>
          <w:rFonts w:ascii="Times New Roman" w:cs="Times New Roman" w:eastAsia="Times New Roman" w:hAnsi="Times New Roman"/>
          <w:sz w:val="13"/>
          <w:szCs w:val="13"/>
          <w:color w:val="000000"/>
        </w:rPr>
        <w:t>.</w:t>
      </w:r>
    </w:p>
    <w:p>
      <w:pPr>
        <w:spacing w:after="0" w:line="15" w:lineRule="exact"/>
        <w:rPr>
          <w:sz w:val="20"/>
          <w:szCs w:val="20"/>
          <w:color w:val="auto"/>
        </w:rPr>
      </w:pPr>
    </w:p>
    <w:p>
      <w:pPr>
        <w:spacing w:after="0"/>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Monje, O.A., Bugbee, B., 1992. Inherent limitations of nondestructive chlorophyll meters:</w:t>
        </w:r>
      </w:hyperlink>
    </w:p>
    <w:p>
      <w:pPr>
        <w:spacing w:after="0" w:line="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a comparison of two types of meters. HortScience 27, 69</w:t>
        </w:r>
        <w:r>
          <w:rPr>
            <w:rFonts w:ascii="Arial" w:cs="Arial" w:eastAsia="Arial" w:hAnsi="Arial"/>
            <w:sz w:val="13"/>
            <w:szCs w:val="13"/>
            <w:color w:val="004A76"/>
          </w:rPr>
          <w:t>–</w:t>
        </w:r>
        <w:r>
          <w:rPr>
            <w:rFonts w:ascii="Times New Roman" w:cs="Times New Roman" w:eastAsia="Times New Roman" w:hAnsi="Times New Roman"/>
            <w:sz w:val="13"/>
            <w:szCs w:val="13"/>
            <w:color w:val="004A76"/>
          </w:rPr>
          <w:t>71</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Nanya, K., Ishigami, Y., Hikosaka, S., Goto, E., 2012.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blue and red light on stem</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 xml:space="preserve">elongation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of tomato seedlings. Acta Hort. 956, 261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Ne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M.M., Chory, J., 1998. Genetic interactions between phytochrome A, phytochrome</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B, and cryptochrome 1 during Arabidopsis development. Plant Physiol. 118, 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Oh, W., Runkle, E.S., 2016. Flowering and morphological responses of petunia and pansy</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as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uenced by lamp type and lighting period to provide long days. Korean J. Hort.</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Sci. Technol. 34, 207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Park, Y., Runkle, E.S., 2017. Far-red radiation promotes growth of seedlings by increasing</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leaf expansion and whole-plant net assimilation. Environ. Exp. Bot. 136, 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 xml:space="preserve">Park, Y., Runkle, E.S., 2018. Far-red radiation and photosynthetic photon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ux density</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 xml:space="preserve">independently regulate seedling growth but interactively regulate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Environ.</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Exp. Bot. 155, 206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216</w:t>
        </w:r>
      </w:hyperlink>
      <w:r>
        <w:rPr>
          <w:rFonts w:ascii="Times New Roman" w:cs="Times New Roman" w:eastAsia="Times New Roman" w:hAnsi="Times New Roman"/>
          <w:sz w:val="13"/>
          <w:szCs w:val="13"/>
          <w:color w:val="000000"/>
        </w:rPr>
        <w:t>.</w:t>
      </w:r>
    </w:p>
    <w:p>
      <w:pPr>
        <w:ind w:left="240" w:hanging="238"/>
        <w:spacing w:after="0" w:line="247"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Park, Y., Runkle, E.S., 2019. Blue radiation attenuates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 red to far-red ratio</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 xml:space="preserve">on extension growth but not 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Environ. Exp. Bot. 168, 103871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300" w:hanging="238"/>
        <w:spacing w:after="0" w:line="260"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Runkle, E.S., Heins, R.D., 2001. 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functions of red, far red, and blue light in</w:t>
        </w:r>
      </w:hyperlink>
      <w:r>
        <w:rPr>
          <w:rFonts w:ascii="Times New Roman" w:cs="Times New Roman" w:eastAsia="Times New Roman" w:hAnsi="Times New Roman"/>
          <w:sz w:val="13"/>
          <w:szCs w:val="13"/>
          <w:color w:val="004A76"/>
        </w:rPr>
        <w:t xml:space="preserve"> </w:t>
      </w:r>
      <w:hyperlink r:id="rId46">
        <w:r>
          <w:rPr>
            <w:rFonts w:ascii="Arial" w:cs="Arial" w:eastAsia="Arial" w:hAnsi="Arial"/>
            <w:sz w:val="13"/>
            <w:szCs w:val="13"/>
            <w:color w:val="004A76"/>
          </w:rPr>
          <w:t>fl</w:t>
        </w:r>
        <w:r>
          <w:rPr>
            <w:rFonts w:ascii="Times New Roman" w:cs="Times New Roman" w:eastAsia="Times New Roman" w:hAnsi="Times New Roman"/>
            <w:sz w:val="13"/>
            <w:szCs w:val="13"/>
            <w:color w:val="004A76"/>
          </w:rPr>
          <w:t>owering and stem extension of long-day plants. J. Am. Soc. Hortic. Sci. 126,</w:t>
        </w:r>
      </w:hyperlink>
      <w:r>
        <w:rPr>
          <w:rFonts w:ascii="Arial" w:cs="Arial" w:eastAsia="Arial" w:hAnsi="Arial"/>
          <w:sz w:val="13"/>
          <w:szCs w:val="13"/>
          <w:color w:val="004A76"/>
        </w:rPr>
        <w:t xml:space="preserve"> </w:t>
      </w:r>
      <w:hyperlink r:id="rId46">
        <w:r>
          <w:rPr>
            <w:rFonts w:ascii="Times New Roman" w:cs="Times New Roman" w:eastAsia="Times New Roman" w:hAnsi="Times New Roman"/>
            <w:sz w:val="13"/>
            <w:szCs w:val="13"/>
            <w:color w:val="004A76"/>
          </w:rPr>
          <w:t>275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Sager, J.C., Smith, W.O., Edwards, J.L., Cyr, K.L., 1988. Photosynthetic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and</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phytochrome photoequilibria determination using spectral data. Trans. Am. Soc. Agr.</w:t>
        </w:r>
      </w:hyperlink>
    </w:p>
    <w:p>
      <w:pPr>
        <w:spacing w:after="0" w:line="20" w:lineRule="exact"/>
        <w:rPr>
          <w:sz w:val="20"/>
          <w:szCs w:val="20"/>
          <w:color w:val="auto"/>
        </w:rPr>
      </w:pPr>
      <w:r>
        <w:rPr>
          <w:sz w:val="20"/>
          <w:szCs w:val="20"/>
          <w:color w:val="auto"/>
        </w:rPr>
        <w:br w:type="column"/>
      </w:r>
    </w:p>
    <w:p>
      <w:pPr>
        <w:ind w:left="2460"/>
        <w:spacing w:after="0"/>
        <w:rPr>
          <w:sz w:val="20"/>
          <w:szCs w:val="20"/>
          <w:color w:val="auto"/>
        </w:rPr>
      </w:pPr>
      <w:r>
        <w:rPr>
          <w:rFonts w:ascii="Arial" w:cs="Arial" w:eastAsia="Arial" w:hAnsi="Arial"/>
          <w:sz w:val="12"/>
          <w:szCs w:val="12"/>
          <w:i w:val="1"/>
          <w:iCs w:val="1"/>
          <w:color w:val="auto"/>
        </w:rPr>
        <w:t>Scientia Horticulturae 272 (2020) 109478</w:t>
      </w:r>
    </w:p>
    <w:p>
      <w:pPr>
        <w:spacing w:after="0" w:line="364" w:lineRule="exact"/>
        <w:rPr>
          <w:sz w:val="20"/>
          <w:szCs w:val="20"/>
          <w:color w:val="auto"/>
        </w:rPr>
      </w:pPr>
    </w:p>
    <w:p>
      <w:pPr>
        <w:spacing w:after="0"/>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Eng. 31, 1882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1889</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right="20" w:hanging="238"/>
        <w:spacing w:after="0" w:line="255"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Schaper, H., Chacko, E.K., 1991. Relation between extractable chlorophyll and portable</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chlorophyll meter readings in leaves of eight tropical and subtropical fruit-tree spe-</w:t>
        </w:r>
      </w:hyperlink>
      <w:hyperlink r:id="rId48">
        <w:r>
          <w:rPr>
            <w:rFonts w:ascii="Times New Roman" w:cs="Times New Roman" w:eastAsia="Times New Roman" w:hAnsi="Times New Roman"/>
            <w:sz w:val="13"/>
            <w:szCs w:val="13"/>
            <w:color w:val="004A76"/>
          </w:rPr>
          <w:t>cies. J. Plant Physiol. 138, 674</w:t>
        </w:r>
        <w:r>
          <w:rPr>
            <w:rFonts w:ascii="Arial" w:cs="Arial" w:eastAsia="Arial" w:hAnsi="Arial"/>
            <w:sz w:val="13"/>
            <w:szCs w:val="13"/>
            <w:color w:val="004A76"/>
          </w:rPr>
          <w:t>–</w:t>
        </w:r>
        <w:r>
          <w:rPr>
            <w:rFonts w:ascii="Times New Roman" w:cs="Times New Roman" w:eastAsia="Times New Roman" w:hAnsi="Times New Roman"/>
            <w:sz w:val="13"/>
            <w:szCs w:val="13"/>
            <w:color w:val="004A76"/>
          </w:rPr>
          <w:t>677</w:t>
        </w:r>
      </w:hyperlink>
      <w:r>
        <w:rPr>
          <w:rFonts w:ascii="Times New Roman" w:cs="Times New Roman" w:eastAsia="Times New Roman" w:hAnsi="Times New Roman"/>
          <w:sz w:val="13"/>
          <w:szCs w:val="13"/>
          <w:color w:val="000000"/>
        </w:rPr>
        <w:t>.</w:t>
      </w:r>
    </w:p>
    <w:p>
      <w:pPr>
        <w:ind w:right="240" w:hanging="238"/>
        <w:spacing w:after="0" w:line="249"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Smith, H., 1982. Light quality, photoreception, and plant strategy. Annu. Rev. Plant</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Physiol. Plant Mol. Biol. 33 (481), 518</w:t>
        </w:r>
      </w:hyperlink>
      <w:r>
        <w:rPr>
          <w:rFonts w:ascii="Times New Roman" w:cs="Times New Roman" w:eastAsia="Times New Roman" w:hAnsi="Times New Roman"/>
          <w:sz w:val="13"/>
          <w:szCs w:val="13"/>
          <w:color w:val="000000"/>
        </w:rPr>
        <w:t>.</w:t>
      </w:r>
    </w:p>
    <w:p>
      <w:pPr>
        <w:ind w:hanging="238"/>
        <w:spacing w:after="0" w:line="25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Smith, H., 1994. Sensing the light environment: the functions of the phytochrome family,</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p 377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416. In: Kendrick, R.E., Kronenberg, G.H.M. (Eds.), Photomorphogenesis in</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Plants, 2nd ed. Kluwer Academic Publishers, Dordrecht, the Netherlands</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hanging="238"/>
        <w:spacing w:after="0" w:line="255"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Snowden, M.C., Cope, K.R., Bugbee, B., 2016. Sensitivity of seven diverse species to blue</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 xml:space="preserve">and green light: interactions with photon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ux. PLoS One 11, e0163121</w:t>
        </w:r>
      </w:hyperlink>
      <w:r>
        <w:rPr>
          <w:rFonts w:ascii="Times New Roman" w:cs="Times New Roman" w:eastAsia="Times New Roman" w:hAnsi="Times New Roman"/>
          <w:sz w:val="13"/>
          <w:szCs w:val="13"/>
          <w:color w:val="000000"/>
        </w:rPr>
        <w:t>.</w:t>
      </w:r>
    </w:p>
    <w:p>
      <w:pPr>
        <w:ind w:right="20" w:hanging="238"/>
        <w:spacing w:after="0" w:line="256"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Stephenson, P.G., Terry, M.J., 2008. Light signalling pathways regulating the Mg chela-</w:t>
        </w:r>
      </w:hyperlink>
      <w:hyperlink r:id="rId52">
        <w:r>
          <w:rPr>
            <w:rFonts w:ascii="Times New Roman" w:cs="Times New Roman" w:eastAsia="Times New Roman" w:hAnsi="Times New Roman"/>
            <w:sz w:val="13"/>
            <w:szCs w:val="13"/>
            <w:color w:val="004A76"/>
          </w:rPr>
          <w:t>tase branchpoint of chlorophyll synthesis during de etiolation in Arabidopsis</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thaliana. Photochem. Photobiol. Sci. 7 (1243), 1252</w:t>
        </w:r>
      </w:hyperlink>
      <w:r>
        <w:rPr>
          <w:rFonts w:ascii="Times New Roman" w:cs="Times New Roman" w:eastAsia="Times New Roman" w:hAnsi="Times New Roman"/>
          <w:sz w:val="13"/>
          <w:szCs w:val="13"/>
          <w:color w:val="000000"/>
        </w:rPr>
        <w:t>.</w:t>
      </w:r>
    </w:p>
    <w:p>
      <w:pPr>
        <w:ind w:right="60" w:hanging="238"/>
        <w:spacing w:after="0" w:line="261"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Turner, F.T., Jund, M.F., 1991. Chlorophyll meter to predict nitrogen topdress require-</w:t>
        </w:r>
      </w:hyperlink>
      <w:hyperlink r:id="rId53">
        <w:r>
          <w:rPr>
            <w:rFonts w:ascii="Times New Roman" w:cs="Times New Roman" w:eastAsia="Times New Roman" w:hAnsi="Times New Roman"/>
            <w:sz w:val="13"/>
            <w:szCs w:val="13"/>
            <w:color w:val="004A76"/>
          </w:rPr>
          <w:t>ment for semidwarf rice. Agro. J. 83, 926</w:t>
        </w:r>
        <w:r>
          <w:rPr>
            <w:rFonts w:ascii="Arial" w:cs="Arial" w:eastAsia="Arial" w:hAnsi="Arial"/>
            <w:sz w:val="13"/>
            <w:szCs w:val="13"/>
            <w:color w:val="004A76"/>
          </w:rPr>
          <w:t>–</w:t>
        </w:r>
        <w:r>
          <w:rPr>
            <w:rFonts w:ascii="Times New Roman" w:cs="Times New Roman" w:eastAsia="Times New Roman" w:hAnsi="Times New Roman"/>
            <w:sz w:val="13"/>
            <w:szCs w:val="13"/>
            <w:color w:val="004A76"/>
          </w:rPr>
          <w:t>928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right="20" w:hanging="238"/>
        <w:spacing w:after="0" w:line="255"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Wang, S., Wang, X., Shi, X., Wang, B., Zheng, X., Wang, H., Liu, F., 2016. Red and blue</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lights signi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cantly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photosynthetic properties and ultrastructure of mesophyll</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cells in senescing grape leaves. Hort. Plant J. 2, 82</w:t>
        </w:r>
        <w:r>
          <w:rPr>
            <w:rFonts w:ascii="Arial" w:cs="Arial" w:eastAsia="Arial" w:hAnsi="Arial"/>
            <w:sz w:val="13"/>
            <w:szCs w:val="13"/>
            <w:color w:val="004A76"/>
          </w:rPr>
          <w:t>–</w:t>
        </w:r>
        <w:r>
          <w:rPr>
            <w:rFonts w:ascii="Times New Roman" w:cs="Times New Roman" w:eastAsia="Times New Roman" w:hAnsi="Times New Roman"/>
            <w:sz w:val="13"/>
            <w:szCs w:val="13"/>
            <w:color w:val="004A76"/>
          </w:rPr>
          <w:t>90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right="80" w:hanging="238"/>
        <w:spacing w:after="0" w:line="270"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Wollaeger, H.M., Runkle, E.S., 2015. Growth and acclimation of impatiens, salvia, pet-</w:t>
        </w:r>
      </w:hyperlink>
      <w:hyperlink r:id="rId55">
        <w:r>
          <w:rPr>
            <w:rFonts w:ascii="Times New Roman" w:cs="Times New Roman" w:eastAsia="Times New Roman" w:hAnsi="Times New Roman"/>
            <w:sz w:val="13"/>
            <w:szCs w:val="13"/>
            <w:color w:val="004A76"/>
          </w:rPr>
          <w:t>unia, and tomato seedlings to blue and red light. HortScience 50, 522</w:t>
        </w:r>
        <w:r>
          <w:rPr>
            <w:rFonts w:ascii="Arial" w:cs="Arial" w:eastAsia="Arial" w:hAnsi="Arial"/>
            <w:sz w:val="13"/>
            <w:szCs w:val="13"/>
            <w:color w:val="004A76"/>
          </w:rPr>
          <w:t>–</w:t>
        </w:r>
        <w:r>
          <w:rPr>
            <w:rFonts w:ascii="Times New Roman" w:cs="Times New Roman" w:eastAsia="Times New Roman" w:hAnsi="Times New Roman"/>
            <w:sz w:val="13"/>
            <w:szCs w:val="13"/>
            <w:color w:val="004A76"/>
          </w:rPr>
          <w:t>529</w:t>
        </w:r>
      </w:hyperlink>
      <w:r>
        <w:rPr>
          <w:rFonts w:ascii="Times New Roman" w:cs="Times New Roman" w:eastAsia="Times New Roman" w:hAnsi="Times New Roman"/>
          <w:sz w:val="13"/>
          <w:szCs w:val="13"/>
          <w:color w:val="000000"/>
        </w:rPr>
        <w:t>.</w:t>
      </w:r>
    </w:p>
    <w:p>
      <w:pPr>
        <w:spacing w:after="0" w:line="336" w:lineRule="exact"/>
        <w:rPr>
          <w:sz w:val="20"/>
          <w:szCs w:val="20"/>
          <w:color w:val="auto"/>
        </w:rPr>
      </w:pPr>
    </w:p>
    <w:p>
      <w:pPr>
        <w:sectPr>
          <w:pgSz w:w="11900" w:h="15874" w:orient="portrait"/>
          <w:cols w:equalWidth="0" w:num="2">
            <w:col w:w="5020" w:space="600"/>
            <w:col w:w="478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lowerLetter"/>
      <w:start w:val="1"/>
    </w:lvl>
  </w:abstractNum>
  <w:abstractNum w:abstractNumId="1">
    <w:nsid w:val="515F007C"/>
    <w:multiLevelType w:val="hybridMultilevel"/>
    <w:lvl w:ilvl="0">
      <w:lvlJc w:val="left"/>
      <w:lvlText w:val=" "/>
      <w:numFmt w:val="bullet"/>
      <w:start w:val="1"/>
    </w:lvl>
  </w:abstractNum>
  <w:abstractNum w:abstractNumId="2">
    <w:nsid w:val="5BD062C2"/>
    <w:multiLevelType w:val="hybridMultilevel"/>
    <w:lvl w:ilvl="0">
      <w:lvlJc w:val="left"/>
      <w:lvlText w:val="%1"/>
      <w:numFmt w:val="decimal"/>
      <w:start w:val="50"/>
    </w:lvl>
  </w:abstractNum>
  <w:abstractNum w:abstractNumId="3">
    <w:nsid w:val="12200854"/>
    <w:multiLevelType w:val="hybridMultilevel"/>
    <w:lvl w:ilvl="0">
      <w:lvlJc w:val="left"/>
      <w:lvlText w:val="%1"/>
      <w:numFmt w:val="decimal"/>
      <w:start w:val="160"/>
    </w:lvl>
  </w:abstractNum>
  <w:abstractNum w:abstractNumId="4">
    <w:nsid w:val="4DB127F8"/>
    <w:multiLevelType w:val="hybridMultilevel"/>
    <w:lvl w:ilvl="0">
      <w:lvlJc w:val="left"/>
      <w:lvlText w:val="%1"/>
      <w:numFmt w:val="decimal"/>
      <w:start w:val="500"/>
    </w:lvl>
  </w:abstractNum>
  <w:abstractNum w:abstractNumId="5">
    <w:nsid w:val="216231B"/>
    <w:multiLevelType w:val="hybridMultilevel"/>
    <w:lvl w:ilvl="0">
      <w:lvlJc w:val="left"/>
      <w:lvlText w:val="%1"/>
      <w:numFmt w:val="decimal"/>
      <w:start w:val="660"/>
    </w:lvl>
  </w:abstractNum>
  <w:abstractNum w:abstractNumId="6">
    <w:nsid w:val="1F16E9E8"/>
    <w:multiLevelType w:val="hybridMultilevel"/>
    <w:lvl w:ilvl="0">
      <w:lvlJc w:val="left"/>
      <w:lvlText w:val="%1"/>
      <w:numFmt w:val="decimal"/>
      <w:start w:val="660"/>
    </w:lvl>
  </w:abstractNum>
  <w:abstractNum w:abstractNumId="7">
    <w:nsid w:val="1190CDE7"/>
    <w:multiLevelType w:val="hybridMultilevel"/>
    <w:lvl w:ilvl="0">
      <w:lvlJc w:val="left"/>
      <w:lvlText w:val="%1"/>
      <w:numFmt w:val="decimal"/>
      <w:start w:val="25"/>
    </w:lvl>
  </w:abstractNum>
  <w:abstractNum w:abstractNumId="8">
    <w:nsid w:val="66EF438D"/>
    <w:multiLevelType w:val="hybridMultilevel"/>
    <w:lvl w:ilvl="0">
      <w:lvlJc w:val="left"/>
      <w:lvlText w:val="%1"/>
      <w:numFmt w:val="lowerLetter"/>
      <w:start w:val="1"/>
    </w:lvl>
  </w:abstractNum>
  <w:abstractNum w:abstractNumId="9">
    <w:nsid w:val="140E0F76"/>
    <w:multiLevelType w:val="hybridMultilevel"/>
    <w:lvl w:ilvl="0">
      <w:lvlJc w:val="left"/>
      <w:lvlText w:val="%1"/>
      <w:numFmt w:val="lowerLetter"/>
      <w:start w:val="1"/>
    </w:lvl>
  </w:abstractNum>
  <w:abstractNum w:abstractNumId="10">
    <w:nsid w:val="3352255A"/>
    <w:multiLevelType w:val="hybridMultilevel"/>
    <w:lvl w:ilvl="0">
      <w:lvlJc w:val="left"/>
      <w:lvlText w:val="%1"/>
      <w:numFmt w:val="lowerLetter"/>
      <w:start w:val="1"/>
    </w:lvl>
  </w:abstractNum>
  <w:abstractNum w:abstractNumId="11">
    <w:nsid w:val="109CF92E"/>
    <w:multiLevelType w:val="hybridMultilevel"/>
    <w:lvl w:ilvl="0">
      <w:lvlJc w:val="left"/>
      <w:lvlText w:val="%1"/>
      <w:numFmt w:val="decimal"/>
    </w:lvl>
  </w:abstractNum>
  <w:abstractNum w:abstractNumId="12">
    <w:nsid w:val="DED7263"/>
    <w:multiLevelType w:val="hybridMultilevel"/>
    <w:lvl w:ilvl="0">
      <w:lvlJc w:val="left"/>
      <w:lvlText w:val="%1"/>
      <w:numFmt w:val="decimal"/>
      <w:start w:val="20"/>
    </w:lvl>
  </w:abstractNum>
  <w:abstractNum w:abstractNumId="13">
    <w:nsid w:val="7FDCC233"/>
    <w:multiLevelType w:val="hybridMultilevel"/>
    <w:lvl w:ilvl="0">
      <w:lvlJc w:val="left"/>
      <w:lvlText w:val="%1"/>
      <w:numFmt w:val="upperLetter"/>
      <w:start w:val="2"/>
    </w:lvl>
  </w:abstractNum>
  <w:abstractNum w:abstractNumId="14">
    <w:nsid w:val="1BEFD79F"/>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8" Type="http://schemas.openxmlformats.org/officeDocument/2006/relationships/hyperlink" Target="https://doi.org/10.1016/j.scienta.2020.109478"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6" Type="http://schemas.openxmlformats.org/officeDocument/2006/relationships/hyperlink" Target="mailto:runkleer@msu.edu" TargetMode="External"/><Relationship Id="rId20" Type="http://schemas.openxmlformats.org/officeDocument/2006/relationships/hyperlink" Target="http://refhub.elsevier.com/S0304-4238(20)30306-X/sbref0005" TargetMode="External"/><Relationship Id="rId21" Type="http://schemas.openxmlformats.org/officeDocument/2006/relationships/hyperlink" Target="http://refhub.elsevier.com/S0304-4238(20)30306-X/sbref0010" TargetMode="External"/><Relationship Id="rId22" Type="http://schemas.openxmlformats.org/officeDocument/2006/relationships/hyperlink" Target="http://refhub.elsevier.com/S0304-4238(20)30306-X/sbref0015" TargetMode="External"/><Relationship Id="rId23" Type="http://schemas.openxmlformats.org/officeDocument/2006/relationships/hyperlink" Target="http://refhub.elsevier.com/S0304-4238(20)30306-X/sbref0020" TargetMode="External"/><Relationship Id="rId24" Type="http://schemas.openxmlformats.org/officeDocument/2006/relationships/hyperlink" Target="http://refhub.elsevier.com/S0304-4238(20)30306-X/sbref0025" TargetMode="External"/><Relationship Id="rId25" Type="http://schemas.openxmlformats.org/officeDocument/2006/relationships/hyperlink" Target="http://refhub.elsevier.com/S0304-4238(20)30306-X/sbref0030" TargetMode="External"/><Relationship Id="rId26" Type="http://schemas.openxmlformats.org/officeDocument/2006/relationships/hyperlink" Target="http://refhub.elsevier.com/S0304-4238(20)30306-X/sbref0035" TargetMode="External"/><Relationship Id="rId27" Type="http://schemas.openxmlformats.org/officeDocument/2006/relationships/hyperlink" Target="http://refhub.elsevier.com/S0304-4238(20)30306-X/sbref0040" TargetMode="External"/><Relationship Id="rId28" Type="http://schemas.openxmlformats.org/officeDocument/2006/relationships/hyperlink" Target="http://refhub.elsevier.com/S0304-4238(20)30306-X/sbref0045" TargetMode="External"/><Relationship Id="rId29" Type="http://schemas.openxmlformats.org/officeDocument/2006/relationships/hyperlink" Target="http://refhub.elsevier.com/S0304-4238(20)30306-X/sbref0050" TargetMode="External"/><Relationship Id="rId30" Type="http://schemas.openxmlformats.org/officeDocument/2006/relationships/hyperlink" Target="http://refhub.elsevier.com/S0304-4238(20)30306-X/sbref0055" TargetMode="External"/><Relationship Id="rId31" Type="http://schemas.openxmlformats.org/officeDocument/2006/relationships/hyperlink" Target="http://refhub.elsevier.com/S0304-4238(20)30306-X/sbref0060" TargetMode="External"/><Relationship Id="rId32" Type="http://schemas.openxmlformats.org/officeDocument/2006/relationships/hyperlink" Target="http://refhub.elsevier.com/S0304-4238(20)30306-X/sbref0065" TargetMode="External"/><Relationship Id="rId33" Type="http://schemas.openxmlformats.org/officeDocument/2006/relationships/hyperlink" Target="http://refhub.elsevier.com/S0304-4238(20)30306-X/sbref0070" TargetMode="External"/><Relationship Id="rId34" Type="http://schemas.openxmlformats.org/officeDocument/2006/relationships/hyperlink" Target="http://refhub.elsevier.com/S0304-4238(20)30306-X/sbref0075" TargetMode="External"/><Relationship Id="rId35" Type="http://schemas.openxmlformats.org/officeDocument/2006/relationships/hyperlink" Target="http://refhub.elsevier.com/S0304-4238(20)30306-X/sbref0080" TargetMode="External"/><Relationship Id="rId36" Type="http://schemas.openxmlformats.org/officeDocument/2006/relationships/hyperlink" Target="http://refhub.elsevier.com/S0304-4238(20)30306-X/sbref0085" TargetMode="External"/><Relationship Id="rId37" Type="http://schemas.openxmlformats.org/officeDocument/2006/relationships/hyperlink" Target="http://refhub.elsevier.com/S0304-4238(20)30306-X/sbref0090" TargetMode="External"/><Relationship Id="rId38" Type="http://schemas.openxmlformats.org/officeDocument/2006/relationships/hyperlink" Target="http://refhub.elsevier.com/S0304-4238(20)30306-X/sbref0095" TargetMode="External"/><Relationship Id="rId39" Type="http://schemas.openxmlformats.org/officeDocument/2006/relationships/hyperlink" Target="http://refhub.elsevier.com/S0304-4238(20)30306-X/sbref0100" TargetMode="External"/><Relationship Id="rId40" Type="http://schemas.openxmlformats.org/officeDocument/2006/relationships/hyperlink" Target="http://refhub.elsevier.com/S0304-4238(20)30306-X/sbref0105" TargetMode="External"/><Relationship Id="rId41" Type="http://schemas.openxmlformats.org/officeDocument/2006/relationships/hyperlink" Target="http://refhub.elsevier.com/S0304-4238(20)30306-X/sbref0110" TargetMode="External"/><Relationship Id="rId42" Type="http://schemas.openxmlformats.org/officeDocument/2006/relationships/hyperlink" Target="http://refhub.elsevier.com/S0304-4238(20)30306-X/sbref0115" TargetMode="External"/><Relationship Id="rId43" Type="http://schemas.openxmlformats.org/officeDocument/2006/relationships/hyperlink" Target="http://refhub.elsevier.com/S0304-4238(20)30306-X/sbref0120" TargetMode="External"/><Relationship Id="rId44" Type="http://schemas.openxmlformats.org/officeDocument/2006/relationships/hyperlink" Target="http://refhub.elsevier.com/S0304-4238(20)30306-X/sbref0125" TargetMode="External"/><Relationship Id="rId45" Type="http://schemas.openxmlformats.org/officeDocument/2006/relationships/hyperlink" Target="http://refhub.elsevier.com/S0304-4238(20)30306-X/sbref0130" TargetMode="External"/><Relationship Id="rId46" Type="http://schemas.openxmlformats.org/officeDocument/2006/relationships/hyperlink" Target="http://refhub.elsevier.com/S0304-4238(20)30306-X/sbref0135" TargetMode="External"/><Relationship Id="rId47" Type="http://schemas.openxmlformats.org/officeDocument/2006/relationships/hyperlink" Target="http://refhub.elsevier.com/S0304-4238(20)30306-X/sbref0140" TargetMode="External"/><Relationship Id="rId48" Type="http://schemas.openxmlformats.org/officeDocument/2006/relationships/hyperlink" Target="http://refhub.elsevier.com/S0304-4238(20)30306-X/sbref0145" TargetMode="External"/><Relationship Id="rId49" Type="http://schemas.openxmlformats.org/officeDocument/2006/relationships/hyperlink" Target="http://refhub.elsevier.com/S0304-4238(20)30306-X/sbref0150" TargetMode="External"/><Relationship Id="rId50" Type="http://schemas.openxmlformats.org/officeDocument/2006/relationships/hyperlink" Target="http://refhub.elsevier.com/S0304-4238(20)30306-X/sbref0155" TargetMode="External"/><Relationship Id="rId51" Type="http://schemas.openxmlformats.org/officeDocument/2006/relationships/hyperlink" Target="http://refhub.elsevier.com/S0304-4238(20)30306-X/sbref0160" TargetMode="External"/><Relationship Id="rId52" Type="http://schemas.openxmlformats.org/officeDocument/2006/relationships/hyperlink" Target="http://refhub.elsevier.com/S0304-4238(20)30306-X/sbref0165" TargetMode="External"/><Relationship Id="rId53" Type="http://schemas.openxmlformats.org/officeDocument/2006/relationships/hyperlink" Target="http://refhub.elsevier.com/S0304-4238(20)30306-X/sbref0170" TargetMode="External"/><Relationship Id="rId54" Type="http://schemas.openxmlformats.org/officeDocument/2006/relationships/hyperlink" Target="http://refhub.elsevier.com/S0304-4238(20)30306-X/sbref0175" TargetMode="External"/><Relationship Id="rId55" Type="http://schemas.openxmlformats.org/officeDocument/2006/relationships/hyperlink" Target="http://refhub.elsevier.com/S0304-4238(20)30306-X/sbref018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2020-09-15T03:43:42Z</dcterms:created>
  <dcterms:modified xsi:type="dcterms:W3CDTF">2020-09-15T03:43:42Z</dcterms:modified>
</cp:coreProperties>
</file>