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109591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tbl>
      <w:tblPr>
        <w:tblLayout w:type="fixed"/>
        <w:tblInd w:w="8" w:type="dxa"/>
        <w:tblCellMar>
          <w:top w:w="0" w:type="dxa"/>
          <w:left w:w="0" w:type="dxa"/>
          <w:bottom w:w="0" w:type="dxa"/>
          <w:right w:w="0" w:type="dxa"/>
        </w:tblCellMar>
      </w:tblPr>
      <w:tr>
        <w:trPr>
          <w:trHeight w:val="332"/>
        </w:trPr>
        <w:tc>
          <w:tcPr>
            <w:tcW w:w="8920" w:type="dxa"/>
            <w:vAlign w:val="bottom"/>
          </w:tcPr>
          <w:p>
            <w:pPr>
              <w:spacing w:after="0"/>
              <w:rPr>
                <w:sz w:val="20"/>
                <w:szCs w:val="20"/>
                <w:color w:val="auto"/>
              </w:rPr>
            </w:pPr>
            <w:r>
              <w:rPr>
                <w:rFonts w:ascii="Times New Roman" w:cs="Times New Roman" w:eastAsia="Times New Roman" w:hAnsi="Times New Roman"/>
                <w:sz w:val="27"/>
                <w:szCs w:val="27"/>
                <w:color w:val="auto"/>
              </w:rPr>
              <w:t>Establishment of meristem culture for virus-free and genetically stable</w:t>
            </w:r>
          </w:p>
        </w:tc>
        <w:tc>
          <w:tcPr>
            <w:tcW w:w="580" w:type="dxa"/>
            <w:vAlign w:val="bottom"/>
            <w:vMerge w:val="restart"/>
          </w:tcPr>
          <w:p>
            <w:pPr>
              <w:ind w:left="460"/>
              <w:spacing w:after="0"/>
              <w:rPr>
                <w:rFonts w:ascii="Arial" w:cs="Arial" w:eastAsia="Arial" w:hAnsi="Arial"/>
                <w:sz w:val="20"/>
                <w:szCs w:val="20"/>
                <w:color w:val="auto"/>
                <w:w w:val="81"/>
              </w:rPr>
            </w:pPr>
            <w:hyperlink r:id="rId13">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170"/>
        </w:trPr>
        <w:tc>
          <w:tcPr>
            <w:tcW w:w="8920" w:type="dxa"/>
            <w:vAlign w:val="bottom"/>
            <w:vMerge w:val="restart"/>
          </w:tcPr>
          <w:p>
            <w:pPr>
              <w:spacing w:after="0"/>
              <w:rPr>
                <w:sz w:val="20"/>
                <w:szCs w:val="20"/>
                <w:color w:val="auto"/>
              </w:rPr>
            </w:pPr>
            <w:r>
              <w:rPr>
                <w:rFonts w:ascii="Times New Roman" w:cs="Times New Roman" w:eastAsia="Times New Roman" w:hAnsi="Times New Roman"/>
                <w:sz w:val="27"/>
                <w:szCs w:val="27"/>
                <w:color w:val="auto"/>
              </w:rPr>
              <w:t>production of the endangered plant Hosta capitata</w:t>
            </w:r>
          </w:p>
        </w:tc>
        <w:tc>
          <w:tcPr>
            <w:tcW w:w="5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8920" w:type="dxa"/>
            <w:vAlign w:val="bottom"/>
            <w:vMerge w:val="continue"/>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-391795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119" w:lineRule="exact"/>
        <w:rPr>
          <w:sz w:val="24"/>
          <w:szCs w:val="24"/>
          <w:color w:val="auto"/>
        </w:rPr>
      </w:pPr>
    </w:p>
    <w:p>
      <w:pPr>
        <w:ind w:left="8" w:right="1480"/>
        <w:spacing w:after="0" w:line="219"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Phyo Phyo Win Pe</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1</w:t>
      </w:r>
      <w:r>
        <w:rPr>
          <w:rFonts w:ascii="Times New Roman" w:cs="Times New Roman" w:eastAsia="Times New Roman" w:hAnsi="Times New Roman"/>
          <w:sz w:val="21"/>
          <w:szCs w:val="21"/>
          <w:color w:val="auto"/>
        </w:rPr>
        <w:t>, Aung Htay Naing</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1</w:t>
      </w:r>
      <w:r>
        <w:rPr>
          <w:rFonts w:ascii="Times New Roman" w:cs="Times New Roman" w:eastAsia="Times New Roman" w:hAnsi="Times New Roman"/>
          <w:sz w:val="21"/>
          <w:szCs w:val="21"/>
          <w:color w:val="auto"/>
        </w:rPr>
        <w:t>, May Thu Soe</w:t>
      </w:r>
      <w:hyperlink w:anchor="page1">
        <w:r>
          <w:rPr>
            <w:rFonts w:ascii="Times New Roman" w:cs="Times New Roman" w:eastAsia="Times New Roman" w:hAnsi="Times New Roman"/>
            <w:sz w:val="28"/>
            <w:szCs w:val="28"/>
            <w:color w:val="004A76"/>
            <w:vertAlign w:val="superscript"/>
          </w:rPr>
          <w:t>c</w:t>
        </w:r>
      </w:hyperlink>
      <w:r>
        <w:rPr>
          <w:rFonts w:ascii="Times New Roman" w:cs="Times New Roman" w:eastAsia="Times New Roman" w:hAnsi="Times New Roman"/>
          <w:sz w:val="21"/>
          <w:szCs w:val="21"/>
          <w:color w:val="auto"/>
        </w:rPr>
        <w:t>, Hyunhee Kang</w:t>
      </w:r>
      <w:hyperlink w:anchor="page1">
        <w:r>
          <w:rPr>
            <w:rFonts w:ascii="Times New Roman" w:cs="Times New Roman" w:eastAsia="Times New Roman" w:hAnsi="Times New Roman"/>
            <w:sz w:val="28"/>
            <w:szCs w:val="28"/>
            <w:color w:val="004A76"/>
            <w:vertAlign w:val="superscript"/>
          </w:rPr>
          <w:t>c</w:t>
        </w:r>
      </w:hyperlink>
      <w:r>
        <w:rPr>
          <w:rFonts w:ascii="Times New Roman" w:cs="Times New Roman" w:eastAsia="Times New Roman" w:hAnsi="Times New Roman"/>
          <w:sz w:val="21"/>
          <w:szCs w:val="21"/>
          <w:color w:val="auto"/>
        </w:rPr>
        <w:t>, Kyeung Il Park</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Chang Kil Kim</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1"/>
            <w:szCs w:val="21"/>
            <w:color w:val="004A76"/>
          </w:rPr>
          <w:t>*</w:t>
        </w:r>
      </w:hyperlink>
    </w:p>
    <w:p>
      <w:pPr>
        <w:spacing w:after="0" w:line="39" w:lineRule="exact"/>
        <w:rPr>
          <w:rFonts w:ascii="Times New Roman" w:cs="Times New Roman" w:eastAsia="Times New Roman" w:hAnsi="Times New Roman"/>
          <w:sz w:val="21"/>
          <w:szCs w:val="21"/>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Horticulture &amp; Life Science, Yeungnam University, Geyongsan, Republic of Korea</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Horticulture, Yezin Agricultural University, Nay Pyi Taw, Myanmar</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Horticultural Science, Kyungpook National University, Daegu, Republic of Korea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8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Endangered species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Plant growth regulator</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Virus infection</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Sterilization</w:t>
      </w:r>
    </w:p>
    <w:p>
      <w:pPr>
        <w:spacing w:after="0" w:line="2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Somaclonal variation</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6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Hosta species endemic to Korea are currently su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ering from infection with Hosta virus X (HVX), and it has been di</w:t>
      </w:r>
      <w:r>
        <w:rPr>
          <w:rFonts w:ascii="Arial" w:cs="Arial" w:eastAsia="Arial" w:hAnsi="Arial"/>
          <w:sz w:val="14"/>
          <w:szCs w:val="14"/>
          <w:color w:val="auto"/>
        </w:rPr>
        <w:t>ﬃ</w:t>
      </w:r>
      <w:r>
        <w:rPr>
          <w:rFonts w:ascii="Times New Roman" w:cs="Times New Roman" w:eastAsia="Times New Roman" w:hAnsi="Times New Roman"/>
          <w:sz w:val="14"/>
          <w:szCs w:val="14"/>
          <w:color w:val="auto"/>
        </w:rPr>
        <w:t>cult to produce virus-free plants when using infected plants as a source of material for in vitro and vegetative propagation in continuous production processes. Genetic variation in in vitro-regenerated plants has also been detected in some Hosta cultivars. Therefore, we aimed to develop an in vitro propagation method for the pro-duction of virus-free and genetically stable plants. First, we collected Hosta capitata showing symptoms of viral infection and con</w:t>
      </w:r>
      <w:r>
        <w:rPr>
          <w:rFonts w:ascii="Arial" w:cs="Arial" w:eastAsia="Arial" w:hAnsi="Arial"/>
          <w:sz w:val="14"/>
          <w:szCs w:val="14"/>
          <w:color w:val="auto"/>
        </w:rPr>
        <w:t>fi</w:t>
      </w:r>
      <w:r>
        <w:rPr>
          <w:rFonts w:ascii="Times New Roman" w:cs="Times New Roman" w:eastAsia="Times New Roman" w:hAnsi="Times New Roman"/>
          <w:sz w:val="14"/>
          <w:szCs w:val="14"/>
          <w:color w:val="auto"/>
        </w:rPr>
        <w:t>rmed the presence of an HVX virus gene using reverse transcription (RT)</w:t>
      </w:r>
      <w:r>
        <w:rPr>
          <w:rFonts w:ascii="Arial" w:cs="Arial" w:eastAsia="Arial" w:hAnsi="Arial"/>
          <w:sz w:val="14"/>
          <w:szCs w:val="14"/>
          <w:color w:val="auto"/>
        </w:rPr>
        <w:t>–</w:t>
      </w:r>
      <w:r>
        <w:rPr>
          <w:rFonts w:ascii="Times New Roman" w:cs="Times New Roman" w:eastAsia="Times New Roman" w:hAnsi="Times New Roman"/>
          <w:sz w:val="14"/>
          <w:szCs w:val="14"/>
          <w:color w:val="auto"/>
        </w:rPr>
        <w:t>PCR, followed by optimization of the sterilization of in vivo bulbs. Meristems derived from sterilized bulbs were cultured in media containing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concentrations of 1-naphthaleneacetic acid (NAA) with either benzyl aminopurine (BA) or thidiazuron (TDZ). The combination of 0.1 mg/l NAA and 3.0 mg/l BA generated the highest number of shoots per explant, and these shoots had a higher fresh weight. The addition of nano-silver (NAg) particles to the regeneration medium distinctly stimulated plant growth. According to the results of RAPD analysis, the mer-istem-derived plants were genetically stable compared with donor plants grown in a greenhouse, and absence of the HVX gene was also observed, indicating freedom from HVX infection. Therefore, they would be highly valuable for use in the landscape industry. We expect that the method proposed in this study will also prove helpful for generating virus-free, genetically stable plants in the commercial production of other Hosta species.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220345</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7.35pt" to="354.65pt,17.35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5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right="120"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Hosta species, which are herbaceous perennial plants belonging to the family Liliaceae, are distributed in temperate regions such as the USA, Canada, Russia, China, Japan, and Korea. Some of these species, including H. capitata, H. clausa, H. longipes, H. minor, and H. yingeri, are endemic to southern parts of the Korean peninsula. Hosta species are popular in the landscape industry as groundcover plants due to their decorative foliage, diverse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colors, attractive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orescences, and ability to tolerate shade. However, the populations of these species have experienced a steady decline in their natural habitats due to over-har-vesting by Hosta collectors and the continuous increase in temperature due to climate change, increasing the risk of their extinction and po-tentially harming their use as perennials in the landscape industry. Although they can be propagated by the division of lateral shoots, only a few plantlets can be obtained from each mother plant (</w:t>
      </w:r>
      <w:hyperlink w:anchor="page1">
        <w:r>
          <w:rPr>
            <w:rFonts w:ascii="Times New Roman" w:cs="Times New Roman" w:eastAsia="Times New Roman" w:hAnsi="Times New Roman"/>
            <w:sz w:val="16"/>
            <w:szCs w:val="16"/>
            <w:color w:val="004A76"/>
          </w:rPr>
          <w:t>Papachatzi</w:t>
        </w:r>
      </w:hyperlink>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0</wp:posOffset>
            </wp:positionH>
            <wp:positionV relativeFrom="paragraph">
              <wp:posOffset>261620</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color w:val="auto"/>
        </w:rPr>
      </w:pPr>
    </w:p>
    <w:p>
      <w:pPr>
        <w:spacing w:after="0" w:line="222" w:lineRule="exact"/>
        <w:rPr>
          <w:rFonts w:ascii="Times New Roman" w:cs="Times New Roman" w:eastAsia="Times New Roman" w:hAnsi="Times New Roman"/>
          <w:sz w:val="21"/>
          <w:szCs w:val="21"/>
          <w:color w:val="auto"/>
        </w:rPr>
      </w:pPr>
    </w:p>
    <w:p>
      <w:pPr>
        <w:ind w:left="12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14"/>
          <w:szCs w:val="14"/>
          <w:color w:val="auto"/>
        </w:rPr>
        <w:t>Corresponding authors.</w:t>
      </w:r>
    </w:p>
    <w:p>
      <w:pPr>
        <w:spacing w:after="0" w:line="67" w:lineRule="exact"/>
        <w:rPr>
          <w:rFonts w:ascii="Times New Roman" w:cs="Times New Roman" w:eastAsia="Times New Roman" w:hAnsi="Times New Roman"/>
          <w:sz w:val="21"/>
          <w:szCs w:val="21"/>
          <w:color w:val="auto"/>
        </w:rPr>
      </w:pPr>
    </w:p>
    <w:p>
      <w:pPr>
        <w:jc w:val="center"/>
        <w:ind w:left="228"/>
        <w:spacing w:after="0"/>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addresses: </w:t>
      </w:r>
      <w:hyperlink r:id="rId16">
        <w:r>
          <w:rPr>
            <w:rFonts w:ascii="Times New Roman" w:cs="Times New Roman" w:eastAsia="Times New Roman" w:hAnsi="Times New Roman"/>
            <w:sz w:val="14"/>
            <w:szCs w:val="14"/>
            <w:color w:val="004A76"/>
          </w:rPr>
          <w:t>pki0217@yu.ac.kr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 xml:space="preserve">(K.I. Park), </w:t>
      </w:r>
      <w:hyperlink r:id="rId17">
        <w:r>
          <w:rPr>
            <w:rFonts w:ascii="Times New Roman" w:cs="Times New Roman" w:eastAsia="Times New Roman" w:hAnsi="Times New Roman"/>
            <w:sz w:val="14"/>
            <w:szCs w:val="14"/>
            <w:color w:val="004A76"/>
          </w:rPr>
          <w:t>ckkim@knu.ac.kr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(C.K. Kim).</w:t>
      </w:r>
    </w:p>
    <w:p>
      <w:pPr>
        <w:ind w:left="228" w:hanging="100"/>
        <w:spacing w:after="0" w:line="209" w:lineRule="auto"/>
        <w:tabs>
          <w:tab w:leader="none" w:pos="228" w:val="left"/>
        </w:tabs>
        <w:numPr>
          <w:ilvl w:val="0"/>
          <w:numId w:val="3"/>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 xml:space="preserve">These authors equally contributed as </w:t>
      </w:r>
      <w:r>
        <w:rPr>
          <w:rFonts w:ascii="Arial" w:cs="Arial" w:eastAsia="Arial" w:hAnsi="Arial"/>
          <w:sz w:val="14"/>
          <w:szCs w:val="14"/>
          <w:color w:val="auto"/>
        </w:rPr>
        <w:t>fi</w:t>
      </w:r>
      <w:r>
        <w:rPr>
          <w:rFonts w:ascii="Times New Roman" w:cs="Times New Roman" w:eastAsia="Times New Roman" w:hAnsi="Times New Roman"/>
          <w:sz w:val="14"/>
          <w:szCs w:val="14"/>
          <w:color w:val="auto"/>
        </w:rPr>
        <w:t>rst authors.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spacing w:after="0" w:line="282" w:lineRule="auto"/>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et al., 1980</w:t>
        </w:r>
      </w:hyperlink>
      <w:r>
        <w:rPr>
          <w:rFonts w:ascii="Times New Roman" w:cs="Times New Roman" w:eastAsia="Times New Roman" w:hAnsi="Times New Roman"/>
          <w:sz w:val="16"/>
          <w:szCs w:val="16"/>
          <w:color w:val="000000"/>
        </w:rPr>
        <w:t>). In addition, propagation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via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seed germination cannot sa-tisfy the increased commercial demand because seed availability is seasonally limited, and the germination rate is relatively low (&lt; 25 %; </w:t>
      </w:r>
      <w:hyperlink w:anchor="page1">
        <w:r>
          <w:rPr>
            <w:rFonts w:ascii="Times New Roman" w:cs="Times New Roman" w:eastAsia="Times New Roman" w:hAnsi="Times New Roman"/>
            <w:sz w:val="16"/>
            <w:szCs w:val="16"/>
            <w:color w:val="004A76"/>
          </w:rPr>
          <w:t>Oh et al., 2003</w:t>
        </w:r>
      </w:hyperlink>
      <w:r>
        <w:rPr>
          <w:rFonts w:ascii="Times New Roman" w:cs="Times New Roman" w:eastAsia="Times New Roman" w:hAnsi="Times New Roman"/>
          <w:sz w:val="16"/>
          <w:szCs w:val="16"/>
          <w:color w:val="000000"/>
        </w:rPr>
        <w:t>).</w:t>
      </w:r>
    </w:p>
    <w:p>
      <w:pPr>
        <w:spacing w:after="0" w:line="188"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Alternatively, in vitro propagation techniques have been widely used for the rapid clonal propagation of some Hosta species using various explants, such as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oret segments,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buds, calluses, and shoot tips of H. sieboldiana (</w:t>
      </w:r>
      <w:hyperlink w:anchor="page1">
        <w:r>
          <w:rPr>
            <w:rFonts w:ascii="Times New Roman" w:cs="Times New Roman" w:eastAsia="Times New Roman" w:hAnsi="Times New Roman"/>
            <w:sz w:val="16"/>
            <w:szCs w:val="16"/>
            <w:color w:val="004A76"/>
          </w:rPr>
          <w:t>Meyer, 1980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Hill et al., 1989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Lubomski, 1989a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Saito and Nakano,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axillary shoot-tip cultures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decorata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t>
      </w:r>
      <w:hyperlink w:anchor="page1">
        <w:r>
          <w:rPr>
            <w:rFonts w:ascii="Times New Roman" w:cs="Times New Roman" w:eastAsia="Times New Roman" w:hAnsi="Times New Roman"/>
            <w:sz w:val="16"/>
            <w:szCs w:val="16"/>
            <w:color w:val="004A76"/>
          </w:rPr>
          <w:t>Papachatzi et al., 1981</w:t>
        </w:r>
      </w:hyperlink>
      <w:r>
        <w:rPr>
          <w:rFonts w:ascii="Times New Roman" w:cs="Times New Roman" w:eastAsia="Times New Roman" w:hAnsi="Times New Roman"/>
          <w:sz w:val="16"/>
          <w:szCs w:val="16"/>
          <w:color w:val="000000"/>
        </w:rPr>
        <w:t xml:space="preserve">), the immature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orescences and shoot tips of H. plantaginea (</w:t>
      </w:r>
      <w:hyperlink w:anchor="page1">
        <w:r>
          <w:rPr>
            <w:rFonts w:ascii="Times New Roman" w:cs="Times New Roman" w:eastAsia="Times New Roman" w:hAnsi="Times New Roman"/>
            <w:sz w:val="16"/>
            <w:szCs w:val="16"/>
            <w:color w:val="004A76"/>
          </w:rPr>
          <w:t>Papachatzi et al., 1980</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Ku and Cho, 2016</w:t>
        </w:r>
      </w:hyperlink>
      <w:r>
        <w:rPr>
          <w:rFonts w:ascii="Times New Roman" w:cs="Times New Roman" w:eastAsia="Times New Roman" w:hAnsi="Times New Roman"/>
          <w:sz w:val="16"/>
          <w:szCs w:val="16"/>
          <w:color w:val="000000"/>
        </w:rPr>
        <w:t>), the shoots of H. fortunei (</w:t>
      </w:r>
      <w:hyperlink w:anchor="page1">
        <w:r>
          <w:rPr>
            <w:rFonts w:ascii="Times New Roman" w:cs="Times New Roman" w:eastAsia="Times New Roman" w:hAnsi="Times New Roman"/>
            <w:sz w:val="16"/>
            <w:szCs w:val="16"/>
            <w:color w:val="004A76"/>
          </w:rPr>
          <w:t>Sza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án et al., 1997</w:t>
        </w:r>
      </w:hyperlink>
      <w:r>
        <w:rPr>
          <w:rFonts w:ascii="Times New Roman" w:cs="Times New Roman" w:eastAsia="Times New Roman" w:hAnsi="Times New Roman"/>
          <w:sz w:val="16"/>
          <w:szCs w:val="16"/>
          <w:color w:val="000000"/>
        </w:rPr>
        <w:t>), and the ovaries and shoot tips of several cultivars (</w:t>
      </w:r>
      <w:hyperlink w:anchor="page1">
        <w:r>
          <w:rPr>
            <w:rFonts w:ascii="Times New Roman" w:cs="Times New Roman" w:eastAsia="Times New Roman" w:hAnsi="Times New Roman"/>
            <w:sz w:val="16"/>
            <w:szCs w:val="16"/>
            <w:color w:val="004A76"/>
          </w:rPr>
          <w:t>Paek and Ma, 1996</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Williams et al., 1998</w:t>
        </w:r>
      </w:hyperlink>
      <w:r>
        <w:rPr>
          <w:rFonts w:ascii="Times New Roman" w:cs="Times New Roman" w:eastAsia="Times New Roman" w:hAnsi="Times New Roman"/>
          <w:sz w:val="16"/>
          <w:szCs w:val="16"/>
          <w:color w:val="000000"/>
        </w:rPr>
        <w:t>). However, the number of regenerated shoots reported to date has been rather low. Furthermore, to the best of our knowledge, no research on the in vitro establishment and plant regeneration of H. capitata has yet been</w:t>
      </w:r>
    </w:p>
    <w:p>
      <w:pPr>
        <w:spacing w:after="0" w:line="1175" w:lineRule="exact"/>
        <w:rPr>
          <w:rFonts w:ascii="Times New Roman" w:cs="Times New Roman" w:eastAsia="Times New Roman" w:hAnsi="Times New Roman"/>
          <w:sz w:val="16"/>
          <w:szCs w:val="16"/>
          <w:color w:val="000000"/>
        </w:rPr>
      </w:pPr>
    </w:p>
    <w:p>
      <w:pPr>
        <w:sectPr>
          <w:pgSz w:w="11900" w:h="15874" w:orient="portrait"/>
          <w:cols w:equalWidth="0" w:num="2">
            <w:col w:w="5148" w:space="240"/>
            <w:col w:w="5020"/>
          </w:cols>
          <w:pgMar w:left="752" w:top="656" w:right="746" w:bottom="430" w:gutter="0" w:footer="0" w:header="0"/>
          <w:type w:val="continuous"/>
        </w:sect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https://doi.org/10.1016/j.scienta.2020.109591</w:t>
        </w:r>
      </w:hyperlink>
    </w:p>
    <w:p>
      <w:pPr>
        <w:spacing w:after="0" w:line="16"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Times New Roman" w:cs="Times New Roman" w:eastAsia="Times New Roman" w:hAnsi="Times New Roman"/>
          <w:sz w:val="14"/>
          <w:szCs w:val="14"/>
          <w:color w:val="auto"/>
        </w:rPr>
        <w:t>Received 3 April 2020; Received in revised form 1 July 2020; Accepted 2 July 2020</w:t>
      </w:r>
    </w:p>
    <w:p>
      <w:pPr>
        <w:ind w:left="8"/>
        <w:spacing w:after="0"/>
        <w:rPr>
          <w:sz w:val="20"/>
          <w:szCs w:val="20"/>
          <w:color w:val="auto"/>
        </w:rPr>
      </w:pPr>
      <w:r>
        <w:rPr>
          <w:rFonts w:ascii="Arial" w:cs="Arial" w:eastAsia="Arial" w:hAnsi="Arial"/>
          <w:sz w:val="14"/>
          <w:szCs w:val="14"/>
          <w:color w:val="auto"/>
        </w:rPr>
        <w:t>Available online 08 July 2020</w:t>
      </w:r>
    </w:p>
    <w:p>
      <w:pPr>
        <w:spacing w:after="0" w:line="31"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P.P.W. Pe, et al.</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conducted.</w:t>
      </w:r>
    </w:p>
    <w:p>
      <w:pPr>
        <w:spacing w:after="0" w:line="25"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 number of viral diseases, including Hosta virus X (HVX), Arabis mosaic virus, and tomato ringspot virus, have been reported globally in Hosta species (</w:t>
      </w:r>
      <w:hyperlink w:anchor="page1">
        <w:r>
          <w:rPr>
            <w:rFonts w:ascii="Times New Roman" w:cs="Times New Roman" w:eastAsia="Times New Roman" w:hAnsi="Times New Roman"/>
            <w:sz w:val="16"/>
            <w:szCs w:val="16"/>
            <w:color w:val="004A76"/>
          </w:rPr>
          <w:t>Brunt et al., 2000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Lockhart, 2006</w:t>
        </w:r>
      </w:hyperlink>
      <w:r>
        <w:rPr>
          <w:rFonts w:ascii="Times New Roman" w:cs="Times New Roman" w:eastAsia="Times New Roman" w:hAnsi="Times New Roman"/>
          <w:sz w:val="16"/>
          <w:szCs w:val="16"/>
          <w:color w:val="auto"/>
        </w:rPr>
        <w:t>). Since 2002, HVX infection has been detected on the leaves of Hosta spp. cultivated in Korea (</w:t>
      </w:r>
      <w:hyperlink w:anchor="page1">
        <w:r>
          <w:rPr>
            <w:rFonts w:ascii="Times New Roman" w:cs="Times New Roman" w:eastAsia="Times New Roman" w:hAnsi="Times New Roman"/>
            <w:sz w:val="16"/>
            <w:szCs w:val="16"/>
            <w:color w:val="004A76"/>
          </w:rPr>
          <w:t>Ryu et al., 2002</w:t>
        </w:r>
      </w:hyperlink>
      <w:r>
        <w:rPr>
          <w:rFonts w:ascii="Times New Roman" w:cs="Times New Roman" w:eastAsia="Times New Roman" w:hAnsi="Times New Roman"/>
          <w:sz w:val="16"/>
          <w:szCs w:val="16"/>
          <w:color w:val="auto"/>
        </w:rPr>
        <w:t>), and the distribution of the virus is likely to increase over time. As such, there is a need to develop techniques that can produce virus-free cultivars of Hosta spp. In this regard, meristem culture has been considered a promising technique for the production of virus-free plants for a number of species, including Lilium spp., which are members of the same family as Hosta spp. (</w:t>
      </w:r>
      <w:hyperlink w:anchor="page1">
        <w:r>
          <w:rPr>
            <w:rFonts w:ascii="Times New Roman" w:cs="Times New Roman" w:eastAsia="Times New Roman" w:hAnsi="Times New Roman"/>
            <w:sz w:val="16"/>
            <w:szCs w:val="16"/>
            <w:color w:val="004A76"/>
          </w:rPr>
          <w:t>Vcelar et al., 1992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Nesi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Chinestra et al., 2015</w:t>
        </w:r>
      </w:hyperlink>
      <w:r>
        <w:rPr>
          <w:rFonts w:ascii="Times New Roman" w:cs="Times New Roman" w:eastAsia="Times New Roman" w:hAnsi="Times New Roman"/>
          <w:sz w:val="16"/>
          <w:szCs w:val="16"/>
          <w:color w:val="000000"/>
        </w:rPr>
        <w:t>). However, despite the use of various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explants for the in vitro regeneration of Hosta spp., no previous studies have utilized meristem cultures for this purpose. In addition, because meristems can only be obtained from underground bulbs, which in-creases the risk of microbial contamination, it is necessary to develop a standardized in vitro sterilization method that can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 xml:space="preserve">ciently eliminate microbes without damaging the meristem. Another issue is that, despite the development of in vitro regeneration protocol for Hosta spp., the genetic stability of the regenerated plants has yet to be determined, except in the study by </w:t>
      </w:r>
      <w:hyperlink w:anchor="page1">
        <w:r>
          <w:rPr>
            <w:rFonts w:ascii="Times New Roman" w:cs="Times New Roman" w:eastAsia="Times New Roman" w:hAnsi="Times New Roman"/>
            <w:sz w:val="16"/>
            <w:szCs w:val="16"/>
            <w:color w:val="004A76"/>
          </w:rPr>
          <w:t>Paek and Ma (1996)</w:t>
        </w:r>
      </w:hyperlink>
      <w:r>
        <w:rPr>
          <w:rFonts w:ascii="Times New Roman" w:cs="Times New Roman" w:eastAsia="Times New Roman" w:hAnsi="Times New Roman"/>
          <w:sz w:val="16"/>
          <w:szCs w:val="16"/>
          <w:color w:val="000000"/>
        </w:rPr>
        <w:t>, which reported somaclonal variation in in vitro-regenerated plants in Hosta cultivars. Somaclonal variation in meristem-derived plants has also been reported in other plant species (</w:t>
      </w:r>
      <w:hyperlink w:anchor="page1">
        <w:r>
          <w:rPr>
            <w:rFonts w:ascii="Times New Roman" w:cs="Times New Roman" w:eastAsia="Times New Roman" w:hAnsi="Times New Roman"/>
            <w:sz w:val="16"/>
            <w:szCs w:val="16"/>
            <w:color w:val="004A76"/>
          </w:rPr>
          <w:t>Vuylsteke et al., 1988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Zucchi et al., 2002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Whitehouse</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et al., 2011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6" w:lineRule="exact"/>
        <w:rPr>
          <w:rFonts w:ascii="Times New Roman" w:cs="Times New Roman" w:eastAsia="Times New Roman" w:hAnsi="Times New Roman"/>
          <w:sz w:val="16"/>
          <w:szCs w:val="16"/>
          <w:color w:val="000000"/>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To address these challenges, in the present study, we collected virus-infected plants of H. capitata and standardized a sterilization method for in vivo underground bulbs and investigated shoot regeneration from meristems cultured in media containing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combinations and concentrations of plant growth regulators (PGRs). In addition, we de-tected absence of HVX gene in the resulting plants and assessed their genetic stability using molecular markers with the random 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polymorphic DNA (RAPD) technique.</w:t>
      </w:r>
    </w:p>
    <w:p>
      <w:pPr>
        <w:spacing w:after="0" w:line="199"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2.1. Plant materials</w:t>
      </w:r>
    </w:p>
    <w:p>
      <w:pPr>
        <w:spacing w:after="0" w:line="234" w:lineRule="exact"/>
        <w:rPr>
          <w:rFonts w:ascii="Times New Roman" w:cs="Times New Roman" w:eastAsia="Times New Roman" w:hAnsi="Times New Roman"/>
          <w:sz w:val="16"/>
          <w:szCs w:val="16"/>
          <w:color w:val="000000"/>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Plantlets of H. capitata were collected from natural habitat of Korea. The plants were allowed to grow in a greenhouse at Kyungpook National University, Republic of Korea. They were observed to have been infected by virus, showing leaf curling and mosaic symptoms (Supplementary Fig. 1).</w:t>
      </w:r>
    </w:p>
    <w:p>
      <w:pPr>
        <w:spacing w:after="0" w:line="400" w:lineRule="exact"/>
        <w:rPr>
          <w:rFonts w:ascii="Times New Roman" w:cs="Times New Roman" w:eastAsia="Times New Roman" w:hAnsi="Times New Roman"/>
          <w:sz w:val="16"/>
          <w:szCs w:val="16"/>
          <w:color w:val="000000"/>
        </w:rPr>
      </w:pPr>
    </w:p>
    <w:p>
      <w:pPr>
        <w:ind w:right="620"/>
        <w:spacing w:after="0" w:line="308" w:lineRule="auto"/>
        <w:rPr>
          <w:sz w:val="20"/>
          <w:szCs w:val="20"/>
          <w:color w:val="auto"/>
        </w:rPr>
      </w:pPr>
      <w:r>
        <w:rPr>
          <w:rFonts w:ascii="Times New Roman" w:cs="Times New Roman" w:eastAsia="Times New Roman" w:hAnsi="Times New Roman"/>
          <w:sz w:val="16"/>
          <w:szCs w:val="16"/>
          <w:color w:val="auto"/>
        </w:rPr>
        <w:t>2.2. Detection of Hosta virus X in virus-infected plants by reverse transcription</w:t>
      </w:r>
      <w:r>
        <w:rPr>
          <w:rFonts w:ascii="Arial" w:cs="Arial" w:eastAsia="Arial" w:hAnsi="Arial"/>
          <w:sz w:val="16"/>
          <w:szCs w:val="16"/>
          <w:color w:val="auto"/>
        </w:rPr>
        <w:t>–</w:t>
      </w:r>
      <w:r>
        <w:rPr>
          <w:rFonts w:ascii="Times New Roman" w:cs="Times New Roman" w:eastAsia="Times New Roman" w:hAnsi="Times New Roman"/>
          <w:sz w:val="16"/>
          <w:szCs w:val="16"/>
          <w:color w:val="auto"/>
        </w:rPr>
        <w:t>PCR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w:t>
      </w:r>
    </w:p>
    <w:p>
      <w:pPr>
        <w:spacing w:after="0" w:line="155" w:lineRule="exact"/>
        <w:rPr>
          <w:rFonts w:ascii="Times New Roman" w:cs="Times New Roman" w:eastAsia="Times New Roman" w:hAnsi="Times New Roman"/>
          <w:sz w:val="16"/>
          <w:szCs w:val="16"/>
          <w:color w:val="000000"/>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Total RNA was extracted from the virus-infected leaves (10 samples) and uninfected leaves (5 samples; as a control) using the RNeasy Plant Mini Kit (Qiagen, Germany), in accordance with the manufacturer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instructions. Complementary DNA (cDNA) was synthesized from 1 </w:t>
      </w:r>
      <w:r>
        <w:rPr>
          <w:rFonts w:ascii="Arial" w:cs="Arial" w:eastAsia="Arial" w:hAnsi="Arial"/>
          <w:sz w:val="16"/>
          <w:szCs w:val="16"/>
          <w:color w:val="auto"/>
        </w:rPr>
        <w:t>μ</w:t>
      </w:r>
      <w:r>
        <w:rPr>
          <w:rFonts w:ascii="Times New Roman" w:cs="Times New Roman" w:eastAsia="Times New Roman" w:hAnsi="Times New Roman"/>
          <w:sz w:val="16"/>
          <w:szCs w:val="16"/>
          <w:color w:val="auto"/>
        </w:rPr>
        <w:t>g of total RNA using the High Capacity cDNA Reverse Transcription Kit (Applied Biosystems, USA), in accordance with the manufacturer</w:t>
      </w:r>
      <w:r>
        <w:rPr>
          <w:rFonts w:ascii="Arial" w:cs="Arial" w:eastAsia="Arial" w:hAnsi="Arial"/>
          <w:sz w:val="16"/>
          <w:szCs w:val="16"/>
          <w:color w:val="auto"/>
        </w:rPr>
        <w:t>’</w:t>
      </w:r>
      <w:r>
        <w:rPr>
          <w:rFonts w:ascii="Times New Roman" w:cs="Times New Roman" w:eastAsia="Times New Roman" w:hAnsi="Times New Roman"/>
          <w:sz w:val="16"/>
          <w:szCs w:val="16"/>
          <w:color w:val="auto"/>
        </w:rPr>
        <w:t>s in-structions. Detection of HVX was performed using reaction mix and HVX-speci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primers (HVXF: ATCCGTTATCTACAGGGGACCAG, and HVXR: TAAGTTAGTGGAACGGTTAGCCCGAT; </w:t>
      </w:r>
      <w:hyperlink w:anchor="page1">
        <w:r>
          <w:rPr>
            <w:rFonts w:ascii="Times New Roman" w:cs="Times New Roman" w:eastAsia="Times New Roman" w:hAnsi="Times New Roman"/>
            <w:sz w:val="16"/>
            <w:szCs w:val="16"/>
            <w:color w:val="004A76"/>
          </w:rPr>
          <w:t>Wei et al., 2013</w:t>
        </w:r>
      </w:hyperlink>
      <w:r>
        <w:rPr>
          <w:rFonts w:ascii="Times New Roman" w:cs="Times New Roman" w:eastAsia="Times New Roman" w:hAnsi="Times New Roman"/>
          <w:sz w:val="16"/>
          <w:szCs w:val="16"/>
          <w:color w:val="auto"/>
        </w:rPr>
        <w:t>), with the following PCR conditions: 30 cycles of denaturation at 98 °C for 10 s, annealing at 55 °C for 30 s, and elongation at 72 °C for 1 min. The PCR products were then separated on a 2% agarose gel.</w:t>
      </w:r>
    </w:p>
    <w:p>
      <w:pPr>
        <w:spacing w:after="0" w:line="206"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2.3. Standardization of the sterilization process</w:t>
      </w:r>
    </w:p>
    <w:p>
      <w:pPr>
        <w:spacing w:after="0" w:line="234" w:lineRule="exact"/>
        <w:rPr>
          <w:rFonts w:ascii="Times New Roman" w:cs="Times New Roman" w:eastAsia="Times New Roman" w:hAnsi="Times New Roman"/>
          <w:sz w:val="16"/>
          <w:szCs w:val="16"/>
          <w:color w:val="000000"/>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After detection of the presence of HVX in virus-infected plants using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 the infected plants were all placed separately from the unin-fected ones. Underground bulbs were collected from the virus-infected plants when the leaves turned yellow. The bulbs were thoroughly rinsed</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109591</w:t>
      </w:r>
    </w:p>
    <w:p>
      <w:pPr>
        <w:spacing w:after="0" w:line="333" w:lineRule="exact"/>
        <w:rPr>
          <w:rFonts w:ascii="Times New Roman" w:cs="Times New Roman" w:eastAsia="Times New Roman" w:hAnsi="Times New Roman"/>
          <w:sz w:val="16"/>
          <w:szCs w:val="16"/>
          <w:color w:val="000000"/>
        </w:rPr>
      </w:pPr>
    </w:p>
    <w:p>
      <w:pPr>
        <w:jc w:val="both"/>
        <w:spacing w:after="0" w:line="210" w:lineRule="exact"/>
        <w:rPr>
          <w:sz w:val="20"/>
          <w:szCs w:val="20"/>
          <w:color w:val="auto"/>
        </w:rPr>
      </w:pPr>
      <w:r>
        <w:rPr>
          <w:rFonts w:ascii="Times New Roman" w:cs="Times New Roman" w:eastAsia="Times New Roman" w:hAnsi="Times New Roman"/>
          <w:sz w:val="16"/>
          <w:szCs w:val="16"/>
          <w:color w:val="auto"/>
        </w:rPr>
        <w:t>under running tap water until the dribs had been removed and then carefully trimmed to be free of leaves and roots. They were then ster-ilized with 70 % (v/v) ethanol solution for 30</w:t>
      </w:r>
      <w:r>
        <w:rPr>
          <w:rFonts w:ascii="Arial" w:cs="Arial" w:eastAsia="Arial" w:hAnsi="Arial"/>
          <w:sz w:val="16"/>
          <w:szCs w:val="16"/>
          <w:color w:val="auto"/>
        </w:rPr>
        <w:t>–</w:t>
      </w:r>
      <w:r>
        <w:rPr>
          <w:rFonts w:ascii="Times New Roman" w:cs="Times New Roman" w:eastAsia="Times New Roman" w:hAnsi="Times New Roman"/>
          <w:sz w:val="16"/>
          <w:szCs w:val="16"/>
          <w:color w:val="auto"/>
        </w:rPr>
        <w:t>40 s and 1% sodium hypochlorite (NaOCl) plus Tween 20 for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periods (1, 3, 5, 10, 15, 20, and 30 min), as shown in Supplementary Fig. 2, followed by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rinses with sterilized distilled water. The meristem tips (</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1 mm) were then isolated from the sterilized bulbs and cultured in PGR-free Murashige and Skoog (MS) medium. All cultures contained 3% sucrose, and each treatment consisted of 30 explants and three replicates. The explants were incubated under a photoperiod of 16 h, light intensity of 37 mmol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relative humidity of 70 %. After four weeks of culture, the numbers of contaminated explants per treatment were counted.</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1"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2.4.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PGRs on meristem cultures</w:t>
      </w:r>
    </w:p>
    <w:p>
      <w:pPr>
        <w:spacing w:after="0" w:line="234" w:lineRule="exact"/>
        <w:rPr>
          <w:rFonts w:ascii="Times New Roman" w:cs="Times New Roman" w:eastAsia="Times New Roman" w:hAnsi="Times New Roman"/>
          <w:sz w:val="16"/>
          <w:szCs w:val="16"/>
          <w:color w:val="000000"/>
        </w:rPr>
      </w:pPr>
    </w:p>
    <w:p>
      <w:pPr>
        <w:jc w:val="both"/>
        <w:ind w:firstLine="250"/>
        <w:spacing w:after="0" w:line="210" w:lineRule="exact"/>
        <w:rPr>
          <w:sz w:val="20"/>
          <w:szCs w:val="20"/>
          <w:color w:val="auto"/>
        </w:rPr>
      </w:pPr>
      <w:r>
        <w:rPr>
          <w:rFonts w:ascii="Times New Roman" w:cs="Times New Roman" w:eastAsia="Times New Roman" w:hAnsi="Times New Roman"/>
          <w:sz w:val="16"/>
          <w:szCs w:val="16"/>
          <w:color w:val="auto"/>
        </w:rPr>
        <w:t>For in vitro shoot regeneration, the bulbs were collected from the virus-infected plants and sterilized as described above (1% NaOCl for 10 min). The meristems (</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1 mm) were then excised from the bulbs and cultured in MS media containing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concentrations and combi-nations of 1-naphthaleneacetic acid (NAA) and either benzyl amino-purine (BA) or thidiazuron (TDZ; Supplementary Fig. 3). The explants were incubated for six weeks under the same conditions as previously described, and then the survival rate, shoot regeneration rate, number of shoots per explant, and fresh weight per explant were measured. Each treatment consisted of 30 explants and three replicates. Shoot regeneration rate was calculated as below:</w:t>
      </w:r>
    </w:p>
    <w:p>
      <w:pPr>
        <w:spacing w:after="0" w:line="324" w:lineRule="exact"/>
        <w:rPr>
          <w:rFonts w:ascii="Times New Roman" w:cs="Times New Roman" w:eastAsia="Times New Roman" w:hAnsi="Times New Roman"/>
          <w:sz w:val="16"/>
          <w:szCs w:val="16"/>
          <w:color w:val="000000"/>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Shoot regeneration rate = (Number of survival explants inducing shoots / Total Number of survival explants) × 100</w:t>
      </w:r>
    </w:p>
    <w:p>
      <w:pPr>
        <w:spacing w:after="0" w:line="200" w:lineRule="exact"/>
        <w:rPr>
          <w:rFonts w:ascii="Times New Roman" w:cs="Times New Roman" w:eastAsia="Times New Roman" w:hAnsi="Times New Roman"/>
          <w:sz w:val="16"/>
          <w:szCs w:val="16"/>
          <w:color w:val="000000"/>
        </w:rPr>
      </w:pPr>
    </w:p>
    <w:p>
      <w:pPr>
        <w:spacing w:after="0" w:line="311"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2.5.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nano-silver (NAg) on meristem culture</w:t>
      </w:r>
    </w:p>
    <w:p>
      <w:pPr>
        <w:spacing w:after="0" w:line="234" w:lineRule="exact"/>
        <w:rPr>
          <w:rFonts w:ascii="Times New Roman" w:cs="Times New Roman" w:eastAsia="Times New Roman" w:hAnsi="Times New Roman"/>
          <w:sz w:val="16"/>
          <w:szCs w:val="16"/>
          <w:color w:val="000000"/>
        </w:rPr>
      </w:pPr>
    </w:p>
    <w:p>
      <w:pPr>
        <w:jc w:val="both"/>
        <w:ind w:firstLine="250"/>
        <w:spacing w:after="0" w:line="274" w:lineRule="auto"/>
        <w:rPr>
          <w:sz w:val="20"/>
          <w:szCs w:val="20"/>
          <w:color w:val="auto"/>
        </w:rPr>
      </w:pPr>
      <w:r>
        <w:rPr>
          <w:rFonts w:ascii="Times New Roman" w:cs="Times New Roman" w:eastAsia="Times New Roman" w:hAnsi="Times New Roman"/>
          <w:sz w:val="16"/>
          <w:szCs w:val="16"/>
          <w:color w:val="auto"/>
        </w:rPr>
        <w:t>From the above-described experiment, the combination of BA (3.0 mg/l) and NAA (0.1 mg/l) was found to be the best for shoot re-generation from meristems; however, the meristem-derived shoots ex-hibited slow growth and were yellow in leaf tips. Therefore,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concentrations (0, 5, 10, 15, 20, and 25 mg/l) of NAg (Duchefa Biochemie, the Netherlands) were added to the medium containing BA (3.0 mg/l) and NAA (0.1 mg/l), and their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plant growth and development from meristems, which were derived from the above re-generated plants, were investigated. The explants were placed in the same culture conditions for six weeks, as described above. Each treat-ment consisted of 30 explants and three replicates.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10"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2.6. Root induction, plant growth, and acclimation of regenerated plants</w:t>
      </w:r>
    </w:p>
    <w:p>
      <w:pPr>
        <w:spacing w:after="0" w:line="234" w:lineRule="exact"/>
        <w:rPr>
          <w:rFonts w:ascii="Times New Roman" w:cs="Times New Roman" w:eastAsia="Times New Roman" w:hAnsi="Times New Roman"/>
          <w:sz w:val="16"/>
          <w:szCs w:val="16"/>
          <w:color w:val="000000"/>
        </w:rPr>
      </w:pPr>
    </w:p>
    <w:p>
      <w:pPr>
        <w:jc w:val="both"/>
        <w:ind w:firstLine="250"/>
        <w:spacing w:after="0" w:line="274" w:lineRule="auto"/>
        <w:rPr>
          <w:sz w:val="20"/>
          <w:szCs w:val="20"/>
          <w:color w:val="auto"/>
        </w:rPr>
      </w:pPr>
      <w:r>
        <w:rPr>
          <w:rFonts w:ascii="Times New Roman" w:cs="Times New Roman" w:eastAsia="Times New Roman" w:hAnsi="Times New Roman"/>
          <w:sz w:val="16"/>
          <w:szCs w:val="16"/>
          <w:color w:val="auto"/>
        </w:rPr>
        <w:t xml:space="preserve">For rooting and plant growth, the meristem-derived shoots [from the media containing the combination of BA (3.0 mg/l) and NAA (0.1 mg/l), and NAg (20 mg/l)] were transferred to hormone-free MS basal medium and left under the same culture conditions as previously described for six weeks. The well-rooted shoots were then transplanted into plastic trays </w:t>
      </w:r>
      <w:r>
        <w:rPr>
          <w:rFonts w:ascii="Arial" w:cs="Arial" w:eastAsia="Arial" w:hAnsi="Arial"/>
          <w:sz w:val="16"/>
          <w:szCs w:val="16"/>
          <w:color w:val="auto"/>
        </w:rPr>
        <w:t>fi</w:t>
      </w:r>
      <w:r>
        <w:rPr>
          <w:rFonts w:ascii="Times New Roman" w:cs="Times New Roman" w:eastAsia="Times New Roman" w:hAnsi="Times New Roman"/>
          <w:sz w:val="16"/>
          <w:szCs w:val="16"/>
          <w:color w:val="auto"/>
        </w:rPr>
        <w:t>lled with peat-based soil and acclimated in a growth chamber for three weeks under the same conditions. After acclimation, the plants were transferred to a greenhouse.</w:t>
      </w:r>
    </w:p>
    <w:p>
      <w:pPr>
        <w:spacing w:after="0" w:line="200" w:lineRule="exact"/>
        <w:rPr>
          <w:rFonts w:ascii="Times New Roman" w:cs="Times New Roman" w:eastAsia="Times New Roman" w:hAnsi="Times New Roman"/>
          <w:sz w:val="16"/>
          <w:szCs w:val="16"/>
          <w:color w:val="000000"/>
        </w:rPr>
      </w:pPr>
    </w:p>
    <w:p>
      <w:pPr>
        <w:spacing w:after="0" w:line="204"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2.7. Detection of HVX gene in meristem-derived plants by RT-PCR</w:t>
      </w:r>
    </w:p>
    <w:p>
      <w:pPr>
        <w:spacing w:after="0" w:line="234" w:lineRule="exact"/>
        <w:rPr>
          <w:rFonts w:ascii="Times New Roman" w:cs="Times New Roman" w:eastAsia="Times New Roman" w:hAnsi="Times New Roman"/>
          <w:sz w:val="16"/>
          <w:szCs w:val="16"/>
          <w:color w:val="000000"/>
        </w:rPr>
      </w:pPr>
    </w:p>
    <w:p>
      <w:pPr>
        <w:jc w:val="both"/>
        <w:ind w:firstLine="250"/>
        <w:spacing w:after="0" w:line="277" w:lineRule="auto"/>
        <w:rPr>
          <w:sz w:val="20"/>
          <w:szCs w:val="20"/>
          <w:color w:val="auto"/>
        </w:rPr>
      </w:pPr>
      <w:r>
        <w:rPr>
          <w:rFonts w:ascii="Times New Roman" w:cs="Times New Roman" w:eastAsia="Times New Roman" w:hAnsi="Times New Roman"/>
          <w:sz w:val="16"/>
          <w:szCs w:val="16"/>
          <w:color w:val="auto"/>
        </w:rPr>
        <w:t>RNA extraction, cDNA synthesis, and detection of the presence of HVX gene in meristem-derived plants [from the media containing BA (3.0 mg/l), NAA (0.1 mg/l), NAg (20 mg/l)] and the virus-infected plants grown in the greenhouse was done as described above.</w:t>
      </w:r>
    </w:p>
    <w:p>
      <w:pPr>
        <w:spacing w:after="0" w:line="188"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P.P.W. Pe, et al.</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 Analysis of genetic variation using RAPD</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Total genomic DNA was isolated from the leaves of both the in vitro-regenerated plants (produced in a medium containing a combination of 0.1 mg/l NAA and 3.0 mg/l BA, and 20 mg/l NAg) and donor plants grown in a greenhouse using a HiYield Genomic DNA Mini Kit (Real Biotech Corporation, Taipei, Taiwan). RAPD analysis was conducted as described by </w:t>
      </w:r>
      <w:hyperlink w:anchor="page1">
        <w:r>
          <w:rPr>
            <w:rFonts w:ascii="Times New Roman" w:cs="Times New Roman" w:eastAsia="Times New Roman" w:hAnsi="Times New Roman"/>
            <w:sz w:val="16"/>
            <w:szCs w:val="16"/>
            <w:color w:val="004A76"/>
          </w:rPr>
          <w:t>Naing et al. (2019)</w:t>
        </w:r>
      </w:hyperlink>
      <w:r>
        <w:rPr>
          <w:rFonts w:ascii="Times New Roman" w:cs="Times New Roman" w:eastAsia="Times New Roman" w:hAnsi="Times New Roman"/>
          <w:sz w:val="16"/>
          <w:szCs w:val="16"/>
          <w:color w:val="auto"/>
        </w:rPr>
        <w:t>. The primers and PCR conditions used for the analysis are provided in Supplementary Table 1. The reaction products were analyzed via electrophoresis on 2% (w/v) agarose gel stained with ethidium bromide and photographed under UV light. RAPD analysis using each primer was repeated with three biological samples to verify the banding patterns.</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2.9. Statistical analysis</w:t>
      </w:r>
    </w:p>
    <w:p>
      <w:pPr>
        <w:spacing w:after="0" w:line="234" w:lineRule="exact"/>
        <w:rPr>
          <w:sz w:val="20"/>
          <w:szCs w:val="20"/>
          <w:color w:val="auto"/>
        </w:rPr>
      </w:pPr>
    </w:p>
    <w:p>
      <w:pPr>
        <w:jc w:val="both"/>
        <w:ind w:firstLine="249"/>
        <w:spacing w:after="0" w:line="290" w:lineRule="auto"/>
        <w:rPr>
          <w:sz w:val="20"/>
          <w:szCs w:val="20"/>
          <w:color w:val="auto"/>
        </w:rPr>
      </w:pPr>
      <w:r>
        <w:rPr>
          <w:rFonts w:ascii="Times New Roman" w:cs="Times New Roman" w:eastAsia="Times New Roman" w:hAnsi="Times New Roman"/>
          <w:sz w:val="16"/>
          <w:szCs w:val="16"/>
          <w:color w:val="auto"/>
        </w:rPr>
        <w:t>Data were analyzed using SPSS v. 11.09 (IBM Corporation, Armonk, NY, USA) and are presented as the mean of three replicates. The means were analyzed using Duncan</w:t>
      </w:r>
      <w:r>
        <w:rPr>
          <w:rFonts w:ascii="Arial" w:cs="Arial" w:eastAsia="Arial" w:hAnsi="Arial"/>
          <w:sz w:val="16"/>
          <w:szCs w:val="16"/>
          <w:color w:val="auto"/>
        </w:rPr>
        <w:t>’</w:t>
      </w:r>
      <w:r>
        <w:rPr>
          <w:rFonts w:ascii="Times New Roman" w:cs="Times New Roman" w:eastAsia="Times New Roman" w:hAnsi="Times New Roman"/>
          <w:sz w:val="16"/>
          <w:szCs w:val="16"/>
          <w:color w:val="auto"/>
        </w:rPr>
        <w:t>s multiple range test (DMRT; P &lt; 0.05).</w:t>
      </w:r>
    </w:p>
    <w:p>
      <w:pPr>
        <w:spacing w:after="0" w:line="180"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Detection of HVX gene in virus-infected plants</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Most of the Hosta plants (H. capitata) grown in the greenhouse showed symptoms of viral infection, while some were found to be healthy. To identify whether the appearance of these symptoms in the leaves of Hosta plants (H. capitata) was due to viral infection, we de-tected the presence of an HVX gene in the plants (10 infected plants and 5 healthy plants) using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 with HVX-speci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primers. The results corroborated that the symptoms of viral infection on leaves were indeed associated with HVX infection, while no 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HVX was ob-served in the healthy plants (</w:t>
      </w:r>
      <w:hyperlink w:anchor="page1">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The Hosta species (H. capitata) endemic to Korea is being infected by the virus HVX.</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Standardization of the sterilization method</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 standardize the sterilization method for the H. capitata meristem culture, the meristems excised from the bulbs of the in vivo virus-in-fected plants were sterilized, as shown in Supplementary Fig. 1. As seen in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all of the explants sterilized with 1% NaOCl for 1 min were found to be contaminated with fungi and bacteria. Increasing the sterilization time to 5 min slightly lower the contamination rate. However, increasing the time to 10 min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reduced con-tamination levels, although approximately 45 % of the explants were still contaminated with bacteria. The uncontaminated explants survived well and started to produce shoots after four weeks of culture. Although similar percentages of uncontaminated explants were observed in the treatments lasting longer than 10 min, but most of those plants were negatively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sterilization stress, with the appearance of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254635</wp:posOffset>
            </wp:positionV>
            <wp:extent cx="3048635" cy="16040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3048635" cy="1604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line="310"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Detection of the expression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HVX</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gene in healthy and virus-infected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leaves of Hosta capitate.</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217170</wp:posOffset>
            </wp:positionH>
            <wp:positionV relativeFrom="paragraph">
              <wp:posOffset>207010</wp:posOffset>
            </wp:positionV>
            <wp:extent cx="2743200" cy="18243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2743200" cy="1824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299"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uence of sterilization times on percentages of contaminated explants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in vitro. Data represent means of three replicate per treatment. Means with same letter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Duncan Multiple Range Test (DMRT, P &gt; 0.05).</w:t>
      </w:r>
    </w:p>
    <w:p>
      <w:pPr>
        <w:spacing w:after="0" w:line="200" w:lineRule="exact"/>
        <w:rPr>
          <w:sz w:val="20"/>
          <w:szCs w:val="20"/>
          <w:color w:val="auto"/>
        </w:rPr>
      </w:pPr>
    </w:p>
    <w:p>
      <w:pPr>
        <w:spacing w:after="0" w:line="240"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6"/>
          <w:szCs w:val="16"/>
          <w:color w:val="auto"/>
        </w:rPr>
        <w:t>color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ecting necrosis and lower survival rates (data not shown). Thus, sterilization of the explants with 1% NaOCl for 10 min was deemed the most appropriate strategy for use with the in vivo-derived meristem cultures of H. capitata</w:t>
      </w:r>
    </w:p>
    <w:p>
      <w:pPr>
        <w:spacing w:after="0" w:line="39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PGRs on shoot regeneration from meristems</w:t>
      </w:r>
    </w:p>
    <w:p>
      <w:pPr>
        <w:spacing w:after="0" w:line="23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verify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PGRs on shoot regeneration from meristems, the meristems were excised from the bulbs of in vivo virus-infected plants sterilized with 1% NaOCl for 10 min and cultured in MS basal medium containing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combinations of BA (0, 0.5, 1.0, 2.0, or 3.0 mg/l) or thidiazuron (TDZ; 0, 0.5, 1.0, 2.0, or 3.0, mg/l) with NAA (0, 0.1, 0.5, or 1.0 mg/l). All of the explants survived for all combina-tions of BA and NAA, including the control, but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shoot regeneration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depending on the combination used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Generally, the rate of shoot regeneration was notably higher than in the control for all treatments, except for the combination of 0.5 mg/l BA and 1.0 mg/l NAA. For all combinations of BA and NAA, the rate of shoot formation was greater for lower concentrations of NAA than for higher concentrations, while variation in the concentration of BA did not appear to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shoot formation. The meristem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A) treated with 3.0 mg/l BA and 0.1 mg/l NAA produced the highest number of shoots per explant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B), and the number of shoots per explant was 5.33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Therefore, among the treatments tested, the</w:t>
      </w:r>
    </w:p>
    <w:p>
      <w:pPr>
        <w:spacing w:after="0" w:line="200" w:lineRule="exact"/>
        <w:rPr>
          <w:rFonts w:ascii="Times New Roman" w:cs="Times New Roman" w:eastAsia="Times New Roman" w:hAnsi="Times New Roman"/>
          <w:sz w:val="16"/>
          <w:szCs w:val="16"/>
          <w:color w:val="auto"/>
        </w:rPr>
      </w:pPr>
    </w:p>
    <w:p>
      <w:pPr>
        <w:spacing w:after="0" w:line="226"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4"/>
          <w:szCs w:val="14"/>
          <w:color w:val="auto"/>
        </w:rPr>
        <w:t>Table 1</w:t>
      </w:r>
    </w:p>
    <w:p>
      <w:pPr>
        <w:spacing w:after="0" w:line="33" w:lineRule="exact"/>
        <w:rPr>
          <w:rFonts w:ascii="Times New Roman" w:cs="Times New Roman" w:eastAsia="Times New Roman" w:hAnsi="Times New Roman"/>
          <w:sz w:val="16"/>
          <w:szCs w:val="16"/>
          <w:color w:val="auto"/>
        </w:rPr>
      </w:pPr>
    </w:p>
    <w:p>
      <w:pPr>
        <w:jc w:val="both"/>
        <w:spacing w:after="0" w:line="304"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various combinations of BA and NAA on in vitro shoot regeneration from the meristem of Hosta after six weeks of culture.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-1270</wp:posOffset>
                </wp:positionV>
                <wp:extent cx="318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0999pt" to="250.65pt,-0.0999pt" o:allowincell="f" strokecolor="#000000" strokeweight="0.498pt"/>
            </w:pict>
          </mc:Fallback>
        </mc:AlternateContent>
      </w:r>
    </w:p>
    <w:p>
      <w:pPr>
        <w:spacing w:after="0" w:line="63"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6"/>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BA</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NAA</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Survival</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Shoot</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No. of</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Fresh weight</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(mg/l)</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(mg/l)</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rate (%)</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regeneration rate</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shoot/</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/explant (mg)</w:t>
            </w:r>
          </w:p>
        </w:tc>
      </w:tr>
      <w:tr>
        <w:trPr>
          <w:trHeight w:val="171"/>
        </w:trPr>
        <w:tc>
          <w:tcPr>
            <w:tcW w:w="5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explant</w:t>
            </w:r>
          </w:p>
        </w:tc>
        <w:tc>
          <w:tcPr>
            <w:tcW w:w="1120" w:type="dxa"/>
            <w:vAlign w:val="bottom"/>
          </w:tcPr>
          <w:p>
            <w:pPr>
              <w:spacing w:after="0"/>
              <w:rPr>
                <w:sz w:val="14"/>
                <w:szCs w:val="14"/>
                <w:color w:val="auto"/>
              </w:rPr>
            </w:pPr>
          </w:p>
        </w:tc>
      </w:tr>
      <w:tr>
        <w:trPr>
          <w:trHeight w:val="83"/>
        </w:trPr>
        <w:tc>
          <w:tcPr>
            <w:tcW w:w="58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r>
      <w:tr>
        <w:trPr>
          <w:trHeight w:val="227"/>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25.00e</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1.25 de</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920 b</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100.00a</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3.67 b</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685 c</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66.67bc</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2.89 c</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472 d</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20.00de</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 e</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298 f</w:t>
            </w:r>
          </w:p>
        </w:tc>
      </w:tr>
      <w:tr>
        <w:trPr>
          <w:trHeight w:val="172"/>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100.00a</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3.14 bc</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654 c</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62.50bc</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2.75 c</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433 de</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55.56c</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2.33 cd</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373 e</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77.44b</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1.56 d</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307 f</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44.78cd</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2.67 c</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452 de</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33.33d</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1.78 d</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226 fg</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100.00a</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5.33 a</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1038 a</w:t>
            </w:r>
          </w:p>
        </w:tc>
      </w:tr>
      <w:tr>
        <w:trPr>
          <w:trHeight w:val="171"/>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77.78b</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2.44 cd</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488 d</w:t>
            </w:r>
          </w:p>
        </w:tc>
      </w:tr>
      <w:tr>
        <w:trPr>
          <w:trHeight w:val="172"/>
        </w:trPr>
        <w:tc>
          <w:tcPr>
            <w:tcW w:w="58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12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54.44c</w:t>
            </w:r>
          </w:p>
        </w:tc>
        <w:tc>
          <w:tcPr>
            <w:tcW w:w="7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2.33 cd</w:t>
            </w:r>
          </w:p>
        </w:tc>
        <w:tc>
          <w:tcPr>
            <w:tcW w:w="11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351 ef</w:t>
            </w:r>
          </w:p>
        </w:tc>
      </w:tr>
    </w:tbl>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rFonts w:ascii="Times New Roman" w:cs="Times New Roman" w:eastAsia="Times New Roman" w:hAnsi="Times New Roman"/>
          <w:sz w:val="16"/>
          <w:szCs w:val="16"/>
          <w:color w:val="auto"/>
        </w:rPr>
      </w:pPr>
    </w:p>
    <w:p>
      <w:pPr>
        <w:jc w:val="both"/>
        <w:spacing w:after="0" w:line="313" w:lineRule="auto"/>
        <w:rPr>
          <w:sz w:val="20"/>
          <w:szCs w:val="20"/>
          <w:color w:val="auto"/>
        </w:rPr>
      </w:pPr>
      <w:r>
        <w:rPr>
          <w:rFonts w:ascii="Times New Roman" w:cs="Times New Roman" w:eastAsia="Times New Roman" w:hAnsi="Times New Roman"/>
          <w:sz w:val="14"/>
          <w:szCs w:val="14"/>
          <w:color w:val="auto"/>
        </w:rPr>
        <w:t>Data represent means of three replicate per treatment. Means with same letter within a column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Duncan Multiple Range Test (DMRT, P &gt; 0.05).</w:t>
      </w:r>
    </w:p>
    <w:p>
      <w:pPr>
        <w:spacing w:after="0" w:line="319"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38"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P.P.W. Pe, et al.</w:t>
      </w:r>
      <w:r>
        <w:rPr>
          <w:sz w:val="20"/>
          <w:szCs w:val="20"/>
          <w:color w:val="auto"/>
        </w:rPr>
        <w:tab/>
      </w:r>
      <w:r>
        <w:rPr>
          <w:rFonts w:ascii="Arial" w:cs="Arial" w:eastAsia="Arial" w:hAnsi="Arial"/>
          <w:sz w:val="12"/>
          <w:szCs w:val="12"/>
          <w:i w:val="1"/>
          <w:iCs w:val="1"/>
          <w:color w:val="auto"/>
        </w:rPr>
        <w:t>Scientia Horticulturae 272 (2020) 109591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631825</wp:posOffset>
            </wp:positionH>
            <wp:positionV relativeFrom="paragraph">
              <wp:posOffset>199390</wp:posOffset>
            </wp:positionV>
            <wp:extent cx="5330825" cy="17170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5330825" cy="1717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both"/>
        <w:spacing w:after="0" w:line="297"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In vitro</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regeneration from the meristem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Hosta capitata. A) Culture of the meristem on the medium containing BA 3.0 mg/l and NAA 0.1 mg/l. B)</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Regeneration of the shoots from the meristem on the media containing BA 3.0 mg/l and NAA 0.1 mg/l after 6 weeks of culture. C) Root induction of the shoots on the hormone-free MS basal medium after 6 weeks of culture. Size bars indicate 0.5 cm for A, 1.0 cm for B, and 1.0 cm for C, respectively.</w:t>
      </w:r>
    </w:p>
    <w:p>
      <w:pPr>
        <w:sectPr>
          <w:pgSz w:w="11900" w:h="15874" w:orient="portrait"/>
          <w:cols w:equalWidth="0" w:num="1">
            <w:col w:w="10400"/>
          </w:cols>
          <w:pgMar w:left="760" w:top="676" w:right="746" w:bottom="37" w:gutter="0" w:footer="0" w:header="0"/>
        </w:sectPr>
      </w:pPr>
    </w:p>
    <w:p>
      <w:pPr>
        <w:spacing w:after="0" w:line="255"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combination of 3.0 mg/l BA and 0.1 mg/l NAA gave the highest number of shoots per explant (5.33), followed by the combination of 0.5 mg/l BA and 0.1 mg/l NAA; the results for both treatments were notably higher than for the other combinations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In terms of fresh weight, the combination of 3.0 mg/l BA and 0.1 mg/l NAA produced the highest fresh weight per explant (1038 mg), followed by the control and the combinations of 0.5 mg/l BA and 0.1 mg/l NAA and 1.0 mg/l BA and 0.1 mg/l NAA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Overall, the combination of 3.0 mg/l BA and 0.1 mg/l NAA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outperformed the other treatment combinations for all investigated parameters, particularly in terms of the number of regenerated shoots and fresh weight per explant.</w:t>
      </w:r>
    </w:p>
    <w:p>
      <w:pPr>
        <w:spacing w:after="0" w:line="199"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 with the combined BA/NAA treatments, all of the explants sur-vived when treated with a combination of TDZ and NAA, including the control, but shoot formation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was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the particular combinations used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Most combinations exhibited greater shoot formation than the control, with the combinations of 2.0 mg/l TDZ and 0.5 mg/l NAA and 3.0 mg/l TDZ and 0.1 mg/l NAA producing the highest rate of shoot regeneration (100 %). Although the shoot formation for most combinations was higher than in the control, the number of shoots per explant was not, except for the combinations of 2.0 mg/l TDZ and 0.5 mg/l NAA and 3.0 mg/l TDZ and 0.1 mg/l NAA, both of which produced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number of shoots per explant than in the control. It was also observed that the control ex-plants had the highest fresh weight per explant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3" w:lineRule="exact"/>
        <w:rPr>
          <w:sz w:val="20"/>
          <w:szCs w:val="20"/>
          <w:color w:val="auto"/>
        </w:rPr>
      </w:pPr>
    </w:p>
    <w:p>
      <w:pPr>
        <w:jc w:val="both"/>
        <w:spacing w:after="0" w:line="304"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various combinations of TDZ and NAA on in vitro shoot regeneration from the meristem of Hosta after six weeks of culture.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-1270</wp:posOffset>
                </wp:positionV>
                <wp:extent cx="3187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0999pt" to="250.65pt,-0.0999pt" o:allowincell="f" strokecolor="#000000" strokeweight="0.498pt"/>
            </w:pict>
          </mc:Fallback>
        </mc:AlternateContent>
      </w:r>
    </w:p>
    <w:p>
      <w:pPr>
        <w:spacing w:after="0" w:line="63"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TDZ</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NAA</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Survival</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Shoot</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No. of</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Fresh weight</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(mg/l)</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(mg/l)</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rate (%)</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regeneration rate</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shoot/</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/explant (mg)</w:t>
            </w:r>
          </w:p>
        </w:tc>
      </w:tr>
      <w:tr>
        <w:trPr>
          <w:trHeight w:val="171"/>
        </w:trPr>
        <w:tc>
          <w:tcPr>
            <w:tcW w:w="5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explant</w:t>
            </w:r>
          </w:p>
        </w:tc>
        <w:tc>
          <w:tcPr>
            <w:tcW w:w="1080" w:type="dxa"/>
            <w:vAlign w:val="bottom"/>
          </w:tcPr>
          <w:p>
            <w:pPr>
              <w:spacing w:after="0"/>
              <w:rPr>
                <w:sz w:val="14"/>
                <w:szCs w:val="14"/>
                <w:color w:val="auto"/>
              </w:rPr>
            </w:pPr>
          </w:p>
        </w:tc>
      </w:tr>
      <w:tr>
        <w:trPr>
          <w:trHeight w:val="83"/>
        </w:trPr>
        <w:tc>
          <w:tcPr>
            <w:tcW w:w="58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26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r>
      <w:tr>
        <w:trPr>
          <w:trHeight w:val="227"/>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25ef</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1.25 cd</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920 a</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62.50c</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2.00 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713 b</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55.56cd</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2.67 abc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544 bcd</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55.56cd</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2.11 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535 bcd</w:t>
            </w:r>
          </w:p>
        </w:tc>
      </w:tr>
      <w:tr>
        <w:trPr>
          <w:trHeight w:val="172"/>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50 d</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2.13 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543 bcd</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57.14cd</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1.86 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409 cd</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33.33e</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1.56 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250 e</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66.67bc</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2.17 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378 d</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100 a</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3.00 a</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423 cd</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75 b</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2.50 abc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600 bc</w:t>
            </w:r>
          </w:p>
        </w:tc>
      </w:tr>
      <w:tr>
        <w:trPr>
          <w:trHeight w:val="171"/>
        </w:trPr>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w:t>
            </w: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0.1</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100 a</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2.86 ab</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720 b</w:t>
            </w:r>
          </w:p>
        </w:tc>
      </w:tr>
      <w:tr>
        <w:trPr>
          <w:trHeight w:val="171"/>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0.5</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11.11g</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1.11 d</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570 bc</w:t>
            </w:r>
          </w:p>
        </w:tc>
      </w:tr>
      <w:tr>
        <w:trPr>
          <w:trHeight w:val="172"/>
        </w:trPr>
        <w:tc>
          <w:tcPr>
            <w:tcW w:w="580" w:type="dxa"/>
            <w:vAlign w:val="bottom"/>
          </w:tcPr>
          <w:p>
            <w:pPr>
              <w:spacing w:after="0"/>
              <w:rPr>
                <w:sz w:val="14"/>
                <w:szCs w:val="14"/>
                <w:color w:val="auto"/>
              </w:rPr>
            </w:pPr>
          </w:p>
        </w:tc>
        <w:tc>
          <w:tcPr>
            <w:tcW w:w="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7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25 ef</w:t>
            </w:r>
          </w:p>
        </w:tc>
        <w:tc>
          <w:tcPr>
            <w:tcW w:w="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1.50 abc</w:t>
            </w:r>
          </w:p>
        </w:tc>
        <w:tc>
          <w:tcPr>
            <w:tcW w:w="10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364 d</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nano-silver (NAg) particles on plant growth and development</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Addition of NAg to the regeneration medium distinctly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plant growth and development, regardless of the concentration. The plants derived from the meristem cultured in medium containing a lower NAg concentration (5</w:t>
      </w:r>
      <w:r>
        <w:rPr>
          <w:rFonts w:ascii="Arial" w:cs="Arial" w:eastAsia="Arial" w:hAnsi="Arial"/>
          <w:sz w:val="16"/>
          <w:szCs w:val="16"/>
          <w:color w:val="auto"/>
        </w:rPr>
        <w:t>–</w:t>
      </w:r>
      <w:r>
        <w:rPr>
          <w:rFonts w:ascii="Times New Roman" w:cs="Times New Roman" w:eastAsia="Times New Roman" w:hAnsi="Times New Roman"/>
          <w:sz w:val="16"/>
          <w:szCs w:val="16"/>
          <w:color w:val="auto"/>
        </w:rPr>
        <w:t>10 mg/l) showed similar plant growth and development compared to those in the control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NAg (20 mg/l) was found to be the most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for plant growth and greenery, but at concentrations above 20 mg/l it reduced plant height.</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3.5. Rooting, plant growth, and relocation to the greenhouse</w:t>
      </w:r>
    </w:p>
    <w:p>
      <w:pPr>
        <w:spacing w:after="0" w:line="234"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meristem-derived plants, which were individually separated from each explant, were well rooted in the hormone-free MS basal medium and rapidly grew after six weeks of culture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C). Following acclimation, all of the meristem-derived plants survived when they were moved to the greenhouse (</w:t>
      </w:r>
      <w:hyperlink w:anchor="page1">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3.6. Detection of HVX gene in meristem-derived plants</w:t>
      </w:r>
    </w:p>
    <w:p>
      <w:pPr>
        <w:spacing w:after="0" w:line="234"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whether the meristem-derived plants could eradicate the virus, we attempted to detect the presence of HVX in the meristem-derived plants [from the media containing BA (3.0 mg/l), NAA (0.1 mg/ l), NAg (20 mg/l)] and the virus-infected plants grown in the green-house using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 As expected, the presence of HVX was not ob-served in the former plants, while it was clearly observed in the latter (</w:t>
      </w:r>
      <w:hyperlink w:anchor="page1">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3.7. RAPD analysis</w:t>
      </w:r>
    </w:p>
    <w:p>
      <w:pPr>
        <w:spacing w:after="0" w:line="234" w:lineRule="exact"/>
        <w:rPr>
          <w:sz w:val="20"/>
          <w:szCs w:val="20"/>
          <w:color w:val="auto"/>
        </w:rPr>
      </w:pPr>
    </w:p>
    <w:p>
      <w:pPr>
        <w:jc w:val="both"/>
        <w:ind w:firstLine="249"/>
        <w:spacing w:after="0" w:line="281" w:lineRule="auto"/>
        <w:rPr>
          <w:sz w:val="20"/>
          <w:szCs w:val="20"/>
          <w:color w:val="auto"/>
        </w:rPr>
      </w:pPr>
      <w:r>
        <w:rPr>
          <w:rFonts w:ascii="Times New Roman" w:cs="Times New Roman" w:eastAsia="Times New Roman" w:hAnsi="Times New Roman"/>
          <w:sz w:val="16"/>
          <w:szCs w:val="16"/>
          <w:color w:val="auto"/>
        </w:rPr>
        <w:t>To assess the somaclonal variation in the regenerated plants using RAPD analysis, in vitro-regenerated shoots derived from the media containing BA (3.0 mg/l), NAA (0.1 mg/l), NAg (20 mg/l) and donor</w:t>
      </w:r>
    </w:p>
    <w:p>
      <w:pPr>
        <w:spacing w:after="0" w:line="205" w:lineRule="exact"/>
        <w:rPr>
          <w:sz w:val="20"/>
          <w:szCs w:val="20"/>
          <w:color w:val="auto"/>
        </w:rPr>
      </w:pPr>
    </w:p>
    <w:p>
      <w:pPr>
        <w:spacing w:after="0"/>
        <w:rPr>
          <w:sz w:val="20"/>
          <w:szCs w:val="20"/>
          <w:color w:val="auto"/>
        </w:rPr>
      </w:pPr>
      <w:r>
        <w:rPr>
          <w:rFonts w:ascii="Arial" w:cs="Arial" w:eastAsia="Arial" w:hAnsi="Arial"/>
          <w:sz w:val="14"/>
          <w:szCs w:val="14"/>
          <w:color w:val="auto"/>
        </w:rPr>
        <w:t>Table 3</w:t>
      </w:r>
    </w:p>
    <w:p>
      <w:pPr>
        <w:spacing w:after="0" w:line="32" w:lineRule="exact"/>
        <w:rPr>
          <w:sz w:val="20"/>
          <w:szCs w:val="20"/>
          <w:color w:val="auto"/>
        </w:rPr>
      </w:pPr>
    </w:p>
    <w:p>
      <w:pPr>
        <w:jc w:val="both"/>
        <w:spacing w:after="0" w:line="295"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concentrations of nano-silver (NAg) on growth and devel-opment of plants regenerated from the meristem of Hosta capitata cultured on the optimal concentration of BA (3.0 mg/l) and NAA (0.1 (mg/l).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1905</wp:posOffset>
                </wp:positionV>
                <wp:extent cx="318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5pt" to="250.65pt,0.15pt" o:allowincell="f" strokecolor="#000000" strokeweight="0.498pt"/>
            </w:pict>
          </mc:Fallback>
        </mc:AlternateContent>
      </w:r>
    </w:p>
    <w:p>
      <w:pPr>
        <w:spacing w:after="0" w:line="69"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NAg (mg/l)</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Plant height (mm)</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Fresh weight /explant (mg)</w:t>
            </w:r>
          </w:p>
        </w:tc>
      </w:tr>
      <w:tr>
        <w:trPr>
          <w:trHeight w:val="83"/>
        </w:trPr>
        <w:tc>
          <w:tcPr>
            <w:tcW w:w="1140" w:type="dxa"/>
            <w:vAlign w:val="bottom"/>
            <w:tcBorders>
              <w:bottom w:val="single" w:sz="8" w:color="auto"/>
            </w:tcBorders>
          </w:tcPr>
          <w:p>
            <w:pPr>
              <w:spacing w:after="0"/>
              <w:rPr>
                <w:sz w:val="7"/>
                <w:szCs w:val="7"/>
                <w:color w:val="auto"/>
              </w:rPr>
            </w:pPr>
          </w:p>
        </w:tc>
        <w:tc>
          <w:tcPr>
            <w:tcW w:w="1800" w:type="dxa"/>
            <w:vAlign w:val="bottom"/>
            <w:tcBorders>
              <w:bottom w:val="single" w:sz="8" w:color="auto"/>
            </w:tcBorders>
          </w:tcPr>
          <w:p>
            <w:pPr>
              <w:spacing w:after="0"/>
              <w:rPr>
                <w:sz w:val="7"/>
                <w:szCs w:val="7"/>
                <w:color w:val="auto"/>
              </w:rPr>
            </w:pPr>
          </w:p>
        </w:tc>
        <w:tc>
          <w:tcPr>
            <w:tcW w:w="2080" w:type="dxa"/>
            <w:vAlign w:val="bottom"/>
            <w:tcBorders>
              <w:bottom w:val="single" w:sz="8" w:color="auto"/>
            </w:tcBorders>
          </w:tcPr>
          <w:p>
            <w:pPr>
              <w:spacing w:after="0"/>
              <w:rPr>
                <w:sz w:val="7"/>
                <w:szCs w:val="7"/>
                <w:color w:val="auto"/>
              </w:rPr>
            </w:pPr>
          </w:p>
        </w:tc>
      </w:tr>
      <w:tr>
        <w:trPr>
          <w:trHeight w:val="227"/>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17.3b</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1050 b</w:t>
            </w:r>
          </w:p>
        </w:tc>
      </w:tr>
      <w:tr>
        <w:trPr>
          <w:trHeight w:val="171"/>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17.5b</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1060 b</w:t>
            </w:r>
          </w:p>
        </w:tc>
      </w:tr>
      <w:tr>
        <w:trPr>
          <w:trHeight w:val="171"/>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16.9b</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1047 b</w:t>
            </w:r>
          </w:p>
        </w:tc>
      </w:tr>
      <w:tr>
        <w:trPr>
          <w:trHeight w:val="171"/>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17.2b</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1058 b</w:t>
            </w:r>
          </w:p>
        </w:tc>
      </w:tr>
      <w:tr>
        <w:trPr>
          <w:trHeight w:val="171"/>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21.7a</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1175 a</w:t>
            </w:r>
          </w:p>
        </w:tc>
      </w:tr>
      <w:tr>
        <w:trPr>
          <w:trHeight w:val="172"/>
        </w:trPr>
        <w:tc>
          <w:tcPr>
            <w:tcW w:w="11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w:t>
            </w:r>
          </w:p>
        </w:tc>
        <w:tc>
          <w:tcPr>
            <w:tcW w:w="180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15.4c</w:t>
            </w:r>
          </w:p>
        </w:tc>
        <w:tc>
          <w:tcPr>
            <w:tcW w:w="2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1022c</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86"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both"/>
        <w:spacing w:after="0" w:line="313" w:lineRule="auto"/>
        <w:rPr>
          <w:sz w:val="20"/>
          <w:szCs w:val="20"/>
          <w:color w:val="auto"/>
        </w:rPr>
      </w:pPr>
      <w:r>
        <w:rPr>
          <w:rFonts w:ascii="Times New Roman" w:cs="Times New Roman" w:eastAsia="Times New Roman" w:hAnsi="Times New Roman"/>
          <w:sz w:val="14"/>
          <w:szCs w:val="14"/>
          <w:color w:val="auto"/>
        </w:rPr>
        <w:t>Data represent means of three replicate per treatment. Means with same letter within a column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Duncan Multiple Range Test (DMRT, P &gt; 0.05).</w:t>
      </w:r>
    </w:p>
    <w:p>
      <w:pPr>
        <w:spacing w:after="0" w:line="20" w:lineRule="exact"/>
        <w:rPr>
          <w:sz w:val="20"/>
          <w:szCs w:val="20"/>
          <w:color w:val="auto"/>
        </w:rPr>
      </w:pPr>
      <w:r>
        <w:rPr>
          <w:sz w:val="20"/>
          <w:szCs w:val="20"/>
          <w:color w:val="auto"/>
        </w:rPr>
        <w:br w:type="column"/>
      </w:r>
    </w:p>
    <w:p>
      <w:pPr>
        <w:jc w:val="both"/>
        <w:spacing w:after="0" w:line="313" w:lineRule="auto"/>
        <w:rPr>
          <w:sz w:val="20"/>
          <w:szCs w:val="20"/>
          <w:color w:val="auto"/>
        </w:rPr>
      </w:pPr>
      <w:r>
        <w:rPr>
          <w:rFonts w:ascii="Times New Roman" w:cs="Times New Roman" w:eastAsia="Times New Roman" w:hAnsi="Times New Roman"/>
          <w:sz w:val="14"/>
          <w:szCs w:val="14"/>
          <w:color w:val="auto"/>
        </w:rPr>
        <w:t>Data represent means of three replicate per treatment. Means with same letter within a column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Duncan Multiple Range Test (DMRT, P &gt; 0.05).</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57"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P.P.W. Pe, et al.</w:t>
      </w:r>
      <w:r>
        <w:rPr>
          <w:sz w:val="20"/>
          <w:szCs w:val="20"/>
          <w:color w:val="auto"/>
        </w:rPr>
        <w:tab/>
      </w:r>
      <w:r>
        <w:rPr>
          <w:rFonts w:ascii="Arial" w:cs="Arial" w:eastAsia="Arial" w:hAnsi="Arial"/>
          <w:sz w:val="12"/>
          <w:szCs w:val="12"/>
          <w:i w:val="1"/>
          <w:iCs w:val="1"/>
          <w:color w:val="auto"/>
        </w:rPr>
        <w:t>Scientia Horticulturae 272 (2020) 109591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381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4572000" cy="3812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Survival of acclimatized meristem-derived plants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 capitata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in the greenhouse.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194945</wp:posOffset>
            </wp:positionV>
            <wp:extent cx="3048635" cy="1532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3048635" cy="153225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spacing w:after="0" w:line="307" w:lineRule="auto"/>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Detection of the expression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HVX</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gene in infected plants (control)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meristem-derived plants of Hosta capitata.</w:t>
      </w:r>
    </w:p>
    <w:p>
      <w:pPr>
        <w:spacing w:after="0" w:line="248"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plants were selected and analyzed using 40 random primers. About twelve primers successfully produced scorable bands for both the re-generated and the donor plants (</w:t>
      </w:r>
      <w:hyperlink w:anchor="page1">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A</w:t>
      </w:r>
      <w:r>
        <w:rPr>
          <w:rFonts w:ascii="Arial" w:cs="Arial" w:eastAsia="Arial" w:hAnsi="Arial"/>
          <w:sz w:val="16"/>
          <w:szCs w:val="16"/>
          <w:color w:val="auto"/>
        </w:rPr>
        <w:t>–</w:t>
      </w:r>
      <w:r>
        <w:rPr>
          <w:rFonts w:ascii="Times New Roman" w:cs="Times New Roman" w:eastAsia="Times New Roman" w:hAnsi="Times New Roman"/>
          <w:sz w:val="16"/>
          <w:szCs w:val="16"/>
          <w:color w:val="auto"/>
        </w:rPr>
        <w:t>L), while some exhibited polymorphic RAPD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in particular, the primer numbers OPA-13, OPA-15, and OPB-09 were more polymorphic than the others (</w:t>
      </w:r>
      <w:hyperlink w:anchor="page1">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 As expected, the banding patterns observed in the meristem-derived plants were similar to those of the donor plants.</w:t>
      </w:r>
    </w:p>
    <w:p>
      <w:pPr>
        <w:spacing w:after="0" w:line="244"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Hosta species, which are found in temperate regions, are in danger of becoming extinct due to the rise in global temperatures, deforesta-tion, and over-harvesting by Hosta collectors. In addition, the occur-rence of Hosta virus X (HVX) disease in Hosta species distributed worldwide, including in Korea, has been reported (</w:t>
      </w:r>
      <w:hyperlink w:anchor="page1">
        <w:r>
          <w:rPr>
            <w:rFonts w:ascii="Times New Roman" w:cs="Times New Roman" w:eastAsia="Times New Roman" w:hAnsi="Times New Roman"/>
            <w:sz w:val="16"/>
            <w:szCs w:val="16"/>
            <w:color w:val="004A76"/>
          </w:rPr>
          <w:t>Ryu et al., 2002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Wei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Shchetynina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Adedire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Song et al.,</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2020</w:t>
        </w:r>
      </w:hyperlink>
      <w:r>
        <w:rPr>
          <w:rFonts w:ascii="Times New Roman" w:cs="Times New Roman" w:eastAsia="Times New Roman" w:hAnsi="Times New Roman"/>
          <w:sz w:val="16"/>
          <w:szCs w:val="16"/>
          <w:color w:val="000000"/>
        </w:rPr>
        <w:t>). Therefore, although vegetative propagation and seed germina-tion have been employed in this genus to preserve these species and meet commercial demands, these techniques are insu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to</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88" w:lineRule="exact"/>
        <w:rPr>
          <w:rFonts w:ascii="Times New Roman" w:cs="Times New Roman" w:eastAsia="Times New Roman" w:hAnsi="Times New Roman"/>
          <w:sz w:val="16"/>
          <w:szCs w:val="16"/>
          <w:color w:val="004A76"/>
        </w:rPr>
      </w:pPr>
    </w:p>
    <w:p>
      <w:pPr>
        <w:jc w:val="both"/>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overcome these issues due to their low propagation rate and inability to eradicate the virus. Many researchers have thus proposed other in vitro propagation methods using various explant types for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pro-pagation of these species (</w:t>
      </w:r>
      <w:hyperlink w:anchor="page1">
        <w:r>
          <w:rPr>
            <w:rFonts w:ascii="Times New Roman" w:cs="Times New Roman" w:eastAsia="Times New Roman" w:hAnsi="Times New Roman"/>
            <w:sz w:val="16"/>
            <w:szCs w:val="16"/>
            <w:color w:val="004A76"/>
          </w:rPr>
          <w:t>Saito and Nakano, 2002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Ku and Cho,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Sza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án et al., 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Paek and Ma, 1996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Williams et al., 1998</w:t>
        </w:r>
      </w:hyperlink>
      <w:r>
        <w:rPr>
          <w:rFonts w:ascii="Times New Roman" w:cs="Times New Roman" w:eastAsia="Times New Roman" w:hAnsi="Times New Roman"/>
          <w:sz w:val="16"/>
          <w:szCs w:val="16"/>
          <w:color w:val="000000"/>
        </w:rPr>
        <w:t>). Un-fortunately, those methods employed for Hosta species reported so far are also unable to produce virus-free plants. Moreover, the genetic variation observed in in vitro-regenerated Hosta plants was reported to be relatively high (</w:t>
      </w:r>
      <w:hyperlink w:anchor="page1">
        <w:r>
          <w:rPr>
            <w:rFonts w:ascii="Times New Roman" w:cs="Times New Roman" w:eastAsia="Times New Roman" w:hAnsi="Times New Roman"/>
            <w:sz w:val="16"/>
            <w:szCs w:val="16"/>
            <w:color w:val="004A76"/>
          </w:rPr>
          <w:t>Paek and Ma, 1996</w:t>
        </w:r>
      </w:hyperlink>
      <w:r>
        <w:rPr>
          <w:rFonts w:ascii="Times New Roman" w:cs="Times New Roman" w:eastAsia="Times New Roman" w:hAnsi="Times New Roman"/>
          <w:sz w:val="16"/>
          <w:szCs w:val="16"/>
          <w:color w:val="000000"/>
        </w:rPr>
        <w:t>). Therefore, in this study, we collected virus-infected plants and attempted to create meristem cul-tures that could be used for the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propagation and production of genetically stable virus-free H. capitata plants.</w:t>
      </w:r>
    </w:p>
    <w:p>
      <w:pPr>
        <w:spacing w:after="0" w:line="197" w:lineRule="exact"/>
        <w:rPr>
          <w:rFonts w:ascii="Times New Roman" w:cs="Times New Roman" w:eastAsia="Times New Roman" w:hAnsi="Times New Roman"/>
          <w:sz w:val="16"/>
          <w:szCs w:val="16"/>
          <w:color w:val="004A76"/>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visual appearance of virus-infected Hosta plants was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the presence of HVX in the collected plants was also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molecularly using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 as performed in previous studies (</w:t>
      </w:r>
      <w:hyperlink w:anchor="page1">
        <w:r>
          <w:rPr>
            <w:rFonts w:ascii="Times New Roman" w:cs="Times New Roman" w:eastAsia="Times New Roman" w:hAnsi="Times New Roman"/>
            <w:sz w:val="16"/>
            <w:szCs w:val="16"/>
            <w:color w:val="004A76"/>
          </w:rPr>
          <w:t>Ryu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Wei 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Song et al., 2020</w:t>
        </w:r>
      </w:hyperlink>
      <w:r>
        <w:rPr>
          <w:rFonts w:ascii="Times New Roman" w:cs="Times New Roman" w:eastAsia="Times New Roman" w:hAnsi="Times New Roman"/>
          <w:sz w:val="16"/>
          <w:szCs w:val="16"/>
          <w:color w:val="000000"/>
        </w:rPr>
        <w:t>). All of the tested plants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showed the presence of the analyzed gene; thus, we collected the virus-infected plants based on visual observation and used them as materials for meristem culture.</w:t>
      </w:r>
    </w:p>
    <w:p>
      <w:pPr>
        <w:spacing w:after="0" w:line="198"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Generally, the use of in vivo underground bulbs increases the risk of contamination by fungi and bacteria, so a standardized in vitro ster-ilization method was necessary to decontaminate the bulbs without physically damaging the meristems. In this study, sterilization of the meristems excised from the bulbs with 1% NaOCl for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 min was too short to eliminate the microbial organisms from the bulbs, and those sterilized for longer than 10 min also exhibited lower rates of survival and shoot regeneration due to toxicity of NaOCl. </w:t>
      </w:r>
      <w:hyperlink w:anchor="page1">
        <w:r>
          <w:rPr>
            <w:rFonts w:ascii="Times New Roman" w:cs="Times New Roman" w:eastAsia="Times New Roman" w:hAnsi="Times New Roman"/>
            <w:sz w:val="16"/>
            <w:szCs w:val="16"/>
            <w:color w:val="004A76"/>
          </w:rPr>
          <w:t>Nongalleima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(2014) </w:t>
        </w:r>
      </w:hyperlink>
      <w:r>
        <w:rPr>
          <w:rFonts w:ascii="Times New Roman" w:cs="Times New Roman" w:eastAsia="Times New Roman" w:hAnsi="Times New Roman"/>
          <w:sz w:val="16"/>
          <w:szCs w:val="16"/>
          <w:color w:val="000000"/>
        </w:rPr>
        <w:t>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reported that rhizome tissues were damaged due to longer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sterilization time. In this study, the sterilization time (10 min) was found to be optimal to prevent microbial contamination of the meristem cultures and shoot regeneration. It was obvious that sterilization time is crucial to in vitro shoot regeneration when using in vivo materials as explant sources.</w:t>
      </w:r>
    </w:p>
    <w:p>
      <w:pPr>
        <w:spacing w:after="0" w:line="19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Investigating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PGRs on the meristem cultures derived</w:t>
      </w:r>
    </w:p>
    <w:p>
      <w:pPr>
        <w:spacing w:after="0" w:line="33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P.P.W. Pe, et al.</w:t>
      </w:r>
      <w:r>
        <w:rPr>
          <w:sz w:val="20"/>
          <w:szCs w:val="20"/>
          <w:color w:val="auto"/>
        </w:rPr>
        <w:tab/>
      </w:r>
      <w:r>
        <w:rPr>
          <w:rFonts w:ascii="Arial" w:cs="Arial" w:eastAsia="Arial" w:hAnsi="Arial"/>
          <w:sz w:val="12"/>
          <w:szCs w:val="12"/>
          <w:i w:val="1"/>
          <w:iCs w:val="1"/>
          <w:color w:val="auto"/>
        </w:rPr>
        <w:t>Scientia Horticulturae 272 (2020) 109591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36772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4572000" cy="3677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line="310" w:lineRule="auto"/>
        <w:rPr>
          <w:sz w:val="20"/>
          <w:szCs w:val="20"/>
          <w:color w:val="auto"/>
        </w:rPr>
      </w:pPr>
      <w:r>
        <w:rPr>
          <w:rFonts w:ascii="Arial" w:cs="Arial" w:eastAsia="Arial" w:hAnsi="Arial"/>
          <w:sz w:val="14"/>
          <w:szCs w:val="14"/>
          <w:color w:val="auto"/>
        </w:rPr>
        <w:t xml:space="preserve">Fig. 6. </w:t>
      </w:r>
      <w:r>
        <w:rPr>
          <w:rFonts w:ascii="Times New Roman" w:cs="Times New Roman" w:eastAsia="Times New Roman" w:hAnsi="Times New Roman"/>
          <w:sz w:val="14"/>
          <w:szCs w:val="14"/>
          <w:color w:val="auto"/>
        </w:rPr>
        <w:t>Detection of somaclonal variation between meristem-derived plants (in vitro) and donor plants (in vivo)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Hosta capitata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using RAPD markers (A) OPA-01, (B)</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OPA-03, (C) OPA-05, (D) OPA-09, (E) OPA-13, (F) OPA-15, (G) OPA-16, (H) OPA-17, (I) OPA-20, (J) OPB-09, (K) OPB-03, (L) OPB-06.</w:t>
      </w:r>
    </w:p>
    <w:p>
      <w:pPr>
        <w:sectPr>
          <w:pgSz w:w="11900" w:h="15874" w:orient="portrait"/>
          <w:cols w:equalWidth="0" w:num="1">
            <w:col w:w="10400"/>
          </w:cols>
          <w:pgMar w:left="760" w:top="676" w:right="746" w:bottom="37" w:gutter="0" w:footer="0" w:header="0"/>
        </w:sectPr>
      </w:pPr>
    </w:p>
    <w:p>
      <w:pPr>
        <w:spacing w:after="0" w:line="245"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from the in vivo bulbs sterilized with 1% NaOCl for 10 min revealed that the rate of shoot regeneration observed for most combinations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than in the control, suggesting that PGRs are ne-cessary for shoot regeneration from meristems. Despite the higher rate of shoot regeneration for most combinations, the average number of shoots per explant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than in the control, al-though the highest number of shoots per explant (5.33) was produced by the combination of 3.0 mg/l BA and 0.1 mg/l NAA. This suggests that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concentrations and/or combinations of PGRs are required to generate a large number of shoots per explant.</w:t>
      </w:r>
    </w:p>
    <w:p>
      <w:pPr>
        <w:spacing w:after="0" w:line="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the combination of BA and NAA on shoot regeneration from various Hosta spp. explants has previously been investigated (</w:t>
      </w:r>
      <w:hyperlink w:anchor="page1">
        <w:r>
          <w:rPr>
            <w:rFonts w:ascii="Times New Roman" w:cs="Times New Roman" w:eastAsia="Times New Roman" w:hAnsi="Times New Roman"/>
            <w:sz w:val="16"/>
            <w:szCs w:val="16"/>
            <w:color w:val="004A76"/>
          </w:rPr>
          <w:t>Paek</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and Ma, 1996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Ku and Cho,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Hill et al., 1989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Sza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án et al., 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Williams et al., 1998</w:t>
        </w:r>
      </w:hyperlink>
      <w:r>
        <w:rPr>
          <w:rFonts w:ascii="Times New Roman" w:cs="Times New Roman" w:eastAsia="Times New Roman" w:hAnsi="Times New Roman"/>
          <w:sz w:val="16"/>
          <w:szCs w:val="16"/>
          <w:color w:val="000000"/>
        </w:rPr>
        <w:t>). While the combination did not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ciently pro-duce shoots from the ovaries of H. sieboldiana (</w:t>
      </w:r>
      <w:hyperlink w:anchor="page1">
        <w:r>
          <w:rPr>
            <w:rFonts w:ascii="Times New Roman" w:cs="Times New Roman" w:eastAsia="Times New Roman" w:hAnsi="Times New Roman"/>
            <w:sz w:val="16"/>
            <w:szCs w:val="16"/>
            <w:color w:val="004A76"/>
          </w:rPr>
          <w:t>Hill et al., 1989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Paek</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 xml:space="preserve">and Ma (1996) </w:t>
        </w:r>
      </w:hyperlink>
      <w:r>
        <w:rPr>
          <w:rFonts w:ascii="Times New Roman" w:cs="Times New Roman" w:eastAsia="Times New Roman" w:hAnsi="Times New Roman"/>
          <w:sz w:val="16"/>
          <w:szCs w:val="16"/>
          <w:color w:val="000000"/>
        </w:rPr>
        <w:t>observed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it did promote the regeneration of shoots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from the shoot tips of Hosta cvs. </w:t>
      </w:r>
      <w:r>
        <w:rPr>
          <w:rFonts w:ascii="Arial" w:cs="Arial" w:eastAsia="Arial" w:hAnsi="Arial"/>
          <w:sz w:val="16"/>
          <w:szCs w:val="16"/>
          <w:color w:val="000000"/>
        </w:rPr>
        <w:t>‘</w:t>
      </w:r>
      <w:r>
        <w:rPr>
          <w:rFonts w:ascii="Times New Roman" w:cs="Times New Roman" w:eastAsia="Times New Roman" w:hAnsi="Times New Roman"/>
          <w:sz w:val="16"/>
          <w:szCs w:val="16"/>
          <w:color w:val="000000"/>
        </w:rPr>
        <w:t>Mondana</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and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Anlioch.</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In particular, they reported that the combination of 3.0 mg/l BA and 0.1 mg/l NAA produced an average number of 3.2 and 3.8 shoots per explant, com-pared with 5.33 shoots per explant in the present study. In addition, the average number of shoots per explant generated by the combinations of 3.0 mg/l BA and 1.0 mg/l NAA and of 3.0 mg/l BA and 0.1 mg/l NAA were not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in Paek and Ma</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s (1996) study, unlike in the present study. Similarly, </w:t>
      </w:r>
      <w:hyperlink w:anchor="page1">
        <w:r>
          <w:rPr>
            <w:rFonts w:ascii="Times New Roman" w:cs="Times New Roman" w:eastAsia="Times New Roman" w:hAnsi="Times New Roman"/>
            <w:sz w:val="16"/>
            <w:szCs w:val="16"/>
            <w:color w:val="004A76"/>
          </w:rPr>
          <w:t>Sza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án et al. (1997)</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suggested that the combination of 3.0 mg/l BA and 0.1 mg/l NAA was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ective for in vitro shoot regeneration in H. fortunei, while this combination did not lead to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cantly higher number of shoots in comparison with that in the control in the present study. </w:t>
      </w:r>
      <w:hyperlink w:anchor="page1">
        <w:r>
          <w:rPr>
            <w:rFonts w:ascii="Times New Roman" w:cs="Times New Roman" w:eastAsia="Times New Roman" w:hAnsi="Times New Roman"/>
            <w:sz w:val="16"/>
            <w:szCs w:val="16"/>
            <w:color w:val="004A76"/>
          </w:rPr>
          <w:t>Saito and Nakano (2002)</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also reported that NAA more successfully promoted the growth of shoots from the calluses of H. sieboldiana when combined with TDZ than with BA, which was not consistent with the results of our study. The discrepancy between the studies could be due to the species and explant types used. Variation in the regeneration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 xml:space="preserve">ciency of various explants cultured in a combina-tion of BA and NAA has been reported for Hosta cv. </w:t>
      </w:r>
      <w:r>
        <w:rPr>
          <w:rFonts w:ascii="Arial" w:cs="Arial" w:eastAsia="Arial" w:hAnsi="Arial"/>
          <w:sz w:val="16"/>
          <w:szCs w:val="16"/>
          <w:color w:val="000000"/>
        </w:rPr>
        <w:t>‘</w:t>
      </w:r>
      <w:r>
        <w:rPr>
          <w:rFonts w:ascii="Times New Roman" w:cs="Times New Roman" w:eastAsia="Times New Roman" w:hAnsi="Times New Roman"/>
          <w:sz w:val="16"/>
          <w:szCs w:val="16"/>
          <w:color w:val="000000"/>
        </w:rPr>
        <w:t>Golden Specter</w:t>
      </w:r>
      <w:r>
        <w:rPr>
          <w:rFonts w:ascii="Arial" w:cs="Arial" w:eastAsia="Arial" w:hAnsi="Arial"/>
          <w:sz w:val="16"/>
          <w:szCs w:val="16"/>
          <w:color w:val="000000"/>
        </w:rPr>
        <w:t>’</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25" w:lineRule="exact"/>
        <w:rPr>
          <w:rFonts w:ascii="Times New Roman" w:cs="Times New Roman" w:eastAsia="Times New Roman" w:hAnsi="Times New Roman"/>
          <w:sz w:val="16"/>
          <w:szCs w:val="16"/>
          <w:color w:val="004A76"/>
        </w:rPr>
      </w:pPr>
    </w:p>
    <w:p>
      <w:pPr>
        <w:ind w:left="8"/>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1">
        <w:r>
          <w:rPr>
            <w:rFonts w:ascii="Times New Roman" w:cs="Times New Roman" w:eastAsia="Times New Roman" w:hAnsi="Times New Roman"/>
            <w:sz w:val="16"/>
            <w:szCs w:val="16"/>
            <w:color w:val="004A76"/>
          </w:rPr>
          <w:t>Williams et al., 1998</w:t>
        </w:r>
      </w:hyperlink>
      <w:r>
        <w:rPr>
          <w:rFonts w:ascii="Times New Roman" w:cs="Times New Roman" w:eastAsia="Times New Roman" w:hAnsi="Times New Roman"/>
          <w:sz w:val="16"/>
          <w:szCs w:val="16"/>
          <w:color w:val="auto"/>
        </w:rPr>
        <w:t>). In this study, the combination of NAA (0.1 mg/</w:t>
      </w:r>
    </w:p>
    <w:p>
      <w:pPr>
        <w:spacing w:after="0" w:line="25" w:lineRule="exact"/>
        <w:rPr>
          <w:rFonts w:ascii="Times New Roman" w:cs="Times New Roman" w:eastAsia="Times New Roman" w:hAnsi="Times New Roman"/>
          <w:sz w:val="16"/>
          <w:szCs w:val="16"/>
          <w:color w:val="004A76"/>
        </w:rPr>
      </w:pPr>
    </w:p>
    <w:p>
      <w:pPr>
        <w:ind w:left="168" w:hanging="168"/>
        <w:spacing w:after="0"/>
        <w:tabs>
          <w:tab w:leader="none" w:pos="168"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 BA (3.0 mg/l) not only produced a suitable number of shoots</w:t>
      </w:r>
    </w:p>
    <w:p>
      <w:pPr>
        <w:spacing w:after="0" w:line="25" w:lineRule="exact"/>
        <w:rPr>
          <w:rFonts w:ascii="Times New Roman" w:cs="Times New Roman" w:eastAsia="Times New Roman" w:hAnsi="Times New Roman"/>
          <w:sz w:val="16"/>
          <w:szCs w:val="16"/>
          <w:color w:val="auto"/>
        </w:rPr>
      </w:pPr>
    </w:p>
    <w:p>
      <w:pPr>
        <w:jc w:val="both"/>
        <w:ind w:left="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(5.33) per explant, but also produced plants with a higher fresh weight than in the control. In contrast, the combination of NAA (0.5 mg/l) and TDZ (2.0 mg/l) produced an average of 3.0 shoots per explant, but these shoots were relatively small and their fresh weight was lower than in the control. Thus, we concluded that the combination of NAA at 0.1 mg/l and BA at 3.0 mg/l was the optimal choice for the production of in vitro healthy shoots in Hosta spp. using meristem cultures.</w:t>
      </w:r>
    </w:p>
    <w:p>
      <w:pPr>
        <w:spacing w:after="0" w:line="4" w:lineRule="exact"/>
        <w:rPr>
          <w:rFonts w:ascii="Times New Roman" w:cs="Times New Roman" w:eastAsia="Times New Roman" w:hAnsi="Times New Roman"/>
          <w:sz w:val="16"/>
          <w:szCs w:val="16"/>
          <w:color w:val="auto"/>
        </w:rPr>
      </w:pPr>
    </w:p>
    <w:p>
      <w:pPr>
        <w:jc w:val="both"/>
        <w:ind w:left="8"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Over the last decade, antimicrobial activities of silver nanoparticles (NAg) have been reported in in vitro culture of various plant species (</w:t>
      </w:r>
      <w:hyperlink w:anchor="page1">
        <w:r>
          <w:rPr>
            <w:rFonts w:ascii="Times New Roman" w:cs="Times New Roman" w:eastAsia="Times New Roman" w:hAnsi="Times New Roman"/>
            <w:sz w:val="16"/>
            <w:szCs w:val="16"/>
            <w:color w:val="004A76"/>
          </w:rPr>
          <w:t>Abdi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Sarmast et al., 2011</w:t>
        </w:r>
      </w:hyperlink>
      <w:r>
        <w:rPr>
          <w:rFonts w:ascii="Times New Roman" w:cs="Times New Roman" w:eastAsia="Times New Roman" w:hAnsi="Times New Roman"/>
          <w:sz w:val="16"/>
          <w:szCs w:val="16"/>
          <w:color w:val="auto"/>
        </w:rPr>
        <w:t>). However, there have been fewer studies reporting its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in vitro plant growth. In our study, distinct variation of plant growth was not observed in as-sociation with lower NAg concentrations (0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15 mg/l), while 20 mg/l clearly stimulated plant growth and greenery, but a reduction of plant growth was observed at concentrations higher than 20 mg/l. </w:t>
      </w:r>
      <w:hyperlink w:anchor="page1">
        <w:r>
          <w:rPr>
            <w:rFonts w:ascii="Times New Roman" w:cs="Times New Roman" w:eastAsia="Times New Roman" w:hAnsi="Times New Roman"/>
            <w:sz w:val="16"/>
            <w:szCs w:val="16"/>
            <w:color w:val="004A76"/>
          </w:rPr>
          <w:t>Jadczak</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et al. (2019) </w:t>
        </w:r>
      </w:hyperlink>
      <w:r>
        <w:rPr>
          <w:rFonts w:ascii="Times New Roman" w:cs="Times New Roman" w:eastAsia="Times New Roman" w:hAnsi="Times New Roman"/>
          <w:sz w:val="16"/>
          <w:szCs w:val="16"/>
          <w:color w:val="000000"/>
        </w:rPr>
        <w:t>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observed that concentrations of NAg of 1</w:t>
      </w:r>
      <w:r>
        <w:rPr>
          <w:rFonts w:ascii="Arial" w:cs="Arial" w:eastAsia="Arial" w:hAnsi="Arial"/>
          <w:sz w:val="16"/>
          <w:szCs w:val="16"/>
          <w:color w:val="000000"/>
        </w:rPr>
        <w:t>–</w:t>
      </w:r>
      <w:r>
        <w:rPr>
          <w:rFonts w:ascii="Times New Roman" w:cs="Times New Roman" w:eastAsia="Times New Roman" w:hAnsi="Times New Roman"/>
          <w:sz w:val="16"/>
          <w:szCs w:val="16"/>
          <w:color w:val="000000"/>
        </w:rPr>
        <w:t>5 mg/l led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to the development of shoots with lengths similar to those in the control plants. Moreover, a reduction of plant growth associated with a higher NAg concentration was observed in their study, as found in our work. Stimulation of plant growth by NAg may be due to an increase of cy-tokinins (</w:t>
      </w:r>
      <w:hyperlink w:anchor="page1">
        <w:r>
          <w:rPr>
            <w:rFonts w:ascii="Times New Roman" w:cs="Times New Roman" w:eastAsia="Times New Roman" w:hAnsi="Times New Roman"/>
            <w:sz w:val="16"/>
            <w:szCs w:val="16"/>
            <w:color w:val="004A76"/>
          </w:rPr>
          <w:t>Vinkovi</w:t>
        </w:r>
        <w:r>
          <w:rPr>
            <w:rFonts w:ascii="Arial" w:cs="Arial" w:eastAsia="Arial" w:hAnsi="Arial"/>
            <w:sz w:val="16"/>
            <w:szCs w:val="16"/>
            <w:color w:val="004A76"/>
          </w:rPr>
          <w:t>ć</w:t>
        </w:r>
        <w:r>
          <w:rPr>
            <w:rFonts w:ascii="Times New Roman" w:cs="Times New Roman" w:eastAsia="Times New Roman" w:hAnsi="Times New Roman"/>
            <w:sz w:val="16"/>
            <w:szCs w:val="16"/>
            <w:color w:val="000000"/>
          </w:rPr>
          <w:t xml:space="preserve"> </w:t>
        </w:r>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 In contrast, a reduction of total chlorophyll content was observed in A. thaliana treated with NAg (0.2</w:t>
      </w:r>
      <w:r>
        <w:rPr>
          <w:rFonts w:ascii="Arial" w:cs="Arial" w:eastAsia="Arial" w:hAnsi="Arial"/>
          <w:sz w:val="16"/>
          <w:szCs w:val="16"/>
          <w:color w:val="000000"/>
        </w:rPr>
        <w:t>–</w:t>
      </w:r>
      <w:r>
        <w:rPr>
          <w:rFonts w:ascii="Times New Roman" w:cs="Times New Roman" w:eastAsia="Times New Roman" w:hAnsi="Times New Roman"/>
          <w:sz w:val="16"/>
          <w:szCs w:val="16"/>
          <w:color w:val="000000"/>
        </w:rPr>
        <w:t>3.0 mg/l) (</w:t>
      </w:r>
      <w:hyperlink w:anchor="page1">
        <w:r>
          <w:rPr>
            <w:rFonts w:ascii="Times New Roman" w:cs="Times New Roman" w:eastAsia="Times New Roman" w:hAnsi="Times New Roman"/>
            <w:sz w:val="16"/>
            <w:szCs w:val="16"/>
            <w:color w:val="004A76"/>
          </w:rPr>
          <w:t>Qian et al., 2013</w:t>
        </w:r>
      </w:hyperlink>
      <w:r>
        <w:rPr>
          <w:rFonts w:ascii="Times New Roman" w:cs="Times New Roman" w:eastAsia="Times New Roman" w:hAnsi="Times New Roman"/>
          <w:sz w:val="16"/>
          <w:szCs w:val="16"/>
          <w:color w:val="000000"/>
        </w:rPr>
        <w:t>). This discrepancy may be due to the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sizes of nanoparticles and genotypes used.</w:t>
      </w:r>
    </w:p>
    <w:p>
      <w:pPr>
        <w:spacing w:after="0" w:line="203" w:lineRule="exact"/>
        <w:rPr>
          <w:rFonts w:ascii="Times New Roman" w:cs="Times New Roman" w:eastAsia="Times New Roman" w:hAnsi="Times New Roman"/>
          <w:sz w:val="16"/>
          <w:szCs w:val="16"/>
          <w:color w:val="000000"/>
        </w:rPr>
      </w:pPr>
    </w:p>
    <w:p>
      <w:pPr>
        <w:jc w:val="both"/>
        <w:ind w:left="8"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As expected, the meristem-derived plants were found to be free of HVX when analyzed using RT</w:t>
      </w:r>
      <w:r>
        <w:rPr>
          <w:rFonts w:ascii="Arial" w:cs="Arial" w:eastAsia="Arial" w:hAnsi="Arial"/>
          <w:sz w:val="16"/>
          <w:szCs w:val="16"/>
          <w:color w:val="auto"/>
        </w:rPr>
        <w:t>–</w:t>
      </w:r>
      <w:r>
        <w:rPr>
          <w:rFonts w:ascii="Times New Roman" w:cs="Times New Roman" w:eastAsia="Times New Roman" w:hAnsi="Times New Roman"/>
          <w:sz w:val="16"/>
          <w:szCs w:val="16"/>
          <w:color w:val="auto"/>
        </w:rPr>
        <w:t>PCR, with no expression of the HVX gene. This is in line with previous studies reporting the production of virus-free plants using meristem cultures (</w:t>
      </w:r>
      <w:hyperlink w:anchor="page1">
        <w:r>
          <w:rPr>
            <w:rFonts w:ascii="Times New Roman" w:cs="Times New Roman" w:eastAsia="Times New Roman" w:hAnsi="Times New Roman"/>
            <w:sz w:val="16"/>
            <w:szCs w:val="16"/>
            <w:color w:val="004A76"/>
          </w:rPr>
          <w:t>Vcelar et al., 1992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Nesi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Chinestra et al., 2015</w:t>
        </w:r>
      </w:hyperlink>
      <w:r>
        <w:rPr>
          <w:rFonts w:ascii="Times New Roman" w:cs="Times New Roman" w:eastAsia="Times New Roman" w:hAnsi="Times New Roman"/>
          <w:sz w:val="16"/>
          <w:szCs w:val="16"/>
          <w:color w:val="000000"/>
        </w:rPr>
        <w:t>).</w:t>
      </w:r>
    </w:p>
    <w:p>
      <w:pPr>
        <w:spacing w:after="0" w:line="3" w:lineRule="exact"/>
        <w:rPr>
          <w:rFonts w:ascii="Times New Roman" w:cs="Times New Roman" w:eastAsia="Times New Roman" w:hAnsi="Times New Roman"/>
          <w:sz w:val="16"/>
          <w:szCs w:val="16"/>
          <w:color w:val="004A76"/>
        </w:rPr>
      </w:pPr>
    </w:p>
    <w:p>
      <w:pPr>
        <w:jc w:val="both"/>
        <w:ind w:left="8" w:firstLine="249"/>
        <w:spacing w:after="0" w:line="280"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Previous studies demonstrated somaclonal variation in meristem-derived plants in some plant species (</w:t>
      </w:r>
      <w:hyperlink w:anchor="page1">
        <w:r>
          <w:rPr>
            <w:rFonts w:ascii="Times New Roman" w:cs="Times New Roman" w:eastAsia="Times New Roman" w:hAnsi="Times New Roman"/>
            <w:sz w:val="16"/>
            <w:szCs w:val="16"/>
            <w:color w:val="004A76"/>
          </w:rPr>
          <w:t>Vuylsteke et al., 1988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Zucchi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Whitehouse et al., 2011</w:t>
        </w:r>
      </w:hyperlink>
      <w:r>
        <w:rPr>
          <w:rFonts w:ascii="Times New Roman" w:cs="Times New Roman" w:eastAsia="Times New Roman" w:hAnsi="Times New Roman"/>
          <w:sz w:val="16"/>
          <w:szCs w:val="16"/>
          <w:color w:val="000000"/>
        </w:rPr>
        <w:t>). Although meristem cultures of</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52"/>
            <w:col w:w="5028"/>
          </w:cols>
          <w:pgMar w:left="760" w:top="676" w:right="746" w:bottom="37" w:gutter="0" w:footer="0" w:header="0"/>
          <w:type w:val="continuous"/>
        </w:sectPr>
      </w:pPr>
    </w:p>
    <w:p>
      <w:pPr>
        <w:spacing w:after="0" w:line="111"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P.P.W. Pe, et al.</w:t>
      </w:r>
    </w:p>
    <w:p>
      <w:pPr>
        <w:spacing w:after="0" w:line="283"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Hosta cultivars have not previously been investigated in this respect, somaclonal variation (ranging from 1.8%</w:t>
      </w:r>
      <w:r>
        <w:rPr>
          <w:rFonts w:ascii="Arial" w:cs="Arial" w:eastAsia="Arial" w:hAnsi="Arial"/>
          <w:sz w:val="16"/>
          <w:szCs w:val="16"/>
          <w:color w:val="auto"/>
        </w:rPr>
        <w:t>–</w:t>
      </w:r>
      <w:r>
        <w:rPr>
          <w:rFonts w:ascii="Times New Roman" w:cs="Times New Roman" w:eastAsia="Times New Roman" w:hAnsi="Times New Roman"/>
          <w:sz w:val="16"/>
          <w:szCs w:val="16"/>
          <w:color w:val="auto"/>
        </w:rPr>
        <w:t>43.8%) in plants regenerated from other explants has been observed in Hosta cultivars, with the ge-netic variants showing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leaf area, chlorophyll content, and petiole length compared with normal plants (</w:t>
      </w:r>
      <w:hyperlink w:anchor="page1">
        <w:r>
          <w:rPr>
            <w:rFonts w:ascii="Times New Roman" w:cs="Times New Roman" w:eastAsia="Times New Roman" w:hAnsi="Times New Roman"/>
            <w:sz w:val="16"/>
            <w:szCs w:val="16"/>
            <w:color w:val="004A76"/>
          </w:rPr>
          <w:t>Paek and Ma, 1996</w:t>
        </w:r>
      </w:hyperlink>
      <w:r>
        <w:rPr>
          <w:rFonts w:ascii="Times New Roman" w:cs="Times New Roman" w:eastAsia="Times New Roman" w:hAnsi="Times New Roman"/>
          <w:sz w:val="16"/>
          <w:szCs w:val="16"/>
          <w:color w:val="auto"/>
        </w:rPr>
        <w:t>). In the present study, meristem-derived plants that were grown in a greenhouse did not exhibit any morphological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from the donor plants. An analysis of genetic variation using RAPD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that there was no somaclonal variation in the meristem-derived plants. Therefore, this in vitro propagation method is recommended for use in the production of virus-free, genetically stable plants.</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6"/>
          <w:szCs w:val="16"/>
          <w:color w:val="auto"/>
        </w:rPr>
        <w:t>5. Conclusion</w:t>
      </w:r>
    </w:p>
    <w:p>
      <w:pPr>
        <w:spacing w:after="0" w:line="237"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We proposed an in vitro method for propagating virus-infected H. capitata by culturing meristems in MS media containing the combina-tion of 0.1 mg/l NAA and 3.0 mg/l BA, which led to the highest rate of shoot regeneration and fresh weight per explant. The addition of NAg (20 mg/l) distinctly stimulated plant growth and greenery compared with that in the control. The resulting meristem-derived plants were not only free of viral infection but also genetically and morphologically stable when compared with donor plants grown in a greenhouse. Therefore, the plants obtained using this method would be highly va-luable in commercial production for the landscape industry. We suggest that the proposed in vitro propagation method is suitable for the com-mercial production of virus-free, true-to-type Hosta plants.</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16"/>
          <w:szCs w:val="16"/>
          <w:color w:val="auto"/>
        </w:rPr>
        <w:t>Funding</w:t>
      </w:r>
    </w:p>
    <w:p>
      <w:pPr>
        <w:spacing w:after="0" w:line="237" w:lineRule="exact"/>
        <w:rPr>
          <w:sz w:val="20"/>
          <w:szCs w:val="20"/>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This work was supported by a grant from the New Breeding Technology Program (Project no. PJ01485801), Rural Development Administration, Republic of Korea. This work was supported by the 2014 Yeungnam University research grant.'</w:t>
      </w:r>
    </w:p>
    <w:p>
      <w:pPr>
        <w:spacing w:after="0" w:line="191" w:lineRule="exact"/>
        <w:rPr>
          <w:sz w:val="20"/>
          <w:szCs w:val="20"/>
          <w:color w:val="auto"/>
        </w:rPr>
      </w:pPr>
    </w:p>
    <w:p>
      <w:pPr>
        <w:spacing w:after="0"/>
        <w:rPr>
          <w:sz w:val="20"/>
          <w:szCs w:val="20"/>
          <w:color w:val="auto"/>
        </w:rPr>
      </w:pPr>
      <w:r>
        <w:rPr>
          <w:rFonts w:ascii="Arial" w:cs="Arial" w:eastAsia="Arial" w:hAnsi="Arial"/>
          <w:sz w:val="16"/>
          <w:szCs w:val="16"/>
          <w:color w:val="auto"/>
        </w:rPr>
        <w:t>Author contributions</w:t>
      </w:r>
    </w:p>
    <w:p>
      <w:pPr>
        <w:spacing w:after="0" w:line="237"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 xml:space="preserve">AHN designed the study. PPWP conducted the experiments and wrote a draft of the manuscript. AHN edited and revised the manu-script. MTS and HK assisted the experiments. CKK and KIP supervised the experiments at all stages and performed critical revisions of the manuscript. All authors read and approved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manuscript.</w:t>
      </w:r>
    </w:p>
    <w:p>
      <w:pPr>
        <w:spacing w:after="0" w:line="194" w:lineRule="exact"/>
        <w:rPr>
          <w:sz w:val="20"/>
          <w:szCs w:val="20"/>
          <w:color w:val="auto"/>
        </w:rPr>
      </w:pPr>
    </w:p>
    <w:p>
      <w:pPr>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 xml:space="preserve">Phyo Phyo Win Pe: </w:t>
      </w:r>
      <w:r>
        <w:rPr>
          <w:rFonts w:ascii="Times New Roman" w:cs="Times New Roman" w:eastAsia="Times New Roman" w:hAnsi="Times New Roman"/>
          <w:sz w:val="16"/>
          <w:szCs w:val="16"/>
          <w:color w:val="auto"/>
        </w:rPr>
        <w:t>Conceptualization, Data curation, Formal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analysis, Validation, Visualization, Writing - original draft. </w:t>
      </w:r>
      <w:r>
        <w:rPr>
          <w:rFonts w:ascii="Arial" w:cs="Arial" w:eastAsia="Arial" w:hAnsi="Arial"/>
          <w:sz w:val="16"/>
          <w:szCs w:val="16"/>
          <w:color w:val="auto"/>
        </w:rPr>
        <w:t>Aung Htay</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xml:space="preserve">Naing: </w:t>
      </w:r>
      <w:r>
        <w:rPr>
          <w:rFonts w:ascii="Times New Roman" w:cs="Times New Roman" w:eastAsia="Times New Roman" w:hAnsi="Times New Roman"/>
          <w:sz w:val="16"/>
          <w:szCs w:val="16"/>
          <w:color w:val="auto"/>
        </w:rPr>
        <w:t>Methodology, Validation, Visualization, Writing - review &amp;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editing. </w:t>
      </w:r>
      <w:r>
        <w:rPr>
          <w:rFonts w:ascii="Arial" w:cs="Arial" w:eastAsia="Arial" w:hAnsi="Arial"/>
          <w:sz w:val="16"/>
          <w:szCs w:val="16"/>
          <w:color w:val="auto"/>
        </w:rPr>
        <w:t>May Thu Soe:</w:t>
      </w:r>
      <w:r>
        <w:rPr>
          <w:rFonts w:ascii="Times New Roman" w:cs="Times New Roman" w:eastAsia="Times New Roman" w:hAnsi="Times New Roman"/>
          <w:sz w:val="16"/>
          <w:szCs w:val="16"/>
          <w:color w:val="auto"/>
        </w:rPr>
        <w:t xml:space="preserve"> Investigation, Methodology. </w:t>
      </w:r>
      <w:r>
        <w:rPr>
          <w:rFonts w:ascii="Arial" w:cs="Arial" w:eastAsia="Arial" w:hAnsi="Arial"/>
          <w:sz w:val="16"/>
          <w:szCs w:val="16"/>
          <w:color w:val="auto"/>
        </w:rPr>
        <w:t>Hyunhee Kang:</w:t>
      </w:r>
      <w:r>
        <w:rPr>
          <w:rFonts w:ascii="Times New Roman" w:cs="Times New Roman" w:eastAsia="Times New Roman" w:hAnsi="Times New Roman"/>
          <w:sz w:val="16"/>
          <w:szCs w:val="16"/>
          <w:color w:val="auto"/>
        </w:rPr>
        <w:t xml:space="preserve"> Investigation, Methodology. </w:t>
      </w:r>
      <w:r>
        <w:rPr>
          <w:rFonts w:ascii="Arial" w:cs="Arial" w:eastAsia="Arial" w:hAnsi="Arial"/>
          <w:sz w:val="16"/>
          <w:szCs w:val="16"/>
          <w:color w:val="auto"/>
        </w:rPr>
        <w:t>Kyeung Il Park:</w:t>
      </w:r>
      <w:r>
        <w:rPr>
          <w:rFonts w:ascii="Times New Roman" w:cs="Times New Roman" w:eastAsia="Times New Roman" w:hAnsi="Times New Roman"/>
          <w:sz w:val="16"/>
          <w:szCs w:val="16"/>
          <w:color w:val="auto"/>
        </w:rPr>
        <w:t xml:space="preserve"> Funding acquisition, Project administration, Supervision. </w:t>
      </w:r>
      <w:r>
        <w:rPr>
          <w:rFonts w:ascii="Arial" w:cs="Arial" w:eastAsia="Arial" w:hAnsi="Arial"/>
          <w:sz w:val="16"/>
          <w:szCs w:val="16"/>
          <w:color w:val="auto"/>
        </w:rPr>
        <w:t>Chang Kil Kim:</w:t>
      </w:r>
      <w:r>
        <w:rPr>
          <w:rFonts w:ascii="Times New Roman" w:cs="Times New Roman" w:eastAsia="Times New Roman" w:hAnsi="Times New Roman"/>
          <w:sz w:val="16"/>
          <w:szCs w:val="16"/>
          <w:color w:val="auto"/>
        </w:rPr>
        <w:t xml:space="preserve"> Funding acquisi-tion, Project administration, Supervision.</w:t>
      </w:r>
    </w:p>
    <w:p>
      <w:pPr>
        <w:spacing w:after="0" w:line="198"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The authors report 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of interest.</w:t>
      </w:r>
    </w:p>
    <w:p>
      <w:pPr>
        <w:spacing w:after="0" w:line="231"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https://doi.org/10.1016/j.scienta.2020.109591</w:t>
        </w:r>
      </w:hyperlink>
      <w:r>
        <w:rPr>
          <w:rFonts w:ascii="Times New Roman" w:cs="Times New Roman" w:eastAsia="Times New Roman" w:hAnsi="Times New Roman"/>
          <w:sz w:val="16"/>
          <w:szCs w:val="16"/>
          <w:color w:val="auto"/>
        </w:rPr>
        <w:t>.</w:t>
      </w:r>
    </w:p>
    <w:p>
      <w:pPr>
        <w:spacing w:after="0" w:line="18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Abdi, Gh., Salehi, H., Khosh-Khui, M., 2008. Nano silver: a novel nanomaterial for</w:t>
        </w:r>
      </w:hyperlink>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109591</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removal of bacterial contaminants in valerian (Valeriana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cinalis L.) tissue culture.</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Acta Physiol. Plant. 30, 709</w:t>
        </w:r>
        <w:r>
          <w:rPr>
            <w:rFonts w:ascii="Arial" w:cs="Arial" w:eastAsia="Arial" w:hAnsi="Arial"/>
            <w:sz w:val="13"/>
            <w:szCs w:val="13"/>
            <w:color w:val="004A76"/>
          </w:rPr>
          <w:t>–</w:t>
        </w:r>
        <w:r>
          <w:rPr>
            <w:rFonts w:ascii="Times New Roman" w:cs="Times New Roman" w:eastAsia="Times New Roman" w:hAnsi="Times New Roman"/>
            <w:sz w:val="13"/>
            <w:szCs w:val="13"/>
            <w:color w:val="004A76"/>
          </w:rPr>
          <w:t>714</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right="140" w:hanging="238"/>
        <w:spacing w:after="0" w:line="248"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Adedire, O.L., Wen, R.H., Windham, A., Windham, M., Hajimorad, M.R., 2009. Hosta</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virus X in Hosta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ed in Tennessee, USA. Plant Pathol. 58, 405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Brunt, A.A., Foster, G.D., Martelli, G.P., Zavriev, S.K., 2000. Potexvirus. In: Van</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Regenmortel, M.H.V., Fauquet, C.M., Bishop, D.H.L., Carstens, E.B., Estes, M.K.,</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Lemon, S.M., Manilo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J., Mayo, M.A., McGeoch, D.J., Pringle, C.R., Wickner, R.B.</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(Eds.), Virus Taxonomy. Classi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and Nomenclature of Viruses. Academic Press,</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San Diego, USA, pp. 975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981 Seventh Report of the International Committee on</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Taxonomy of Viruses</w:t>
        </w:r>
      </w:hyperlink>
      <w:r>
        <w:rPr>
          <w:rFonts w:ascii="Times New Roman" w:cs="Times New Roman" w:eastAsia="Times New Roman" w:hAnsi="Times New Roman"/>
          <w:sz w:val="13"/>
          <w:szCs w:val="13"/>
          <w:color w:val="000000"/>
        </w:rPr>
        <w:t>.</w:t>
      </w:r>
    </w:p>
    <w:p>
      <w:pPr>
        <w:spacing w:after="0" w:line="150" w:lineRule="exact"/>
        <w:rPr>
          <w:rFonts w:ascii="Times New Roman" w:cs="Times New Roman" w:eastAsia="Times New Roman" w:hAnsi="Times New Roman"/>
          <w:sz w:val="13"/>
          <w:szCs w:val="13"/>
          <w:color w:val="004A76"/>
        </w:rPr>
      </w:pPr>
    </w:p>
    <w:p>
      <w:pPr>
        <w:jc w:val="both"/>
        <w:ind w:left="240" w:hanging="238"/>
        <w:spacing w:after="0" w:line="262"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Chinestra, S.C., Curvetto, N.R., Marinangeli, P.A., 2015. Production of virus-free plants of</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Lilium spp. from bulbs obtained in vitro and ex vitro. Sci. Hortic. 194, 304</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Hill, R.A., Tuskan, G.A., Boe, A.A., 1989. In vitro propagation of Hosta sieboldiana using</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 xml:space="preserve">excised ovaries from immature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orets. Plant Cell Tiss.Org. Cult. 17, 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75</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Jadczak, P., Kulpa, D., Bihun, M., Przewodowski, W., 2019. Positive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AgNPs and</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AuNPs in in vitro cultures of Lavandula angustifolia Mill. Plant Cell Tiss.Org. Cult. 139,</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191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Ku, B.S., Cho, M.S., 2016. In vitro multiplication of Hosta plantaginea</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Joseon</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by shoot-tip</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culture. Flower Res. J. 24, 328</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336</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Lockhart, B.E.L., 2006. Occurrence of Arabis mosaic virus in hostas in the United States.</w:t>
        </w:r>
      </w:hyperlink>
    </w:p>
    <w:p>
      <w:pPr>
        <w:spacing w:after="0" w:line="2"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Plant Dis. 90, 834</w:t>
        </w:r>
        <w:r>
          <w:rPr>
            <w:rFonts w:ascii="Arial" w:cs="Arial" w:eastAsia="Arial" w:hAnsi="Arial"/>
            <w:sz w:val="13"/>
            <w:szCs w:val="13"/>
            <w:color w:val="004A76"/>
          </w:rPr>
          <w:t>–</w:t>
        </w:r>
        <w:r>
          <w:rPr>
            <w:rFonts w:ascii="Times New Roman" w:cs="Times New Roman" w:eastAsia="Times New Roman" w:hAnsi="Times New Roman"/>
            <w:sz w:val="13"/>
            <w:szCs w:val="13"/>
            <w:color w:val="004A76"/>
          </w:rPr>
          <w:t>837</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right="220" w:hanging="238"/>
        <w:spacing w:after="0" w:line="255"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Lubomski, M., 1989a. Shoot multiplication and rooting of Hosta sieboldiana cv. Gold</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Standard using cultured shoot tip. Acta Hort. 251, 223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228</w:t>
        </w:r>
      </w:hyperlink>
      <w:r>
        <w:rPr>
          <w:rFonts w:ascii="Times New Roman" w:cs="Times New Roman" w:eastAsia="Times New Roman" w:hAnsi="Times New Roman"/>
          <w:sz w:val="13"/>
          <w:szCs w:val="13"/>
          <w:color w:val="000000"/>
        </w:rPr>
        <w:t>.</w:t>
      </w:r>
    </w:p>
    <w:p>
      <w:pPr>
        <w:ind w:left="240" w:right="140" w:hanging="238"/>
        <w:spacing w:after="0" w:line="255"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Lubomski, M., 1989b. In vitro shoot regeneration from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explants of Hosta sie-</w:t>
        </w:r>
      </w:hyperlink>
      <w:hyperlink r:id="rId33">
        <w:r>
          <w:rPr>
            <w:rFonts w:ascii="Times New Roman" w:cs="Times New Roman" w:eastAsia="Times New Roman" w:hAnsi="Times New Roman"/>
            <w:sz w:val="13"/>
            <w:szCs w:val="13"/>
            <w:color w:val="004A76"/>
          </w:rPr>
          <w:t>boldiana cv. Gold Standard. Acta Hort. 251, 229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right="120"/>
        <w:spacing w:after="0" w:line="247"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Meyer, M.M., 1980. In vitro propagation of Hosta sieboldiana. Hort. Sci. 15, 737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738</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Naing, A.H., Kim, S.H., Chung, M.Y., Park, S.K., Kim, C.K., 2019. In vitro propagation</w:t>
        </w:r>
      </w:hyperlink>
    </w:p>
    <w:p>
      <w:pPr>
        <w:spacing w:after="0" w:line="1" w:lineRule="exact"/>
        <w:rPr>
          <w:sz w:val="20"/>
          <w:szCs w:val="20"/>
          <w:color w:val="auto"/>
        </w:rPr>
      </w:pPr>
    </w:p>
    <w:p>
      <w:pPr>
        <w:ind w:left="240" w:right="40"/>
        <w:spacing w:after="0" w:line="25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method for production of morphologically and genetically stable plants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strawberry cultivars. Plant Methods 15, 36</w:t>
        </w:r>
      </w:hyperlink>
      <w:r>
        <w:rPr>
          <w:rFonts w:ascii="Times New Roman" w:cs="Times New Roman" w:eastAsia="Times New Roman" w:hAnsi="Times New Roman"/>
          <w:sz w:val="13"/>
          <w:szCs w:val="13"/>
          <w:color w:val="000000"/>
        </w:rPr>
        <w:t>.</w:t>
      </w:r>
    </w:p>
    <w:p>
      <w:pPr>
        <w:ind w:left="240" w:right="40" w:hanging="238"/>
        <w:spacing w:after="0" w:line="260"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Nesi, B., Trinchello, D., Lazzereschi, S., Grassotti, A., 2009. Production of Lily symp-</w:t>
        </w:r>
      </w:hyperlink>
      <w:hyperlink r:id="rId36">
        <w:r>
          <w:rPr>
            <w:rFonts w:ascii="Times New Roman" w:cs="Times New Roman" w:eastAsia="Times New Roman" w:hAnsi="Times New Roman"/>
            <w:sz w:val="13"/>
            <w:szCs w:val="13"/>
            <w:color w:val="004A76"/>
          </w:rPr>
          <w:t>tomless virus-free plants by shoot meristem tip culture and in vitro thermotherapy.</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HortScience 44, 217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line="263"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Nongalleima, K., Dikash Singh, T., Amitabha, D., Deb, L., Sunitibala Devi, H., 2014.</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Optimization of surface sterilization protocol, induction of axillary shoots regenera-</w:t>
        </w:r>
      </w:hyperlink>
      <w:hyperlink r:id="rId37">
        <w:r>
          <w:rPr>
            <w:rFonts w:ascii="Times New Roman" w:cs="Times New Roman" w:eastAsia="Times New Roman" w:hAnsi="Times New Roman"/>
            <w:sz w:val="13"/>
            <w:szCs w:val="13"/>
            <w:color w:val="004A76"/>
          </w:rPr>
          <w:t>tion in Zingiber zerumbet (L.) Sm. as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by season. Biol. Rhythm Res. 45,</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317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324</w:t>
        </w:r>
      </w:hyperlink>
      <w:r>
        <w:rPr>
          <w:rFonts w:ascii="Times New Roman" w:cs="Times New Roman" w:eastAsia="Times New Roman" w:hAnsi="Times New Roman"/>
          <w:sz w:val="13"/>
          <w:szCs w:val="13"/>
          <w:color w:val="000000"/>
        </w:rPr>
        <w:t>.</w:t>
      </w:r>
    </w:p>
    <w:p>
      <w:pPr>
        <w:spacing w:after="0" w:line="145"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Oh, H.S., Kim, H.H., Moon, S.J., Kwon, S.J., Lee, C.H., 2003.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temperature and</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priming treatment on seed germination of Hosta plantaginea. J. Kor. Soc. Hort. Sci. 44,</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267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5"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Paek, K.Y., Ma, S.H., 1996. In vitro propagation of Hosta using cultured shoot tips and</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somaclonal variability of regenerants. Acta Hort. 440, 576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581</w:t>
        </w:r>
      </w:hyperlink>
      <w:r>
        <w:rPr>
          <w:rFonts w:ascii="Times New Roman" w:cs="Times New Roman" w:eastAsia="Times New Roman" w:hAnsi="Times New Roman"/>
          <w:sz w:val="13"/>
          <w:szCs w:val="13"/>
          <w:color w:val="000000"/>
        </w:rPr>
        <w:t>.</w:t>
      </w:r>
    </w:p>
    <w:p>
      <w:pPr>
        <w:jc w:val="both"/>
        <w:ind w:left="240" w:right="240" w:hanging="238"/>
        <w:spacing w:after="0" w:line="255"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Papachatzi, M., Hammer, P.A., Hasegawa, P.M., 1980. In vitro propagation of Hosta</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plantaginea. HortScience 15, 506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507</w:t>
        </w:r>
      </w:hyperlink>
      <w:r>
        <w:rPr>
          <w:rFonts w:ascii="Times New Roman" w:cs="Times New Roman" w:eastAsia="Times New Roman" w:hAnsi="Times New Roman"/>
          <w:sz w:val="13"/>
          <w:szCs w:val="13"/>
          <w:color w:val="000000"/>
        </w:rPr>
        <w:t>.</w:t>
      </w:r>
    </w:p>
    <w:p>
      <w:pPr>
        <w:jc w:val="both"/>
        <w:ind w:left="240" w:right="240" w:hanging="238"/>
        <w:spacing w:after="0" w:line="255"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Papachatzi, M., Hammer, P.A., Hasegawa, P.M., 1981. In vitro propagation of Hosta</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decorata</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Thomas Hogg</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using cultured shoot tips. J. Am. Soc. Hortic. Sci. 106,</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232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Qian, H., Peng, X., Han, X., Ren, J., Sun, L., Fu, Z., 2013. Comparison of the toxicity of</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silver nanoparticles and silver ions on growth of terrestrial plant model Arabidopsis</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thaliana. J. Environ. Sci. 25 (9), 1947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1956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Ryu, K.H., Park, M.H., Lee, J.S., 2002. Occurrence of mosaic disease of Hosta plant caused</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by Hosta virus X. Plant Pathol. J. 18, 313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316</w:t>
        </w:r>
      </w:hyperlink>
      <w:r>
        <w:rPr>
          <w:rFonts w:ascii="Times New Roman" w:cs="Times New Roman" w:eastAsia="Times New Roman" w:hAnsi="Times New Roman"/>
          <w:sz w:val="13"/>
          <w:szCs w:val="13"/>
          <w:color w:val="000000"/>
        </w:rPr>
        <w:t>.</w:t>
      </w:r>
    </w:p>
    <w:p>
      <w:pPr>
        <w:jc w:val="both"/>
        <w:ind w:left="240" w:right="120" w:hanging="238"/>
        <w:spacing w:after="0" w:line="255"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Saito, H., Nakano, M., 2002. Plant regeneration from suspension cultures of Hosta sie-</w:t>
        </w:r>
      </w:hyperlink>
      <w:hyperlink r:id="rId44">
        <w:r>
          <w:rPr>
            <w:rFonts w:ascii="Times New Roman" w:cs="Times New Roman" w:eastAsia="Times New Roman" w:hAnsi="Times New Roman"/>
            <w:sz w:val="13"/>
            <w:szCs w:val="13"/>
            <w:color w:val="004A76"/>
          </w:rPr>
          <w:t>boldiana. Plant Cell Tiss Org. Cult. 71, 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w:t>
        </w:r>
      </w:hyperlink>
      <w:r>
        <w:rPr>
          <w:rFonts w:ascii="Times New Roman" w:cs="Times New Roman" w:eastAsia="Times New Roman" w:hAnsi="Times New Roman"/>
          <w:sz w:val="13"/>
          <w:szCs w:val="13"/>
          <w:color w:val="000000"/>
        </w:rPr>
        <w:t>.</w:t>
      </w:r>
    </w:p>
    <w:p>
      <w:pPr>
        <w:jc w:val="both"/>
        <w:ind w:left="240" w:right="120" w:hanging="238"/>
        <w:spacing w:after="0" w:line="255"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Sarmast, M.K., Salehi, H., Khosh-Khui, M., 2011. Nano silver treatment is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ective in</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reducing bacterial contamination of Araucaria excelsa R. Br. var. glauca explants.</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Acta Biol. Hungarica 62, 477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484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Shchetynina, A., Budzanivska, I., Pereboychuk, O., Somera, M., Truve, E., 2017. First</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report of Hosta virus X infecting hosta plants in Ukraine. Acta Virol. 61, 498</w:t>
        </w:r>
        <w:r>
          <w:rPr>
            <w:rFonts w:ascii="Arial" w:cs="Arial" w:eastAsia="Arial" w:hAnsi="Arial"/>
            <w:sz w:val="13"/>
            <w:szCs w:val="13"/>
            <w:color w:val="004A76"/>
          </w:rPr>
          <w:t>–</w:t>
        </w:r>
        <w:r>
          <w:rPr>
            <w:rFonts w:ascii="Times New Roman" w:cs="Times New Roman" w:eastAsia="Times New Roman" w:hAnsi="Times New Roman"/>
            <w:sz w:val="13"/>
            <w:szCs w:val="13"/>
            <w:color w:val="004A76"/>
          </w:rPr>
          <w:t>499</w:t>
        </w:r>
      </w:hyperlink>
      <w:r>
        <w:rPr>
          <w:rFonts w:ascii="Times New Roman" w:cs="Times New Roman" w:eastAsia="Times New Roman" w:hAnsi="Times New Roman"/>
          <w:sz w:val="13"/>
          <w:szCs w:val="13"/>
          <w:color w:val="000000"/>
        </w:rPr>
        <w:t>.</w:t>
      </w:r>
    </w:p>
    <w:p>
      <w:pPr>
        <w:jc w:val="both"/>
        <w:ind w:left="24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Song, S., Cui, J., Lei, G.J., Chen, Y.F., Yang, M.X., Li, Z.N., Zhang, J.H., 2020. Occurrence, infectivity and molecular characterization of hosta virus X in Northeast China. Can. J. Plant Pathol. </w:t>
      </w:r>
      <w:hyperlink r:id="rId47">
        <w:r>
          <w:rPr>
            <w:rFonts w:ascii="Times New Roman" w:cs="Times New Roman" w:eastAsia="Times New Roman" w:hAnsi="Times New Roman"/>
            <w:sz w:val="13"/>
            <w:szCs w:val="13"/>
            <w:color w:val="004A76"/>
          </w:rPr>
          <w:t>https://doi.org/10.1080/07060661.2020.1736638</w:t>
        </w:r>
      </w:hyperlink>
      <w:r>
        <w:rPr>
          <w:rFonts w:ascii="Times New Roman" w:cs="Times New Roman" w:eastAsia="Times New Roman" w:hAnsi="Times New Roman"/>
          <w:sz w:val="13"/>
          <w:szCs w:val="13"/>
          <w:color w:val="auto"/>
        </w:rPr>
        <w:t>.</w:t>
      </w:r>
    </w:p>
    <w:p>
      <w:pPr>
        <w:jc w:val="both"/>
        <w:ind w:left="240" w:right="20" w:hanging="238"/>
        <w:spacing w:after="0" w:line="262"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Sza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án, Z., Jámbor-Benczúr, E., Csillag, A., 1997. In vitro propagation and study of the</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epidermis of Hosta fortunei. Acta Hortic. 447, 191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192</w:t>
        </w:r>
      </w:hyperlink>
      <w:r>
        <w:rPr>
          <w:rFonts w:ascii="Times New Roman" w:cs="Times New Roman" w:eastAsia="Times New Roman" w:hAnsi="Times New Roman"/>
          <w:sz w:val="13"/>
          <w:szCs w:val="13"/>
          <w:color w:val="000000"/>
        </w:rPr>
        <w:t>.</w:t>
      </w:r>
    </w:p>
    <w:p>
      <w:pPr>
        <w:jc w:val="both"/>
        <w:ind w:left="240" w:hanging="238"/>
        <w:spacing w:after="0" w:line="235"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Vcelar, B.M., Ferreira, D.I., Niederwieser, J.G., 1992. Elimination of Ornithogalum mosaic</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virus in the Ornithogalum cv. Rojel through meristems tip culture and chemotherapy.</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Plant Cell Tissue Organ Cult. 29 (51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55), 1992</w:t>
        </w:r>
      </w:hyperlink>
      <w:r>
        <w:rPr>
          <w:rFonts w:ascii="Times New Roman" w:cs="Times New Roman" w:eastAsia="Times New Roman" w:hAnsi="Times New Roman"/>
          <w:sz w:val="13"/>
          <w:szCs w:val="13"/>
          <w:color w:val="000000"/>
        </w:rPr>
        <w:t>.</w:t>
      </w:r>
    </w:p>
    <w:p>
      <w:pPr>
        <w:ind w:left="240" w:hanging="238"/>
        <w:spacing w:after="0" w:line="27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Vinkovi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T., Novák, O., Strnad, M., Goessler, W., Domazet Jura</w:t>
        </w:r>
        <w:r>
          <w:rPr>
            <w:rFonts w:ascii="Arial" w:cs="Arial" w:eastAsia="Arial" w:hAnsi="Arial"/>
            <w:sz w:val="13"/>
            <w:szCs w:val="13"/>
            <w:color w:val="004A76"/>
          </w:rPr>
          <w:t>š</w:t>
        </w:r>
        <w:r>
          <w:rPr>
            <w:rFonts w:ascii="Times New Roman" w:cs="Times New Roman" w:eastAsia="Times New Roman" w:hAnsi="Times New Roman"/>
            <w:sz w:val="13"/>
            <w:szCs w:val="13"/>
            <w:color w:val="004A76"/>
          </w:rPr>
          <w:t>in, D.D., Para</w:t>
        </w:r>
        <w:r>
          <w:rPr>
            <w:rFonts w:ascii="Arial" w:cs="Arial" w:eastAsia="Arial" w:hAnsi="Arial"/>
            <w:sz w:val="13"/>
            <w:szCs w:val="13"/>
            <w:color w:val="004A76"/>
          </w:rPr>
          <w:t>đ</w:t>
        </w:r>
        <w:r>
          <w:rPr>
            <w:rFonts w:ascii="Times New Roman" w:cs="Times New Roman" w:eastAsia="Times New Roman" w:hAnsi="Times New Roman"/>
            <w:sz w:val="13"/>
            <w:szCs w:val="13"/>
            <w:color w:val="004A76"/>
          </w:rPr>
          <w:t>ikovi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N.,</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Vr</w:t>
        </w:r>
        <w:r>
          <w:rPr>
            <w:rFonts w:ascii="Arial" w:cs="Arial" w:eastAsia="Arial" w:hAnsi="Arial"/>
            <w:sz w:val="13"/>
            <w:szCs w:val="13"/>
            <w:color w:val="004A76"/>
          </w:rPr>
          <w:t>č</w:t>
        </w:r>
        <w:r>
          <w:rPr>
            <w:rFonts w:ascii="Times New Roman" w:cs="Times New Roman" w:eastAsia="Times New Roman" w:hAnsi="Times New Roman"/>
            <w:sz w:val="13"/>
            <w:szCs w:val="13"/>
            <w:color w:val="004A76"/>
          </w:rPr>
          <w:t>eke, I.V., 2017. Cytokinin response in pepper plants (Capsicum annuum L.) ex-</w:t>
        </w:r>
      </w:hyperlink>
      <w:hyperlink r:id="rId50">
        <w:r>
          <w:rPr>
            <w:rFonts w:ascii="Times New Roman" w:cs="Times New Roman" w:eastAsia="Times New Roman" w:hAnsi="Times New Roman"/>
            <w:sz w:val="13"/>
            <w:szCs w:val="13"/>
            <w:color w:val="004A76"/>
          </w:rPr>
          <w:t>posed to silver nanoparticles. Environ. Res. 156, 10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w:t>
        </w:r>
      </w:hyperlink>
      <w:r>
        <w:rPr>
          <w:rFonts w:ascii="Times New Roman" w:cs="Times New Roman" w:eastAsia="Times New Roman" w:hAnsi="Times New Roman"/>
          <w:sz w:val="13"/>
          <w:szCs w:val="13"/>
          <w:color w:val="000000"/>
        </w:rPr>
        <w:t>.</w:t>
      </w:r>
    </w:p>
    <w:p>
      <w:pPr>
        <w:ind w:left="240" w:right="80" w:hanging="238"/>
        <w:spacing w:after="0" w:line="255"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Vuylsteke, D., Swennen, R., Wilson, G.F., DeLanghe, E., 1988. Phenotypic variation</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among in vitro propagated plantain (Musa sp. cultivar AAB). Sci. Hort. 36, 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88</w:t>
        </w:r>
      </w:hyperlink>
      <w:r>
        <w:rPr>
          <w:rFonts w:ascii="Times New Roman" w:cs="Times New Roman" w:eastAsia="Times New Roman" w:hAnsi="Times New Roman"/>
          <w:sz w:val="13"/>
          <w:szCs w:val="13"/>
          <w:color w:val="000000"/>
        </w:rPr>
        <w:t>.</w:t>
      </w:r>
    </w:p>
    <w:p>
      <w:pPr>
        <w:ind w:left="240" w:hanging="238"/>
        <w:spacing w:after="0" w:line="249"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Wei, M.S., Zhang, Y.J., Li, G.F., Ma, J., Li, M., 2013. First report of Hosta virus X infecting</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hosta plants in China. Plant Dis. 97 (3), 429</w:t>
        </w:r>
      </w:hyperlink>
      <w:r>
        <w:rPr>
          <w:rFonts w:ascii="Times New Roman" w:cs="Times New Roman" w:eastAsia="Times New Roman" w:hAnsi="Times New Roman"/>
          <w:sz w:val="13"/>
          <w:szCs w:val="13"/>
          <w:color w:val="000000"/>
        </w:rPr>
        <w:t>.</w:t>
      </w:r>
    </w:p>
    <w:p>
      <w:pPr>
        <w:ind w:left="240" w:right="240" w:hanging="238"/>
        <w:spacing w:after="0" w:line="260"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Whitehouse, A.B., Govan, C.L., Hammond, K.J., Sargent, D.J., Simpson, D.W., 2011.</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Meristem culture for the elimination of the strawberry crown rot pathogen</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Phytophthora cactorum. J. Berry Res. 1, 129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136</w:t>
        </w:r>
      </w:hyperlink>
      <w:r>
        <w:rPr>
          <w:rFonts w:ascii="Times New Roman" w:cs="Times New Roman" w:eastAsia="Times New Roman" w:hAnsi="Times New Roman"/>
          <w:sz w:val="13"/>
          <w:szCs w:val="13"/>
          <w:color w:val="000000"/>
        </w:rPr>
        <w:t>.</w:t>
      </w:r>
    </w:p>
    <w:p>
      <w:pPr>
        <w:ind w:left="240" w:hanging="238"/>
        <w:spacing w:after="0" w:line="256"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Williams, D.J., Al-Juboory, K.H., Skirvin, R.M., 1998. Adventitious shoot regeneration</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from ovaries of Hosta</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golden scepter</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In Vitro Cell. Dev. Biol. </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Plant. 34, 289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292</w:t>
        </w:r>
      </w:hyperlink>
      <w:r>
        <w:rPr>
          <w:rFonts w:ascii="Times New Roman" w:cs="Times New Roman" w:eastAsia="Times New Roman" w:hAnsi="Times New Roman"/>
          <w:sz w:val="13"/>
          <w:szCs w:val="13"/>
          <w:color w:val="000000"/>
        </w:rPr>
        <w:t>.</w:t>
      </w:r>
    </w:p>
    <w:p>
      <w:pPr>
        <w:ind w:left="240" w:hanging="238"/>
        <w:spacing w:after="0" w:line="262"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Zucchi, M.I., Arizono, H., Morais, V.A., Fungaro, M.H.P., Vieira, M.L.C., 2002. Genetic</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instability of sugarcane plants derived from meristem cultures. Genet. Mol. Biol. 25,</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96</w:t>
        </w:r>
      </w:hyperlink>
      <w:r>
        <w:rPr>
          <w:rFonts w:ascii="Times New Roman" w:cs="Times New Roman" w:eastAsia="Times New Roman" w:hAnsi="Times New Roman"/>
          <w:sz w:val="13"/>
          <w:szCs w:val="13"/>
          <w:color w:val="000000"/>
        </w:rPr>
        <w:t>.</w:t>
      </w:r>
    </w:p>
    <w:p>
      <w:pPr>
        <w:spacing w:after="0" w:line="647"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37" w:gutter="0" w:footer="0" w:header="0"/>
        </w:sectPr>
      </w:pPr>
    </w:p>
    <w:p>
      <w:pPr>
        <w:spacing w:after="0" w:line="399"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0"/>
          <w:szCs w:val="10"/>
          <w:color w:val="auto"/>
        </w:rPr>
        <w:t>7</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lowerLetter"/>
      <w:start w:val="1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8" Type="http://schemas.openxmlformats.org/officeDocument/2006/relationships/hyperlink" Target="https://doi.org/10.1016/j.scienta.2020.109591"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3" Type="http://schemas.openxmlformats.org/officeDocument/2006/relationships/hyperlink" Target="http://crossmark.crossref.org/dialog/?doi=10.1016/j.scienta.2020.109591&amp;domain=pdf" TargetMode="External"/><Relationship Id="rId16" Type="http://schemas.openxmlformats.org/officeDocument/2006/relationships/hyperlink" Target="mailto:pki0217@yu.ac.kr" TargetMode="External"/><Relationship Id="rId17" Type="http://schemas.openxmlformats.org/officeDocument/2006/relationships/hyperlink" Target="mailto:ckkim@knu.ac.kr" TargetMode="External"/><Relationship Id="rId24" Type="http://schemas.openxmlformats.org/officeDocument/2006/relationships/hyperlink" Target="http://refhub.elsevier.com/S0304-4238(20)30419-2/sbref0005" TargetMode="External"/><Relationship Id="rId25" Type="http://schemas.openxmlformats.org/officeDocument/2006/relationships/hyperlink" Target="http://refhub.elsevier.com/S0304-4238(20)30419-2/sbref0010" TargetMode="External"/><Relationship Id="rId26" Type="http://schemas.openxmlformats.org/officeDocument/2006/relationships/hyperlink" Target="http://refhub.elsevier.com/S0304-4238(20)30419-2/sbref0015" TargetMode="External"/><Relationship Id="rId27" Type="http://schemas.openxmlformats.org/officeDocument/2006/relationships/hyperlink" Target="http://refhub.elsevier.com/S0304-4238(20)30419-2/sbref0020" TargetMode="External"/><Relationship Id="rId28" Type="http://schemas.openxmlformats.org/officeDocument/2006/relationships/hyperlink" Target="http://refhub.elsevier.com/S0304-4238(20)30419-2/sbref0025" TargetMode="External"/><Relationship Id="rId29" Type="http://schemas.openxmlformats.org/officeDocument/2006/relationships/hyperlink" Target="http://refhub.elsevier.com/S0304-4238(20)30419-2/sbref0030" TargetMode="External"/><Relationship Id="rId30" Type="http://schemas.openxmlformats.org/officeDocument/2006/relationships/hyperlink" Target="http://refhub.elsevier.com/S0304-4238(20)30419-2/sbref0035" TargetMode="External"/><Relationship Id="rId31" Type="http://schemas.openxmlformats.org/officeDocument/2006/relationships/hyperlink" Target="http://refhub.elsevier.com/S0304-4238(20)30419-2/sbref0040" TargetMode="External"/><Relationship Id="rId32" Type="http://schemas.openxmlformats.org/officeDocument/2006/relationships/hyperlink" Target="http://refhub.elsevier.com/S0304-4238(20)30419-2/sbref0045" TargetMode="External"/><Relationship Id="rId33" Type="http://schemas.openxmlformats.org/officeDocument/2006/relationships/hyperlink" Target="http://refhub.elsevier.com/S0304-4238(20)30419-2/sbref0050" TargetMode="External"/><Relationship Id="rId34" Type="http://schemas.openxmlformats.org/officeDocument/2006/relationships/hyperlink" Target="http://refhub.elsevier.com/S0304-4238(20)30419-2/sbref0055" TargetMode="External"/><Relationship Id="rId35" Type="http://schemas.openxmlformats.org/officeDocument/2006/relationships/hyperlink" Target="http://refhub.elsevier.com/S0304-4238(20)30419-2/sbref0060" TargetMode="External"/><Relationship Id="rId36" Type="http://schemas.openxmlformats.org/officeDocument/2006/relationships/hyperlink" Target="http://refhub.elsevier.com/S0304-4238(20)30419-2/sbref0065" TargetMode="External"/><Relationship Id="rId37" Type="http://schemas.openxmlformats.org/officeDocument/2006/relationships/hyperlink" Target="http://refhub.elsevier.com/S0304-4238(20)30419-2/sbref0070" TargetMode="External"/><Relationship Id="rId38" Type="http://schemas.openxmlformats.org/officeDocument/2006/relationships/hyperlink" Target="http://refhub.elsevier.com/S0304-4238(20)30419-2/sbref0075" TargetMode="External"/><Relationship Id="rId39" Type="http://schemas.openxmlformats.org/officeDocument/2006/relationships/hyperlink" Target="http://refhub.elsevier.com/S0304-4238(20)30419-2/sbref0080" TargetMode="External"/><Relationship Id="rId40" Type="http://schemas.openxmlformats.org/officeDocument/2006/relationships/hyperlink" Target="http://refhub.elsevier.com/S0304-4238(20)30419-2/sbref0085" TargetMode="External"/><Relationship Id="rId41" Type="http://schemas.openxmlformats.org/officeDocument/2006/relationships/hyperlink" Target="http://refhub.elsevier.com/S0304-4238(20)30419-2/sbref0090" TargetMode="External"/><Relationship Id="rId42" Type="http://schemas.openxmlformats.org/officeDocument/2006/relationships/hyperlink" Target="http://refhub.elsevier.com/S0304-4238(20)30419-2/sbref0095" TargetMode="External"/><Relationship Id="rId43" Type="http://schemas.openxmlformats.org/officeDocument/2006/relationships/hyperlink" Target="http://refhub.elsevier.com/S0304-4238(20)30419-2/sbref0100" TargetMode="External"/><Relationship Id="rId44" Type="http://schemas.openxmlformats.org/officeDocument/2006/relationships/hyperlink" Target="http://refhub.elsevier.com/S0304-4238(20)30419-2/sbref0105" TargetMode="External"/><Relationship Id="rId45" Type="http://schemas.openxmlformats.org/officeDocument/2006/relationships/hyperlink" Target="http://refhub.elsevier.com/S0304-4238(20)30419-2/sbref0110" TargetMode="External"/><Relationship Id="rId46" Type="http://schemas.openxmlformats.org/officeDocument/2006/relationships/hyperlink" Target="http://refhub.elsevier.com/S0304-4238(20)30419-2/sbref0115" TargetMode="External"/><Relationship Id="rId47" Type="http://schemas.openxmlformats.org/officeDocument/2006/relationships/hyperlink" Target="https://doi.org/10.1080/07060661.2020.1736638" TargetMode="External"/><Relationship Id="rId48" Type="http://schemas.openxmlformats.org/officeDocument/2006/relationships/hyperlink" Target="http://refhub.elsevier.com/S0304-4238(20)30419-2/sbref0125" TargetMode="External"/><Relationship Id="rId49" Type="http://schemas.openxmlformats.org/officeDocument/2006/relationships/hyperlink" Target="http://refhub.elsevier.com/S0304-4238(20)30419-2/sbref0130" TargetMode="External"/><Relationship Id="rId50" Type="http://schemas.openxmlformats.org/officeDocument/2006/relationships/hyperlink" Target="http://refhub.elsevier.com/S0304-4238(20)30419-2/sbref0135" TargetMode="External"/><Relationship Id="rId51" Type="http://schemas.openxmlformats.org/officeDocument/2006/relationships/hyperlink" Target="http://refhub.elsevier.com/S0304-4238(20)30419-2/sbref0140" TargetMode="External"/><Relationship Id="rId52" Type="http://schemas.openxmlformats.org/officeDocument/2006/relationships/hyperlink" Target="http://refhub.elsevier.com/S0304-4238(20)30419-2/sbref0145" TargetMode="External"/><Relationship Id="rId53" Type="http://schemas.openxmlformats.org/officeDocument/2006/relationships/hyperlink" Target="http://refhub.elsevier.com/S0304-4238(20)30419-2/sbref0150" TargetMode="External"/><Relationship Id="rId54" Type="http://schemas.openxmlformats.org/officeDocument/2006/relationships/hyperlink" Target="http://refhub.elsevier.com/S0304-4238(20)30419-2/sbref0155" TargetMode="External"/><Relationship Id="rId55" Type="http://schemas.openxmlformats.org/officeDocument/2006/relationships/hyperlink" Target="http://refhub.elsevier.com/S0304-4238(20)30419-2/sbref016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2020-09-15T04:32:53Z</dcterms:created>
  <dcterms:modified xsi:type="dcterms:W3CDTF">2020-09-15T04:32:53Z</dcterms:modified>
</cp:coreProperties>
</file>