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5"/>
        <w:spacing w:after="0"/>
        <w:rPr>
          <w:sz w:val="20"/>
          <w:szCs w:val="20"/>
          <w:color w:val="auto"/>
        </w:rPr>
      </w:pPr>
      <w:r>
        <w:rPr>
          <w:rFonts w:ascii="Times New Roman" w:cs="Times New Roman" w:eastAsia="Times New Roman" w:hAnsi="Times New Roman"/>
          <w:sz w:val="13"/>
          <w:szCs w:val="13"/>
          <w:color w:val="auto"/>
        </w:rPr>
        <w:t>Journal of Ethnopharmacology 123 (2009) 229–236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158750</wp:posOffset>
            </wp:positionV>
            <wp:extent cx="6623685" cy="908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623685" cy="908050"/>
                    </a:xfrm>
                    <a:prstGeom prst="rect">
                      <a:avLst/>
                    </a:prstGeom>
                    <a:noFill/>
                  </pic:spPr>
                </pic:pic>
              </a:graphicData>
            </a:graphic>
          </wp:anchor>
        </w:drawing>
      </w:r>
    </w:p>
    <w:p>
      <w:pPr>
        <w:spacing w:after="0" w:line="346" w:lineRule="exact"/>
        <w:rPr>
          <w:sz w:val="24"/>
          <w:szCs w:val="24"/>
          <w:color w:val="auto"/>
        </w:rPr>
      </w:pPr>
    </w:p>
    <w:p>
      <w:pPr>
        <w:jc w:val="center"/>
        <w:ind w:right="-44"/>
        <w:spacing w:after="0"/>
        <w:rPr>
          <w:sz w:val="20"/>
          <w:szCs w:val="20"/>
          <w:color w:val="auto"/>
        </w:rPr>
      </w:pPr>
      <w:r>
        <w:rPr>
          <w:rFonts w:ascii="Arial" w:cs="Arial" w:eastAsia="Arial" w:hAnsi="Arial"/>
          <w:sz w:val="16"/>
          <w:szCs w:val="16"/>
          <w:color w:val="auto"/>
        </w:rPr>
        <w:t xml:space="preserve">Contents lists available at </w:t>
      </w:r>
      <w:r>
        <w:rPr>
          <w:rFonts w:ascii="Arial" w:cs="Arial" w:eastAsia="Arial" w:hAnsi="Arial"/>
          <w:sz w:val="16"/>
          <w:szCs w:val="16"/>
          <w:color w:val="000066"/>
        </w:rPr>
        <w:t>ScienceDirect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-109855</wp:posOffset>
            </wp:positionV>
            <wp:extent cx="5716270"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16270" cy="828675"/>
                    </a:xfrm>
                    <a:prstGeom prst="rect">
                      <a:avLst/>
                    </a:prstGeom>
                    <a:noFill/>
                  </pic:spPr>
                </pic:pic>
              </a:graphicData>
            </a:graphic>
          </wp:anchor>
        </w:drawing>
      </w:r>
    </w:p>
    <w:p>
      <w:pPr>
        <w:spacing w:after="0" w:line="249" w:lineRule="exact"/>
        <w:rPr>
          <w:sz w:val="24"/>
          <w:szCs w:val="24"/>
          <w:color w:val="auto"/>
        </w:rPr>
      </w:pPr>
    </w:p>
    <w:p>
      <w:pPr>
        <w:jc w:val="center"/>
        <w:ind w:right="-104"/>
        <w:spacing w:after="0"/>
        <w:rPr>
          <w:sz w:val="20"/>
          <w:szCs w:val="20"/>
          <w:color w:val="auto"/>
        </w:rPr>
      </w:pPr>
      <w:r>
        <w:rPr>
          <w:rFonts w:ascii="Times New Roman" w:cs="Times New Roman" w:eastAsia="Times New Roman" w:hAnsi="Times New Roman"/>
          <w:sz w:val="28"/>
          <w:szCs w:val="28"/>
          <w:color w:val="auto"/>
        </w:rPr>
        <w:t>Journal of Ethnopharmacology</w:t>
      </w:r>
    </w:p>
    <w:p>
      <w:pPr>
        <w:spacing w:after="0" w:line="339" w:lineRule="exact"/>
        <w:rPr>
          <w:sz w:val="24"/>
          <w:szCs w:val="24"/>
          <w:color w:val="auto"/>
        </w:rPr>
      </w:pPr>
    </w:p>
    <w:p>
      <w:pPr>
        <w:jc w:val="center"/>
        <w:ind w:right="-44"/>
        <w:spacing w:after="0"/>
        <w:rPr>
          <w:sz w:val="20"/>
          <w:szCs w:val="20"/>
          <w:color w:val="auto"/>
        </w:rPr>
      </w:pPr>
      <w:r>
        <w:rPr>
          <w:rFonts w:ascii="Arial" w:cs="Arial" w:eastAsia="Arial" w:hAnsi="Arial"/>
          <w:sz w:val="16"/>
          <w:szCs w:val="16"/>
          <w:color w:val="auto"/>
        </w:rPr>
        <w:t xml:space="preserve">j o u r n a l h o m e p a g e : </w:t>
      </w:r>
      <w:r>
        <w:rPr>
          <w:rFonts w:ascii="Arial" w:cs="Arial" w:eastAsia="Arial" w:hAnsi="Arial"/>
          <w:sz w:val="16"/>
          <w:szCs w:val="16"/>
          <w:color w:val="000066"/>
        </w:rPr>
        <w:t>w w w . e l s e v i e r . c o m / l o c a t e / j e t h p h a r m</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105410</wp:posOffset>
                </wp:positionV>
                <wp:extent cx="6616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pt" to="521pt,8.3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5" w:right="340"/>
        <w:spacing w:after="0" w:line="281" w:lineRule="auto"/>
        <w:rPr>
          <w:sz w:val="20"/>
          <w:szCs w:val="20"/>
          <w:color w:val="auto"/>
        </w:rPr>
      </w:pPr>
      <w:r>
        <w:rPr>
          <w:rFonts w:ascii="Times New Roman" w:cs="Times New Roman" w:eastAsia="Times New Roman" w:hAnsi="Times New Roman"/>
          <w:sz w:val="27"/>
          <w:szCs w:val="27"/>
          <w:color w:val="auto"/>
        </w:rPr>
        <w:t>Ethnobotanical survey of antidiarrhoeal plants of Parinche valley, Pune district, Maharashtra, India</w:t>
      </w:r>
    </w:p>
    <w:p>
      <w:pPr>
        <w:spacing w:after="0" w:line="110" w:lineRule="exact"/>
        <w:rPr>
          <w:sz w:val="24"/>
          <w:szCs w:val="24"/>
          <w:color w:val="auto"/>
        </w:rPr>
      </w:pPr>
    </w:p>
    <w:p>
      <w:pPr>
        <w:ind w:left="5"/>
        <w:spacing w:after="0" w:line="389" w:lineRule="exact"/>
        <w:rPr>
          <w:sz w:val="20"/>
          <w:szCs w:val="20"/>
          <w:color w:val="auto"/>
        </w:rPr>
      </w:pPr>
      <w:r>
        <w:rPr>
          <w:rFonts w:ascii="Times New Roman" w:cs="Times New Roman" w:eastAsia="Times New Roman" w:hAnsi="Times New Roman"/>
          <w:sz w:val="21"/>
          <w:szCs w:val="21"/>
          <w:color w:val="auto"/>
        </w:rPr>
        <w:t xml:space="preserve">P. Tetali </w:t>
      </w:r>
      <w:r>
        <w:rPr>
          <w:rFonts w:ascii="Times New Roman" w:cs="Times New Roman" w:eastAsia="Times New Roman" w:hAnsi="Times New Roman"/>
          <w:sz w:val="29"/>
          <w:szCs w:val="29"/>
          <w:color w:val="000066"/>
          <w:vertAlign w:val="superscript"/>
        </w:rPr>
        <w:t>a</w:t>
      </w:r>
      <w:r>
        <w:rPr>
          <w:rFonts w:ascii="Times New Roman" w:cs="Times New Roman" w:eastAsia="Times New Roman" w:hAnsi="Times New Roman"/>
          <w:sz w:val="21"/>
          <w:szCs w:val="21"/>
          <w:color w:val="auto"/>
        </w:rPr>
        <w:t xml:space="preserve">, C. Waghchaure </w:t>
      </w:r>
      <w:r>
        <w:rPr>
          <w:rFonts w:ascii="Times New Roman" w:cs="Times New Roman" w:eastAsia="Times New Roman" w:hAnsi="Times New Roman"/>
          <w:sz w:val="29"/>
          <w:szCs w:val="29"/>
          <w:color w:val="000066"/>
          <w:vertAlign w:val="superscript"/>
        </w:rPr>
        <w:t>a</w:t>
      </w:r>
      <w:r>
        <w:rPr>
          <w:rFonts w:ascii="Times New Roman" w:cs="Times New Roman" w:eastAsia="Times New Roman" w:hAnsi="Times New Roman"/>
          <w:sz w:val="21"/>
          <w:szCs w:val="21"/>
          <w:color w:val="auto"/>
        </w:rPr>
        <w:t xml:space="preserve">, P.G. Daswani </w:t>
      </w:r>
      <w:r>
        <w:rPr>
          <w:rFonts w:ascii="Times New Roman" w:cs="Times New Roman" w:eastAsia="Times New Roman" w:hAnsi="Times New Roman"/>
          <w:sz w:val="29"/>
          <w:szCs w:val="29"/>
          <w:color w:val="000066"/>
          <w:vertAlign w:val="superscript"/>
        </w:rPr>
        <w:t>b</w:t>
      </w:r>
      <w:r>
        <w:rPr>
          <w:rFonts w:ascii="Times New Roman" w:cs="Times New Roman" w:eastAsia="Times New Roman" w:hAnsi="Times New Roman"/>
          <w:sz w:val="21"/>
          <w:szCs w:val="21"/>
          <w:color w:val="auto"/>
        </w:rPr>
        <w:t xml:space="preserve">, N.H. Antia </w:t>
      </w:r>
      <w:r>
        <w:rPr>
          <w:rFonts w:ascii="Times New Roman" w:cs="Times New Roman" w:eastAsia="Times New Roman" w:hAnsi="Times New Roman"/>
          <w:sz w:val="29"/>
          <w:szCs w:val="29"/>
          <w:color w:val="000066"/>
          <w:vertAlign w:val="superscript"/>
        </w:rPr>
        <w:t>b</w:t>
      </w:r>
      <w:r>
        <w:rPr>
          <w:rFonts w:ascii="Arial" w:cs="Arial" w:eastAsia="Arial" w:hAnsi="Arial"/>
          <w:sz w:val="29"/>
          <w:szCs w:val="29"/>
          <w:color w:val="auto"/>
          <w:vertAlign w:val="superscript"/>
        </w:rPr>
        <w:t>,</w:t>
      </w:r>
      <w:r>
        <w:rPr>
          <w:rFonts w:ascii="Times New Roman" w:cs="Times New Roman" w:eastAsia="Times New Roman" w:hAnsi="Times New Roman"/>
          <w:sz w:val="29"/>
          <w:szCs w:val="29"/>
          <w:color w:val="000066"/>
          <w:vertAlign w:val="superscript"/>
        </w:rPr>
        <w:t>c</w:t>
      </w:r>
      <w:r>
        <w:rPr>
          <w:rFonts w:ascii="Times New Roman" w:cs="Times New Roman" w:eastAsia="Times New Roman" w:hAnsi="Times New Roman"/>
          <w:sz w:val="21"/>
          <w:szCs w:val="21"/>
          <w:color w:val="auto"/>
        </w:rPr>
        <w:t xml:space="preserve">, T.J. Birdi </w:t>
      </w:r>
      <w:r>
        <w:rPr>
          <w:rFonts w:ascii="Times New Roman" w:cs="Times New Roman" w:eastAsia="Times New Roman" w:hAnsi="Times New Roman"/>
          <w:sz w:val="29"/>
          <w:szCs w:val="29"/>
          <w:color w:val="000066"/>
          <w:vertAlign w:val="superscript"/>
        </w:rPr>
        <w:t>b</w:t>
      </w:r>
      <w:r>
        <w:rPr>
          <w:rFonts w:ascii="Arial" w:cs="Arial" w:eastAsia="Arial" w:hAnsi="Arial"/>
          <w:sz w:val="29"/>
          <w:szCs w:val="29"/>
          <w:color w:val="auto"/>
          <w:vertAlign w:val="superscript"/>
        </w:rPr>
        <w:t>,</w:t>
      </w:r>
      <w:r>
        <w:rPr>
          <w:rFonts w:ascii="Arial Unicode MS" w:cs="Arial Unicode MS" w:eastAsia="Arial Unicode MS" w:hAnsi="Arial Unicode MS"/>
          <w:sz w:val="29"/>
          <w:szCs w:val="29"/>
          <w:color w:val="000066"/>
          <w:vertAlign w:val="superscript"/>
        </w:rPr>
        <w:t>∗</w:t>
      </w:r>
    </w:p>
    <w:p>
      <w:pPr>
        <w:spacing w:after="0" w:line="17" w:lineRule="exact"/>
        <w:rPr>
          <w:sz w:val="24"/>
          <w:szCs w:val="24"/>
          <w:color w:val="auto"/>
        </w:rPr>
      </w:pPr>
    </w:p>
    <w:p>
      <w:pPr>
        <w:ind w:left="5" w:right="1820" w:hanging="5"/>
        <w:spacing w:after="0" w:line="241" w:lineRule="auto"/>
        <w:tabs>
          <w:tab w:leader="none" w:pos="85"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i w:val="1"/>
          <w:iCs w:val="1"/>
          <w:color w:val="auto"/>
        </w:rPr>
        <w:t xml:space="preserve">Naoroji Godrej Centre for Plant Research, Gat No. 431, Lawkim Ltd. Campus, Shindewadi, Shirwal Post, Satara District – 412 801, Maharashtra, India </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i w:val="1"/>
          <w:iCs w:val="1"/>
          <w:color w:val="auto"/>
        </w:rPr>
        <w:t xml:space="preserve"> The Foundation for Medical Research, 84 A, R.G. Thadani Marg, Worli, Mumbai – 400 018, Maharashtra, India</w:t>
      </w:r>
    </w:p>
    <w:p>
      <w:pPr>
        <w:ind w:left="5"/>
        <w:spacing w:after="0" w:line="223" w:lineRule="auto"/>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7"/>
          <w:szCs w:val="17"/>
          <w:color w:val="auto"/>
          <w:vertAlign w:val="superscript"/>
        </w:rPr>
        <w:t>c</w:t>
      </w:r>
      <w:r>
        <w:rPr>
          <w:rFonts w:ascii="Times New Roman" w:cs="Times New Roman" w:eastAsia="Times New Roman" w:hAnsi="Times New Roman"/>
          <w:sz w:val="13"/>
          <w:szCs w:val="13"/>
          <w:i w:val="1"/>
          <w:iCs w:val="1"/>
          <w:color w:val="auto"/>
        </w:rPr>
        <w:t xml:space="preserve"> The Foundation for Research in Community Health, 3-4, Trimiti-B Apartments, 85, Anand Park, Pune – 411 007, Maharashtra, India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88265</wp:posOffset>
                </wp:positionV>
                <wp:extent cx="66167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95pt" to="521pt,6.95pt" o:allowincell="f" strokecolor="#000000" strokeweight="0.249pt"/>
            </w:pict>
          </mc:Fallback>
        </mc:AlternateContent>
      </w:r>
    </w:p>
    <w:p>
      <w:pPr>
        <w:sectPr>
          <w:pgSz w:w="11900" w:h="15874" w:orient="portrait"/>
          <w:cols w:equalWidth="0" w:num="1">
            <w:col w:w="10425"/>
          </w:cols>
          <w:pgMar w:left="855" w:top="717" w:right="626" w:bottom="398" w:gutter="0" w:footer="0" w:header="0"/>
        </w:sectPr>
      </w:pPr>
    </w:p>
    <w:p>
      <w:pPr>
        <w:spacing w:after="0" w:line="200" w:lineRule="exact"/>
        <w:rPr>
          <w:sz w:val="24"/>
          <w:szCs w:val="24"/>
          <w:color w:val="auto"/>
        </w:rPr>
      </w:pPr>
    </w:p>
    <w:p>
      <w:pPr>
        <w:spacing w:after="0" w:line="203" w:lineRule="exact"/>
        <w:rPr>
          <w:sz w:val="24"/>
          <w:szCs w:val="24"/>
          <w:color w:val="auto"/>
        </w:rPr>
      </w:pPr>
    </w:p>
    <w:p>
      <w:pPr>
        <w:ind w:left="5"/>
        <w:spacing w:after="0"/>
        <w:tabs>
          <w:tab w:leader="none" w:pos="1265"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111760</wp:posOffset>
                </wp:positionV>
                <wp:extent cx="169164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pt" to="133.2pt,8.8pt" o:allowincell="f" strokecolor="#000000" strokeweight="0.249pt"/>
            </w:pict>
          </mc:Fallback>
        </mc:AlternateContent>
      </w:r>
    </w:p>
    <w:p>
      <w:pPr>
        <w:spacing w:after="0" w:line="208"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i w:val="1"/>
          <w:iCs w:val="1"/>
          <w:color w:val="auto"/>
        </w:rPr>
        <w:t>Article history:</w:t>
      </w:r>
    </w:p>
    <w:p>
      <w:pPr>
        <w:spacing w:after="0" w:line="20"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color w:val="auto"/>
        </w:rPr>
        <w:t>Received 19 November 2008</w:t>
      </w:r>
    </w:p>
    <w:p>
      <w:pPr>
        <w:spacing w:after="0" w:line="22" w:lineRule="exact"/>
        <w:rPr>
          <w:sz w:val="24"/>
          <w:szCs w:val="24"/>
          <w:color w:val="auto"/>
        </w:rPr>
      </w:pPr>
    </w:p>
    <w:p>
      <w:pPr>
        <w:ind w:left="5" w:right="20"/>
        <w:spacing w:after="0" w:line="280" w:lineRule="auto"/>
        <w:rPr>
          <w:sz w:val="20"/>
          <w:szCs w:val="20"/>
          <w:color w:val="auto"/>
        </w:rPr>
      </w:pPr>
      <w:r>
        <w:rPr>
          <w:rFonts w:ascii="Times New Roman" w:cs="Times New Roman" w:eastAsia="Times New Roman" w:hAnsi="Times New Roman"/>
          <w:sz w:val="13"/>
          <w:szCs w:val="13"/>
          <w:color w:val="auto"/>
        </w:rPr>
        <w:t>Received in revised form 11 February 2009 Accepted 13 March 2009 Available online 24 March 2009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104140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pt" to="133.2pt,8.2pt" o:allowincell="f" strokecolor="#000000" strokeweight="0.249pt"/>
            </w:pict>
          </mc:Fallback>
        </mc:AlternateContent>
      </w:r>
    </w:p>
    <w:p>
      <w:pPr>
        <w:spacing w:after="0" w:line="196"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i w:val="1"/>
          <w:iCs w:val="1"/>
          <w:color w:val="auto"/>
        </w:rPr>
        <w:t>Keywords:</w:t>
      </w:r>
    </w:p>
    <w:p>
      <w:pPr>
        <w:spacing w:after="0" w:line="20"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color w:val="auto"/>
        </w:rPr>
        <w:t>Antidiarrhoeal plants</w:t>
      </w:r>
    </w:p>
    <w:p>
      <w:pPr>
        <w:spacing w:after="0" w:line="22"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color w:val="auto"/>
        </w:rPr>
        <w:t>Ethnobotany</w:t>
      </w:r>
    </w:p>
    <w:p>
      <w:pPr>
        <w:spacing w:after="0" w:line="22"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color w:val="auto"/>
        </w:rPr>
        <w:t>India</w:t>
      </w:r>
    </w:p>
    <w:p>
      <w:pPr>
        <w:spacing w:after="0" w:line="22" w:lineRule="exact"/>
        <w:rPr>
          <w:sz w:val="24"/>
          <w:szCs w:val="24"/>
          <w:color w:val="auto"/>
        </w:rPr>
      </w:pPr>
    </w:p>
    <w:p>
      <w:pPr>
        <w:ind w:left="5"/>
        <w:spacing w:after="0"/>
        <w:rPr>
          <w:sz w:val="20"/>
          <w:szCs w:val="20"/>
          <w:color w:val="auto"/>
        </w:rPr>
      </w:pPr>
      <w:r>
        <w:rPr>
          <w:rFonts w:ascii="Times New Roman" w:cs="Times New Roman" w:eastAsia="Times New Roman" w:hAnsi="Times New Roman"/>
          <w:sz w:val="13"/>
          <w:szCs w:val="13"/>
          <w:color w:val="auto"/>
        </w:rPr>
        <w:t>Medicinal plants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917575</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25pt" to="133.2pt,72.25pt" o:allowincell="f" strokecolor="#000000" strokeweight="0.249pt"/>
            </w:pict>
          </mc:Fallback>
        </mc:AlternateContent>
      </w:r>
    </w:p>
    <w:p>
      <w:pPr>
        <w:spacing w:after="0" w:line="20" w:lineRule="exact"/>
        <w:rPr>
          <w:sz w:val="24"/>
          <w:szCs w:val="24"/>
          <w:color w:val="auto"/>
        </w:rPr>
      </w:pPr>
      <w:r>
        <w:rPr>
          <w:sz w:val="24"/>
          <w:szCs w:val="24"/>
          <w:color w:val="auto"/>
        </w:rPr>
        <w:br w:type="column"/>
      </w:r>
    </w:p>
    <w:p>
      <w:pPr>
        <w:spacing w:after="0" w:line="383"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111760</wp:posOffset>
                </wp:positionV>
                <wp:extent cx="45002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02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8.8pt" to="354.75pt,8.8pt" o:allowincell="f" strokecolor="#000000" strokeweight="0.249pt"/>
            </w:pict>
          </mc:Fallback>
        </mc:AlternateContent>
      </w:r>
    </w:p>
    <w:p>
      <w:pPr>
        <w:spacing w:after="0" w:line="209" w:lineRule="exact"/>
        <w:rPr>
          <w:sz w:val="24"/>
          <w:szCs w:val="24"/>
          <w:color w:val="auto"/>
        </w:rPr>
      </w:pPr>
    </w:p>
    <w:p>
      <w:pPr>
        <w:jc w:val="both"/>
        <w:spacing w:after="0" w:line="285" w:lineRule="auto"/>
        <w:rPr>
          <w:sz w:val="20"/>
          <w:szCs w:val="20"/>
          <w:color w:val="auto"/>
        </w:rPr>
      </w:pPr>
      <w:r>
        <w:rPr>
          <w:rFonts w:ascii="Times New Roman" w:cs="Times New Roman" w:eastAsia="Times New Roman" w:hAnsi="Times New Roman"/>
          <w:sz w:val="14"/>
          <w:szCs w:val="14"/>
          <w:i w:val="1"/>
          <w:iCs w:val="1"/>
          <w:color w:val="auto"/>
        </w:rPr>
        <w:t xml:space="preserve">Ethnopharmacological relevance: </w:t>
      </w:r>
      <w:r>
        <w:rPr>
          <w:rFonts w:ascii="Times New Roman" w:cs="Times New Roman" w:eastAsia="Times New Roman" w:hAnsi="Times New Roman"/>
          <w:sz w:val="14"/>
          <w:szCs w:val="14"/>
          <w:color w:val="auto"/>
        </w:rPr>
        <w:t>Maharashtra is the third largest state in India with a large tribal</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4"/>
          <w:szCs w:val="14"/>
          <w:color w:val="auto"/>
        </w:rPr>
        <w:t>population. Documentation of traditional knowledge through ethnobotanical studies is important for conservation and utilization of indigenous knowledge. Diarrhoeal diseases are the second largest cause of morbidity in rural India. Medicinal plants given by the traditional healers of Parinche in Pune district, Maharashtra are known to be efficacious for many common ailments, including diarrhoeal diseases.</w:t>
      </w:r>
    </w:p>
    <w:p>
      <w:pPr>
        <w:spacing w:after="0" w:line="1" w:lineRule="exact"/>
        <w:rPr>
          <w:sz w:val="24"/>
          <w:szCs w:val="24"/>
          <w:color w:val="auto"/>
        </w:rPr>
      </w:pPr>
    </w:p>
    <w:p>
      <w:pPr>
        <w:jc w:val="both"/>
        <w:spacing w:after="0" w:line="285" w:lineRule="auto"/>
        <w:rPr>
          <w:sz w:val="20"/>
          <w:szCs w:val="20"/>
          <w:color w:val="auto"/>
        </w:rPr>
      </w:pPr>
      <w:r>
        <w:rPr>
          <w:rFonts w:ascii="Times New Roman" w:cs="Times New Roman" w:eastAsia="Times New Roman" w:hAnsi="Times New Roman"/>
          <w:sz w:val="14"/>
          <w:szCs w:val="14"/>
          <w:i w:val="1"/>
          <w:iCs w:val="1"/>
          <w:color w:val="auto"/>
        </w:rPr>
        <w:t xml:space="preserve">Aim of the study: </w:t>
      </w:r>
      <w:r>
        <w:rPr>
          <w:rFonts w:ascii="Times New Roman" w:cs="Times New Roman" w:eastAsia="Times New Roman" w:hAnsi="Times New Roman"/>
          <w:sz w:val="14"/>
          <w:szCs w:val="14"/>
          <w:color w:val="auto"/>
        </w:rPr>
        <w:t>Ethnobotanical survey of antidiarrhoeal plants from Parinche valley towards the docu-mentation and conservation of traditional knowledge.</w:t>
      </w:r>
    </w:p>
    <w:p>
      <w:pPr>
        <w:jc w:val="both"/>
        <w:spacing w:after="0" w:line="285" w:lineRule="auto"/>
        <w:rPr>
          <w:sz w:val="20"/>
          <w:szCs w:val="20"/>
          <w:color w:val="auto"/>
        </w:rPr>
      </w:pPr>
      <w:r>
        <w:rPr>
          <w:rFonts w:ascii="Times New Roman" w:cs="Times New Roman" w:eastAsia="Times New Roman" w:hAnsi="Times New Roman"/>
          <w:sz w:val="14"/>
          <w:szCs w:val="14"/>
          <w:i w:val="1"/>
          <w:iCs w:val="1"/>
          <w:color w:val="auto"/>
        </w:rPr>
        <w:t xml:space="preserve">Materials and methods: </w:t>
      </w:r>
      <w:r>
        <w:rPr>
          <w:rFonts w:ascii="Times New Roman" w:cs="Times New Roman" w:eastAsia="Times New Roman" w:hAnsi="Times New Roman"/>
          <w:sz w:val="14"/>
          <w:szCs w:val="14"/>
          <w:color w:val="auto"/>
        </w:rPr>
        <w:t>Interviews and inquiries were conducted amongst traditional healers, indigenous</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4"/>
          <w:szCs w:val="14"/>
          <w:color w:val="auto"/>
        </w:rPr>
        <w:t>communities and village elders.</w:t>
      </w:r>
    </w:p>
    <w:p>
      <w:pPr>
        <w:jc w:val="both"/>
        <w:spacing w:after="0" w:line="294" w:lineRule="auto"/>
        <w:rPr>
          <w:sz w:val="20"/>
          <w:szCs w:val="20"/>
          <w:color w:val="auto"/>
        </w:rPr>
      </w:pPr>
      <w:r>
        <w:rPr>
          <w:rFonts w:ascii="Times New Roman" w:cs="Times New Roman" w:eastAsia="Times New Roman" w:hAnsi="Times New Roman"/>
          <w:sz w:val="14"/>
          <w:szCs w:val="14"/>
          <w:i w:val="1"/>
          <w:iCs w:val="1"/>
          <w:color w:val="auto"/>
        </w:rPr>
        <w:t xml:space="preserve">Results: </w:t>
      </w:r>
      <w:r>
        <w:rPr>
          <w:rFonts w:ascii="Times New Roman" w:cs="Times New Roman" w:eastAsia="Times New Roman" w:hAnsi="Times New Roman"/>
          <w:sz w:val="14"/>
          <w:szCs w:val="14"/>
          <w:color w:val="auto"/>
        </w:rPr>
        <w:t xml:space="preserve">One hundred and eighty two plants used by tribes and natives for different ailments were docu-mented of which 28 flowering plants were for diarrhoea. Leaf was the most preferred plant part. Amongst the 28 plants, antidiarrhoeal activity of five plants viz., </w:t>
      </w:r>
      <w:r>
        <w:rPr>
          <w:rFonts w:ascii="Times New Roman" w:cs="Times New Roman" w:eastAsia="Times New Roman" w:hAnsi="Times New Roman"/>
          <w:sz w:val="14"/>
          <w:szCs w:val="14"/>
          <w:i w:val="1"/>
          <w:iCs w:val="1"/>
          <w:color w:val="auto"/>
        </w:rPr>
        <w:t>Caesalpinia sepiaria</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Dioscorea pentaphylla</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Launaea</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pinnatifida</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i w:val="1"/>
          <w:iCs w:val="1"/>
          <w:color w:val="auto"/>
        </w:rPr>
        <w:t xml:space="preserve"> Syzygium rubicundum </w:t>
      </w:r>
      <w:r>
        <w:rPr>
          <w:rFonts w:ascii="Times New Roman" w:cs="Times New Roman" w:eastAsia="Times New Roman" w:hAnsi="Times New Roman"/>
          <w:sz w:val="14"/>
          <w:szCs w:val="14"/>
          <w:color w:val="auto"/>
        </w:rPr>
        <w:t>and</w:t>
      </w:r>
      <w:r>
        <w:rPr>
          <w:rFonts w:ascii="Times New Roman" w:cs="Times New Roman" w:eastAsia="Times New Roman" w:hAnsi="Times New Roman"/>
          <w:sz w:val="14"/>
          <w:szCs w:val="14"/>
          <w:i w:val="1"/>
          <w:iCs w:val="1"/>
          <w:color w:val="auto"/>
        </w:rPr>
        <w:t xml:space="preserve"> Ziziphus jujuba </w:t>
      </w:r>
      <w:r>
        <w:rPr>
          <w:rFonts w:ascii="Times New Roman" w:cs="Times New Roman" w:eastAsia="Times New Roman" w:hAnsi="Times New Roman"/>
          <w:sz w:val="14"/>
          <w:szCs w:val="14"/>
          <w:color w:val="auto"/>
        </w:rPr>
        <w:t>has not been reported previously. Two species viz.,</w:t>
      </w:r>
      <w:r>
        <w:rPr>
          <w:rFonts w:ascii="Times New Roman" w:cs="Times New Roman" w:eastAsia="Times New Roman" w:hAnsi="Times New Roman"/>
          <w:sz w:val="14"/>
          <w:szCs w:val="14"/>
          <w:i w:val="1"/>
          <w:iCs w:val="1"/>
          <w:color w:val="auto"/>
        </w:rPr>
        <w:t xml:space="preserve"> Ziziphus xylopyra </w:t>
      </w:r>
      <w:r>
        <w:rPr>
          <w:rFonts w:ascii="Times New Roman" w:cs="Times New Roman" w:eastAsia="Times New Roman" w:hAnsi="Times New Roman"/>
          <w:sz w:val="14"/>
          <w:szCs w:val="14"/>
          <w:color w:val="auto"/>
        </w:rPr>
        <w:t>and</w:t>
      </w:r>
      <w:r>
        <w:rPr>
          <w:rFonts w:ascii="Times New Roman" w:cs="Times New Roman" w:eastAsia="Times New Roman" w:hAnsi="Times New Roman"/>
          <w:sz w:val="14"/>
          <w:szCs w:val="14"/>
          <w:i w:val="1"/>
          <w:iCs w:val="1"/>
          <w:color w:val="auto"/>
        </w:rPr>
        <w:t xml:space="preserve"> Syzygium rubicundum </w:t>
      </w:r>
      <w:r>
        <w:rPr>
          <w:rFonts w:ascii="Times New Roman" w:cs="Times New Roman" w:eastAsia="Times New Roman" w:hAnsi="Times New Roman"/>
          <w:sz w:val="14"/>
          <w:szCs w:val="14"/>
          <w:color w:val="auto"/>
        </w:rPr>
        <w:t>are endemic to India.</w:t>
      </w:r>
    </w:p>
    <w:p>
      <w:pPr>
        <w:spacing w:after="0" w:line="168" w:lineRule="exact"/>
        <w:rPr>
          <w:sz w:val="24"/>
          <w:szCs w:val="24"/>
          <w:color w:val="auto"/>
        </w:rPr>
      </w:pPr>
    </w:p>
    <w:p>
      <w:pPr>
        <w:jc w:val="both"/>
        <w:spacing w:after="0" w:line="285" w:lineRule="auto"/>
        <w:rPr>
          <w:sz w:val="20"/>
          <w:szCs w:val="20"/>
          <w:color w:val="auto"/>
        </w:rPr>
      </w:pPr>
      <w:r>
        <w:rPr>
          <w:rFonts w:ascii="Times New Roman" w:cs="Times New Roman" w:eastAsia="Times New Roman" w:hAnsi="Times New Roman"/>
          <w:sz w:val="14"/>
          <w:szCs w:val="14"/>
          <w:i w:val="1"/>
          <w:iCs w:val="1"/>
          <w:color w:val="auto"/>
        </w:rPr>
        <w:t xml:space="preserve">Conclusion: </w:t>
      </w:r>
      <w:r>
        <w:rPr>
          <w:rFonts w:ascii="Times New Roman" w:cs="Times New Roman" w:eastAsia="Times New Roman" w:hAnsi="Times New Roman"/>
          <w:sz w:val="14"/>
          <w:szCs w:val="14"/>
          <w:color w:val="auto"/>
        </w:rPr>
        <w:t>Parinche valley is an ethnobotanically rich area with abundant availability and knowledge of</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4"/>
          <w:szCs w:val="14"/>
          <w:color w:val="auto"/>
        </w:rPr>
        <w:t>medicinal plants that can serve as a model for low cost health care.</w:t>
      </w:r>
    </w:p>
    <w:p>
      <w:pPr>
        <w:spacing w:after="0" w:line="1" w:lineRule="exact"/>
        <w:rPr>
          <w:sz w:val="24"/>
          <w:szCs w:val="24"/>
          <w:color w:val="auto"/>
        </w:rPr>
      </w:pPr>
    </w:p>
    <w:p>
      <w:pPr>
        <w:ind w:left="3880"/>
        <w:spacing w:after="0"/>
        <w:rPr>
          <w:sz w:val="20"/>
          <w:szCs w:val="20"/>
          <w:color w:val="auto"/>
        </w:rPr>
      </w:pPr>
      <w:r>
        <w:rPr>
          <w:rFonts w:ascii="Times New Roman" w:cs="Times New Roman" w:eastAsia="Times New Roman" w:hAnsi="Times New Roman"/>
          <w:sz w:val="14"/>
          <w:szCs w:val="14"/>
          <w:color w:val="auto"/>
        </w:rPr>
        <w:t>© 2009 Elsevier Ireland Ltd. All rights reserved.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85090</wp:posOffset>
                </wp:positionV>
                <wp:extent cx="45002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024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6.7pt" to="354.75pt,6.7pt" o:allowincell="f" strokecolor="#000000" strokeweight="0.249pt"/>
            </w:pict>
          </mc:Fallback>
        </mc:AlternateContent>
      </w:r>
    </w:p>
    <w:p>
      <w:pPr>
        <w:spacing w:after="0" w:line="200" w:lineRule="exact"/>
        <w:rPr>
          <w:sz w:val="24"/>
          <w:szCs w:val="24"/>
          <w:color w:val="auto"/>
        </w:rPr>
      </w:pPr>
    </w:p>
    <w:p>
      <w:pPr>
        <w:sectPr>
          <w:pgSz w:w="11900" w:h="15874" w:orient="portrait"/>
          <w:cols w:equalWidth="0" w:num="2">
            <w:col w:w="2605" w:space="720"/>
            <w:col w:w="7100"/>
          </w:cols>
          <w:pgMar w:left="855" w:top="717" w:right="626" w:bottom="398" w:gutter="0" w:footer="0" w:header="0"/>
          <w:type w:val="continuous"/>
        </w:sectPr>
      </w:pPr>
    </w:p>
    <w:p>
      <w:pPr>
        <w:spacing w:after="0" w:line="200" w:lineRule="exact"/>
        <w:rPr>
          <w:sz w:val="24"/>
          <w:szCs w:val="24"/>
          <w:color w:val="auto"/>
        </w:rPr>
      </w:pPr>
    </w:p>
    <w:p>
      <w:pPr>
        <w:spacing w:after="0" w:line="231" w:lineRule="exact"/>
        <w:rPr>
          <w:sz w:val="24"/>
          <w:szCs w:val="24"/>
          <w:color w:val="auto"/>
        </w:rPr>
      </w:pPr>
    </w:p>
    <w:p>
      <w:pPr>
        <w:ind w:left="5"/>
        <w:spacing w:after="0"/>
        <w:tabs>
          <w:tab w:leader="none" w:pos="205" w:val="left"/>
        </w:tabs>
        <w:rPr>
          <w:sz w:val="20"/>
          <w:szCs w:val="20"/>
          <w:color w:val="auto"/>
        </w:rPr>
      </w:pPr>
      <w:r>
        <w:rPr>
          <w:rFonts w:ascii="Times New Roman" w:cs="Times New Roman" w:eastAsia="Times New Roman" w:hAnsi="Times New Roman"/>
          <w:sz w:val="16"/>
          <w:szCs w:val="16"/>
          <w:b w:val="1"/>
          <w:bCs w:val="1"/>
          <w:color w:val="auto"/>
        </w:rPr>
        <w:t>1.</w:t>
        <w:tab/>
        <w:t>Introduction</w:t>
      </w:r>
    </w:p>
    <w:p>
      <w:pPr>
        <w:spacing w:after="0" w:line="236" w:lineRule="exact"/>
        <w:rPr>
          <w:sz w:val="24"/>
          <w:szCs w:val="24"/>
          <w:color w:val="auto"/>
        </w:rPr>
      </w:pPr>
    </w:p>
    <w:p>
      <w:pPr>
        <w:jc w:val="both"/>
        <w:ind w:left="5" w:firstLine="239"/>
        <w:spacing w:after="0" w:line="275" w:lineRule="auto"/>
        <w:rPr>
          <w:sz w:val="20"/>
          <w:szCs w:val="20"/>
          <w:color w:val="auto"/>
        </w:rPr>
      </w:pPr>
      <w:r>
        <w:rPr>
          <w:rFonts w:ascii="Times New Roman" w:cs="Times New Roman" w:eastAsia="Times New Roman" w:hAnsi="Times New Roman"/>
          <w:sz w:val="16"/>
          <w:szCs w:val="16"/>
          <w:color w:val="auto"/>
        </w:rPr>
        <w:t>Water quality and its accessibility affect substantial numbers of the world population (</w:t>
      </w:r>
      <w:r>
        <w:rPr>
          <w:rFonts w:ascii="Times New Roman" w:cs="Times New Roman" w:eastAsia="Times New Roman" w:hAnsi="Times New Roman"/>
          <w:sz w:val="16"/>
          <w:szCs w:val="16"/>
          <w:color w:val="000066"/>
        </w:rPr>
        <w:t>Bartram et al., 2005</w:t>
      </w:r>
      <w:r>
        <w:rPr>
          <w:rFonts w:ascii="Times New Roman" w:cs="Times New Roman" w:eastAsia="Times New Roman" w:hAnsi="Times New Roman"/>
          <w:sz w:val="16"/>
          <w:szCs w:val="16"/>
          <w:color w:val="auto"/>
        </w:rPr>
        <w:t>) and water borne diseases disturb the whole fabric of society. The disease burden worldwide from water, sanitation and hygiene together has been calculated to be 4% of all deaths and 5.7% of the total disease bur-den (</w:t>
      </w:r>
      <w:r>
        <w:rPr>
          <w:rFonts w:ascii="Times New Roman" w:cs="Times New Roman" w:eastAsia="Times New Roman" w:hAnsi="Times New Roman"/>
          <w:sz w:val="16"/>
          <w:szCs w:val="16"/>
          <w:color w:val="000066"/>
        </w:rPr>
        <w:t>Pruss et al., 2002</w:t>
      </w:r>
      <w:r>
        <w:rPr>
          <w:rFonts w:ascii="Times New Roman" w:cs="Times New Roman" w:eastAsia="Times New Roman" w:hAnsi="Times New Roman"/>
          <w:sz w:val="16"/>
          <w:szCs w:val="16"/>
          <w:color w:val="auto"/>
        </w:rPr>
        <w:t>). Amongst the many known water borne diseases, diarrhoeal diseases (including cholera) kill more than 1.8 million people every year, mostly children from developing coun-tries (</w:t>
      </w:r>
      <w:r>
        <w:rPr>
          <w:rFonts w:ascii="Times New Roman" w:cs="Times New Roman" w:eastAsia="Times New Roman" w:hAnsi="Times New Roman"/>
          <w:sz w:val="16"/>
          <w:szCs w:val="16"/>
          <w:color w:val="000066"/>
        </w:rPr>
        <w:t>WHO, 2004</w:t>
      </w:r>
      <w:r>
        <w:rPr>
          <w:rFonts w:ascii="Times New Roman" w:cs="Times New Roman" w:eastAsia="Times New Roman" w:hAnsi="Times New Roman"/>
          <w:sz w:val="16"/>
          <w:szCs w:val="16"/>
          <w:color w:val="auto"/>
        </w:rPr>
        <w:t>).</w:t>
      </w:r>
    </w:p>
    <w:p>
      <w:pPr>
        <w:spacing w:after="0" w:line="196" w:lineRule="exact"/>
        <w:rPr>
          <w:sz w:val="24"/>
          <w:szCs w:val="24"/>
          <w:color w:val="auto"/>
        </w:rPr>
      </w:pPr>
    </w:p>
    <w:p>
      <w:pPr>
        <w:jc w:val="both"/>
        <w:ind w:left="5" w:firstLine="239"/>
        <w:spacing w:after="0" w:line="275" w:lineRule="auto"/>
        <w:rPr>
          <w:sz w:val="20"/>
          <w:szCs w:val="20"/>
          <w:color w:val="auto"/>
        </w:rPr>
      </w:pPr>
      <w:r>
        <w:rPr>
          <w:rFonts w:ascii="Times New Roman" w:cs="Times New Roman" w:eastAsia="Times New Roman" w:hAnsi="Times New Roman"/>
          <w:sz w:val="16"/>
          <w:szCs w:val="16"/>
          <w:color w:val="auto"/>
        </w:rPr>
        <w:t>Indian subcontinent is a known hot spot for diarrhoeal epi-demics as evident by the number of epidemics reported (</w:t>
      </w:r>
      <w:r>
        <w:rPr>
          <w:rFonts w:ascii="Times New Roman" w:cs="Times New Roman" w:eastAsia="Times New Roman" w:hAnsi="Times New Roman"/>
          <w:sz w:val="16"/>
          <w:szCs w:val="16"/>
          <w:color w:val="000066"/>
        </w:rPr>
        <w:t>Kang et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0066"/>
        </w:rPr>
        <w:t>al., 2001; Kelkar et al., 2004; Phukan et al., 2004</w:t>
      </w:r>
      <w:r>
        <w:rPr>
          <w:rFonts w:ascii="Times New Roman" w:cs="Times New Roman" w:eastAsia="Times New Roman" w:hAnsi="Times New Roman"/>
          <w:sz w:val="16"/>
          <w:szCs w:val="16"/>
          <w:color w:val="000000"/>
        </w:rPr>
        <w:t>). Developmen-tal and technical interventions to improve drinking water quality and related policy decisions have so far met with limited success (</w:t>
      </w:r>
      <w:r>
        <w:rPr>
          <w:rFonts w:ascii="Times New Roman" w:cs="Times New Roman" w:eastAsia="Times New Roman" w:hAnsi="Times New Roman"/>
          <w:sz w:val="16"/>
          <w:szCs w:val="16"/>
          <w:color w:val="000066"/>
        </w:rPr>
        <w:t>Tambe et al., 2008</w:t>
      </w:r>
      <w:r>
        <w:rPr>
          <w:rFonts w:ascii="Times New Roman" w:cs="Times New Roman" w:eastAsia="Times New Roman" w:hAnsi="Times New Roman"/>
          <w:sz w:val="16"/>
          <w:szCs w:val="16"/>
          <w:color w:val="000000"/>
        </w:rPr>
        <w:t>) and diarrhoeal diseases continue to be a major cause of morbidity (</w:t>
      </w:r>
      <w:r>
        <w:rPr>
          <w:rFonts w:ascii="Times New Roman" w:cs="Times New Roman" w:eastAsia="Times New Roman" w:hAnsi="Times New Roman"/>
          <w:sz w:val="16"/>
          <w:szCs w:val="16"/>
          <w:color w:val="000066"/>
        </w:rPr>
        <w:t>Parashar et al., 2003</w:t>
      </w:r>
      <w:r>
        <w:rPr>
          <w:rFonts w:ascii="Times New Roman" w:cs="Times New Roman" w:eastAsia="Times New Roman" w:hAnsi="Times New Roman"/>
          <w:sz w:val="16"/>
          <w:szCs w:val="16"/>
          <w:color w:val="000000"/>
        </w:rPr>
        <w:t>). Traditional societies have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247015</wp:posOffset>
                </wp:positionV>
                <wp:extent cx="4552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5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45pt" to="35.85pt,19.45pt" o:allowincell="f" strokecolor="#000000" strokeweight="0.398pt"/>
            </w:pict>
          </mc:Fallback>
        </mc:AlternateContent>
      </w:r>
    </w:p>
    <w:p>
      <w:pPr>
        <w:spacing w:after="0" w:line="200" w:lineRule="exact"/>
        <w:rPr>
          <w:sz w:val="24"/>
          <w:szCs w:val="24"/>
          <w:color w:val="auto"/>
        </w:rPr>
      </w:pPr>
    </w:p>
    <w:p>
      <w:pPr>
        <w:spacing w:after="0" w:line="251" w:lineRule="exact"/>
        <w:rPr>
          <w:sz w:val="24"/>
          <w:szCs w:val="24"/>
          <w:color w:val="auto"/>
        </w:rPr>
      </w:pPr>
    </w:p>
    <w:p>
      <w:pPr>
        <w:ind w:left="245" w:hanging="132"/>
        <w:spacing w:after="0" w:line="172" w:lineRule="exact"/>
        <w:rPr>
          <w:sz w:val="24"/>
          <w:szCs w:val="24"/>
          <w:color w:val="auto"/>
        </w:rPr>
      </w:pPr>
      <w:r>
        <w:rPr>
          <w:rFonts w:ascii="Arial Unicode MS" w:cs="Arial Unicode MS" w:eastAsia="Arial Unicode MS" w:hAnsi="Arial Unicode MS"/>
          <w:sz w:val="23"/>
          <w:szCs w:val="23"/>
          <w:color w:val="auto"/>
          <w:vertAlign w:val="superscript"/>
        </w:rPr>
        <w:t>∗</w:t>
      </w:r>
      <w:r>
        <w:rPr>
          <w:rFonts w:ascii="Times New Roman" w:cs="Times New Roman" w:eastAsia="Times New Roman" w:hAnsi="Times New Roman"/>
          <w:sz w:val="12"/>
          <w:szCs w:val="12"/>
          <w:color w:val="auto"/>
        </w:rPr>
        <w:t xml:space="preserve"> Corresponding author. Tel.: +91 22 24934989/24938601; fax: +91 22 24932876. </w:t>
      </w:r>
      <w:r>
        <w:rPr>
          <w:rFonts w:ascii="Times New Roman" w:cs="Times New Roman" w:eastAsia="Times New Roman" w:hAnsi="Times New Roman"/>
          <w:sz w:val="12"/>
          <w:szCs w:val="12"/>
          <w:i w:val="1"/>
          <w:iCs w:val="1"/>
          <w:color w:val="auto"/>
        </w:rPr>
        <w:t xml:space="preserve">E-mail address: </w:t>
      </w:r>
      <w:r>
        <w:rPr>
          <w:rFonts w:ascii="Times New Roman" w:cs="Times New Roman" w:eastAsia="Times New Roman" w:hAnsi="Times New Roman"/>
          <w:sz w:val="12"/>
          <w:szCs w:val="12"/>
          <w:color w:val="000066"/>
        </w:rPr>
        <w:t>fmr@fmrindia.org</w:t>
      </w:r>
      <w:r>
        <w:rPr>
          <w:rFonts w:ascii="Times New Roman" w:cs="Times New Roman" w:eastAsia="Times New Roman" w:hAnsi="Times New Roman"/>
          <w:sz w:val="12"/>
          <w:szCs w:val="12"/>
          <w:i w:val="1"/>
          <w:iCs w:val="1"/>
          <w:color w:val="auto"/>
        </w:rPr>
        <w:t xml:space="preserve"> </w:t>
      </w:r>
      <w:r>
        <w:rPr>
          <w:rFonts w:ascii="Times New Roman" w:cs="Times New Roman" w:eastAsia="Times New Roman" w:hAnsi="Times New Roman"/>
          <w:sz w:val="12"/>
          <w:szCs w:val="12"/>
          <w:color w:val="auto"/>
        </w:rPr>
        <w:t>(T.J. Birdi).</w:t>
      </w:r>
    </w:p>
    <w:p>
      <w:pPr>
        <w:spacing w:after="0" w:line="205" w:lineRule="exact"/>
        <w:rPr>
          <w:sz w:val="24"/>
          <w:szCs w:val="24"/>
          <w:color w:val="auto"/>
        </w:rPr>
      </w:pPr>
    </w:p>
    <w:p>
      <w:pPr>
        <w:ind w:left="5" w:right="240"/>
        <w:spacing w:after="0" w:line="286" w:lineRule="auto"/>
        <w:rPr>
          <w:sz w:val="20"/>
          <w:szCs w:val="20"/>
          <w:color w:val="auto"/>
        </w:rPr>
      </w:pPr>
      <w:r>
        <w:rPr>
          <w:rFonts w:ascii="Times New Roman" w:cs="Times New Roman" w:eastAsia="Times New Roman" w:hAnsi="Times New Roman"/>
          <w:sz w:val="13"/>
          <w:szCs w:val="13"/>
          <w:color w:val="auto"/>
        </w:rPr>
        <w:t>0378-8741/$ – see front matter © 2009 Elsevier Ireland Ltd. All rights reserved. doi:</w:t>
      </w:r>
      <w:r>
        <w:rPr>
          <w:rFonts w:ascii="Times New Roman" w:cs="Times New Roman" w:eastAsia="Times New Roman" w:hAnsi="Times New Roman"/>
          <w:sz w:val="13"/>
          <w:szCs w:val="13"/>
          <w:color w:val="000066"/>
        </w:rPr>
        <w:t>10.1016/j.jep.2009.03.013</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13" w:lineRule="exact"/>
        <w:rPr>
          <w:sz w:val="24"/>
          <w:szCs w:val="24"/>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evolved ethnobotanical practices for countering the diarrhoeal dis-ease burden.</w:t>
      </w:r>
    </w:p>
    <w:p>
      <w:pPr>
        <w:spacing w:after="0" w:line="1" w:lineRule="exact"/>
        <w:rPr>
          <w:sz w:val="24"/>
          <w:szCs w:val="24"/>
          <w:color w:val="auto"/>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Indian scientific literature offers a rich wealth of antidiarrhoeal publications. A check list of antidiarrhoeal plants used in alter-native medical systems of India reveals 560 species of flowering plants (unpublished data). Caraka, the ancient Hindu physician and the author of the Great Ayurvedic treatise, “</w:t>
      </w:r>
      <w:r>
        <w:rPr>
          <w:rFonts w:ascii="Times New Roman" w:cs="Times New Roman" w:eastAsia="Times New Roman" w:hAnsi="Times New Roman"/>
          <w:sz w:val="16"/>
          <w:szCs w:val="16"/>
          <w:i w:val="1"/>
          <w:iCs w:val="1"/>
          <w:color w:val="auto"/>
        </w:rPr>
        <w:t>Caraka Samhita</w:t>
      </w:r>
      <w:r>
        <w:rPr>
          <w:rFonts w:ascii="Times New Roman" w:cs="Times New Roman" w:eastAsia="Times New Roman" w:hAnsi="Times New Roman"/>
          <w:sz w:val="16"/>
          <w:szCs w:val="16"/>
          <w:color w:val="auto"/>
        </w:rPr>
        <w:t xml:space="preserve">”, devoted an entire chapter to </w:t>
      </w:r>
      <w:r>
        <w:rPr>
          <w:rFonts w:ascii="Times New Roman" w:cs="Times New Roman" w:eastAsia="Times New Roman" w:hAnsi="Times New Roman"/>
          <w:sz w:val="16"/>
          <w:szCs w:val="16"/>
          <w:i w:val="1"/>
          <w:iCs w:val="1"/>
          <w:color w:val="auto"/>
        </w:rPr>
        <w:t>Atisara</w:t>
      </w:r>
      <w:r>
        <w:rPr>
          <w:rFonts w:ascii="Times New Roman" w:cs="Times New Roman" w:eastAsia="Times New Roman" w:hAnsi="Times New Roman"/>
          <w:sz w:val="16"/>
          <w:szCs w:val="16"/>
          <w:color w:val="auto"/>
        </w:rPr>
        <w:t xml:space="preserve"> which means diarrhoea, which he attributed to diminution of </w:t>
      </w:r>
      <w:r>
        <w:rPr>
          <w:rFonts w:ascii="Times New Roman" w:cs="Times New Roman" w:eastAsia="Times New Roman" w:hAnsi="Times New Roman"/>
          <w:sz w:val="16"/>
          <w:szCs w:val="16"/>
          <w:i w:val="1"/>
          <w:iCs w:val="1"/>
          <w:color w:val="auto"/>
        </w:rPr>
        <w:t>Agni</w:t>
      </w:r>
      <w:r>
        <w:rPr>
          <w:rFonts w:ascii="Times New Roman" w:cs="Times New Roman" w:eastAsia="Times New Roman" w:hAnsi="Times New Roman"/>
          <w:sz w:val="16"/>
          <w:szCs w:val="16"/>
          <w:color w:val="auto"/>
        </w:rPr>
        <w:t xml:space="preserve"> or power of digestion (</w:t>
      </w:r>
      <w:r>
        <w:rPr>
          <w:rFonts w:ascii="Times New Roman" w:cs="Times New Roman" w:eastAsia="Times New Roman" w:hAnsi="Times New Roman"/>
          <w:sz w:val="16"/>
          <w:szCs w:val="16"/>
          <w:color w:val="000066"/>
        </w:rPr>
        <w:t>Sharma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0066"/>
        </w:rPr>
        <w:t>and Dash, 1997</w:t>
      </w:r>
      <w:r>
        <w:rPr>
          <w:rFonts w:ascii="Times New Roman" w:cs="Times New Roman" w:eastAsia="Times New Roman" w:hAnsi="Times New Roman"/>
          <w:sz w:val="16"/>
          <w:szCs w:val="16"/>
          <w:color w:val="000000"/>
        </w:rPr>
        <w:t>). Folk medicine is the mother of the healing sys-tems of India (</w:t>
      </w:r>
      <w:r>
        <w:rPr>
          <w:rFonts w:ascii="Times New Roman" w:cs="Times New Roman" w:eastAsia="Times New Roman" w:hAnsi="Times New Roman"/>
          <w:sz w:val="16"/>
          <w:szCs w:val="16"/>
          <w:color w:val="000066"/>
        </w:rPr>
        <w:t>Valiathan, 2006</w:t>
      </w:r>
      <w:r>
        <w:rPr>
          <w:rFonts w:ascii="Times New Roman" w:cs="Times New Roman" w:eastAsia="Times New Roman" w:hAnsi="Times New Roman"/>
          <w:sz w:val="16"/>
          <w:szCs w:val="16"/>
          <w:color w:val="000000"/>
        </w:rPr>
        <w:t>). It is universally accepted now that traditional health care systems have their unique strengths and are worth exploring for their potential preventive and curative properties. A literature survey undertaken for the state of Maha-rashtra in relation to water borne diseases revealed that there is a dearth of documented information in relation to antidiarrhoeal plants (</w:t>
      </w:r>
      <w:r>
        <w:rPr>
          <w:rFonts w:ascii="Times New Roman" w:cs="Times New Roman" w:eastAsia="Times New Roman" w:hAnsi="Times New Roman"/>
          <w:sz w:val="16"/>
          <w:szCs w:val="16"/>
          <w:color w:val="000066"/>
        </w:rPr>
        <w:t>Sharma and Lakshminarasimhan, 1986; Kirtikar and Basu,</w:t>
      </w:r>
      <w:r>
        <w:rPr>
          <w:rFonts w:ascii="Times New Roman" w:cs="Times New Roman" w:eastAsia="Times New Roman" w:hAnsi="Times New Roman"/>
          <w:sz w:val="16"/>
          <w:szCs w:val="16"/>
          <w:color w:val="000000"/>
        </w:rPr>
        <w:t xml:space="preserve"> </w:t>
      </w:r>
      <w:r>
        <w:rPr>
          <w:rFonts w:ascii="Times New Roman" w:cs="Times New Roman" w:eastAsia="Times New Roman" w:hAnsi="Times New Roman"/>
          <w:sz w:val="16"/>
          <w:szCs w:val="16"/>
          <w:color w:val="000066"/>
        </w:rPr>
        <w:t>1993; Kulkarni and Kumbhojkar, 1997; Kulkarni et al., 2003; Sharma and Mujumdar, 2003</w:t>
      </w:r>
      <w:r>
        <w:rPr>
          <w:rFonts w:ascii="Times New Roman" w:cs="Times New Roman" w:eastAsia="Times New Roman" w:hAnsi="Times New Roman"/>
          <w:sz w:val="16"/>
          <w:szCs w:val="16"/>
          <w:color w:val="000000"/>
        </w:rPr>
        <w:t>). It is increasingly felt that documenting such</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information is urgent and necessary since many tribal rich regions in the vicinity of cities are being converted into semi-urban areas and traditional knowledge is lost in the process of urbanization.</w:t>
      </w:r>
    </w:p>
    <w:p>
      <w:pPr>
        <w:sectPr>
          <w:pgSz w:w="11900" w:h="15874" w:orient="portrait"/>
          <w:cols w:equalWidth="0" w:num="2">
            <w:col w:w="5025" w:space="360"/>
            <w:col w:w="5040"/>
          </w:cols>
          <w:pgMar w:left="855" w:top="717" w:right="626" w:bottom="398" w:gutter="0" w:footer="0" w:header="0"/>
          <w:type w:val="continuous"/>
        </w:sectPr>
      </w:pPr>
    </w:p>
    <w:bookmarkStart w:id="1" w:name="page2"/>
    <w:bookmarkEnd w:id="1"/>
    <w:p>
      <w:pPr>
        <w:spacing w:after="0"/>
        <w:tabs>
          <w:tab w:leader="none" w:pos="3260" w:val="left"/>
        </w:tabs>
        <w:rPr>
          <w:sz w:val="20"/>
          <w:szCs w:val="20"/>
          <w:color w:val="auto"/>
        </w:rPr>
      </w:pPr>
      <w:r>
        <w:rPr>
          <w:rFonts w:ascii="Times New Roman" w:cs="Times New Roman" w:eastAsia="Times New Roman" w:hAnsi="Times New Roman"/>
          <w:sz w:val="13"/>
          <w:szCs w:val="13"/>
          <w:color w:val="auto"/>
        </w:rPr>
        <w:t>230</w:t>
      </w:r>
      <w:r>
        <w:rPr>
          <w:sz w:val="20"/>
          <w:szCs w:val="20"/>
          <w:color w:val="auto"/>
        </w:rPr>
        <w:tab/>
      </w:r>
      <w:r>
        <w:rPr>
          <w:rFonts w:ascii="Times New Roman" w:cs="Times New Roman" w:eastAsia="Times New Roman" w:hAnsi="Times New Roman"/>
          <w:sz w:val="13"/>
          <w:szCs w:val="13"/>
          <w:i w:val="1"/>
          <w:iCs w:val="1"/>
          <w:color w:val="auto"/>
        </w:rPr>
        <w:t>P. Tetali et al. / Journal of Ethnopharmacology 123 (2009) 229–236</w:t>
      </w:r>
    </w:p>
    <w:p>
      <w:pPr>
        <w:sectPr>
          <w:pgSz w:w="11900" w:h="15874" w:orient="portrait"/>
          <w:cols w:equalWidth="0" w:num="1">
            <w:col w:w="10420"/>
          </w:cols>
          <w:pgMar w:left="640" w:top="717" w:right="846" w:bottom="433" w:gutter="0" w:footer="0" w:header="0"/>
        </w:sectPr>
      </w:pPr>
    </w:p>
    <w:p>
      <w:pPr>
        <w:spacing w:after="0" w:line="226"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16"/>
          <w:szCs w:val="16"/>
          <w:color w:val="auto"/>
        </w:rPr>
        <w:t>Maharashtra is the third largest state of India and is rich in tribes and other traditional populations. According to the latest government census (2001) 19% of the total population of Maharashtra consists of tribes. Pune district has only 3.9% (0.216 million) tribes. The aim of the present study was to document ethnobotanical information of antidiarrhoeal plants in the Parinche valley, a geographically iso-lated region near Pune, which is one of the fastest growing cities of India.</w:t>
      </w:r>
    </w:p>
    <w:p>
      <w:pPr>
        <w:spacing w:after="0" w:line="200" w:lineRule="exact"/>
        <w:rPr>
          <w:sz w:val="20"/>
          <w:szCs w:val="20"/>
          <w:color w:val="auto"/>
        </w:rPr>
      </w:pPr>
    </w:p>
    <w:p>
      <w:pPr>
        <w:spacing w:after="0" w:line="227"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16"/>
          <w:szCs w:val="16"/>
          <w:b w:val="1"/>
          <w:bCs w:val="1"/>
          <w:color w:val="auto"/>
        </w:rPr>
        <w:t>2.</w:t>
        <w:tab/>
        <w:t>Materials and methods</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2.1.  Study area</w:t>
      </w:r>
    </w:p>
    <w:p>
      <w:pPr>
        <w:spacing w:after="0" w:line="232"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16"/>
          <w:szCs w:val="16"/>
          <w:color w:val="auto"/>
        </w:rPr>
        <w:t>Parinche valley (</w:t>
      </w:r>
      <w:r>
        <w:rPr>
          <w:rFonts w:ascii="Times New Roman" w:cs="Times New Roman" w:eastAsia="Times New Roman" w:hAnsi="Times New Roman"/>
          <w:sz w:val="16"/>
          <w:szCs w:val="16"/>
          <w:color w:val="000066"/>
        </w:rPr>
        <w:t>Fig. 1</w:t>
      </w:r>
      <w:r>
        <w:rPr>
          <w:rFonts w:ascii="Times New Roman" w:cs="Times New Roman" w:eastAsia="Times New Roman" w:hAnsi="Times New Roman"/>
          <w:sz w:val="16"/>
          <w:szCs w:val="16"/>
          <w:color w:val="auto"/>
        </w:rPr>
        <w:t>) is situated between 73</w:t>
      </w:r>
      <w:r>
        <w:rPr>
          <w:rFonts w:ascii="Arial" w:cs="Arial" w:eastAsia="Arial" w:hAnsi="Arial"/>
          <w:sz w:val="23"/>
          <w:szCs w:val="23"/>
          <w:color w:val="auto"/>
          <w:vertAlign w:val="superscript"/>
        </w:rPr>
        <w:t>◦</w:t>
      </w:r>
      <w:r>
        <w:rPr>
          <w:rFonts w:ascii="Times New Roman" w:cs="Times New Roman" w:eastAsia="Times New Roman" w:hAnsi="Times New Roman"/>
          <w:sz w:val="16"/>
          <w:szCs w:val="16"/>
          <w:color w:val="auto"/>
        </w:rPr>
        <w:t>10 and 74</w:t>
      </w:r>
      <w:r>
        <w:rPr>
          <w:rFonts w:ascii="Arial" w:cs="Arial" w:eastAsia="Arial" w:hAnsi="Arial"/>
          <w:sz w:val="23"/>
          <w:szCs w:val="23"/>
          <w:color w:val="auto"/>
          <w:vertAlign w:val="superscript"/>
        </w:rPr>
        <w:t>◦</w:t>
      </w:r>
      <w:r>
        <w:rPr>
          <w:rFonts w:ascii="Times New Roman" w:cs="Times New Roman" w:eastAsia="Times New Roman" w:hAnsi="Times New Roman"/>
          <w:sz w:val="16"/>
          <w:szCs w:val="16"/>
          <w:color w:val="auto"/>
        </w:rPr>
        <w:t>10 latitudes and 18</w:t>
      </w:r>
      <w:r>
        <w:rPr>
          <w:rFonts w:ascii="Arial" w:cs="Arial" w:eastAsia="Arial" w:hAnsi="Arial"/>
          <w:sz w:val="23"/>
          <w:szCs w:val="23"/>
          <w:color w:val="auto"/>
          <w:vertAlign w:val="superscript"/>
        </w:rPr>
        <w:t>◦</w:t>
      </w:r>
      <w:r>
        <w:rPr>
          <w:rFonts w:ascii="Times New Roman" w:cs="Times New Roman" w:eastAsia="Times New Roman" w:hAnsi="Times New Roman"/>
          <w:sz w:val="16"/>
          <w:szCs w:val="16"/>
          <w:color w:val="auto"/>
        </w:rPr>
        <w:t>10 and 18</w:t>
      </w:r>
      <w:r>
        <w:rPr>
          <w:rFonts w:ascii="Arial" w:cs="Arial" w:eastAsia="Arial" w:hAnsi="Arial"/>
          <w:sz w:val="23"/>
          <w:szCs w:val="23"/>
          <w:color w:val="auto"/>
          <w:vertAlign w:val="superscript"/>
        </w:rPr>
        <w:t>◦</w:t>
      </w:r>
      <w:r>
        <w:rPr>
          <w:rFonts w:ascii="Times New Roman" w:cs="Times New Roman" w:eastAsia="Times New Roman" w:hAnsi="Times New Roman"/>
          <w:sz w:val="16"/>
          <w:szCs w:val="16"/>
          <w:color w:val="auto"/>
        </w:rPr>
        <w:t xml:space="preserve">55 longitudes in the Pune district of Maharashtra state about 53 km to the South East of Pune city. The region comprises of the inaccessible rear part of the Purand-har fort and its surrounding valley region. The total area of the valley region is about 132 sq. km. Parinche is the biggest village comprising a total of 43 villages and hamlets; forests cover only 15.8% of the total area. At the time of this study (2003), the total population was 14,930 belonging to 33 castes (communities); there were 36 traditional health care practitioners and 68 other types of healers; the tribes constituted about 9.65% (Tahsil office, Purandhar). The important tribal communities were </w:t>
      </w:r>
      <w:r>
        <w:rPr>
          <w:rFonts w:ascii="Times New Roman" w:cs="Times New Roman" w:eastAsia="Times New Roman" w:hAnsi="Times New Roman"/>
          <w:sz w:val="16"/>
          <w:szCs w:val="16"/>
          <w:i w:val="1"/>
          <w:iCs w:val="1"/>
          <w:color w:val="auto"/>
        </w:rPr>
        <w:t>Mahadeo Kolis</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640715</wp:posOffset>
            </wp:positionH>
            <wp:positionV relativeFrom="paragraph">
              <wp:posOffset>427990</wp:posOffset>
            </wp:positionV>
            <wp:extent cx="5326380" cy="49142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extLst>
                    </a:blip>
                    <a:srcRect/>
                    <a:stretch>
                      <a:fillRect/>
                    </a:stretch>
                  </pic:blipFill>
                  <pic:spPr bwMode="auto">
                    <a:xfrm>
                      <a:off x="0" y="0"/>
                      <a:ext cx="5326380" cy="49142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6"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6"/>
          <w:szCs w:val="16"/>
          <w:i w:val="1"/>
          <w:iCs w:val="1"/>
          <w:color w:val="auto"/>
        </w:rPr>
        <w:t xml:space="preserve">Dhangars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Ramoshi</w:t>
      </w:r>
      <w:r>
        <w:rPr>
          <w:rFonts w:ascii="Times New Roman" w:cs="Times New Roman" w:eastAsia="Times New Roman" w:hAnsi="Times New Roman"/>
          <w:sz w:val="16"/>
          <w:szCs w:val="16"/>
          <w:color w:val="auto"/>
        </w:rPr>
        <w:t>. Tribal hamlets are concentrated mostly</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near Purandhar fort of the Kaldari zone, which is also popularly known as Ghera Purandhar. Perennial springs in the sacred groves (</w:t>
      </w:r>
      <w:r>
        <w:rPr>
          <w:rFonts w:ascii="Times New Roman" w:cs="Times New Roman" w:eastAsia="Times New Roman" w:hAnsi="Times New Roman"/>
          <w:sz w:val="16"/>
          <w:szCs w:val="16"/>
          <w:color w:val="000066"/>
        </w:rPr>
        <w:t>Waghchaure et al., 2006</w:t>
      </w:r>
      <w:r>
        <w:rPr>
          <w:rFonts w:ascii="Times New Roman" w:cs="Times New Roman" w:eastAsia="Times New Roman" w:hAnsi="Times New Roman"/>
          <w:sz w:val="16"/>
          <w:szCs w:val="16"/>
          <w:color w:val="auto"/>
        </w:rPr>
        <w:t>) and the government forest land are the main sources of drinking water; a number of other options such as bore wells, check dams and reservoirs are also avail-able.</w:t>
      </w:r>
    </w:p>
    <w:p>
      <w:pPr>
        <w:spacing w:after="0" w:line="195"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A cadre of women community health workers (CHW), selected through a participative process of community consensus and trained by the Foundation for Research in Community Health (FRCH, located in Pune) in preventive, promotive and curative aspects of health/medical care are functional in this area. These CHW provide equitable and accessible primary health care in their neighbor-hoods. The close contact of the CHW with their village community was critical in the project staff gaining access and trust of the com-munities.</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2.2.  Ethnobotanical survey</w:t>
      </w:r>
    </w:p>
    <w:p>
      <w:pPr>
        <w:spacing w:after="0" w:line="232"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auto"/>
        </w:rPr>
        <w:t>An ethnobotanical study of antidiarrhoeal plants was conducted from October 2002 to June 2006. The data was recorded following the standard procedures (</w:t>
      </w:r>
      <w:r>
        <w:rPr>
          <w:rFonts w:ascii="Times New Roman" w:cs="Times New Roman" w:eastAsia="Times New Roman" w:hAnsi="Times New Roman"/>
          <w:sz w:val="16"/>
          <w:szCs w:val="16"/>
          <w:color w:val="000066"/>
        </w:rPr>
        <w:t>Jain, 1989, 1991; Jain and Mudgal, 1999</w:t>
      </w:r>
      <w:r>
        <w:rPr>
          <w:rFonts w:ascii="Times New Roman" w:cs="Times New Roman" w:eastAsia="Times New Roman" w:hAnsi="Times New Roman"/>
          <w:sz w:val="16"/>
          <w:szCs w:val="16"/>
          <w:color w:val="auto"/>
        </w:rPr>
        <w:t>). The survey aimed to interact with maximum number of traditional communities, particularly the tribes. To achieve this, we opted for three different approaches.</w:t>
      </w:r>
    </w:p>
    <w:p>
      <w:pPr>
        <w:spacing w:after="0" w:line="200" w:lineRule="exact"/>
        <w:rPr>
          <w:sz w:val="20"/>
          <w:szCs w:val="20"/>
          <w:color w:val="auto"/>
        </w:rPr>
      </w:pPr>
    </w:p>
    <w:p>
      <w:pPr>
        <w:sectPr>
          <w:pgSz w:w="11900" w:h="15874" w:orient="portrait"/>
          <w:cols w:equalWidth="0" w:num="2">
            <w:col w:w="5040" w:space="340"/>
            <w:col w:w="5040"/>
          </w:cols>
          <w:pgMar w:left="640" w:top="717" w:right="846" w:bottom="43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b w:val="1"/>
          <w:bCs w:val="1"/>
          <w:color w:val="auto"/>
        </w:rPr>
        <w:t xml:space="preserve">Fig. 1.  </w:t>
      </w:r>
      <w:r>
        <w:rPr>
          <w:rFonts w:ascii="Times New Roman" w:cs="Times New Roman" w:eastAsia="Times New Roman" w:hAnsi="Times New Roman"/>
          <w:sz w:val="13"/>
          <w:szCs w:val="13"/>
          <w:color w:val="auto"/>
        </w:rPr>
        <w:t>Study area—Parinche valley located in Maharashtra, India.</w:t>
      </w:r>
    </w:p>
    <w:p>
      <w:pPr>
        <w:sectPr>
          <w:pgSz w:w="11900" w:h="15874" w:orient="portrait"/>
          <w:cols w:equalWidth="0" w:num="1">
            <w:col w:w="10420"/>
          </w:cols>
          <w:pgMar w:left="640" w:top="717" w:right="846" w:bottom="433" w:gutter="0" w:footer="0" w:header="0"/>
          <w:type w:val="continuous"/>
        </w:sectPr>
      </w:pPr>
    </w:p>
    <w:bookmarkStart w:id="2" w:name="page3"/>
    <w:bookmarkEnd w:id="2"/>
    <w:tbl>
      <w:tblPr>
        <w:tblLayout w:type="fixed"/>
        <w:tblInd w:w="3280" w:type="dxa"/>
        <w:tblCellMar>
          <w:top w:w="0" w:type="dxa"/>
          <w:left w:w="0" w:type="dxa"/>
          <w:bottom w:w="0" w:type="dxa"/>
          <w:right w:w="0" w:type="dxa"/>
        </w:tblCellMar>
      </w:tblPr>
      <w:tr>
        <w:trPr>
          <w:trHeight w:val="156"/>
        </w:trPr>
        <w:tc>
          <w:tcPr>
            <w:tcW w:w="538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rPr>
              <w:t>P. Tetali et al. / Journal of Ethnopharmacology 123 (2009) 229–236</w:t>
            </w:r>
          </w:p>
        </w:tc>
        <w:tc>
          <w:tcPr>
            <w:tcW w:w="1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231</w:t>
            </w:r>
          </w:p>
        </w:tc>
      </w:tr>
    </w:tbl>
    <w:p>
      <w:pPr>
        <w:spacing w:after="0" w:line="200" w:lineRule="exact"/>
        <w:rPr>
          <w:sz w:val="20"/>
          <w:szCs w:val="20"/>
          <w:color w:val="auto"/>
        </w:rPr>
      </w:pPr>
    </w:p>
    <w:p>
      <w:pPr>
        <w:sectPr>
          <w:pgSz w:w="11900" w:h="15874" w:orient="portrait"/>
          <w:cols w:equalWidth="0" w:num="1">
            <w:col w:w="10420"/>
          </w:cols>
          <w:pgMar w:left="860" w:top="717" w:right="626" w:bottom="396" w:gutter="0" w:footer="0" w:header="0"/>
        </w:sectPr>
      </w:pPr>
    </w:p>
    <w:p>
      <w:pPr>
        <w:spacing w:after="0" w:line="19"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In the first approach we targeted medicine men or herbal doctors (</w:t>
      </w:r>
      <w:r>
        <w:rPr>
          <w:rFonts w:ascii="Times New Roman" w:cs="Times New Roman" w:eastAsia="Times New Roman" w:hAnsi="Times New Roman"/>
          <w:sz w:val="16"/>
          <w:szCs w:val="16"/>
          <w:i w:val="1"/>
          <w:iCs w:val="1"/>
          <w:color w:val="auto"/>
        </w:rPr>
        <w:t>Vaidus</w:t>
      </w:r>
      <w:r>
        <w:rPr>
          <w:rFonts w:ascii="Times New Roman" w:cs="Times New Roman" w:eastAsia="Times New Roman" w:hAnsi="Times New Roman"/>
          <w:sz w:val="16"/>
          <w:szCs w:val="16"/>
          <w:color w:val="auto"/>
        </w:rPr>
        <w:t>). They were approached and explained that the objective of the study was to document the antidiarrhoeal plants of the Parinche valley and only those who consented were further interviewed. An ethnobotanist as well as a CHW accompanied the medicine men (who agreed to take part in interviews) to the forests during the interviews to confirm the species identity. The plant specimens were collected in triplicate and their taxonomic identification was confirmed. The voucher specimens were deposited in the Botanical survey of India (BSI), Western circle, Pune or Naoroji Godrej Centre for Plant Research (NGCPR) herbaria.</w:t>
      </w:r>
    </w:p>
    <w:p>
      <w:pPr>
        <w:spacing w:after="0" w:line="201"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The second approach was to conduct surveys at the family level in the villages. This was on the basis of information received from the CHW who identified families which used medicinal plants widely. The third approach was to involve school teachers. Questionnaires were circulated to students and they were asked to collect information from their elders regarding antidiarrhoeal plants. The response to the third type of survey was good though the information received often lacked accuracy and most of the plants disclosed during this survey are described in standard Ayurvedic literature. Nevertheless, the last two approaches helped in iden-tifying individuals with extensive knowledge of medicinal plants who were subsequently interviewed.</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2.3.  Interviews</w:t>
      </w:r>
    </w:p>
    <w:p>
      <w:pPr>
        <w:spacing w:after="0" w:line="232"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 xml:space="preserve">During the survey and with the help of CHWs, we identified a total of 115 individuals (27 amongst them were </w:t>
      </w:r>
      <w:r>
        <w:rPr>
          <w:rFonts w:ascii="Times New Roman" w:cs="Times New Roman" w:eastAsia="Times New Roman" w:hAnsi="Times New Roman"/>
          <w:sz w:val="16"/>
          <w:szCs w:val="16"/>
          <w:i w:val="1"/>
          <w:iCs w:val="1"/>
          <w:color w:val="auto"/>
        </w:rPr>
        <w:t>Vaidus</w:t>
      </w:r>
      <w:r>
        <w:rPr>
          <w:rFonts w:ascii="Times New Roman" w:cs="Times New Roman" w:eastAsia="Times New Roman" w:hAnsi="Times New Roman"/>
          <w:sz w:val="16"/>
          <w:szCs w:val="16"/>
          <w:color w:val="auto"/>
        </w:rPr>
        <w:t xml:space="preserve">) who were frequently visited by the locals to seek a cure for different ailments. These individuals were respected by the locals for their knowledge of local medicinal plants and their ability to cure patients approach-ing them. These medicinal plant ‘experts’ due to their extensive knowledge on medicinal plants were interviewed. The ethnobotan-ical information was noted down on a data sheet specially prepared for the purpose. The interviews were simultaneously tape recorded for better analysis. The data sheet for the interviews has been repro-duced in </w:t>
      </w:r>
      <w:r>
        <w:rPr>
          <w:rFonts w:ascii="Times New Roman" w:cs="Times New Roman" w:eastAsia="Times New Roman" w:hAnsi="Times New Roman"/>
          <w:sz w:val="16"/>
          <w:szCs w:val="16"/>
          <w:color w:val="000066"/>
        </w:rPr>
        <w:t>Box 1</w:t>
      </w:r>
      <w:r>
        <w:rPr>
          <w:rFonts w:ascii="Times New Roman" w:cs="Times New Roman" w:eastAsia="Times New Roman" w:hAnsi="Times New Roman"/>
          <w:sz w:val="16"/>
          <w:szCs w:val="16"/>
          <w:color w:val="auto"/>
        </w:rPr>
        <w:t xml:space="preserve"> .</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2.4.  Enumeration of plant species</w:t>
      </w:r>
    </w:p>
    <w:p>
      <w:pPr>
        <w:spacing w:after="0" w:line="232" w:lineRule="exact"/>
        <w:rPr>
          <w:sz w:val="20"/>
          <w:szCs w:val="20"/>
          <w:color w:val="auto"/>
        </w:rPr>
      </w:pPr>
    </w:p>
    <w:p>
      <w:pPr>
        <w:jc w:val="both"/>
        <w:ind w:firstLine="239"/>
        <w:spacing w:after="0" w:line="279" w:lineRule="auto"/>
        <w:rPr>
          <w:sz w:val="20"/>
          <w:szCs w:val="20"/>
          <w:color w:val="auto"/>
        </w:rPr>
      </w:pPr>
      <w:r>
        <w:rPr>
          <w:rFonts w:ascii="Times New Roman" w:cs="Times New Roman" w:eastAsia="Times New Roman" w:hAnsi="Times New Roman"/>
          <w:sz w:val="16"/>
          <w:szCs w:val="16"/>
          <w:color w:val="auto"/>
        </w:rPr>
        <w:t>All plants were recorded with at least one vernacular name. Uniformity, with regards to repeated usage of vernacular names in different villages or regions and also amongst different commu-nities, in citation of plants was an indication that the said species are generally well known remedies.</w:t>
      </w:r>
    </w:p>
    <w:p>
      <w:pPr>
        <w:spacing w:after="0" w:line="3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i w:val="1"/>
          <w:iCs w:val="1"/>
          <w:color w:val="auto"/>
        </w:rPr>
        <w:t>2.5.  Recording of antidiarrhoeal recipe</w:t>
      </w:r>
    </w:p>
    <w:p>
      <w:pPr>
        <w:spacing w:after="0" w:line="232" w:lineRule="exact"/>
        <w:rPr>
          <w:sz w:val="20"/>
          <w:szCs w:val="20"/>
          <w:color w:val="auto"/>
        </w:rPr>
      </w:pPr>
    </w:p>
    <w:p>
      <w:pPr>
        <w:jc w:val="both"/>
        <w:ind w:firstLine="239"/>
        <w:spacing w:after="0" w:line="280" w:lineRule="auto"/>
        <w:rPr>
          <w:sz w:val="20"/>
          <w:szCs w:val="20"/>
          <w:color w:val="auto"/>
        </w:rPr>
      </w:pPr>
      <w:r>
        <w:rPr>
          <w:rFonts w:ascii="Times New Roman" w:cs="Times New Roman" w:eastAsia="Times New Roman" w:hAnsi="Times New Roman"/>
          <w:sz w:val="16"/>
          <w:szCs w:val="16"/>
          <w:color w:val="auto"/>
        </w:rPr>
        <w:t>On return from the fields, the local terminology for the dosage of the antidiarrhoeal recipe as cited during the interviews was worked out in terms of ml, g, mg and cm for record purpose.</w:t>
      </w:r>
    </w:p>
    <w:p>
      <w:pPr>
        <w:spacing w:after="0" w:line="198"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16"/>
          <w:szCs w:val="16"/>
          <w:b w:val="1"/>
          <w:bCs w:val="1"/>
          <w:color w:val="auto"/>
        </w:rPr>
        <w:t>3.</w:t>
        <w:tab/>
        <w:t>Results</w:t>
      </w:r>
    </w:p>
    <w:p>
      <w:pPr>
        <w:spacing w:after="0" w:line="236"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The survey documented 182 plant species that were used by the locals for various ailments. Amongst the 115 individuals inter-viewed, 24 respondents cited a total of 28 plants for the treatment of diarrhoeal diseases. Their definition of diarrhoea included stomach upset and frequent stools. In addition, they could also distinguish bloody, watery forms as well as diarrhoea with mucilage. Symptoms such as stomach ache, general weakness, back ache and shivering were also known to them to be associated with diarrhoea.</w:t>
      </w:r>
    </w:p>
    <w:p>
      <w:pPr>
        <w:spacing w:after="0" w:line="6"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000066"/>
        </w:rPr>
        <w:t xml:space="preserve">Table 1 </w:t>
      </w:r>
      <w:r>
        <w:rPr>
          <w:rFonts w:ascii="Times New Roman" w:cs="Times New Roman" w:eastAsia="Times New Roman" w:hAnsi="Times New Roman"/>
          <w:sz w:val="16"/>
          <w:szCs w:val="16"/>
          <w:color w:val="000000"/>
        </w:rPr>
        <w:t xml:space="preserve">gives the botanical and common names of the antidiar-rhoeal plants along with the names of their families and the status of domestication. </w:t>
      </w:r>
      <w:r>
        <w:rPr>
          <w:rFonts w:ascii="Times New Roman" w:cs="Times New Roman" w:eastAsia="Times New Roman" w:hAnsi="Times New Roman"/>
          <w:sz w:val="16"/>
          <w:szCs w:val="16"/>
          <w:color w:val="000066"/>
        </w:rPr>
        <w:t>Table 2</w:t>
      </w:r>
      <w:r>
        <w:rPr>
          <w:rFonts w:ascii="Times New Roman" w:cs="Times New Roman" w:eastAsia="Times New Roman" w:hAnsi="Times New Roman"/>
          <w:sz w:val="16"/>
          <w:szCs w:val="16"/>
          <w:color w:val="000000"/>
        </w:rPr>
        <w:t xml:space="preserve"> covers information on the number of time(s) the plant was quoted for its antidiarrhoeal activity, the plant</w:t>
      </w:r>
    </w:p>
    <w:p>
      <w:pPr>
        <w:spacing w:after="0" w:line="20" w:lineRule="exact"/>
        <w:rPr>
          <w:sz w:val="20"/>
          <w:szCs w:val="20"/>
          <w:color w:val="auto"/>
        </w:rPr>
      </w:pPr>
      <w:r>
        <w:rPr>
          <w:sz w:val="20"/>
          <w:szCs w:val="20"/>
          <w:color w:val="auto"/>
        </w:rPr>
        <w:br w:type="column"/>
      </w:r>
    </w:p>
    <w:p>
      <w:pPr>
        <w:spacing w:after="0" w:line="183" w:lineRule="exact"/>
        <w:rPr>
          <w:sz w:val="20"/>
          <w:szCs w:val="20"/>
          <w:color w:val="auto"/>
        </w:rPr>
      </w:pPr>
    </w:p>
    <w:p>
      <w:pPr>
        <w:ind w:left="200"/>
        <w:spacing w:after="0"/>
        <w:rPr>
          <w:sz w:val="20"/>
          <w:szCs w:val="20"/>
          <w:color w:val="auto"/>
        </w:rPr>
      </w:pPr>
      <w:r>
        <w:rPr>
          <w:rFonts w:ascii="Arial" w:cs="Arial" w:eastAsia="Arial" w:hAnsi="Arial"/>
          <w:sz w:val="16"/>
          <w:szCs w:val="16"/>
          <w:b w:val="1"/>
          <w:bCs w:val="1"/>
          <w:color w:val="auto"/>
        </w:rPr>
        <w:t>Box 1: Interview data sheet—Parinche Valley.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-218440</wp:posOffset>
                </wp:positionV>
                <wp:extent cx="32010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1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7.1999pt" to="252.25pt,-17.1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-221615</wp:posOffset>
                </wp:positionV>
                <wp:extent cx="0" cy="429514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95140"/>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7.4499pt" to="0.45pt,320.7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3200400</wp:posOffset>
                </wp:positionH>
                <wp:positionV relativeFrom="paragraph">
                  <wp:posOffset>-221615</wp:posOffset>
                </wp:positionV>
                <wp:extent cx="0" cy="429514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95140"/>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pt,-17.4499pt" to="252pt,320.75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4070350</wp:posOffset>
                </wp:positionV>
                <wp:extent cx="32010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10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320.5pt" to="252.25pt,320.5pt" o:allowincell="f" strokecolor="#000000" strokeweight="0.498pt"/>
            </w:pict>
          </mc:Fallback>
        </mc:AlternateContent>
      </w:r>
    </w:p>
    <w:p>
      <w:pPr>
        <w:spacing w:after="0" w:line="203" w:lineRule="exact"/>
        <w:rPr>
          <w:sz w:val="20"/>
          <w:szCs w:val="20"/>
          <w:color w:val="auto"/>
        </w:rPr>
      </w:pPr>
    </w:p>
    <w:p>
      <w:pPr>
        <w:ind w:left="460" w:hanging="256"/>
        <w:spacing w:after="0"/>
        <w:tabs>
          <w:tab w:leader="none" w:pos="460" w:val="left"/>
        </w:tabs>
        <w:numPr>
          <w:ilvl w:val="0"/>
          <w:numId w:val="3"/>
        </w:numPr>
        <w:rPr>
          <w:rFonts w:ascii="Arial" w:cs="Arial" w:eastAsia="Arial" w:hAnsi="Arial"/>
          <w:sz w:val="16"/>
          <w:szCs w:val="16"/>
          <w:color w:val="auto"/>
        </w:rPr>
      </w:pPr>
      <w:r>
        <w:rPr>
          <w:rFonts w:ascii="Arial" w:cs="Arial" w:eastAsia="Arial" w:hAnsi="Arial"/>
          <w:sz w:val="16"/>
          <w:szCs w:val="16"/>
          <w:color w:val="auto"/>
        </w:rPr>
        <w:t>Date of survey:</w:t>
      </w:r>
    </w:p>
    <w:p>
      <w:pPr>
        <w:spacing w:after="0" w:line="5" w:lineRule="exact"/>
        <w:rPr>
          <w:rFonts w:ascii="Arial" w:cs="Arial" w:eastAsia="Arial" w:hAnsi="Arial"/>
          <w:sz w:val="16"/>
          <w:szCs w:val="16"/>
          <w:color w:val="auto"/>
        </w:rPr>
      </w:pPr>
    </w:p>
    <w:p>
      <w:pPr>
        <w:ind w:left="720" w:right="3040" w:hanging="516"/>
        <w:spacing w:after="0" w:line="246" w:lineRule="auto"/>
        <w:tabs>
          <w:tab w:leader="none" w:pos="463" w:val="left"/>
        </w:tabs>
        <w:numPr>
          <w:ilvl w:val="0"/>
          <w:numId w:val="3"/>
        </w:numPr>
        <w:rPr>
          <w:rFonts w:ascii="Arial" w:cs="Arial" w:eastAsia="Arial" w:hAnsi="Arial"/>
          <w:sz w:val="16"/>
          <w:szCs w:val="16"/>
          <w:color w:val="auto"/>
        </w:rPr>
      </w:pPr>
      <w:r>
        <w:rPr>
          <w:rFonts w:ascii="Arial" w:cs="Arial" w:eastAsia="Arial" w:hAnsi="Arial"/>
          <w:sz w:val="16"/>
          <w:szCs w:val="16"/>
          <w:color w:val="auto"/>
        </w:rPr>
        <w:t>Name of the person: Address: At/po:</w:t>
      </w:r>
    </w:p>
    <w:p>
      <w:pPr>
        <w:spacing w:after="0" w:line="1" w:lineRule="exact"/>
        <w:rPr>
          <w:rFonts w:ascii="Arial" w:cs="Arial" w:eastAsia="Arial" w:hAnsi="Arial"/>
          <w:sz w:val="16"/>
          <w:szCs w:val="16"/>
          <w:color w:val="auto"/>
        </w:rPr>
      </w:pPr>
    </w:p>
    <w:p>
      <w:pPr>
        <w:ind w:left="720" w:right="2440"/>
        <w:spacing w:after="0" w:line="246" w:lineRule="auto"/>
        <w:rPr>
          <w:rFonts w:ascii="Arial" w:cs="Arial" w:eastAsia="Arial" w:hAnsi="Arial"/>
          <w:sz w:val="16"/>
          <w:szCs w:val="16"/>
          <w:color w:val="auto"/>
        </w:rPr>
      </w:pPr>
      <w:r>
        <w:rPr>
          <w:rFonts w:ascii="Arial" w:cs="Arial" w:eastAsia="Arial" w:hAnsi="Arial"/>
          <w:sz w:val="16"/>
          <w:szCs w:val="16"/>
          <w:color w:val="auto"/>
        </w:rPr>
        <w:t>Tal: Purandhar Dist: Pune Photograph</w:t>
      </w:r>
    </w:p>
    <w:p>
      <w:pPr>
        <w:spacing w:after="0" w:line="1" w:lineRule="exact"/>
        <w:rPr>
          <w:rFonts w:ascii="Arial" w:cs="Arial" w:eastAsia="Arial" w:hAnsi="Arial"/>
          <w:sz w:val="16"/>
          <w:szCs w:val="16"/>
          <w:color w:val="auto"/>
        </w:rPr>
      </w:pPr>
    </w:p>
    <w:p>
      <w:pPr>
        <w:ind w:left="460" w:hanging="256"/>
        <w:spacing w:after="0"/>
        <w:tabs>
          <w:tab w:leader="none" w:pos="460" w:val="left"/>
        </w:tabs>
        <w:numPr>
          <w:ilvl w:val="0"/>
          <w:numId w:val="3"/>
        </w:numPr>
        <w:rPr>
          <w:rFonts w:ascii="Arial" w:cs="Arial" w:eastAsia="Arial" w:hAnsi="Arial"/>
          <w:sz w:val="16"/>
          <w:szCs w:val="16"/>
          <w:color w:val="auto"/>
        </w:rPr>
      </w:pPr>
      <w:r>
        <w:rPr>
          <w:rFonts w:ascii="Arial" w:cs="Arial" w:eastAsia="Arial" w:hAnsi="Arial"/>
          <w:sz w:val="16"/>
          <w:szCs w:val="16"/>
          <w:color w:val="auto"/>
        </w:rPr>
        <w:t>Source of information-restricted to</w:t>
      </w:r>
    </w:p>
    <w:p>
      <w:pPr>
        <w:spacing w:after="0" w:line="5" w:lineRule="exact"/>
        <w:rPr>
          <w:rFonts w:ascii="Arial" w:cs="Arial" w:eastAsia="Arial" w:hAnsi="Arial"/>
          <w:sz w:val="16"/>
          <w:szCs w:val="16"/>
          <w:color w:val="auto"/>
        </w:rPr>
      </w:pPr>
    </w:p>
    <w:p>
      <w:pPr>
        <w:ind w:left="720" w:hanging="251"/>
        <w:spacing w:after="0"/>
        <w:tabs>
          <w:tab w:leader="none" w:pos="720" w:val="left"/>
        </w:tabs>
        <w:numPr>
          <w:ilvl w:val="1"/>
          <w:numId w:val="3"/>
        </w:numPr>
        <w:rPr>
          <w:rFonts w:ascii="Arial" w:cs="Arial" w:eastAsia="Arial" w:hAnsi="Arial"/>
          <w:sz w:val="16"/>
          <w:szCs w:val="16"/>
          <w:color w:val="auto"/>
        </w:rPr>
      </w:pPr>
      <w:r>
        <w:rPr>
          <w:rFonts w:ascii="Arial" w:cs="Arial" w:eastAsia="Arial" w:hAnsi="Arial"/>
          <w:sz w:val="16"/>
          <w:szCs w:val="16"/>
          <w:color w:val="auto"/>
        </w:rPr>
        <w:t>Community:</w:t>
      </w:r>
    </w:p>
    <w:p>
      <w:pPr>
        <w:spacing w:after="0" w:line="5" w:lineRule="exact"/>
        <w:rPr>
          <w:rFonts w:ascii="Arial" w:cs="Arial" w:eastAsia="Arial" w:hAnsi="Arial"/>
          <w:sz w:val="16"/>
          <w:szCs w:val="16"/>
          <w:color w:val="auto"/>
        </w:rPr>
      </w:pPr>
    </w:p>
    <w:p>
      <w:pPr>
        <w:ind w:left="720" w:hanging="260"/>
        <w:spacing w:after="0"/>
        <w:tabs>
          <w:tab w:leader="none" w:pos="720" w:val="left"/>
        </w:tabs>
        <w:numPr>
          <w:ilvl w:val="1"/>
          <w:numId w:val="3"/>
        </w:numPr>
        <w:rPr>
          <w:rFonts w:ascii="Arial" w:cs="Arial" w:eastAsia="Arial" w:hAnsi="Arial"/>
          <w:sz w:val="16"/>
          <w:szCs w:val="16"/>
          <w:color w:val="auto"/>
        </w:rPr>
      </w:pPr>
      <w:r>
        <w:rPr>
          <w:rFonts w:ascii="Arial" w:cs="Arial" w:eastAsia="Arial" w:hAnsi="Arial"/>
          <w:sz w:val="16"/>
          <w:szCs w:val="16"/>
          <w:color w:val="auto"/>
        </w:rPr>
        <w:t>Family:</w:t>
      </w:r>
    </w:p>
    <w:p>
      <w:pPr>
        <w:spacing w:after="0" w:line="5" w:lineRule="exact"/>
        <w:rPr>
          <w:rFonts w:ascii="Arial" w:cs="Arial" w:eastAsia="Arial" w:hAnsi="Arial"/>
          <w:sz w:val="16"/>
          <w:szCs w:val="16"/>
          <w:color w:val="auto"/>
        </w:rPr>
      </w:pPr>
    </w:p>
    <w:p>
      <w:pPr>
        <w:ind w:left="720" w:hanging="242"/>
        <w:spacing w:after="0"/>
        <w:tabs>
          <w:tab w:leader="none" w:pos="720" w:val="left"/>
        </w:tabs>
        <w:numPr>
          <w:ilvl w:val="1"/>
          <w:numId w:val="3"/>
        </w:numPr>
        <w:rPr>
          <w:rFonts w:ascii="Arial" w:cs="Arial" w:eastAsia="Arial" w:hAnsi="Arial"/>
          <w:sz w:val="16"/>
          <w:szCs w:val="16"/>
          <w:color w:val="auto"/>
        </w:rPr>
      </w:pPr>
      <w:r>
        <w:rPr>
          <w:rFonts w:ascii="Arial" w:cs="Arial" w:eastAsia="Arial" w:hAnsi="Arial"/>
          <w:sz w:val="16"/>
          <w:szCs w:val="16"/>
          <w:color w:val="auto"/>
        </w:rPr>
        <w:t>Individual:</w:t>
      </w:r>
    </w:p>
    <w:p>
      <w:pPr>
        <w:spacing w:after="0" w:line="5" w:lineRule="exact"/>
        <w:rPr>
          <w:rFonts w:ascii="Arial" w:cs="Arial" w:eastAsia="Arial" w:hAnsi="Arial"/>
          <w:sz w:val="16"/>
          <w:szCs w:val="16"/>
          <w:color w:val="auto"/>
        </w:rPr>
      </w:pPr>
    </w:p>
    <w:p>
      <w:pPr>
        <w:ind w:left="720" w:hanging="260"/>
        <w:spacing w:after="0"/>
        <w:tabs>
          <w:tab w:leader="none" w:pos="720" w:val="left"/>
        </w:tabs>
        <w:numPr>
          <w:ilvl w:val="1"/>
          <w:numId w:val="3"/>
        </w:numPr>
        <w:rPr>
          <w:rFonts w:ascii="Arial" w:cs="Arial" w:eastAsia="Arial" w:hAnsi="Arial"/>
          <w:sz w:val="16"/>
          <w:szCs w:val="16"/>
          <w:color w:val="auto"/>
        </w:rPr>
      </w:pPr>
      <w:r>
        <w:rPr>
          <w:rFonts w:ascii="Arial" w:cs="Arial" w:eastAsia="Arial" w:hAnsi="Arial"/>
          <w:sz w:val="16"/>
          <w:szCs w:val="16"/>
          <w:color w:val="auto"/>
        </w:rPr>
        <w:t>Region:</w:t>
      </w:r>
    </w:p>
    <w:p>
      <w:pPr>
        <w:spacing w:after="0" w:line="5" w:lineRule="exact"/>
        <w:rPr>
          <w:rFonts w:ascii="Arial" w:cs="Arial" w:eastAsia="Arial" w:hAnsi="Arial"/>
          <w:sz w:val="16"/>
          <w:szCs w:val="16"/>
          <w:color w:val="auto"/>
        </w:rPr>
      </w:pPr>
    </w:p>
    <w:p>
      <w:pPr>
        <w:ind w:left="720" w:right="2420" w:hanging="516"/>
        <w:spacing w:after="0" w:line="246" w:lineRule="auto"/>
        <w:tabs>
          <w:tab w:leader="none" w:pos="463" w:val="left"/>
        </w:tabs>
        <w:numPr>
          <w:ilvl w:val="0"/>
          <w:numId w:val="3"/>
        </w:numPr>
        <w:rPr>
          <w:rFonts w:ascii="Arial" w:cs="Arial" w:eastAsia="Arial" w:hAnsi="Arial"/>
          <w:sz w:val="16"/>
          <w:szCs w:val="16"/>
          <w:color w:val="auto"/>
        </w:rPr>
      </w:pPr>
      <w:r>
        <w:rPr>
          <w:rFonts w:ascii="Arial" w:cs="Arial" w:eastAsia="Arial" w:hAnsi="Arial"/>
          <w:sz w:val="16"/>
          <w:szCs w:val="16"/>
          <w:color w:val="auto"/>
        </w:rPr>
        <w:t>Ethno Botanical Information: Vernacular name: Botanical name:</w:t>
      </w:r>
    </w:p>
    <w:p>
      <w:pPr>
        <w:spacing w:after="0" w:line="2" w:lineRule="exact"/>
        <w:rPr>
          <w:rFonts w:ascii="Arial" w:cs="Arial" w:eastAsia="Arial" w:hAnsi="Arial"/>
          <w:sz w:val="16"/>
          <w:szCs w:val="16"/>
          <w:color w:val="auto"/>
        </w:rPr>
      </w:pPr>
    </w:p>
    <w:p>
      <w:pPr>
        <w:ind w:left="720" w:right="3400"/>
        <w:spacing w:after="0" w:line="246" w:lineRule="auto"/>
        <w:rPr>
          <w:rFonts w:ascii="Arial" w:cs="Arial" w:eastAsia="Arial" w:hAnsi="Arial"/>
          <w:sz w:val="16"/>
          <w:szCs w:val="16"/>
          <w:color w:val="auto"/>
        </w:rPr>
      </w:pPr>
      <w:r>
        <w:rPr>
          <w:rFonts w:ascii="Arial" w:cs="Arial" w:eastAsia="Arial" w:hAnsi="Arial"/>
          <w:sz w:val="16"/>
          <w:szCs w:val="16"/>
          <w:color w:val="auto"/>
        </w:rPr>
        <w:t>Family: Sub-family: Habit: Herb Distribution:</w:t>
      </w:r>
    </w:p>
    <w:p>
      <w:pPr>
        <w:spacing w:after="0" w:line="2" w:lineRule="exact"/>
        <w:rPr>
          <w:rFonts w:ascii="Arial" w:cs="Arial" w:eastAsia="Arial" w:hAnsi="Arial"/>
          <w:sz w:val="16"/>
          <w:szCs w:val="16"/>
          <w:color w:val="auto"/>
        </w:rPr>
      </w:pPr>
    </w:p>
    <w:p>
      <w:pPr>
        <w:ind w:left="460" w:hanging="256"/>
        <w:spacing w:after="0"/>
        <w:tabs>
          <w:tab w:leader="none" w:pos="460" w:val="left"/>
        </w:tabs>
        <w:numPr>
          <w:ilvl w:val="0"/>
          <w:numId w:val="3"/>
        </w:numPr>
        <w:rPr>
          <w:rFonts w:ascii="Arial" w:cs="Arial" w:eastAsia="Arial" w:hAnsi="Arial"/>
          <w:sz w:val="16"/>
          <w:szCs w:val="16"/>
          <w:color w:val="auto"/>
        </w:rPr>
      </w:pPr>
      <w:r>
        <w:rPr>
          <w:rFonts w:ascii="Arial" w:cs="Arial" w:eastAsia="Arial" w:hAnsi="Arial"/>
          <w:sz w:val="16"/>
          <w:szCs w:val="16"/>
          <w:color w:val="auto"/>
        </w:rPr>
        <w:t>Description:</w:t>
      </w:r>
    </w:p>
    <w:p>
      <w:pPr>
        <w:spacing w:after="0" w:line="5" w:lineRule="exact"/>
        <w:rPr>
          <w:rFonts w:ascii="Arial" w:cs="Arial" w:eastAsia="Arial" w:hAnsi="Arial"/>
          <w:sz w:val="16"/>
          <w:szCs w:val="16"/>
          <w:color w:val="auto"/>
        </w:rPr>
      </w:pPr>
    </w:p>
    <w:p>
      <w:pPr>
        <w:ind w:left="460" w:hanging="256"/>
        <w:spacing w:after="0"/>
        <w:tabs>
          <w:tab w:leader="none" w:pos="460" w:val="left"/>
        </w:tabs>
        <w:numPr>
          <w:ilvl w:val="0"/>
          <w:numId w:val="3"/>
        </w:numPr>
        <w:rPr>
          <w:rFonts w:ascii="Arial" w:cs="Arial" w:eastAsia="Arial" w:hAnsi="Arial"/>
          <w:sz w:val="16"/>
          <w:szCs w:val="16"/>
          <w:color w:val="auto"/>
        </w:rPr>
      </w:pPr>
      <w:r>
        <w:rPr>
          <w:rFonts w:ascii="Arial" w:cs="Arial" w:eastAsia="Arial" w:hAnsi="Arial"/>
          <w:sz w:val="16"/>
          <w:szCs w:val="16"/>
          <w:color w:val="auto"/>
        </w:rPr>
        <w:t>Important or interesting characters if any:</w:t>
      </w:r>
    </w:p>
    <w:p>
      <w:pPr>
        <w:spacing w:after="0" w:line="5" w:lineRule="exact"/>
        <w:rPr>
          <w:rFonts w:ascii="Arial" w:cs="Arial" w:eastAsia="Arial" w:hAnsi="Arial"/>
          <w:sz w:val="16"/>
          <w:szCs w:val="16"/>
          <w:color w:val="auto"/>
        </w:rPr>
      </w:pPr>
    </w:p>
    <w:p>
      <w:pPr>
        <w:ind w:left="460" w:hanging="256"/>
        <w:spacing w:after="0"/>
        <w:tabs>
          <w:tab w:leader="none" w:pos="460" w:val="left"/>
        </w:tabs>
        <w:numPr>
          <w:ilvl w:val="0"/>
          <w:numId w:val="3"/>
        </w:numPr>
        <w:rPr>
          <w:rFonts w:ascii="Arial" w:cs="Arial" w:eastAsia="Arial" w:hAnsi="Arial"/>
          <w:sz w:val="16"/>
          <w:szCs w:val="16"/>
          <w:color w:val="auto"/>
        </w:rPr>
      </w:pPr>
      <w:r>
        <w:rPr>
          <w:rFonts w:ascii="Arial" w:cs="Arial" w:eastAsia="Arial" w:hAnsi="Arial"/>
          <w:sz w:val="16"/>
          <w:szCs w:val="16"/>
          <w:color w:val="auto"/>
        </w:rPr>
        <w:t>Used alone or mixed with other plants or chemicals:</w:t>
      </w:r>
    </w:p>
    <w:p>
      <w:pPr>
        <w:spacing w:after="0" w:line="5" w:lineRule="exact"/>
        <w:rPr>
          <w:rFonts w:ascii="Arial" w:cs="Arial" w:eastAsia="Arial" w:hAnsi="Arial"/>
          <w:sz w:val="16"/>
          <w:szCs w:val="16"/>
          <w:color w:val="auto"/>
        </w:rPr>
      </w:pPr>
    </w:p>
    <w:p>
      <w:pPr>
        <w:ind w:left="460" w:hanging="256"/>
        <w:spacing w:after="0"/>
        <w:tabs>
          <w:tab w:leader="none" w:pos="460" w:val="left"/>
        </w:tabs>
        <w:numPr>
          <w:ilvl w:val="0"/>
          <w:numId w:val="3"/>
        </w:numPr>
        <w:rPr>
          <w:rFonts w:ascii="Arial" w:cs="Arial" w:eastAsia="Arial" w:hAnsi="Arial"/>
          <w:sz w:val="16"/>
          <w:szCs w:val="16"/>
          <w:color w:val="auto"/>
        </w:rPr>
      </w:pPr>
      <w:r>
        <w:rPr>
          <w:rFonts w:ascii="Arial" w:cs="Arial" w:eastAsia="Arial" w:hAnsi="Arial"/>
          <w:sz w:val="16"/>
          <w:szCs w:val="16"/>
          <w:color w:val="auto"/>
        </w:rPr>
        <w:t>Plant details: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3810</wp:posOffset>
                </wp:positionV>
                <wp:extent cx="21253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534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0.3pt" to="190.35pt,0.3pt" o:allowincell="f" strokecolor="#000000" strokeweight="0.498pt"/>
            </w:pict>
          </mc:Fallback>
        </mc:AlternateContent>
      </w:r>
    </w:p>
    <w:p>
      <w:pPr>
        <w:spacing w:after="0" w:line="45" w:lineRule="exact"/>
        <w:rPr>
          <w:sz w:val="20"/>
          <w:szCs w:val="20"/>
          <w:color w:val="auto"/>
        </w:rPr>
      </w:pPr>
    </w:p>
    <w:p>
      <w:pPr>
        <w:ind w:left="460"/>
        <w:spacing w:after="0"/>
        <w:rPr>
          <w:sz w:val="20"/>
          <w:szCs w:val="20"/>
          <w:color w:val="auto"/>
        </w:rPr>
      </w:pPr>
      <w:r>
        <w:rPr>
          <w:rFonts w:ascii="Arial" w:cs="Arial" w:eastAsia="Arial" w:hAnsi="Arial"/>
          <w:sz w:val="13"/>
          <w:szCs w:val="13"/>
          <w:color w:val="auto"/>
        </w:rPr>
        <w:t>Plant parts used</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Harvesting procedure</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Uses</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Processing</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Preparation</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Dosage</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Precautions</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Contraindications</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Results</w:t>
      </w:r>
    </w:p>
    <w:p>
      <w:pPr>
        <w:spacing w:after="0" w:line="22" w:lineRule="exact"/>
        <w:rPr>
          <w:sz w:val="20"/>
          <w:szCs w:val="20"/>
          <w:color w:val="auto"/>
        </w:rPr>
      </w:pPr>
    </w:p>
    <w:p>
      <w:pPr>
        <w:ind w:left="460"/>
        <w:spacing w:after="0"/>
        <w:rPr>
          <w:sz w:val="20"/>
          <w:szCs w:val="20"/>
          <w:color w:val="auto"/>
        </w:rPr>
      </w:pPr>
      <w:r>
        <w:rPr>
          <w:rFonts w:ascii="Arial" w:cs="Arial" w:eastAsia="Arial" w:hAnsi="Arial"/>
          <w:sz w:val="13"/>
          <w:szCs w:val="13"/>
          <w:color w:val="auto"/>
        </w:rPr>
        <w:t>Other information (toxicity, etc.)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36830</wp:posOffset>
                </wp:positionV>
                <wp:extent cx="21253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534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2.9pt" to="190.35pt,2.9pt" o:allowincell="f" strokecolor="#000000" strokeweight="0.4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 xml:space="preserve">part, the antidiarrhoeal recipe along with the worked out dosage and selected references (with plant part) pertaining to its antidiar-rhoeal/antidysenteric activity. It was noted that most of the plants have been reported earlier in literature, though at times the plant part cited was different. To the best of our knowledge antidiarrhoeal activity of five plants viz., </w:t>
      </w:r>
      <w:r>
        <w:rPr>
          <w:rFonts w:ascii="Times New Roman" w:cs="Times New Roman" w:eastAsia="Times New Roman" w:hAnsi="Times New Roman"/>
          <w:sz w:val="16"/>
          <w:szCs w:val="16"/>
          <w:i w:val="1"/>
          <w:iCs w:val="1"/>
          <w:color w:val="auto"/>
        </w:rPr>
        <w:t>Caesalpinia sepiaria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Dioscorea pentaphylla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Launaea pinnatifida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Syzygium rubicundum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Ziziphus jujuba </w:t>
      </w:r>
      <w:r>
        <w:rPr>
          <w:rFonts w:ascii="Times New Roman" w:cs="Times New Roman" w:eastAsia="Times New Roman" w:hAnsi="Times New Roman"/>
          <w:sz w:val="16"/>
          <w:szCs w:val="16"/>
          <w:color w:val="auto"/>
        </w:rPr>
        <w:t>has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not been reported before, indicating that the usage of these plants may be restricted to Parinche valley and its neighboring areas.</w:t>
      </w:r>
    </w:p>
    <w:p>
      <w:pPr>
        <w:spacing w:after="0" w:line="196"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i w:val="1"/>
          <w:iCs w:val="1"/>
          <w:color w:val="auto"/>
        </w:rPr>
        <w:t xml:space="preserve">Ziziphus xylopyra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Syzygium rubicundum </w:t>
      </w:r>
      <w:r>
        <w:rPr>
          <w:rFonts w:ascii="Times New Roman" w:cs="Times New Roman" w:eastAsia="Times New Roman" w:hAnsi="Times New Roman"/>
          <w:sz w:val="16"/>
          <w:szCs w:val="16"/>
          <w:color w:val="auto"/>
        </w:rPr>
        <w:t>are the two endemic</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species found in India; and their distribution is rare in the study area. Other species commonly found along the village environs such as </w:t>
      </w:r>
      <w:r>
        <w:rPr>
          <w:rFonts w:ascii="Times New Roman" w:cs="Times New Roman" w:eastAsia="Times New Roman" w:hAnsi="Times New Roman"/>
          <w:sz w:val="16"/>
          <w:szCs w:val="16"/>
          <w:i w:val="1"/>
          <w:iCs w:val="1"/>
          <w:color w:val="auto"/>
        </w:rPr>
        <w:t>Lantana camara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Psidium guajava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Jatropha curcas</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6"/>
          <w:szCs w:val="16"/>
          <w:i w:val="1"/>
          <w:iCs w:val="1"/>
          <w:color w:val="auto"/>
        </w:rPr>
        <w:t>Punica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granatum </w:t>
      </w:r>
      <w:r>
        <w:rPr>
          <w:rFonts w:ascii="Times New Roman" w:cs="Times New Roman" w:eastAsia="Times New Roman" w:hAnsi="Times New Roman"/>
          <w:sz w:val="16"/>
          <w:szCs w:val="16"/>
          <w:color w:val="auto"/>
        </w:rPr>
        <w:t>are cultivated exotics, while</w:t>
      </w:r>
      <w:r>
        <w:rPr>
          <w:rFonts w:ascii="Times New Roman" w:cs="Times New Roman" w:eastAsia="Times New Roman" w:hAnsi="Times New Roman"/>
          <w:sz w:val="16"/>
          <w:szCs w:val="16"/>
          <w:i w:val="1"/>
          <w:iCs w:val="1"/>
          <w:color w:val="auto"/>
        </w:rPr>
        <w:t xml:space="preserve"> Launaea pinnatifida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Tri-dax procumbens </w:t>
      </w:r>
      <w:r>
        <w:rPr>
          <w:rFonts w:ascii="Times New Roman" w:cs="Times New Roman" w:eastAsia="Times New Roman" w:hAnsi="Times New Roman"/>
          <w:sz w:val="16"/>
          <w:szCs w:val="16"/>
          <w:color w:val="auto"/>
        </w:rPr>
        <w:t>are exotic weeds and</w:t>
      </w:r>
      <w:r>
        <w:rPr>
          <w:rFonts w:ascii="Times New Roman" w:cs="Times New Roman" w:eastAsia="Times New Roman" w:hAnsi="Times New Roman"/>
          <w:sz w:val="16"/>
          <w:szCs w:val="16"/>
          <w:i w:val="1"/>
          <w:iCs w:val="1"/>
          <w:color w:val="auto"/>
        </w:rPr>
        <w:t xml:space="preserve"> Cyperus rotundus </w:t>
      </w:r>
      <w:r>
        <w:rPr>
          <w:rFonts w:ascii="Times New Roman" w:cs="Times New Roman" w:eastAsia="Times New Roman" w:hAnsi="Times New Roman"/>
          <w:sz w:val="16"/>
          <w:szCs w:val="16"/>
          <w:color w:val="auto"/>
        </w:rPr>
        <w:t>is a widely</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distributed weed of cultivated fields.</w:t>
      </w:r>
    </w:p>
    <w:p>
      <w:pPr>
        <w:spacing w:after="0" w:line="195"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 xml:space="preserve">In addition to the information covered in </w:t>
      </w:r>
      <w:r>
        <w:rPr>
          <w:rFonts w:ascii="Times New Roman" w:cs="Times New Roman" w:eastAsia="Times New Roman" w:hAnsi="Times New Roman"/>
          <w:sz w:val="16"/>
          <w:szCs w:val="16"/>
          <w:color w:val="000066"/>
        </w:rPr>
        <w:t>Tables 1 and 2</w:t>
      </w:r>
      <w:r>
        <w:rPr>
          <w:rFonts w:ascii="Times New Roman" w:cs="Times New Roman" w:eastAsia="Times New Roman" w:hAnsi="Times New Roman"/>
          <w:sz w:val="16"/>
          <w:szCs w:val="16"/>
          <w:color w:val="auto"/>
        </w:rPr>
        <w:t xml:space="preserve">, certain interesting and important observations of the locals for a few plants have been tabulated in </w:t>
      </w:r>
      <w:r>
        <w:rPr>
          <w:rFonts w:ascii="Times New Roman" w:cs="Times New Roman" w:eastAsia="Times New Roman" w:hAnsi="Times New Roman"/>
          <w:sz w:val="16"/>
          <w:szCs w:val="16"/>
          <w:color w:val="000066"/>
        </w:rPr>
        <w:t>Table 3</w:t>
      </w:r>
      <w:r>
        <w:rPr>
          <w:rFonts w:ascii="Times New Roman" w:cs="Times New Roman" w:eastAsia="Times New Roman" w:hAnsi="Times New Roman"/>
          <w:sz w:val="16"/>
          <w:szCs w:val="16"/>
          <w:color w:val="auto"/>
        </w:rPr>
        <w:t xml:space="preserve">. It should be noted that though the efficacy of </w:t>
      </w:r>
      <w:r>
        <w:rPr>
          <w:rFonts w:ascii="Times New Roman" w:cs="Times New Roman" w:eastAsia="Times New Roman" w:hAnsi="Times New Roman"/>
          <w:sz w:val="16"/>
          <w:szCs w:val="16"/>
          <w:i w:val="1"/>
          <w:iCs w:val="1"/>
          <w:color w:val="auto"/>
        </w:rPr>
        <w:t>Vitex negundo</w:t>
      </w:r>
      <w:r>
        <w:rPr>
          <w:rFonts w:ascii="Times New Roman" w:cs="Times New Roman" w:eastAsia="Times New Roman" w:hAnsi="Times New Roman"/>
          <w:sz w:val="16"/>
          <w:szCs w:val="16"/>
          <w:color w:val="auto"/>
        </w:rPr>
        <w:t xml:space="preserve"> for snake bites is widely known (</w:t>
      </w:r>
      <w:r>
        <w:rPr>
          <w:rFonts w:ascii="Times New Roman" w:cs="Times New Roman" w:eastAsia="Times New Roman" w:hAnsi="Times New Roman"/>
          <w:sz w:val="16"/>
          <w:szCs w:val="16"/>
          <w:color w:val="000066"/>
        </w:rPr>
        <w:t>Kirtikar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0066"/>
        </w:rPr>
        <w:t>and Basu, 1993</w:t>
      </w:r>
      <w:r>
        <w:rPr>
          <w:rFonts w:ascii="Times New Roman" w:cs="Times New Roman" w:eastAsia="Times New Roman" w:hAnsi="Times New Roman"/>
          <w:sz w:val="16"/>
          <w:szCs w:val="16"/>
          <w:color w:val="000000"/>
        </w:rPr>
        <w:t>), the same has also been covered in</w:t>
      </w:r>
      <w:r>
        <w:rPr>
          <w:rFonts w:ascii="Times New Roman" w:cs="Times New Roman" w:eastAsia="Times New Roman" w:hAnsi="Times New Roman"/>
          <w:sz w:val="16"/>
          <w:szCs w:val="16"/>
          <w:color w:val="000066"/>
        </w:rPr>
        <w:t xml:space="preserve"> Table 3 </w:t>
      </w:r>
      <w:r>
        <w:rPr>
          <w:rFonts w:ascii="Times New Roman" w:cs="Times New Roman" w:eastAsia="Times New Roman" w:hAnsi="Times New Roman"/>
          <w:sz w:val="16"/>
          <w:szCs w:val="16"/>
          <w:color w:val="000000"/>
        </w:rPr>
        <w:t>as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this gives additional credence to the existing knowledge about this plant.</w:t>
      </w:r>
    </w:p>
    <w:p>
      <w:pPr>
        <w:spacing w:after="0" w:line="200" w:lineRule="exact"/>
        <w:rPr>
          <w:sz w:val="20"/>
          <w:szCs w:val="20"/>
          <w:color w:val="auto"/>
        </w:rPr>
      </w:pPr>
    </w:p>
    <w:p>
      <w:pPr>
        <w:spacing w:after="0" w:line="310"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16"/>
          <w:szCs w:val="16"/>
          <w:b w:val="1"/>
          <w:bCs w:val="1"/>
          <w:color w:val="auto"/>
        </w:rPr>
        <w:t>4.</w:t>
        <w:tab/>
        <w:t>Discussion</w:t>
      </w:r>
    </w:p>
    <w:p>
      <w:pPr>
        <w:spacing w:after="0" w:line="236" w:lineRule="exact"/>
        <w:rPr>
          <w:sz w:val="20"/>
          <w:szCs w:val="20"/>
          <w:color w:val="auto"/>
        </w:rPr>
      </w:pPr>
    </w:p>
    <w:p>
      <w:pPr>
        <w:jc w:val="both"/>
        <w:ind w:firstLine="239"/>
        <w:spacing w:after="0" w:line="279" w:lineRule="auto"/>
        <w:rPr>
          <w:sz w:val="20"/>
          <w:szCs w:val="20"/>
          <w:color w:val="auto"/>
        </w:rPr>
      </w:pPr>
      <w:r>
        <w:rPr>
          <w:rFonts w:ascii="Times New Roman" w:cs="Times New Roman" w:eastAsia="Times New Roman" w:hAnsi="Times New Roman"/>
          <w:sz w:val="16"/>
          <w:szCs w:val="16"/>
          <w:color w:val="auto"/>
        </w:rPr>
        <w:t>Local traditional plant knowledge, is the combined knowledge based on the lifestyle, beliefs and trial and error practices of the communities which is passed on from generation to generation. It is being increasingly felt that this indigenous knowledge not only needs to be preserved but also documented.</w:t>
      </w:r>
    </w:p>
    <w:p>
      <w:pPr>
        <w:sectPr>
          <w:pgSz w:w="11900" w:h="15874" w:orient="portrait"/>
          <w:cols w:equalWidth="0" w:num="2">
            <w:col w:w="5020" w:space="360"/>
            <w:col w:w="5040"/>
          </w:cols>
          <w:pgMar w:left="860" w:top="717" w:right="626" w:bottom="396"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156"/>
        </w:trPr>
        <w:tc>
          <w:tcPr>
            <w:tcW w:w="3120" w:type="dxa"/>
            <w:vAlign w:val="bottom"/>
          </w:tcPr>
          <w:p>
            <w:pPr>
              <w:spacing w:after="0"/>
              <w:rPr>
                <w:sz w:val="20"/>
                <w:szCs w:val="20"/>
                <w:color w:val="auto"/>
              </w:rPr>
            </w:pPr>
            <w:r>
              <w:rPr>
                <w:rFonts w:ascii="Times New Roman" w:cs="Times New Roman" w:eastAsia="Times New Roman" w:hAnsi="Times New Roman"/>
                <w:sz w:val="13"/>
                <w:szCs w:val="13"/>
                <w:color w:val="auto"/>
              </w:rPr>
              <w:t>232</w:t>
            </w:r>
          </w:p>
        </w:tc>
        <w:tc>
          <w:tcPr>
            <w:tcW w:w="5160" w:type="dxa"/>
            <w:vAlign w:val="bottom"/>
            <w:gridSpan w:val="2"/>
          </w:tcPr>
          <w:p>
            <w:pPr>
              <w:ind w:left="160"/>
              <w:spacing w:after="0"/>
              <w:rPr>
                <w:sz w:val="20"/>
                <w:szCs w:val="20"/>
                <w:color w:val="auto"/>
              </w:rPr>
            </w:pPr>
            <w:r>
              <w:rPr>
                <w:rFonts w:ascii="Times New Roman" w:cs="Times New Roman" w:eastAsia="Times New Roman" w:hAnsi="Times New Roman"/>
                <w:sz w:val="13"/>
                <w:szCs w:val="13"/>
                <w:i w:val="1"/>
                <w:iCs w:val="1"/>
                <w:color w:val="auto"/>
              </w:rPr>
              <w:t>P. Tetali et al. / Journal of Ethnopharmacology 123 (2009) 229–236</w:t>
            </w:r>
          </w:p>
        </w:tc>
        <w:tc>
          <w:tcPr>
            <w:tcW w:w="2140" w:type="dxa"/>
            <w:vAlign w:val="bottom"/>
          </w:tcPr>
          <w:p>
            <w:pPr>
              <w:spacing w:after="0"/>
              <w:rPr>
                <w:sz w:val="13"/>
                <w:szCs w:val="13"/>
                <w:color w:val="auto"/>
              </w:rPr>
            </w:pPr>
          </w:p>
        </w:tc>
      </w:tr>
      <w:tr>
        <w:trPr>
          <w:trHeight w:val="367"/>
        </w:trPr>
        <w:tc>
          <w:tcPr>
            <w:tcW w:w="3120" w:type="dxa"/>
            <w:vAlign w:val="bottom"/>
          </w:tcPr>
          <w:p>
            <w:pPr>
              <w:spacing w:after="0"/>
              <w:rPr>
                <w:sz w:val="20"/>
                <w:szCs w:val="20"/>
                <w:color w:val="auto"/>
              </w:rPr>
            </w:pPr>
            <w:r>
              <w:rPr>
                <w:rFonts w:ascii="Times New Roman" w:cs="Times New Roman" w:eastAsia="Times New Roman" w:hAnsi="Times New Roman"/>
                <w:sz w:val="13"/>
                <w:szCs w:val="13"/>
                <w:b w:val="1"/>
                <w:bCs w:val="1"/>
                <w:color w:val="auto"/>
              </w:rPr>
              <w:t>Table 1</w:t>
            </w:r>
          </w:p>
        </w:tc>
        <w:tc>
          <w:tcPr>
            <w:tcW w:w="28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2140" w:type="dxa"/>
            <w:vAlign w:val="bottom"/>
          </w:tcPr>
          <w:p>
            <w:pPr>
              <w:spacing w:after="0"/>
              <w:rPr>
                <w:sz w:val="24"/>
                <w:szCs w:val="24"/>
                <w:color w:val="auto"/>
              </w:rPr>
            </w:pPr>
          </w:p>
        </w:tc>
      </w:tr>
      <w:tr>
        <w:trPr>
          <w:trHeight w:val="173"/>
        </w:trPr>
        <w:tc>
          <w:tcPr>
            <w:tcW w:w="3120" w:type="dxa"/>
            <w:vAlign w:val="bottom"/>
          </w:tcPr>
          <w:p>
            <w:pPr>
              <w:spacing w:after="0"/>
              <w:rPr>
                <w:sz w:val="20"/>
                <w:szCs w:val="20"/>
                <w:color w:val="auto"/>
              </w:rPr>
            </w:pPr>
            <w:r>
              <w:rPr>
                <w:rFonts w:ascii="Times New Roman" w:cs="Times New Roman" w:eastAsia="Times New Roman" w:hAnsi="Times New Roman"/>
                <w:sz w:val="13"/>
                <w:szCs w:val="13"/>
                <w:color w:val="auto"/>
              </w:rPr>
              <w:t>Antidiarrhoeal plants in the study area.</w:t>
            </w:r>
          </w:p>
        </w:tc>
        <w:tc>
          <w:tcPr>
            <w:tcW w:w="2840" w:type="dxa"/>
            <w:vAlign w:val="bottom"/>
          </w:tcPr>
          <w:p>
            <w:pPr>
              <w:spacing w:after="0"/>
              <w:rPr>
                <w:sz w:val="15"/>
                <w:szCs w:val="15"/>
                <w:color w:val="auto"/>
              </w:rPr>
            </w:pPr>
          </w:p>
        </w:tc>
        <w:tc>
          <w:tcPr>
            <w:tcW w:w="2320" w:type="dxa"/>
            <w:vAlign w:val="bottom"/>
          </w:tcPr>
          <w:p>
            <w:pPr>
              <w:spacing w:after="0"/>
              <w:rPr>
                <w:sz w:val="15"/>
                <w:szCs w:val="15"/>
                <w:color w:val="auto"/>
              </w:rPr>
            </w:pPr>
          </w:p>
        </w:tc>
        <w:tc>
          <w:tcPr>
            <w:tcW w:w="2140" w:type="dxa"/>
            <w:vAlign w:val="bottom"/>
          </w:tcPr>
          <w:p>
            <w:pPr>
              <w:spacing w:after="0"/>
              <w:rPr>
                <w:sz w:val="15"/>
                <w:szCs w:val="15"/>
                <w:color w:val="auto"/>
              </w:rPr>
            </w:pPr>
          </w:p>
        </w:tc>
      </w:tr>
      <w:tr>
        <w:trPr>
          <w:trHeight w:val="77"/>
        </w:trPr>
        <w:tc>
          <w:tcPr>
            <w:tcW w:w="3120" w:type="dxa"/>
            <w:vAlign w:val="bottom"/>
            <w:tcBorders>
              <w:bottom w:val="single" w:sz="8" w:color="auto"/>
            </w:tcBorders>
          </w:tcPr>
          <w:p>
            <w:pPr>
              <w:spacing w:after="0"/>
              <w:rPr>
                <w:sz w:val="6"/>
                <w:szCs w:val="6"/>
                <w:color w:val="auto"/>
              </w:rPr>
            </w:pPr>
          </w:p>
        </w:tc>
        <w:tc>
          <w:tcPr>
            <w:tcW w:w="2840" w:type="dxa"/>
            <w:vAlign w:val="bottom"/>
            <w:tcBorders>
              <w:bottom w:val="single" w:sz="8" w:color="auto"/>
            </w:tcBorders>
          </w:tcPr>
          <w:p>
            <w:pPr>
              <w:spacing w:after="0"/>
              <w:rPr>
                <w:sz w:val="6"/>
                <w:szCs w:val="6"/>
                <w:color w:val="auto"/>
              </w:rPr>
            </w:pPr>
          </w:p>
        </w:tc>
        <w:tc>
          <w:tcPr>
            <w:tcW w:w="2320" w:type="dxa"/>
            <w:vAlign w:val="bottom"/>
            <w:tcBorders>
              <w:bottom w:val="single" w:sz="8" w:color="auto"/>
            </w:tcBorders>
          </w:tcPr>
          <w:p>
            <w:pPr>
              <w:spacing w:after="0"/>
              <w:rPr>
                <w:sz w:val="6"/>
                <w:szCs w:val="6"/>
                <w:color w:val="auto"/>
              </w:rPr>
            </w:pPr>
          </w:p>
        </w:tc>
        <w:tc>
          <w:tcPr>
            <w:tcW w:w="2140" w:type="dxa"/>
            <w:vAlign w:val="bottom"/>
            <w:tcBorders>
              <w:bottom w:val="single" w:sz="8" w:color="auto"/>
            </w:tcBorders>
          </w:tcPr>
          <w:p>
            <w:pPr>
              <w:spacing w:after="0"/>
              <w:rPr>
                <w:sz w:val="6"/>
                <w:szCs w:val="6"/>
                <w:color w:val="auto"/>
              </w:rPr>
            </w:pPr>
          </w:p>
        </w:tc>
      </w:tr>
      <w:tr>
        <w:trPr>
          <w:trHeight w:val="245"/>
        </w:trPr>
        <w:tc>
          <w:tcPr>
            <w:tcW w:w="3120" w:type="dxa"/>
            <w:vAlign w:val="bottom"/>
            <w:tcBorders>
              <w:bottom w:val="single" w:sz="8" w:color="auto"/>
            </w:tcBorders>
            <w:shd w:val="clear" w:color="auto" w:fill="E6E6E6"/>
          </w:tcPr>
          <w:p>
            <w:pPr>
              <w:spacing w:after="0"/>
              <w:rPr>
                <w:sz w:val="20"/>
                <w:szCs w:val="20"/>
                <w:color w:val="auto"/>
              </w:rPr>
            </w:pPr>
            <w:r>
              <w:rPr>
                <w:rFonts w:ascii="Times New Roman" w:cs="Times New Roman" w:eastAsia="Times New Roman" w:hAnsi="Times New Roman"/>
                <w:sz w:val="13"/>
                <w:szCs w:val="13"/>
                <w:color w:val="auto"/>
              </w:rPr>
              <w:t>Botanical name (herbarium number)</w:t>
            </w:r>
          </w:p>
        </w:tc>
        <w:tc>
          <w:tcPr>
            <w:tcW w:w="2840" w:type="dxa"/>
            <w:vAlign w:val="bottom"/>
            <w:tcBorders>
              <w:bottom w:val="single" w:sz="8" w:color="auto"/>
            </w:tcBorders>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Common names</w:t>
            </w:r>
          </w:p>
        </w:tc>
        <w:tc>
          <w:tcPr>
            <w:tcW w:w="2320" w:type="dxa"/>
            <w:vAlign w:val="bottom"/>
            <w:tcBorders>
              <w:bottom w:val="single" w:sz="8" w:color="auto"/>
            </w:tcBorders>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Family</w:t>
            </w:r>
          </w:p>
        </w:tc>
        <w:tc>
          <w:tcPr>
            <w:tcW w:w="2140" w:type="dxa"/>
            <w:vAlign w:val="bottom"/>
            <w:tcBorders>
              <w:bottom w:val="single" w:sz="8" w:color="auto"/>
            </w:tcBorders>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Status of domestication</w:t>
            </w:r>
            <w:r>
              <w:rPr>
                <w:rFonts w:ascii="Times New Roman" w:cs="Times New Roman" w:eastAsia="Times New Roman" w:hAnsi="Times New Roman"/>
                <w:sz w:val="17"/>
                <w:szCs w:val="17"/>
                <w:color w:val="000066"/>
                <w:vertAlign w:val="superscript"/>
              </w:rPr>
              <w:t>a</w:t>
            </w:r>
          </w:p>
        </w:tc>
      </w:tr>
      <w:tr>
        <w:trPr>
          <w:trHeight w:val="196"/>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Aegle marmelos </w:t>
            </w:r>
            <w:r>
              <w:rPr>
                <w:rFonts w:ascii="Times New Roman" w:cs="Times New Roman" w:eastAsia="Times New Roman" w:hAnsi="Times New Roman"/>
                <w:sz w:val="13"/>
                <w:szCs w:val="13"/>
                <w:color w:val="auto"/>
              </w:rPr>
              <w:t>(L) Corr. (BSI-124675)</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Bilva, bel, bael</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Rutaceae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Bombax ceiba </w:t>
            </w:r>
            <w:r>
              <w:rPr>
                <w:rFonts w:ascii="Times New Roman" w:cs="Times New Roman" w:eastAsia="Times New Roman" w:hAnsi="Times New Roman"/>
                <w:sz w:val="13"/>
                <w:szCs w:val="13"/>
                <w:color w:val="auto"/>
              </w:rPr>
              <w:t>L. (NGCPR-632)</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Saur, Kate-savar</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Bombacaceae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Caesalpinia sepiaria </w:t>
            </w:r>
            <w:r>
              <w:rPr>
                <w:rFonts w:ascii="Times New Roman" w:cs="Times New Roman" w:eastAsia="Times New Roman" w:hAnsi="Times New Roman"/>
                <w:sz w:val="13"/>
                <w:szCs w:val="13"/>
                <w:color w:val="auto"/>
              </w:rPr>
              <w:t>Roxb. (NGCPR-625)</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Chilar</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Leguminosae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Capparis zeylanica </w:t>
            </w:r>
            <w:r>
              <w:rPr>
                <w:rFonts w:ascii="Times New Roman" w:cs="Times New Roman" w:eastAsia="Times New Roman" w:hAnsi="Times New Roman"/>
                <w:sz w:val="13"/>
                <w:szCs w:val="13"/>
                <w:color w:val="auto"/>
              </w:rPr>
              <w:t>L. (NGCPR-644)</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Waghati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Capparaceae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Cassia fistula </w:t>
            </w:r>
            <w:r>
              <w:rPr>
                <w:rFonts w:ascii="Times New Roman" w:cs="Times New Roman" w:eastAsia="Times New Roman" w:hAnsi="Times New Roman"/>
                <w:sz w:val="13"/>
                <w:szCs w:val="13"/>
                <w:color w:val="auto"/>
              </w:rPr>
              <w:t>L. (NGCPR-646)</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Bahava</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Leguminosae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Cocculus hirsutus </w:t>
            </w:r>
            <w:r>
              <w:rPr>
                <w:rFonts w:ascii="Times New Roman" w:cs="Times New Roman" w:eastAsia="Times New Roman" w:hAnsi="Times New Roman"/>
                <w:sz w:val="13"/>
                <w:szCs w:val="13"/>
                <w:color w:val="auto"/>
              </w:rPr>
              <w:t>Diels (NGCPR-617)</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Katvel, Wasansad</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Menispermaceae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Cyperus rotundus </w:t>
            </w:r>
            <w:r>
              <w:rPr>
                <w:rFonts w:ascii="Times New Roman" w:cs="Times New Roman" w:eastAsia="Times New Roman" w:hAnsi="Times New Roman"/>
                <w:sz w:val="13"/>
                <w:szCs w:val="13"/>
                <w:color w:val="auto"/>
              </w:rPr>
              <w:t>L. (BSI-124666)</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Lavala, Motha</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Cyperaceae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Dalbergia sissoo </w:t>
            </w:r>
            <w:r>
              <w:rPr>
                <w:rFonts w:ascii="Times New Roman" w:cs="Times New Roman" w:eastAsia="Times New Roman" w:hAnsi="Times New Roman"/>
                <w:sz w:val="13"/>
                <w:szCs w:val="13"/>
                <w:color w:val="auto"/>
              </w:rPr>
              <w:t>Roxb. (BSI-124673)</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Sisvi, Shisav</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Fabaceae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Dichrostachys cinerea </w:t>
            </w:r>
            <w:r>
              <w:rPr>
                <w:rFonts w:ascii="Times New Roman" w:cs="Times New Roman" w:eastAsia="Times New Roman" w:hAnsi="Times New Roman"/>
                <w:sz w:val="13"/>
                <w:szCs w:val="13"/>
                <w:color w:val="auto"/>
              </w:rPr>
              <w:t>Wt. &amp; Arn. (NGCPR-615)</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Durangi babhul</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Leguminosae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Dioscorea pentaphylla </w:t>
            </w:r>
            <w:r>
              <w:rPr>
                <w:rFonts w:ascii="Times New Roman" w:cs="Times New Roman" w:eastAsia="Times New Roman" w:hAnsi="Times New Roman"/>
                <w:sz w:val="13"/>
                <w:szCs w:val="13"/>
                <w:color w:val="auto"/>
              </w:rPr>
              <w:t>L. (NGCPR-648)</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Shendvel</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Dioscoreaceae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Eclipta prostrata </w:t>
            </w:r>
            <w:r>
              <w:rPr>
                <w:rFonts w:ascii="Times New Roman" w:cs="Times New Roman" w:eastAsia="Times New Roman" w:hAnsi="Times New Roman"/>
                <w:sz w:val="13"/>
                <w:szCs w:val="13"/>
                <w:color w:val="auto"/>
              </w:rPr>
              <w:t>L. (NGCPR-670)</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Bhangara, Maka</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Asteraceae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Hemidesmus indicus </w:t>
            </w:r>
            <w:r>
              <w:rPr>
                <w:rFonts w:ascii="Times New Roman" w:cs="Times New Roman" w:eastAsia="Times New Roman" w:hAnsi="Times New Roman"/>
                <w:sz w:val="13"/>
                <w:szCs w:val="13"/>
                <w:color w:val="auto"/>
              </w:rPr>
              <w:t>Br. (NGCPR-630)</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Kavli, Shatawari,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Asclepiadaceae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Jatropha curcas </w:t>
            </w:r>
            <w:r>
              <w:rPr>
                <w:rFonts w:ascii="Times New Roman" w:cs="Times New Roman" w:eastAsia="Times New Roman" w:hAnsi="Times New Roman"/>
                <w:sz w:val="13"/>
                <w:szCs w:val="13"/>
                <w:color w:val="auto"/>
              </w:rPr>
              <w:t>L. (NGCPR-621)</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Mogali arand</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Euphorbiaceae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C, N</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Lantana camara </w:t>
            </w:r>
            <w:r>
              <w:rPr>
                <w:rFonts w:ascii="Times New Roman" w:cs="Times New Roman" w:eastAsia="Times New Roman" w:hAnsi="Times New Roman"/>
                <w:sz w:val="13"/>
                <w:szCs w:val="13"/>
                <w:color w:val="auto"/>
              </w:rPr>
              <w:t>L. (NGCPR-634)</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Tantani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Verbenaceae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N</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Launaea pinnatifida </w:t>
            </w:r>
            <w:r>
              <w:rPr>
                <w:rFonts w:ascii="Times New Roman" w:cs="Times New Roman" w:eastAsia="Times New Roman" w:hAnsi="Times New Roman"/>
                <w:sz w:val="13"/>
                <w:szCs w:val="13"/>
                <w:color w:val="auto"/>
              </w:rPr>
              <w:t>Cass. (NGCPR-636)</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Ranpatri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Asteraceae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N</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Mangifera indica </w:t>
            </w:r>
            <w:r>
              <w:rPr>
                <w:rFonts w:ascii="Times New Roman" w:cs="Times New Roman" w:eastAsia="Times New Roman" w:hAnsi="Times New Roman"/>
                <w:sz w:val="13"/>
                <w:szCs w:val="13"/>
                <w:color w:val="auto"/>
              </w:rPr>
              <w:t>L. (NGCPR-619)</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Amba</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Anacardiaceae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Pongamia pinnata </w:t>
            </w:r>
            <w:r>
              <w:rPr>
                <w:rFonts w:ascii="Times New Roman" w:cs="Times New Roman" w:eastAsia="Times New Roman" w:hAnsi="Times New Roman"/>
                <w:sz w:val="13"/>
                <w:szCs w:val="13"/>
                <w:color w:val="auto"/>
              </w:rPr>
              <w:t>L. (BSI-124677)</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Karanj</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Leguminosae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Protoasparagus racemosus </w:t>
            </w:r>
            <w:r>
              <w:rPr>
                <w:rFonts w:ascii="Times New Roman" w:cs="Times New Roman" w:eastAsia="Times New Roman" w:hAnsi="Times New Roman"/>
                <w:sz w:val="13"/>
                <w:szCs w:val="13"/>
                <w:color w:val="auto"/>
              </w:rPr>
              <w:t>L. (NGCPR-627)</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Shatavari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Liliaceae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Psidium guajava </w:t>
            </w:r>
            <w:r>
              <w:rPr>
                <w:rFonts w:ascii="Times New Roman" w:cs="Times New Roman" w:eastAsia="Times New Roman" w:hAnsi="Times New Roman"/>
                <w:sz w:val="13"/>
                <w:szCs w:val="13"/>
                <w:color w:val="auto"/>
              </w:rPr>
              <w:t>L. (BSI-124672)</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Peru, Jamb</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Myrtaceae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Punica granatum </w:t>
            </w:r>
            <w:r>
              <w:rPr>
                <w:rFonts w:ascii="Times New Roman" w:cs="Times New Roman" w:eastAsia="Times New Roman" w:hAnsi="Times New Roman"/>
                <w:sz w:val="13"/>
                <w:szCs w:val="13"/>
                <w:color w:val="auto"/>
              </w:rPr>
              <w:t>L. (BSI-124667)</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Dalimb</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Punicaceae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Semicarpus anacardium </w:t>
            </w:r>
            <w:r>
              <w:rPr>
                <w:rFonts w:ascii="Times New Roman" w:cs="Times New Roman" w:eastAsia="Times New Roman" w:hAnsi="Times New Roman"/>
                <w:sz w:val="13"/>
                <w:szCs w:val="13"/>
                <w:color w:val="auto"/>
              </w:rPr>
              <w:t>L. (NGCPR-623)</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Bibba</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Anacardiaceae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Syzygium rubicundum </w:t>
            </w:r>
            <w:r>
              <w:rPr>
                <w:rFonts w:ascii="Times New Roman" w:cs="Times New Roman" w:eastAsia="Times New Roman" w:hAnsi="Times New Roman"/>
                <w:sz w:val="13"/>
                <w:szCs w:val="13"/>
                <w:color w:val="auto"/>
              </w:rPr>
              <w:t>Wight &amp; Arn. (NGCPR-650)</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Ledi jambha</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Myrtaceae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Tinospora cordifolia </w:t>
            </w:r>
            <w:r>
              <w:rPr>
                <w:rFonts w:ascii="Times New Roman" w:cs="Times New Roman" w:eastAsia="Times New Roman" w:hAnsi="Times New Roman"/>
                <w:sz w:val="13"/>
                <w:szCs w:val="13"/>
                <w:color w:val="auto"/>
              </w:rPr>
              <w:t>Miers. (NGCPR-638)</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Gulvel, Garudve</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Menispermaceae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Tridax procumbens </w:t>
            </w:r>
            <w:r>
              <w:rPr>
                <w:rFonts w:ascii="Times New Roman" w:cs="Times New Roman" w:eastAsia="Times New Roman" w:hAnsi="Times New Roman"/>
                <w:sz w:val="13"/>
                <w:szCs w:val="13"/>
                <w:color w:val="auto"/>
              </w:rPr>
              <w:t>L. (NGCPR-628)</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Kutkuti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Asteraceae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N</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Vitex negundo </w:t>
            </w:r>
            <w:r>
              <w:rPr>
                <w:rFonts w:ascii="Times New Roman" w:cs="Times New Roman" w:eastAsia="Times New Roman" w:hAnsi="Times New Roman"/>
                <w:sz w:val="13"/>
                <w:szCs w:val="13"/>
                <w:color w:val="auto"/>
              </w:rPr>
              <w:t>L.</w:t>
            </w:r>
            <w:r>
              <w:rPr>
                <w:rFonts w:ascii="Times New Roman" w:cs="Times New Roman" w:eastAsia="Times New Roman" w:hAnsi="Times New Roman"/>
                <w:sz w:val="13"/>
                <w:szCs w:val="13"/>
                <w:i w:val="1"/>
                <w:iCs w:val="1"/>
                <w:color w:val="auto"/>
              </w:rPr>
              <w:t xml:space="preserve"> var. </w:t>
            </w:r>
            <w:r>
              <w:rPr>
                <w:rFonts w:ascii="Times New Roman" w:cs="Times New Roman" w:eastAsia="Times New Roman" w:hAnsi="Times New Roman"/>
                <w:sz w:val="13"/>
                <w:szCs w:val="13"/>
                <w:color w:val="auto"/>
              </w:rPr>
              <w:t>(BSI-124674)</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Nirgudi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Verbenaceae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Zingiber officinale </w:t>
            </w:r>
            <w:r>
              <w:rPr>
                <w:rFonts w:ascii="Times New Roman" w:cs="Times New Roman" w:eastAsia="Times New Roman" w:hAnsi="Times New Roman"/>
                <w:sz w:val="13"/>
                <w:szCs w:val="13"/>
                <w:color w:val="auto"/>
              </w:rPr>
              <w:t>Rose. (NGCPR-642)</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Aale, Sunthi</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Zingiberaceae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C</w:t>
            </w:r>
          </w:p>
        </w:tc>
      </w:tr>
      <w:tr>
        <w:trPr>
          <w:trHeight w:val="171"/>
        </w:trPr>
        <w:tc>
          <w:tcPr>
            <w:tcW w:w="312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Ziziphus jujuba </w:t>
            </w:r>
            <w:r>
              <w:rPr>
                <w:rFonts w:ascii="Times New Roman" w:cs="Times New Roman" w:eastAsia="Times New Roman" w:hAnsi="Times New Roman"/>
                <w:sz w:val="13"/>
                <w:szCs w:val="13"/>
                <w:color w:val="auto"/>
              </w:rPr>
              <w:t>Mill. (BSI-124669)</w:t>
            </w:r>
          </w:p>
        </w:tc>
        <w:tc>
          <w:tcPr>
            <w:tcW w:w="2840" w:type="dxa"/>
            <w:vAlign w:val="bottom"/>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Ber, bera, bhor</w:t>
            </w:r>
          </w:p>
        </w:tc>
        <w:tc>
          <w:tcPr>
            <w:tcW w:w="2320" w:type="dxa"/>
            <w:vAlign w:val="bottom"/>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Rhamnaceae</w:t>
            </w:r>
          </w:p>
        </w:tc>
        <w:tc>
          <w:tcPr>
            <w:tcW w:w="2140" w:type="dxa"/>
            <w:vAlign w:val="bottom"/>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W/C</w:t>
            </w:r>
          </w:p>
        </w:tc>
      </w:tr>
      <w:tr>
        <w:trPr>
          <w:trHeight w:val="202"/>
        </w:trPr>
        <w:tc>
          <w:tcPr>
            <w:tcW w:w="3120" w:type="dxa"/>
            <w:vAlign w:val="bottom"/>
            <w:tcBorders>
              <w:bottom w:val="single" w:sz="8" w:color="E6E6E6"/>
            </w:tcBorders>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 xml:space="preserve">Ziziphus xylopyra </w:t>
            </w:r>
            <w:r>
              <w:rPr>
                <w:rFonts w:ascii="Times New Roman" w:cs="Times New Roman" w:eastAsia="Times New Roman" w:hAnsi="Times New Roman"/>
                <w:sz w:val="13"/>
                <w:szCs w:val="13"/>
                <w:color w:val="auto"/>
              </w:rPr>
              <w:t>(Retz.) Willd. (BSI-124668)</w:t>
            </w:r>
          </w:p>
        </w:tc>
        <w:tc>
          <w:tcPr>
            <w:tcW w:w="2840" w:type="dxa"/>
            <w:vAlign w:val="bottom"/>
            <w:tcBorders>
              <w:bottom w:val="single" w:sz="8" w:color="E6E6E6"/>
            </w:tcBorders>
            <w:shd w:val="clear" w:color="auto" w:fill="E6E6E6"/>
          </w:tcPr>
          <w:p>
            <w:pPr>
              <w:ind w:left="1140"/>
              <w:spacing w:after="0"/>
              <w:rPr>
                <w:sz w:val="20"/>
                <w:szCs w:val="20"/>
                <w:color w:val="auto"/>
              </w:rPr>
            </w:pPr>
            <w:r>
              <w:rPr>
                <w:rFonts w:ascii="Times New Roman" w:cs="Times New Roman" w:eastAsia="Times New Roman" w:hAnsi="Times New Roman"/>
                <w:sz w:val="13"/>
                <w:szCs w:val="13"/>
                <w:color w:val="auto"/>
              </w:rPr>
              <w:t>Guti</w:t>
            </w:r>
          </w:p>
        </w:tc>
        <w:tc>
          <w:tcPr>
            <w:tcW w:w="2320" w:type="dxa"/>
            <w:vAlign w:val="bottom"/>
            <w:tcBorders>
              <w:bottom w:val="single" w:sz="8" w:color="E6E6E6"/>
            </w:tcBorders>
            <w:shd w:val="clear" w:color="auto" w:fill="E6E6E6"/>
          </w:tcPr>
          <w:p>
            <w:pPr>
              <w:ind w:left="640"/>
              <w:spacing w:after="0"/>
              <w:rPr>
                <w:sz w:val="20"/>
                <w:szCs w:val="20"/>
                <w:color w:val="auto"/>
              </w:rPr>
            </w:pPr>
            <w:r>
              <w:rPr>
                <w:rFonts w:ascii="Times New Roman" w:cs="Times New Roman" w:eastAsia="Times New Roman" w:hAnsi="Times New Roman"/>
                <w:sz w:val="13"/>
                <w:szCs w:val="13"/>
                <w:color w:val="auto"/>
              </w:rPr>
              <w:t>Rhamnaceae</w:t>
            </w:r>
          </w:p>
        </w:tc>
        <w:tc>
          <w:tcPr>
            <w:tcW w:w="2140" w:type="dxa"/>
            <w:vAlign w:val="bottom"/>
            <w:tcBorders>
              <w:bottom w:val="single" w:sz="8" w:color="E6E6E6"/>
            </w:tcBorders>
            <w:shd w:val="clear" w:color="auto" w:fill="E6E6E6"/>
          </w:tcPr>
          <w:p>
            <w:pPr>
              <w:ind w:left="660"/>
              <w:spacing w:after="0"/>
              <w:rPr>
                <w:sz w:val="20"/>
                <w:szCs w:val="20"/>
                <w:color w:val="auto"/>
              </w:rPr>
            </w:pPr>
            <w:r>
              <w:rPr>
                <w:rFonts w:ascii="Times New Roman" w:cs="Times New Roman" w:eastAsia="Times New Roman" w:hAnsi="Times New Roman"/>
                <w:sz w:val="13"/>
                <w:szCs w:val="13"/>
                <w:color w:val="auto"/>
              </w:rPr>
              <w:t>W</w:t>
            </w:r>
          </w:p>
        </w:tc>
      </w:tr>
      <w:tr>
        <w:trPr>
          <w:trHeight w:val="20"/>
        </w:trPr>
        <w:tc>
          <w:tcPr>
            <w:tcW w:w="3120" w:type="dxa"/>
            <w:vAlign w:val="bottom"/>
            <w:shd w:val="clear" w:color="auto" w:fill="000000"/>
          </w:tcPr>
          <w:p>
            <w:pPr>
              <w:spacing w:after="0" w:line="20" w:lineRule="exact"/>
              <w:rPr>
                <w:sz w:val="1"/>
                <w:szCs w:val="1"/>
                <w:color w:val="auto"/>
              </w:rPr>
            </w:pPr>
          </w:p>
        </w:tc>
        <w:tc>
          <w:tcPr>
            <w:tcW w:w="2840" w:type="dxa"/>
            <w:vAlign w:val="bottom"/>
            <w:shd w:val="clear" w:color="auto" w:fill="000000"/>
          </w:tcPr>
          <w:p>
            <w:pPr>
              <w:spacing w:after="0" w:line="20" w:lineRule="exact"/>
              <w:rPr>
                <w:sz w:val="1"/>
                <w:szCs w:val="1"/>
                <w:color w:val="auto"/>
              </w:rPr>
            </w:pPr>
          </w:p>
        </w:tc>
        <w:tc>
          <w:tcPr>
            <w:tcW w:w="2320" w:type="dxa"/>
            <w:vAlign w:val="bottom"/>
            <w:shd w:val="clear" w:color="auto" w:fill="000000"/>
          </w:tcPr>
          <w:p>
            <w:pPr>
              <w:spacing w:after="0" w:line="20" w:lineRule="exact"/>
              <w:rPr>
                <w:sz w:val="1"/>
                <w:szCs w:val="1"/>
                <w:color w:val="auto"/>
              </w:rPr>
            </w:pPr>
          </w:p>
        </w:tc>
        <w:tc>
          <w:tcPr>
            <w:tcW w:w="2140" w:type="dxa"/>
            <w:vAlign w:val="bottom"/>
            <w:shd w:val="clear" w:color="auto" w:fill="000000"/>
          </w:tcPr>
          <w:p>
            <w:pPr>
              <w:spacing w:after="0" w:line="20" w:lineRule="exact"/>
              <w:rPr>
                <w:sz w:val="1"/>
                <w:szCs w:val="1"/>
                <w:color w:val="auto"/>
              </w:rPr>
            </w:pPr>
          </w:p>
        </w:tc>
      </w:tr>
    </w:tbl>
    <w:p>
      <w:pPr>
        <w:ind w:left="240" w:hanging="120"/>
        <w:spacing w:after="0"/>
        <w:tabs>
          <w:tab w:leader="none" w:pos="240" w:val="left"/>
        </w:tabs>
        <w:numPr>
          <w:ilvl w:val="0"/>
          <w:numId w:val="4"/>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W = wild type; C = cultivated; N = naturalized exotics.</w:t>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b w:val="1"/>
          <w:bCs w:val="1"/>
          <w:color w:val="auto"/>
        </w:rPr>
        <w:t>Table 2</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Details of the antidiarrhoeal plants in the study area.</w:t>
      </w:r>
    </w:p>
    <w:p>
      <w:pPr>
        <w:spacing w:after="0" w:line="64" w:lineRule="exact"/>
        <w:rPr>
          <w:sz w:val="20"/>
          <w:szCs w:val="20"/>
          <w:color w:val="auto"/>
        </w:rPr>
      </w:pPr>
    </w:p>
    <w:tbl>
      <w:tblPr>
        <w:tblLayout w:type="fixed"/>
        <w:tblInd w:w="0" w:type="dxa"/>
        <w:tblCellMar>
          <w:top w:w="0" w:type="dxa"/>
          <w:left w:w="0" w:type="dxa"/>
          <w:bottom w:w="0" w:type="dxa"/>
          <w:right w:w="0" w:type="dxa"/>
        </w:tblCellMar>
      </w:tblPr>
      <w:tr>
        <w:trPr>
          <w:trHeight w:val="216"/>
        </w:trPr>
        <w:tc>
          <w:tcPr>
            <w:tcW w:w="1460" w:type="dxa"/>
            <w:vAlign w:val="bottom"/>
            <w:tcBorders>
              <w:top w:val="single" w:sz="8" w:color="auto"/>
            </w:tcBorders>
            <w:shd w:val="clear" w:color="auto" w:fill="E6E6E6"/>
          </w:tcPr>
          <w:p>
            <w:pPr>
              <w:spacing w:after="0"/>
              <w:rPr>
                <w:sz w:val="20"/>
                <w:szCs w:val="20"/>
                <w:color w:val="auto"/>
              </w:rPr>
            </w:pPr>
            <w:r>
              <w:rPr>
                <w:rFonts w:ascii="Times New Roman" w:cs="Times New Roman" w:eastAsia="Times New Roman" w:hAnsi="Times New Roman"/>
                <w:sz w:val="13"/>
                <w:szCs w:val="13"/>
                <w:color w:val="auto"/>
              </w:rPr>
              <w:t>Plant</w:t>
            </w:r>
          </w:p>
        </w:tc>
        <w:tc>
          <w:tcPr>
            <w:tcW w:w="1480" w:type="dxa"/>
            <w:vAlign w:val="bottom"/>
            <w:tcBorders>
              <w:top w:val="single" w:sz="8" w:color="auto"/>
            </w:tcBorders>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Number of</w:t>
            </w:r>
          </w:p>
        </w:tc>
        <w:tc>
          <w:tcPr>
            <w:tcW w:w="1740" w:type="dxa"/>
            <w:vAlign w:val="bottom"/>
            <w:tcBorders>
              <w:top w:val="single" w:sz="8" w:color="auto"/>
            </w:tcBorders>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Part cited in the</w:t>
            </w:r>
          </w:p>
        </w:tc>
        <w:tc>
          <w:tcPr>
            <w:tcW w:w="3060" w:type="dxa"/>
            <w:vAlign w:val="bottom"/>
            <w:tcBorders>
              <w:top w:val="single" w:sz="8" w:color="auto"/>
            </w:tcBorders>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Antidiarrhoeal recipe/dosage</w:t>
            </w:r>
          </w:p>
        </w:tc>
        <w:tc>
          <w:tcPr>
            <w:tcW w:w="2680" w:type="dxa"/>
            <w:vAlign w:val="bottom"/>
            <w:tcBorders>
              <w:top w:val="single" w:sz="8" w:color="auto"/>
            </w:tcBorders>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Reported antidiarrhoeal/antidysenteric</w:t>
            </w:r>
          </w:p>
        </w:tc>
      </w:tr>
      <w:tr>
        <w:trPr>
          <w:trHeight w:val="221"/>
        </w:trPr>
        <w:tc>
          <w:tcPr>
            <w:tcW w:w="1460" w:type="dxa"/>
            <w:vAlign w:val="bottom"/>
            <w:tcBorders>
              <w:bottom w:val="single" w:sz="8" w:color="auto"/>
            </w:tcBorders>
            <w:shd w:val="clear" w:color="auto" w:fill="E6E6E6"/>
          </w:tcPr>
          <w:p>
            <w:pPr>
              <w:spacing w:after="0"/>
              <w:rPr>
                <w:sz w:val="19"/>
                <w:szCs w:val="19"/>
                <w:color w:val="auto"/>
              </w:rPr>
            </w:pPr>
          </w:p>
        </w:tc>
        <w:tc>
          <w:tcPr>
            <w:tcW w:w="1480" w:type="dxa"/>
            <w:vAlign w:val="bottom"/>
            <w:tcBorders>
              <w:bottom w:val="single" w:sz="8" w:color="auto"/>
            </w:tcBorders>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times quoted</w:t>
            </w:r>
            <w:r>
              <w:rPr>
                <w:rFonts w:ascii="Times New Roman" w:cs="Times New Roman" w:eastAsia="Times New Roman" w:hAnsi="Times New Roman"/>
                <w:sz w:val="17"/>
                <w:szCs w:val="17"/>
                <w:color w:val="000066"/>
                <w:vertAlign w:val="superscript"/>
              </w:rPr>
              <w:t>a</w:t>
            </w:r>
          </w:p>
        </w:tc>
        <w:tc>
          <w:tcPr>
            <w:tcW w:w="1740" w:type="dxa"/>
            <w:vAlign w:val="bottom"/>
            <w:tcBorders>
              <w:bottom w:val="single" w:sz="8" w:color="auto"/>
            </w:tcBorders>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present survey</w:t>
            </w:r>
          </w:p>
        </w:tc>
        <w:tc>
          <w:tcPr>
            <w:tcW w:w="3060" w:type="dxa"/>
            <w:vAlign w:val="bottom"/>
            <w:tcBorders>
              <w:bottom w:val="single" w:sz="8" w:color="auto"/>
            </w:tcBorders>
            <w:shd w:val="clear" w:color="auto" w:fill="E6E6E6"/>
          </w:tcPr>
          <w:p>
            <w:pPr>
              <w:spacing w:after="0"/>
              <w:rPr>
                <w:sz w:val="19"/>
                <w:szCs w:val="19"/>
                <w:color w:val="auto"/>
              </w:rPr>
            </w:pPr>
          </w:p>
        </w:tc>
        <w:tc>
          <w:tcPr>
            <w:tcW w:w="2680" w:type="dxa"/>
            <w:vAlign w:val="bottom"/>
            <w:tcBorders>
              <w:bottom w:val="single" w:sz="8" w:color="auto"/>
            </w:tcBorders>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activity</w:t>
            </w:r>
            <w:r>
              <w:rPr>
                <w:rFonts w:ascii="Times New Roman" w:cs="Times New Roman" w:eastAsia="Times New Roman" w:hAnsi="Times New Roman"/>
                <w:sz w:val="17"/>
                <w:szCs w:val="17"/>
                <w:color w:val="000066"/>
                <w:vertAlign w:val="superscript"/>
              </w:rPr>
              <w:t>b</w:t>
            </w:r>
          </w:p>
        </w:tc>
      </w:tr>
      <w:tr>
        <w:trPr>
          <w:trHeight w:val="196"/>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Aegle marmelos</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2</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Unripe fruit pulp</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Two table spoons full of fine powder is</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Unripe fruit pulp (</w:t>
            </w:r>
            <w:r>
              <w:rPr>
                <w:rFonts w:ascii="Times New Roman" w:cs="Times New Roman" w:eastAsia="Times New Roman" w:hAnsi="Times New Roman"/>
                <w:sz w:val="13"/>
                <w:szCs w:val="13"/>
                <w:color w:val="000066"/>
              </w:rPr>
              <w:t>Satyavati et al.,</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mixed in 25 ml water or 5 mg honey;</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1976–1987</w:t>
            </w:r>
            <w:r>
              <w:rPr>
                <w:rFonts w:ascii="Times New Roman" w:cs="Times New Roman" w:eastAsia="Times New Roman" w:hAnsi="Times New Roman"/>
                <w:sz w:val="13"/>
                <w:szCs w:val="13"/>
                <w:color w:val="000000"/>
              </w:rPr>
              <w:t>); roots (</w:t>
            </w:r>
            <w:r>
              <w:rPr>
                <w:rFonts w:ascii="Times New Roman" w:cs="Times New Roman" w:eastAsia="Times New Roman" w:hAnsi="Times New Roman"/>
                <w:sz w:val="13"/>
                <w:szCs w:val="13"/>
                <w:color w:val="000066"/>
              </w:rPr>
              <w:t>Majumdar et al.,</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administered orally thrice a day for 3</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2006</w:t>
            </w:r>
            <w:r>
              <w:rPr>
                <w:rFonts w:ascii="Times New Roman" w:cs="Times New Roman" w:eastAsia="Times New Roman" w:hAnsi="Times New Roman"/>
                <w:sz w:val="13"/>
                <w:szCs w:val="13"/>
                <w:color w:val="000000"/>
              </w:rPr>
              <w:t>)</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Bombax ceiba</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2</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Roots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Pieces of young roots, 30–45 cm long</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Roots (</w:t>
            </w:r>
            <w:r>
              <w:rPr>
                <w:rFonts w:ascii="Times New Roman" w:cs="Times New Roman" w:eastAsia="Times New Roman" w:hAnsi="Times New Roman"/>
                <w:sz w:val="13"/>
                <w:szCs w:val="13"/>
                <w:color w:val="000066"/>
              </w:rPr>
              <w:t>Warrier et al., 1993–1996;</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and 3–5 cm diameter; root bark is</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Sharma et al., 2000–2002</w:t>
            </w:r>
            <w:r>
              <w:rPr>
                <w:rFonts w:ascii="Times New Roman" w:cs="Times New Roman" w:eastAsia="Times New Roman" w:hAnsi="Times New Roman"/>
                <w:sz w:val="13"/>
                <w:szCs w:val="13"/>
                <w:color w:val="000000"/>
              </w:rPr>
              <w:t>); gum</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peeled with a sharp knife and the inner</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color w:val="000066"/>
              </w:rPr>
              <w:t>Sharma et al., 2000–2002</w:t>
            </w:r>
            <w:r>
              <w:rPr>
                <w:rFonts w:ascii="Times New Roman" w:cs="Times New Roman" w:eastAsia="Times New Roman" w:hAnsi="Times New Roman"/>
                <w:sz w:val="13"/>
                <w:szCs w:val="13"/>
                <w:color w:val="auto"/>
              </w:rPr>
              <w:t>)</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white portion is crushed and made into</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 fine paste. The paste is then added to</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30–50 ml of water and administered in</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the morning, preferably on an empty</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stomach for 2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Caesalpinia sepiaria</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Seeds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Seeds are finely powdered and stored</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No reference found</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in air tight containers; one tablespoon</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full of powder is mixed in 200–250 ml</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water or with a cup of tea,</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administered orally twice–thrice for a</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week</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Capparis zeylanica</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Mature leaves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Green and mature leaves (before</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Root bark (</w:t>
            </w:r>
            <w:r>
              <w:rPr>
                <w:rFonts w:ascii="Times New Roman" w:cs="Times New Roman" w:eastAsia="Times New Roman" w:hAnsi="Times New Roman"/>
                <w:sz w:val="13"/>
                <w:szCs w:val="13"/>
                <w:color w:val="000066"/>
              </w:rPr>
              <w:t>Satyavati et al., 1976–1987</w:t>
            </w:r>
            <w:r>
              <w:rPr>
                <w:rFonts w:ascii="Times New Roman" w:cs="Times New Roman" w:eastAsia="Times New Roman" w:hAnsi="Times New Roman"/>
                <w:sz w:val="13"/>
                <w:szCs w:val="13"/>
                <w:color w:val="auto"/>
              </w:rPr>
              <w:t>)</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turning red); leaf paste is mixed in</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50–70 ml water and administered</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thrice a day for 2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Cassia fistula</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2</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Pods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Pods are open dried under sun. Dried</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Bark and wood (</w:t>
            </w:r>
            <w:r>
              <w:rPr>
                <w:rFonts w:ascii="Times New Roman" w:cs="Times New Roman" w:eastAsia="Times New Roman" w:hAnsi="Times New Roman"/>
                <w:sz w:val="13"/>
                <w:szCs w:val="13"/>
                <w:color w:val="000066"/>
              </w:rPr>
              <w:t>Kirtikar and Basu,</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seeds are finely powdered and stored.</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1993</w:t>
            </w:r>
            <w:r>
              <w:rPr>
                <w:rFonts w:ascii="Times New Roman" w:cs="Times New Roman" w:eastAsia="Times New Roman" w:hAnsi="Times New Roman"/>
                <w:sz w:val="13"/>
                <w:szCs w:val="13"/>
                <w:color w:val="000000"/>
              </w:rPr>
              <w:t>)</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Two pinches of powder mixed in</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200–250 ml water or a cup of tea,</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administered internally twice a day for</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3 days</w:t>
            </w:r>
          </w:p>
        </w:tc>
        <w:tc>
          <w:tcPr>
            <w:tcW w:w="2680" w:type="dxa"/>
            <w:vAlign w:val="bottom"/>
            <w:shd w:val="clear" w:color="auto" w:fill="E6E6E6"/>
          </w:tcPr>
          <w:p>
            <w:pPr>
              <w:spacing w:after="0"/>
              <w:rPr>
                <w:sz w:val="14"/>
                <w:szCs w:val="14"/>
                <w:color w:val="auto"/>
              </w:rPr>
            </w:pPr>
          </w:p>
        </w:tc>
      </w:tr>
      <w:tr>
        <w:trPr>
          <w:trHeight w:val="178"/>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Cocculus hirsutus</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3</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Leaves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Infusion is made from a handful of</w:t>
            </w:r>
          </w:p>
        </w:tc>
        <w:tc>
          <w:tcPr>
            <w:tcW w:w="2680" w:type="dxa"/>
            <w:vAlign w:val="bottom"/>
            <w:shd w:val="clear" w:color="auto" w:fill="E6E6E6"/>
          </w:tcPr>
          <w:p>
            <w:pPr>
              <w:ind w:left="280"/>
              <w:spacing w:after="0" w:line="178" w:lineRule="exact"/>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Girach et al., 1996</w:t>
            </w:r>
            <w:r>
              <w:rPr>
                <w:rFonts w:ascii="Times New Roman" w:cs="Times New Roman" w:eastAsia="Times New Roman" w:hAnsi="Times New Roman"/>
                <w:sz w:val="13"/>
                <w:szCs w:val="13"/>
                <w:color w:val="auto"/>
              </w:rPr>
              <w:t>)</w:t>
            </w:r>
            <w:r>
              <w:rPr>
                <w:rFonts w:ascii="Times New Roman" w:cs="Times New Roman" w:eastAsia="Times New Roman" w:hAnsi="Times New Roman"/>
                <w:sz w:val="17"/>
                <w:szCs w:val="17"/>
                <w:color w:val="000066"/>
                <w:vertAlign w:val="superscript"/>
              </w:rPr>
              <w:t>c</w:t>
            </w:r>
            <w:r>
              <w:rPr>
                <w:rFonts w:ascii="Times New Roman" w:cs="Times New Roman" w:eastAsia="Times New Roman" w:hAnsi="Times New Roman"/>
                <w:sz w:val="13"/>
                <w:szCs w:val="13"/>
                <w:color w:val="auto"/>
              </w:rPr>
              <w:t xml:space="preserve"> ;</w:t>
            </w:r>
          </w:p>
        </w:tc>
      </w:tr>
      <w:tr>
        <w:trPr>
          <w:trHeight w:val="180"/>
        </w:trPr>
        <w:tc>
          <w:tcPr>
            <w:tcW w:w="1460" w:type="dxa"/>
            <w:vAlign w:val="bottom"/>
            <w:shd w:val="clear" w:color="auto" w:fill="E6E6E6"/>
          </w:tcPr>
          <w:p>
            <w:pPr>
              <w:spacing w:after="0"/>
              <w:rPr>
                <w:sz w:val="15"/>
                <w:szCs w:val="15"/>
                <w:color w:val="auto"/>
              </w:rPr>
            </w:pPr>
          </w:p>
        </w:tc>
        <w:tc>
          <w:tcPr>
            <w:tcW w:w="1480" w:type="dxa"/>
            <w:vAlign w:val="bottom"/>
            <w:shd w:val="clear" w:color="auto" w:fill="E6E6E6"/>
          </w:tcPr>
          <w:p>
            <w:pPr>
              <w:spacing w:after="0"/>
              <w:rPr>
                <w:sz w:val="15"/>
                <w:szCs w:val="15"/>
                <w:color w:val="auto"/>
              </w:rPr>
            </w:pPr>
          </w:p>
        </w:tc>
        <w:tc>
          <w:tcPr>
            <w:tcW w:w="1740" w:type="dxa"/>
            <w:vAlign w:val="bottom"/>
            <w:shd w:val="clear" w:color="auto" w:fill="E6E6E6"/>
          </w:tcPr>
          <w:p>
            <w:pPr>
              <w:spacing w:after="0"/>
              <w:rPr>
                <w:sz w:val="15"/>
                <w:szCs w:val="15"/>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leaves in a cup of water; this is</w:t>
            </w:r>
          </w:p>
        </w:tc>
        <w:tc>
          <w:tcPr>
            <w:tcW w:w="2680" w:type="dxa"/>
            <w:vAlign w:val="bottom"/>
            <w:shd w:val="clear" w:color="auto" w:fill="E6E6E6"/>
          </w:tcPr>
          <w:p>
            <w:pPr>
              <w:ind w:left="280"/>
              <w:spacing w:after="0" w:line="180" w:lineRule="exact"/>
              <w:rPr>
                <w:sz w:val="20"/>
                <w:szCs w:val="20"/>
                <w:color w:val="auto"/>
              </w:rPr>
            </w:pPr>
            <w:r>
              <w:rPr>
                <w:rFonts w:ascii="Times New Roman" w:cs="Times New Roman" w:eastAsia="Times New Roman" w:hAnsi="Times New Roman"/>
                <w:sz w:val="13"/>
                <w:szCs w:val="13"/>
                <w:color w:val="auto"/>
              </w:rPr>
              <w:t>unspecified part (</w:t>
            </w:r>
            <w:r>
              <w:rPr>
                <w:rFonts w:ascii="Times New Roman" w:cs="Times New Roman" w:eastAsia="Times New Roman" w:hAnsi="Times New Roman"/>
                <w:sz w:val="13"/>
                <w:szCs w:val="13"/>
                <w:color w:val="000066"/>
              </w:rPr>
              <w:t>Singh, 2000</w:t>
            </w:r>
            <w:r>
              <w:rPr>
                <w:rFonts w:ascii="Times New Roman" w:cs="Times New Roman" w:eastAsia="Times New Roman" w:hAnsi="Times New Roman"/>
                <w:sz w:val="13"/>
                <w:szCs w:val="13"/>
                <w:color w:val="auto"/>
              </w:rPr>
              <w:t>)</w:t>
            </w:r>
            <w:r>
              <w:rPr>
                <w:rFonts w:ascii="Times New Roman" w:cs="Times New Roman" w:eastAsia="Times New Roman" w:hAnsi="Times New Roman"/>
                <w:sz w:val="17"/>
                <w:szCs w:val="17"/>
                <w:color w:val="000066"/>
                <w:vertAlign w:val="superscript"/>
              </w:rPr>
              <w:t>c</w:t>
            </w:r>
          </w:p>
        </w:tc>
      </w:tr>
      <w:tr>
        <w:trPr>
          <w:trHeight w:val="156"/>
        </w:trPr>
        <w:tc>
          <w:tcPr>
            <w:tcW w:w="1460" w:type="dxa"/>
            <w:vAlign w:val="bottom"/>
            <w:shd w:val="clear" w:color="auto" w:fill="E6E6E6"/>
          </w:tcPr>
          <w:p>
            <w:pPr>
              <w:spacing w:after="0"/>
              <w:rPr>
                <w:sz w:val="13"/>
                <w:szCs w:val="13"/>
                <w:color w:val="auto"/>
              </w:rPr>
            </w:pPr>
          </w:p>
        </w:tc>
        <w:tc>
          <w:tcPr>
            <w:tcW w:w="1480" w:type="dxa"/>
            <w:vAlign w:val="bottom"/>
            <w:shd w:val="clear" w:color="auto" w:fill="E6E6E6"/>
          </w:tcPr>
          <w:p>
            <w:pPr>
              <w:spacing w:after="0"/>
              <w:rPr>
                <w:sz w:val="13"/>
                <w:szCs w:val="13"/>
                <w:color w:val="auto"/>
              </w:rPr>
            </w:pPr>
          </w:p>
        </w:tc>
        <w:tc>
          <w:tcPr>
            <w:tcW w:w="1740" w:type="dxa"/>
            <w:vAlign w:val="bottom"/>
            <w:shd w:val="clear" w:color="auto" w:fill="E6E6E6"/>
          </w:tcPr>
          <w:p>
            <w:pPr>
              <w:spacing w:after="0"/>
              <w:rPr>
                <w:sz w:val="13"/>
                <w:szCs w:val="13"/>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administered orally thrice a day for</w:t>
            </w:r>
          </w:p>
        </w:tc>
        <w:tc>
          <w:tcPr>
            <w:tcW w:w="2680" w:type="dxa"/>
            <w:vAlign w:val="bottom"/>
            <w:shd w:val="clear" w:color="auto" w:fill="E6E6E6"/>
          </w:tcPr>
          <w:p>
            <w:pPr>
              <w:spacing w:after="0"/>
              <w:rPr>
                <w:sz w:val="13"/>
                <w:szCs w:val="13"/>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three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Cyperus rotundus</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Tubers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Fresh or dried tubers after clearing root</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Tubers (</w:t>
            </w:r>
            <w:r>
              <w:rPr>
                <w:rFonts w:ascii="Times New Roman" w:cs="Times New Roman" w:eastAsia="Times New Roman" w:hAnsi="Times New Roman"/>
                <w:sz w:val="13"/>
                <w:szCs w:val="13"/>
                <w:color w:val="000066"/>
              </w:rPr>
              <w:t>Sharma et al., 2000–2002;</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fibers along with green ginger, almost</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Daswani et al., 2001</w:t>
            </w:r>
            <w:r>
              <w:rPr>
                <w:rFonts w:ascii="Times New Roman" w:cs="Times New Roman" w:eastAsia="Times New Roman" w:hAnsi="Times New Roman"/>
                <w:sz w:val="13"/>
                <w:szCs w:val="13"/>
                <w:color w:val="000000"/>
              </w:rPr>
              <w:t>)</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in equal proportions pounded together</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and mixed in honey to make a paste. A</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tablespoonful of paste is administered</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internally thrice a day for 3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Dalbergia sissoo</w:t>
            </w:r>
          </w:p>
        </w:tc>
        <w:tc>
          <w:tcPr>
            <w:tcW w:w="14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5</w:t>
            </w:r>
          </w:p>
        </w:tc>
        <w:tc>
          <w:tcPr>
            <w:tcW w:w="1740" w:type="dxa"/>
            <w:vAlign w:val="bottom"/>
            <w:shd w:val="clear" w:color="auto" w:fill="E6E6E6"/>
          </w:tcPr>
          <w:p>
            <w:pPr>
              <w:ind w:left="340"/>
              <w:spacing w:after="0"/>
              <w:rPr>
                <w:sz w:val="20"/>
                <w:szCs w:val="20"/>
                <w:color w:val="auto"/>
              </w:rPr>
            </w:pPr>
            <w:r>
              <w:rPr>
                <w:rFonts w:ascii="Times New Roman" w:cs="Times New Roman" w:eastAsia="Times New Roman" w:hAnsi="Times New Roman"/>
                <w:sz w:val="13"/>
                <w:szCs w:val="13"/>
                <w:color w:val="auto"/>
              </w:rPr>
              <w:t>Mature leaves</w:t>
            </w: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Mature leaflets (3–5) are orally</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Sharma et al., 2000–2002;</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administered twice–thrice only for a</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Brijesh et al.</w:t>
            </w:r>
            <w:r>
              <w:rPr>
                <w:rFonts w:ascii="Times New Roman" w:cs="Times New Roman" w:eastAsia="Times New Roman" w:hAnsi="Times New Roman"/>
                <w:sz w:val="13"/>
                <w:szCs w:val="13"/>
                <w:i w:val="1"/>
                <w:iCs w:val="1"/>
                <w:color w:val="000066"/>
              </w:rPr>
              <w:t>,</w:t>
            </w:r>
            <w:r>
              <w:rPr>
                <w:rFonts w:ascii="Times New Roman" w:cs="Times New Roman" w:eastAsia="Times New Roman" w:hAnsi="Times New Roman"/>
                <w:sz w:val="13"/>
                <w:szCs w:val="13"/>
                <w:color w:val="000066"/>
              </w:rPr>
              <w:t xml:space="preserve"> 2006a</w:t>
            </w:r>
            <w:r>
              <w:rPr>
                <w:rFonts w:ascii="Times New Roman" w:cs="Times New Roman" w:eastAsia="Times New Roman" w:hAnsi="Times New Roman"/>
                <w:sz w:val="13"/>
                <w:szCs w:val="13"/>
                <w:color w:val="000000"/>
              </w:rPr>
              <w:t>)</w:t>
            </w:r>
          </w:p>
        </w:tc>
      </w:tr>
      <w:tr>
        <w:trPr>
          <w:trHeight w:val="171"/>
        </w:trPr>
        <w:tc>
          <w:tcPr>
            <w:tcW w:w="1460" w:type="dxa"/>
            <w:vAlign w:val="bottom"/>
            <w:shd w:val="clear" w:color="auto" w:fill="E6E6E6"/>
          </w:tcPr>
          <w:p>
            <w:pPr>
              <w:spacing w:after="0"/>
              <w:rPr>
                <w:sz w:val="14"/>
                <w:szCs w:val="14"/>
                <w:color w:val="auto"/>
              </w:rPr>
            </w:pPr>
          </w:p>
        </w:tc>
        <w:tc>
          <w:tcPr>
            <w:tcW w:w="1480" w:type="dxa"/>
            <w:vAlign w:val="bottom"/>
            <w:shd w:val="clear" w:color="auto" w:fill="E6E6E6"/>
          </w:tcPr>
          <w:p>
            <w:pPr>
              <w:spacing w:after="0"/>
              <w:rPr>
                <w:sz w:val="14"/>
                <w:szCs w:val="14"/>
                <w:color w:val="auto"/>
              </w:rPr>
            </w:pPr>
          </w:p>
        </w:tc>
        <w:tc>
          <w:tcPr>
            <w:tcW w:w="1740" w:type="dxa"/>
            <w:vAlign w:val="bottom"/>
            <w:shd w:val="clear" w:color="auto" w:fill="E6E6E6"/>
          </w:tcPr>
          <w:p>
            <w:pPr>
              <w:spacing w:after="0"/>
              <w:rPr>
                <w:sz w:val="14"/>
                <w:szCs w:val="14"/>
                <w:color w:val="auto"/>
              </w:rPr>
            </w:pPr>
          </w:p>
        </w:tc>
        <w:tc>
          <w:tcPr>
            <w:tcW w:w="306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single day</w:t>
            </w:r>
          </w:p>
        </w:tc>
        <w:tc>
          <w:tcPr>
            <w:tcW w:w="2680" w:type="dxa"/>
            <w:vAlign w:val="bottom"/>
            <w:shd w:val="clear" w:color="auto" w:fill="E6E6E6"/>
          </w:tcPr>
          <w:p>
            <w:pPr>
              <w:spacing w:after="0"/>
              <w:rPr>
                <w:sz w:val="14"/>
                <w:szCs w:val="14"/>
                <w:color w:val="auto"/>
              </w:rPr>
            </w:pPr>
          </w:p>
        </w:tc>
      </w:tr>
      <w:tr>
        <w:trPr>
          <w:trHeight w:val="23"/>
        </w:trPr>
        <w:tc>
          <w:tcPr>
            <w:tcW w:w="1460" w:type="dxa"/>
            <w:vAlign w:val="bottom"/>
            <w:shd w:val="clear" w:color="auto" w:fill="E6E6E6"/>
          </w:tcPr>
          <w:p>
            <w:pPr>
              <w:spacing w:after="0"/>
              <w:rPr>
                <w:sz w:val="2"/>
                <w:szCs w:val="2"/>
                <w:color w:val="auto"/>
              </w:rPr>
            </w:pPr>
          </w:p>
        </w:tc>
        <w:tc>
          <w:tcPr>
            <w:tcW w:w="1480" w:type="dxa"/>
            <w:vAlign w:val="bottom"/>
            <w:shd w:val="clear" w:color="auto" w:fill="E6E6E6"/>
          </w:tcPr>
          <w:p>
            <w:pPr>
              <w:spacing w:after="0"/>
              <w:rPr>
                <w:sz w:val="2"/>
                <w:szCs w:val="2"/>
                <w:color w:val="auto"/>
              </w:rPr>
            </w:pPr>
          </w:p>
        </w:tc>
        <w:tc>
          <w:tcPr>
            <w:tcW w:w="1740" w:type="dxa"/>
            <w:vAlign w:val="bottom"/>
            <w:shd w:val="clear" w:color="auto" w:fill="E6E6E6"/>
          </w:tcPr>
          <w:p>
            <w:pPr>
              <w:spacing w:after="0"/>
              <w:rPr>
                <w:sz w:val="2"/>
                <w:szCs w:val="2"/>
                <w:color w:val="auto"/>
              </w:rPr>
            </w:pPr>
          </w:p>
        </w:tc>
        <w:tc>
          <w:tcPr>
            <w:tcW w:w="3060" w:type="dxa"/>
            <w:vAlign w:val="bottom"/>
            <w:shd w:val="clear" w:color="auto" w:fill="E6E6E6"/>
          </w:tcPr>
          <w:p>
            <w:pPr>
              <w:spacing w:after="0"/>
              <w:rPr>
                <w:sz w:val="2"/>
                <w:szCs w:val="2"/>
                <w:color w:val="auto"/>
              </w:rPr>
            </w:pPr>
          </w:p>
        </w:tc>
        <w:tc>
          <w:tcPr>
            <w:tcW w:w="2680" w:type="dxa"/>
            <w:vAlign w:val="bottom"/>
            <w:shd w:val="clear" w:color="auto" w:fill="E6E6E6"/>
          </w:tcPr>
          <w:p>
            <w:pPr>
              <w:spacing w:after="0"/>
              <w:rPr>
                <w:sz w:val="2"/>
                <w:szCs w:val="2"/>
                <w:color w:val="auto"/>
              </w:rPr>
            </w:pPr>
          </w:p>
        </w:tc>
      </w:tr>
    </w:tbl>
    <w:p>
      <w:pPr>
        <w:sectPr>
          <w:pgSz w:w="11900" w:h="15874" w:orient="portrait"/>
          <w:cols w:equalWidth="0" w:num="1">
            <w:col w:w="10420"/>
          </w:cols>
          <w:pgMar w:left="640" w:top="717" w:right="846" w:bottom="359" w:gutter="0" w:footer="0" w:header="0"/>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780" w:type="dxa"/>
            <w:vAlign w:val="bottom"/>
          </w:tcPr>
          <w:p>
            <w:pPr>
              <w:spacing w:after="0"/>
              <w:rPr>
                <w:sz w:val="13"/>
                <w:szCs w:val="13"/>
                <w:color w:val="auto"/>
              </w:rPr>
            </w:pPr>
          </w:p>
        </w:tc>
        <w:tc>
          <w:tcPr>
            <w:tcW w:w="1300" w:type="dxa"/>
            <w:vAlign w:val="bottom"/>
          </w:tcPr>
          <w:p>
            <w:pPr>
              <w:spacing w:after="0"/>
              <w:rPr>
                <w:sz w:val="13"/>
                <w:szCs w:val="13"/>
                <w:color w:val="auto"/>
              </w:rPr>
            </w:pPr>
          </w:p>
        </w:tc>
        <w:tc>
          <w:tcPr>
            <w:tcW w:w="4700" w:type="dxa"/>
            <w:vAlign w:val="bottom"/>
            <w:gridSpan w:val="2"/>
          </w:tcPr>
          <w:p>
            <w:pPr>
              <w:ind w:left="200"/>
              <w:spacing w:after="0"/>
              <w:rPr>
                <w:sz w:val="20"/>
                <w:szCs w:val="20"/>
                <w:color w:val="auto"/>
              </w:rPr>
            </w:pPr>
            <w:r>
              <w:rPr>
                <w:rFonts w:ascii="Times New Roman" w:cs="Times New Roman" w:eastAsia="Times New Roman" w:hAnsi="Times New Roman"/>
                <w:sz w:val="13"/>
                <w:szCs w:val="13"/>
                <w:i w:val="1"/>
                <w:iCs w:val="1"/>
                <w:color w:val="auto"/>
              </w:rPr>
              <w:t>P. Tetali et al. / Journal of Ethnopharmacology 123 (2009) 229–236</w:t>
            </w:r>
          </w:p>
        </w:tc>
        <w:tc>
          <w:tcPr>
            <w:tcW w:w="2640" w:type="dxa"/>
            <w:vAlign w:val="bottom"/>
          </w:tcPr>
          <w:p>
            <w:pPr>
              <w:ind w:left="2420"/>
              <w:spacing w:after="0"/>
              <w:rPr>
                <w:sz w:val="20"/>
                <w:szCs w:val="20"/>
                <w:color w:val="auto"/>
              </w:rPr>
            </w:pPr>
            <w:r>
              <w:rPr>
                <w:rFonts w:ascii="Times New Roman" w:cs="Times New Roman" w:eastAsia="Times New Roman" w:hAnsi="Times New Roman"/>
                <w:sz w:val="13"/>
                <w:szCs w:val="13"/>
                <w:color w:val="auto"/>
              </w:rPr>
              <w:t>233</w:t>
            </w:r>
          </w:p>
        </w:tc>
      </w:tr>
      <w:tr>
        <w:trPr>
          <w:trHeight w:val="369"/>
        </w:trPr>
        <w:tc>
          <w:tcPr>
            <w:tcW w:w="1780" w:type="dxa"/>
            <w:vAlign w:val="bottom"/>
          </w:tcPr>
          <w:p>
            <w:pPr>
              <w:spacing w:after="0"/>
              <w:rPr>
                <w:sz w:val="20"/>
                <w:szCs w:val="20"/>
                <w:color w:val="auto"/>
              </w:rPr>
            </w:pPr>
            <w:r>
              <w:rPr>
                <w:rFonts w:ascii="Times New Roman" w:cs="Times New Roman" w:eastAsia="Times New Roman" w:hAnsi="Times New Roman"/>
                <w:sz w:val="13"/>
                <w:szCs w:val="13"/>
                <w:color w:val="auto"/>
              </w:rPr>
              <w:t>Table 2 (</w:t>
            </w:r>
            <w:r>
              <w:rPr>
                <w:rFonts w:ascii="Times New Roman" w:cs="Times New Roman" w:eastAsia="Times New Roman" w:hAnsi="Times New Roman"/>
                <w:sz w:val="13"/>
                <w:szCs w:val="13"/>
                <w:i w:val="1"/>
                <w:iCs w:val="1"/>
                <w:color w:val="auto"/>
              </w:rPr>
              <w:t>Continued</w:t>
            </w:r>
            <w:r>
              <w:rPr>
                <w:rFonts w:ascii="Times New Roman" w:cs="Times New Roman" w:eastAsia="Times New Roman" w:hAnsi="Times New Roman"/>
                <w:sz w:val="13"/>
                <w:szCs w:val="13"/>
                <w:color w:val="auto"/>
              </w:rPr>
              <w:t xml:space="preserve"> )</w:t>
            </w:r>
          </w:p>
        </w:tc>
        <w:tc>
          <w:tcPr>
            <w:tcW w:w="130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2920" w:type="dxa"/>
            <w:vAlign w:val="bottom"/>
          </w:tcPr>
          <w:p>
            <w:pPr>
              <w:spacing w:after="0"/>
              <w:rPr>
                <w:sz w:val="24"/>
                <w:szCs w:val="24"/>
                <w:color w:val="auto"/>
              </w:rPr>
            </w:pPr>
          </w:p>
        </w:tc>
        <w:tc>
          <w:tcPr>
            <w:tcW w:w="2640" w:type="dxa"/>
            <w:vAlign w:val="bottom"/>
          </w:tcPr>
          <w:p>
            <w:pPr>
              <w:spacing w:after="0"/>
              <w:rPr>
                <w:sz w:val="24"/>
                <w:szCs w:val="24"/>
                <w:color w:val="auto"/>
              </w:rPr>
            </w:pPr>
          </w:p>
        </w:tc>
      </w:tr>
      <w:tr>
        <w:trPr>
          <w:trHeight w:val="77"/>
        </w:trPr>
        <w:tc>
          <w:tcPr>
            <w:tcW w:w="17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1780" w:type="dxa"/>
            <w:vAlign w:val="bottom"/>
            <w:tcBorders>
              <w:bottom w:val="single" w:sz="8" w:color="auto"/>
            </w:tcBorders>
          </w:tcPr>
          <w:p>
            <w:pPr>
              <w:spacing w:after="0"/>
              <w:rPr>
                <w:sz w:val="6"/>
                <w:szCs w:val="6"/>
                <w:color w:val="auto"/>
              </w:rPr>
            </w:pPr>
          </w:p>
        </w:tc>
        <w:tc>
          <w:tcPr>
            <w:tcW w:w="2920" w:type="dxa"/>
            <w:vAlign w:val="bottom"/>
            <w:tcBorders>
              <w:bottom w:val="single" w:sz="8" w:color="auto"/>
            </w:tcBorders>
          </w:tcPr>
          <w:p>
            <w:pPr>
              <w:spacing w:after="0"/>
              <w:rPr>
                <w:sz w:val="6"/>
                <w:szCs w:val="6"/>
                <w:color w:val="auto"/>
              </w:rPr>
            </w:pPr>
          </w:p>
        </w:tc>
        <w:tc>
          <w:tcPr>
            <w:tcW w:w="2640" w:type="dxa"/>
            <w:vAlign w:val="bottom"/>
            <w:tcBorders>
              <w:bottom w:val="single" w:sz="8" w:color="auto"/>
            </w:tcBorders>
          </w:tcPr>
          <w:p>
            <w:pPr>
              <w:spacing w:after="0"/>
              <w:rPr>
                <w:sz w:val="6"/>
                <w:szCs w:val="6"/>
                <w:color w:val="auto"/>
              </w:rPr>
            </w:pPr>
          </w:p>
        </w:tc>
      </w:tr>
      <w:tr>
        <w:trPr>
          <w:trHeight w:val="196"/>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color w:val="auto"/>
              </w:rPr>
              <w:t>Plant</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Number of</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Part cited in the</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Antidiarrhoeal recipe/dosage</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Reported antidiarrhoeal/antidysenteric</w:t>
            </w:r>
          </w:p>
        </w:tc>
      </w:tr>
      <w:tr>
        <w:trPr>
          <w:trHeight w:val="221"/>
        </w:trPr>
        <w:tc>
          <w:tcPr>
            <w:tcW w:w="1780" w:type="dxa"/>
            <w:vAlign w:val="bottom"/>
            <w:tcBorders>
              <w:bottom w:val="single" w:sz="8" w:color="auto"/>
            </w:tcBorders>
            <w:shd w:val="clear" w:color="auto" w:fill="E6E6E6"/>
          </w:tcPr>
          <w:p>
            <w:pPr>
              <w:spacing w:after="0"/>
              <w:rPr>
                <w:sz w:val="19"/>
                <w:szCs w:val="19"/>
                <w:color w:val="auto"/>
              </w:rPr>
            </w:pPr>
          </w:p>
        </w:tc>
        <w:tc>
          <w:tcPr>
            <w:tcW w:w="1300" w:type="dxa"/>
            <w:vAlign w:val="bottom"/>
            <w:tcBorders>
              <w:bottom w:val="single" w:sz="8" w:color="auto"/>
            </w:tcBorders>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times quoted</w:t>
            </w:r>
            <w:r>
              <w:rPr>
                <w:rFonts w:ascii="Times New Roman" w:cs="Times New Roman" w:eastAsia="Times New Roman" w:hAnsi="Times New Roman"/>
                <w:sz w:val="17"/>
                <w:szCs w:val="17"/>
                <w:color w:val="000066"/>
                <w:vertAlign w:val="superscript"/>
              </w:rPr>
              <w:t>a</w:t>
            </w:r>
          </w:p>
        </w:tc>
        <w:tc>
          <w:tcPr>
            <w:tcW w:w="1780" w:type="dxa"/>
            <w:vAlign w:val="bottom"/>
            <w:tcBorders>
              <w:bottom w:val="single" w:sz="8" w:color="auto"/>
            </w:tcBorders>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present survey</w:t>
            </w:r>
          </w:p>
        </w:tc>
        <w:tc>
          <w:tcPr>
            <w:tcW w:w="2920" w:type="dxa"/>
            <w:vAlign w:val="bottom"/>
            <w:tcBorders>
              <w:bottom w:val="single" w:sz="8" w:color="auto"/>
            </w:tcBorders>
            <w:shd w:val="clear" w:color="auto" w:fill="E6E6E6"/>
          </w:tcPr>
          <w:p>
            <w:pPr>
              <w:spacing w:after="0"/>
              <w:rPr>
                <w:sz w:val="19"/>
                <w:szCs w:val="19"/>
                <w:color w:val="auto"/>
              </w:rPr>
            </w:pPr>
          </w:p>
        </w:tc>
        <w:tc>
          <w:tcPr>
            <w:tcW w:w="2640" w:type="dxa"/>
            <w:vAlign w:val="bottom"/>
            <w:tcBorders>
              <w:bottom w:val="single" w:sz="8" w:color="auto"/>
            </w:tcBorders>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activity</w:t>
            </w:r>
            <w:r>
              <w:rPr>
                <w:rFonts w:ascii="Times New Roman" w:cs="Times New Roman" w:eastAsia="Times New Roman" w:hAnsi="Times New Roman"/>
                <w:sz w:val="17"/>
                <w:szCs w:val="17"/>
                <w:color w:val="000066"/>
                <w:vertAlign w:val="superscript"/>
              </w:rPr>
              <w:t>b</w:t>
            </w:r>
          </w:p>
        </w:tc>
      </w:tr>
      <w:tr>
        <w:trPr>
          <w:trHeight w:val="196"/>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Dichrostachys cinerea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Mature 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One tablespoon of infusion is added to</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Roots (</w:t>
            </w:r>
            <w:r>
              <w:rPr>
                <w:rFonts w:ascii="Times New Roman" w:cs="Times New Roman" w:eastAsia="Times New Roman" w:hAnsi="Times New Roman"/>
                <w:sz w:val="13"/>
                <w:szCs w:val="13"/>
                <w:color w:val="000066"/>
              </w:rPr>
              <w:t>Warrier et al., 1993–1996</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50 ml goat’s milk and administered</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orally twice a day for 3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Dioscorea pentaphylla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2</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Tuberous roots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The tuber is thoroughly washed in</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No reference found</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water till the soil is removed. The outer</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skin (epidermis) with all prickly roots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is peeled with the help of a blade or</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knife. The tubers are crushed with a</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pestle in a suitable bowl and eaten raw.</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The tubers are eaten early in the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morning before sun rise, on empty</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stomach. The root material is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administered continuously for 15 days</w:t>
            </w:r>
          </w:p>
        </w:tc>
        <w:tc>
          <w:tcPr>
            <w:tcW w:w="2640" w:type="dxa"/>
            <w:vAlign w:val="bottom"/>
            <w:shd w:val="clear" w:color="auto" w:fill="E6E6E6"/>
          </w:tcPr>
          <w:p>
            <w:pPr>
              <w:spacing w:after="0"/>
              <w:rPr>
                <w:sz w:val="14"/>
                <w:szCs w:val="14"/>
                <w:color w:val="auto"/>
              </w:rPr>
            </w:pPr>
          </w:p>
        </w:tc>
      </w:tr>
      <w:tr>
        <w:trPr>
          <w:trHeight w:val="186"/>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Eclipta prostrata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3–5 leaves crushed and made into a</w:t>
            </w:r>
          </w:p>
        </w:tc>
        <w:tc>
          <w:tcPr>
            <w:tcW w:w="2640" w:type="dxa"/>
            <w:vAlign w:val="bottom"/>
            <w:shd w:val="clear" w:color="auto" w:fill="E6E6E6"/>
          </w:tcPr>
          <w:p>
            <w:pPr>
              <w:ind w:left="240"/>
              <w:spacing w:after="0" w:line="186" w:lineRule="exact"/>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Girach et al., 1996</w:t>
            </w:r>
            <w:r>
              <w:rPr>
                <w:rFonts w:ascii="Times New Roman" w:cs="Times New Roman" w:eastAsia="Times New Roman" w:hAnsi="Times New Roman"/>
                <w:sz w:val="13"/>
                <w:szCs w:val="13"/>
                <w:color w:val="auto"/>
              </w:rPr>
              <w:t>)</w:t>
            </w:r>
            <w:r>
              <w:rPr>
                <w:rFonts w:ascii="Times New Roman" w:cs="Times New Roman" w:eastAsia="Times New Roman" w:hAnsi="Times New Roman"/>
                <w:sz w:val="17"/>
                <w:szCs w:val="17"/>
                <w:color w:val="000066"/>
                <w:vertAlign w:val="superscript"/>
              </w:rPr>
              <w:t>c</w:t>
            </w:r>
          </w:p>
        </w:tc>
      </w:tr>
      <w:tr>
        <w:trPr>
          <w:trHeight w:val="156"/>
        </w:trPr>
        <w:tc>
          <w:tcPr>
            <w:tcW w:w="1780" w:type="dxa"/>
            <w:vAlign w:val="bottom"/>
            <w:shd w:val="clear" w:color="auto" w:fill="E6E6E6"/>
          </w:tcPr>
          <w:p>
            <w:pPr>
              <w:spacing w:after="0"/>
              <w:rPr>
                <w:sz w:val="13"/>
                <w:szCs w:val="13"/>
                <w:color w:val="auto"/>
              </w:rPr>
            </w:pPr>
          </w:p>
        </w:tc>
        <w:tc>
          <w:tcPr>
            <w:tcW w:w="1300" w:type="dxa"/>
            <w:vAlign w:val="bottom"/>
            <w:shd w:val="clear" w:color="auto" w:fill="E6E6E6"/>
          </w:tcPr>
          <w:p>
            <w:pPr>
              <w:spacing w:after="0"/>
              <w:rPr>
                <w:sz w:val="13"/>
                <w:szCs w:val="13"/>
                <w:color w:val="auto"/>
              </w:rPr>
            </w:pPr>
          </w:p>
        </w:tc>
        <w:tc>
          <w:tcPr>
            <w:tcW w:w="1780" w:type="dxa"/>
            <w:vAlign w:val="bottom"/>
            <w:shd w:val="clear" w:color="auto" w:fill="E6E6E6"/>
          </w:tcPr>
          <w:p>
            <w:pPr>
              <w:spacing w:after="0"/>
              <w:rPr>
                <w:sz w:val="13"/>
                <w:szCs w:val="13"/>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paste. The paste is administered orally</w:t>
            </w:r>
          </w:p>
        </w:tc>
        <w:tc>
          <w:tcPr>
            <w:tcW w:w="2640" w:type="dxa"/>
            <w:vAlign w:val="bottom"/>
            <w:shd w:val="clear" w:color="auto" w:fill="E6E6E6"/>
          </w:tcPr>
          <w:p>
            <w:pPr>
              <w:spacing w:after="0"/>
              <w:rPr>
                <w:sz w:val="13"/>
                <w:szCs w:val="13"/>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twice a day for 3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Hemidesmus indicus</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 fresh extract of about 4–12 leaves is</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Roots (</w:t>
            </w:r>
            <w:r>
              <w:rPr>
                <w:rFonts w:ascii="Times New Roman" w:cs="Times New Roman" w:eastAsia="Times New Roman" w:hAnsi="Times New Roman"/>
                <w:sz w:val="13"/>
                <w:szCs w:val="13"/>
                <w:color w:val="000066"/>
              </w:rPr>
              <w:t>Sharma et al., 2000–2002; Das</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prepared by crushing and pounding</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000066"/>
              </w:rPr>
              <w:t>et al</w:t>
            </w:r>
            <w:r>
              <w:rPr>
                <w:rFonts w:ascii="Times New Roman" w:cs="Times New Roman" w:eastAsia="Times New Roman" w:hAnsi="Times New Roman"/>
                <w:sz w:val="13"/>
                <w:szCs w:val="13"/>
                <w:i w:val="1"/>
                <w:iCs w:val="1"/>
                <w:color w:val="000066"/>
              </w:rPr>
              <w:t>.,</w:t>
            </w:r>
            <w:r>
              <w:rPr>
                <w:rFonts w:ascii="Times New Roman" w:cs="Times New Roman" w:eastAsia="Times New Roman" w:hAnsi="Times New Roman"/>
                <w:sz w:val="13"/>
                <w:szCs w:val="13"/>
                <w:color w:val="000066"/>
              </w:rPr>
              <w:t xml:space="preserve"> 2003</w:t>
            </w:r>
            <w:r>
              <w:rPr>
                <w:rFonts w:ascii="Times New Roman" w:cs="Times New Roman" w:eastAsia="Times New Roman" w:hAnsi="Times New Roman"/>
                <w:sz w:val="13"/>
                <w:szCs w:val="13"/>
                <w:color w:val="000000"/>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them. The extracted juice is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administered orally. A dosage of 3–5 ml</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is recommended twice–thrice a day for</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3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Jatropha curcas</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Sap from the stem</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One and half table spoons full of sap is</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Fruits (</w:t>
            </w:r>
            <w:r>
              <w:rPr>
                <w:rFonts w:ascii="Times New Roman" w:cs="Times New Roman" w:eastAsia="Times New Roman" w:hAnsi="Times New Roman"/>
                <w:sz w:val="13"/>
                <w:szCs w:val="13"/>
                <w:color w:val="000066"/>
              </w:rPr>
              <w:t>Kirtikar and Basu, 1993</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extracted from the stem cuttings. The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greenish yellow sap is mixed in one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glass of cow milk (250 ml) after boiling.</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Only one dose is administered in the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morning time, preferably on empty</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stomach</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Lantana camara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2</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About 5 g leaves is crushed in 25 ml</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Sagar et al., 2005</w:t>
            </w:r>
            <w:r>
              <w:rPr>
                <w:rFonts w:ascii="Times New Roman" w:cs="Times New Roman" w:eastAsia="Times New Roman" w:hAnsi="Times New Roman"/>
                <w:sz w:val="13"/>
                <w:szCs w:val="13"/>
                <w:color w:val="auto"/>
              </w:rPr>
              <w:t>); roots</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water and the filtered extract is</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color w:val="000066"/>
              </w:rPr>
              <w:t>Warrier et al., 1993–1996</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administered thrice a day for 3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Launaea pinnatifida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4</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About 3–5 freshly collected leaves are</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No reference found</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crushed and the paste is orally</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administered twice a day for 3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Mangifera indica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2</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Kernel</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An extract is prepared from 8 to 10</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Kernel (</w:t>
            </w:r>
            <w:r>
              <w:rPr>
                <w:rFonts w:ascii="Times New Roman" w:cs="Times New Roman" w:eastAsia="Times New Roman" w:hAnsi="Times New Roman"/>
                <w:sz w:val="13"/>
                <w:szCs w:val="13"/>
                <w:color w:val="000066"/>
              </w:rPr>
              <w:t>Satyavati et al., 1976–1987</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 xml:space="preserve">mature leaves of </w:t>
            </w:r>
            <w:r>
              <w:rPr>
                <w:rFonts w:ascii="Times New Roman" w:cs="Times New Roman" w:eastAsia="Times New Roman" w:hAnsi="Times New Roman"/>
                <w:sz w:val="13"/>
                <w:szCs w:val="13"/>
                <w:i w:val="1"/>
                <w:iCs w:val="1"/>
                <w:color w:val="auto"/>
              </w:rPr>
              <w:t>Ziziphus mauritiana</w:t>
            </w:r>
            <w:r>
              <w:rPr>
                <w:rFonts w:ascii="Times New Roman" w:cs="Times New Roman" w:eastAsia="Times New Roman" w:hAnsi="Times New Roman"/>
                <w:sz w:val="13"/>
                <w:szCs w:val="13"/>
                <w:color w:val="auto"/>
              </w:rPr>
              <w:t xml:space="preserve"> in</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seeds (</w:t>
            </w:r>
            <w:r>
              <w:rPr>
                <w:rFonts w:ascii="Times New Roman" w:cs="Times New Roman" w:eastAsia="Times New Roman" w:hAnsi="Times New Roman"/>
                <w:sz w:val="13"/>
                <w:szCs w:val="13"/>
                <w:color w:val="000066"/>
              </w:rPr>
              <w:t>Sairam et al., 2003</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15–25 ml water and mashed kernels of</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mango are added to it. The drug is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administered orally thrice a day for 2</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Pongamia pinnata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3</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Mature 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Two fresh and mature leaflets are taken</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Brijesh et al., 2006b</w:t>
            </w:r>
            <w:r>
              <w:rPr>
                <w:rFonts w:ascii="Times New Roman" w:cs="Times New Roman" w:eastAsia="Times New Roman" w:hAnsi="Times New Roman"/>
                <w:sz w:val="13"/>
                <w:szCs w:val="13"/>
                <w:color w:val="auto"/>
              </w:rPr>
              <w:t>); oil as</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internally with a pinch of sugar</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stomachic (</w:t>
            </w:r>
            <w:r>
              <w:rPr>
                <w:rFonts w:ascii="Times New Roman" w:cs="Times New Roman" w:eastAsia="Times New Roman" w:hAnsi="Times New Roman"/>
                <w:sz w:val="13"/>
                <w:szCs w:val="13"/>
                <w:color w:val="000066"/>
              </w:rPr>
              <w:t>Satyavati et al., 1976–1987</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Protoasparagus racemosus</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Tuberous roots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Tuberous roots are dried in the partially</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Roots (</w:t>
            </w:r>
            <w:r>
              <w:rPr>
                <w:rFonts w:ascii="Times New Roman" w:cs="Times New Roman" w:eastAsia="Times New Roman" w:hAnsi="Times New Roman"/>
                <w:sz w:val="13"/>
                <w:szCs w:val="13"/>
                <w:color w:val="000066"/>
              </w:rPr>
              <w:t>Kirtikar and Basu, 1993</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shaded areas with sufficient light and</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ventilation. The roots are grounded and</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made into powder. One spoon full of</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powder is thoroughly stirred in cup of</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milk (100 ml) and taken internally</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before sleeping for 15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Psidium guajava</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2</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Mature 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Two mature leaves are either chewed</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Satyavati et al., 1976–1987; Lin</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one at a time or the extract prepared</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000066"/>
              </w:rPr>
              <w:t>et al., 2002</w:t>
            </w:r>
            <w:r>
              <w:rPr>
                <w:rFonts w:ascii="Times New Roman" w:cs="Times New Roman" w:eastAsia="Times New Roman" w:hAnsi="Times New Roman"/>
                <w:sz w:val="13"/>
                <w:szCs w:val="13"/>
                <w:color w:val="000000"/>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by crushing the leaves in water is taken</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orally thrice a day for 3 days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Punica granatum</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2</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Fruit rind</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One table spoonful of infusion is orally</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Fruit rind (</w:t>
            </w:r>
            <w:r>
              <w:rPr>
                <w:rFonts w:ascii="Times New Roman" w:cs="Times New Roman" w:eastAsia="Times New Roman" w:hAnsi="Times New Roman"/>
                <w:sz w:val="13"/>
                <w:szCs w:val="13"/>
                <w:color w:val="000066"/>
              </w:rPr>
              <w:t>CHEMEXCIL, 1992</w:t>
            </w:r>
            <w:r>
              <w:rPr>
                <w:rFonts w:ascii="Times New Roman" w:cs="Times New Roman" w:eastAsia="Times New Roman" w:hAnsi="Times New Roman"/>
                <w:sz w:val="13"/>
                <w:szCs w:val="13"/>
                <w:color w:val="auto"/>
              </w:rPr>
              <w:t>); seed</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administered twice a day for 2 days</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w:t>
            </w:r>
            <w:r>
              <w:rPr>
                <w:rFonts w:ascii="Times New Roman" w:cs="Times New Roman" w:eastAsia="Times New Roman" w:hAnsi="Times New Roman"/>
                <w:sz w:val="13"/>
                <w:szCs w:val="13"/>
                <w:color w:val="000066"/>
              </w:rPr>
              <w:t>Das et al</w:t>
            </w:r>
            <w:r>
              <w:rPr>
                <w:rFonts w:ascii="Times New Roman" w:cs="Times New Roman" w:eastAsia="Times New Roman" w:hAnsi="Times New Roman"/>
                <w:sz w:val="13"/>
                <w:szCs w:val="13"/>
                <w:i w:val="1"/>
                <w:iCs w:val="1"/>
                <w:color w:val="000066"/>
              </w:rPr>
              <w:t>.,</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color w:val="000066"/>
              </w:rPr>
              <w:t>1999</w:t>
            </w:r>
            <w:r>
              <w:rPr>
                <w:rFonts w:ascii="Times New Roman" w:cs="Times New Roman" w:eastAsia="Times New Roman" w:hAnsi="Times New Roman"/>
                <w:sz w:val="13"/>
                <w:szCs w:val="13"/>
                <w:color w:val="auto"/>
              </w:rPr>
              <w:t>)</w:t>
            </w: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Semicarpus anacardium</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Nut</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 needle is pierced from any side into</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Rind of the fruit (</w:t>
            </w:r>
            <w:r>
              <w:rPr>
                <w:rFonts w:ascii="Times New Roman" w:cs="Times New Roman" w:eastAsia="Times New Roman" w:hAnsi="Times New Roman"/>
                <w:sz w:val="13"/>
                <w:szCs w:val="13"/>
                <w:color w:val="000066"/>
              </w:rPr>
              <w:t>Kirtikar and Basu,</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the dried nut. One or two drops of the</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000066"/>
              </w:rPr>
              <w:t>1993</w:t>
            </w:r>
            <w:r>
              <w:rPr>
                <w:rFonts w:ascii="Times New Roman" w:cs="Times New Roman" w:eastAsia="Times New Roman" w:hAnsi="Times New Roman"/>
                <w:sz w:val="13"/>
                <w:szCs w:val="13"/>
                <w:color w:val="000000"/>
              </w:rPr>
              <w:t>)</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liquid thus obtained is mixed in 250 ml</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cow milk and taken orally</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Syzygium rubicundum</w:t>
            </w:r>
          </w:p>
        </w:tc>
        <w:tc>
          <w:tcPr>
            <w:tcW w:w="130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1</w:t>
            </w:r>
          </w:p>
        </w:tc>
        <w:tc>
          <w:tcPr>
            <w:tcW w:w="1780" w:type="dxa"/>
            <w:vAlign w:val="bottom"/>
            <w:shd w:val="clear" w:color="auto" w:fill="E6E6E6"/>
          </w:tcPr>
          <w:p>
            <w:pPr>
              <w:ind w:left="380"/>
              <w:spacing w:after="0"/>
              <w:rPr>
                <w:sz w:val="20"/>
                <w:szCs w:val="20"/>
                <w:color w:val="auto"/>
              </w:rPr>
            </w:pPr>
            <w:r>
              <w:rPr>
                <w:rFonts w:ascii="Times New Roman" w:cs="Times New Roman" w:eastAsia="Times New Roman" w:hAnsi="Times New Roman"/>
                <w:sz w:val="13"/>
                <w:szCs w:val="13"/>
                <w:color w:val="auto"/>
              </w:rPr>
              <w:t>Leaves</w:t>
            </w: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Equal amounts of fresh leaves of</w:t>
            </w:r>
          </w:p>
        </w:tc>
        <w:tc>
          <w:tcPr>
            <w:tcW w:w="2640" w:type="dxa"/>
            <w:vAlign w:val="bottom"/>
            <w:shd w:val="clear" w:color="auto" w:fill="E6E6E6"/>
          </w:tcPr>
          <w:p>
            <w:pPr>
              <w:ind w:left="240"/>
              <w:spacing w:after="0"/>
              <w:rPr>
                <w:sz w:val="20"/>
                <w:szCs w:val="20"/>
                <w:color w:val="auto"/>
              </w:rPr>
            </w:pPr>
            <w:r>
              <w:rPr>
                <w:rFonts w:ascii="Times New Roman" w:cs="Times New Roman" w:eastAsia="Times New Roman" w:hAnsi="Times New Roman"/>
                <w:sz w:val="13"/>
                <w:szCs w:val="13"/>
                <w:color w:val="auto"/>
              </w:rPr>
              <w:t>No reference found</w:t>
            </w: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i w:val="1"/>
                <w:iCs w:val="1"/>
                <w:color w:val="auto"/>
              </w:rPr>
              <w:t xml:space="preserve">Syzygium rubicundum </w:t>
            </w:r>
            <w:r>
              <w:rPr>
                <w:rFonts w:ascii="Times New Roman" w:cs="Times New Roman" w:eastAsia="Times New Roman" w:hAnsi="Times New Roman"/>
                <w:sz w:val="13"/>
                <w:szCs w:val="13"/>
                <w:color w:val="auto"/>
              </w:rPr>
              <w:t>and</w:t>
            </w:r>
            <w:r>
              <w:rPr>
                <w:rFonts w:ascii="Times New Roman" w:cs="Times New Roman" w:eastAsia="Times New Roman" w:hAnsi="Times New Roman"/>
                <w:sz w:val="13"/>
                <w:szCs w:val="13"/>
                <w:i w:val="1"/>
                <w:iCs w:val="1"/>
                <w:color w:val="auto"/>
              </w:rPr>
              <w:t xml:space="preserve"> Mangifera</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i w:val="1"/>
                <w:iCs w:val="1"/>
                <w:color w:val="auto"/>
              </w:rPr>
              <w:t xml:space="preserve">indica </w:t>
            </w:r>
            <w:r>
              <w:rPr>
                <w:rFonts w:ascii="Times New Roman" w:cs="Times New Roman" w:eastAsia="Times New Roman" w:hAnsi="Times New Roman"/>
                <w:sz w:val="13"/>
                <w:szCs w:val="13"/>
                <w:color w:val="auto"/>
              </w:rPr>
              <w:t>are grounded together in fresh</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cow milk (without boiling). The decant</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after filtering is administered to cattle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suffering from diarrhoea with the help</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of a bamboo pipe specially made for</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this purpose. For calves and goats: one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glass (250 ml). For Lambs: one cup</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(100 ml). For mature cattle: two glasses</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full (500 ml). *The dosage is given</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orally once a day, in the morning time</w:t>
            </w:r>
          </w:p>
        </w:tc>
        <w:tc>
          <w:tcPr>
            <w:tcW w:w="2640" w:type="dxa"/>
            <w:vAlign w:val="bottom"/>
            <w:shd w:val="clear" w:color="auto" w:fill="E6E6E6"/>
          </w:tcPr>
          <w:p>
            <w:pPr>
              <w:spacing w:after="0"/>
              <w:rPr>
                <w:sz w:val="14"/>
                <w:szCs w:val="14"/>
                <w:color w:val="auto"/>
              </w:rPr>
            </w:pPr>
          </w:p>
        </w:tc>
      </w:tr>
      <w:tr>
        <w:trPr>
          <w:trHeight w:val="171"/>
        </w:trPr>
        <w:tc>
          <w:tcPr>
            <w:tcW w:w="1780" w:type="dxa"/>
            <w:vAlign w:val="bottom"/>
            <w:shd w:val="clear" w:color="auto" w:fill="E6E6E6"/>
          </w:tcPr>
          <w:p>
            <w:pPr>
              <w:spacing w:after="0"/>
              <w:rPr>
                <w:sz w:val="14"/>
                <w:szCs w:val="14"/>
                <w:color w:val="auto"/>
              </w:rPr>
            </w:pPr>
          </w:p>
        </w:tc>
        <w:tc>
          <w:tcPr>
            <w:tcW w:w="1300" w:type="dxa"/>
            <w:vAlign w:val="bottom"/>
            <w:shd w:val="clear" w:color="auto" w:fill="E6E6E6"/>
          </w:tcPr>
          <w:p>
            <w:pPr>
              <w:spacing w:after="0"/>
              <w:rPr>
                <w:sz w:val="14"/>
                <w:szCs w:val="14"/>
                <w:color w:val="auto"/>
              </w:rPr>
            </w:pPr>
          </w:p>
        </w:tc>
        <w:tc>
          <w:tcPr>
            <w:tcW w:w="1780" w:type="dxa"/>
            <w:vAlign w:val="bottom"/>
            <w:shd w:val="clear" w:color="auto" w:fill="E6E6E6"/>
          </w:tcPr>
          <w:p>
            <w:pPr>
              <w:spacing w:after="0"/>
              <w:rPr>
                <w:sz w:val="14"/>
                <w:szCs w:val="14"/>
                <w:color w:val="auto"/>
              </w:rPr>
            </w:pPr>
          </w:p>
        </w:tc>
        <w:tc>
          <w:tcPr>
            <w:tcW w:w="292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for 3 days</w:t>
            </w:r>
          </w:p>
        </w:tc>
        <w:tc>
          <w:tcPr>
            <w:tcW w:w="2640" w:type="dxa"/>
            <w:vAlign w:val="bottom"/>
            <w:shd w:val="clear" w:color="auto" w:fill="E6E6E6"/>
          </w:tcPr>
          <w:p>
            <w:pPr>
              <w:spacing w:after="0"/>
              <w:rPr>
                <w:sz w:val="14"/>
                <w:szCs w:val="14"/>
                <w:color w:val="auto"/>
              </w:rPr>
            </w:pPr>
          </w:p>
        </w:tc>
      </w:tr>
      <w:tr>
        <w:trPr>
          <w:trHeight w:val="23"/>
        </w:trPr>
        <w:tc>
          <w:tcPr>
            <w:tcW w:w="1780" w:type="dxa"/>
            <w:vAlign w:val="bottom"/>
            <w:shd w:val="clear" w:color="auto" w:fill="E6E6E6"/>
          </w:tcPr>
          <w:p>
            <w:pPr>
              <w:spacing w:after="0"/>
              <w:rPr>
                <w:sz w:val="2"/>
                <w:szCs w:val="2"/>
                <w:color w:val="auto"/>
              </w:rPr>
            </w:pPr>
          </w:p>
        </w:tc>
        <w:tc>
          <w:tcPr>
            <w:tcW w:w="1300" w:type="dxa"/>
            <w:vAlign w:val="bottom"/>
            <w:shd w:val="clear" w:color="auto" w:fill="E6E6E6"/>
          </w:tcPr>
          <w:p>
            <w:pPr>
              <w:spacing w:after="0"/>
              <w:rPr>
                <w:sz w:val="2"/>
                <w:szCs w:val="2"/>
                <w:color w:val="auto"/>
              </w:rPr>
            </w:pPr>
          </w:p>
        </w:tc>
        <w:tc>
          <w:tcPr>
            <w:tcW w:w="1780" w:type="dxa"/>
            <w:vAlign w:val="bottom"/>
            <w:shd w:val="clear" w:color="auto" w:fill="E6E6E6"/>
          </w:tcPr>
          <w:p>
            <w:pPr>
              <w:spacing w:after="0"/>
              <w:rPr>
                <w:sz w:val="2"/>
                <w:szCs w:val="2"/>
                <w:color w:val="auto"/>
              </w:rPr>
            </w:pPr>
          </w:p>
        </w:tc>
        <w:tc>
          <w:tcPr>
            <w:tcW w:w="2920" w:type="dxa"/>
            <w:vAlign w:val="bottom"/>
            <w:shd w:val="clear" w:color="auto" w:fill="E6E6E6"/>
          </w:tcPr>
          <w:p>
            <w:pPr>
              <w:spacing w:after="0"/>
              <w:rPr>
                <w:sz w:val="2"/>
                <w:szCs w:val="2"/>
                <w:color w:val="auto"/>
              </w:rPr>
            </w:pPr>
          </w:p>
        </w:tc>
        <w:tc>
          <w:tcPr>
            <w:tcW w:w="2640" w:type="dxa"/>
            <w:vAlign w:val="bottom"/>
            <w:shd w:val="clear" w:color="auto" w:fill="E6E6E6"/>
          </w:tcPr>
          <w:p>
            <w:pPr>
              <w:spacing w:after="0"/>
              <w:rPr>
                <w:sz w:val="2"/>
                <w:szCs w:val="2"/>
                <w:color w:val="auto"/>
              </w:rPr>
            </w:pPr>
          </w:p>
        </w:tc>
      </w:tr>
    </w:tbl>
    <w:p>
      <w:pPr>
        <w:sectPr>
          <w:pgSz w:w="11900" w:h="15874" w:orient="portrait"/>
          <w:cols w:equalWidth="0" w:num="1">
            <w:col w:w="10420"/>
          </w:cols>
          <w:pgMar w:left="860" w:top="717" w:right="626" w:bottom="976" w:gutter="0" w:footer="0" w:header="0"/>
        </w:sectPr>
      </w:pPr>
    </w:p>
    <w:bookmarkStart w:id="5" w:name="page6"/>
    <w:bookmarkEnd w:id="5"/>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460" w:type="dxa"/>
            <w:vAlign w:val="bottom"/>
          </w:tcPr>
          <w:p>
            <w:pPr>
              <w:spacing w:after="0"/>
              <w:rPr>
                <w:sz w:val="20"/>
                <w:szCs w:val="20"/>
                <w:color w:val="auto"/>
              </w:rPr>
            </w:pPr>
            <w:r>
              <w:rPr>
                <w:rFonts w:ascii="Times New Roman" w:cs="Times New Roman" w:eastAsia="Times New Roman" w:hAnsi="Times New Roman"/>
                <w:sz w:val="13"/>
                <w:szCs w:val="13"/>
                <w:color w:val="auto"/>
              </w:rPr>
              <w:t>234</w:t>
            </w:r>
          </w:p>
        </w:tc>
        <w:tc>
          <w:tcPr>
            <w:tcW w:w="1460" w:type="dxa"/>
            <w:vAlign w:val="bottom"/>
          </w:tcPr>
          <w:p>
            <w:pPr>
              <w:spacing w:after="0"/>
              <w:rPr>
                <w:sz w:val="13"/>
                <w:szCs w:val="13"/>
                <w:color w:val="auto"/>
              </w:rPr>
            </w:pPr>
          </w:p>
        </w:tc>
        <w:tc>
          <w:tcPr>
            <w:tcW w:w="4820" w:type="dxa"/>
            <w:vAlign w:val="bottom"/>
            <w:gridSpan w:val="2"/>
          </w:tcPr>
          <w:p>
            <w:pPr>
              <w:ind w:left="360"/>
              <w:spacing w:after="0"/>
              <w:rPr>
                <w:sz w:val="20"/>
                <w:szCs w:val="20"/>
                <w:color w:val="auto"/>
              </w:rPr>
            </w:pPr>
            <w:r>
              <w:rPr>
                <w:rFonts w:ascii="Times New Roman" w:cs="Times New Roman" w:eastAsia="Times New Roman" w:hAnsi="Times New Roman"/>
                <w:sz w:val="13"/>
                <w:szCs w:val="13"/>
                <w:i w:val="1"/>
                <w:iCs w:val="1"/>
                <w:color w:val="auto"/>
              </w:rPr>
              <w:t>P. Tetali et al. / Journal of Ethnopharmacology 123 (2009) 229–236</w:t>
            </w:r>
          </w:p>
        </w:tc>
        <w:tc>
          <w:tcPr>
            <w:tcW w:w="2680" w:type="dxa"/>
            <w:vAlign w:val="bottom"/>
          </w:tcPr>
          <w:p>
            <w:pPr>
              <w:spacing w:after="0"/>
              <w:rPr>
                <w:sz w:val="13"/>
                <w:szCs w:val="13"/>
                <w:color w:val="auto"/>
              </w:rPr>
            </w:pPr>
          </w:p>
        </w:tc>
      </w:tr>
      <w:tr>
        <w:trPr>
          <w:trHeight w:val="369"/>
        </w:trPr>
        <w:tc>
          <w:tcPr>
            <w:tcW w:w="1460" w:type="dxa"/>
            <w:vAlign w:val="bottom"/>
          </w:tcPr>
          <w:p>
            <w:pPr>
              <w:spacing w:after="0"/>
              <w:rPr>
                <w:sz w:val="20"/>
                <w:szCs w:val="20"/>
                <w:color w:val="auto"/>
              </w:rPr>
            </w:pPr>
            <w:r>
              <w:rPr>
                <w:rFonts w:ascii="Times New Roman" w:cs="Times New Roman" w:eastAsia="Times New Roman" w:hAnsi="Times New Roman"/>
                <w:sz w:val="13"/>
                <w:szCs w:val="13"/>
                <w:color w:val="auto"/>
              </w:rPr>
              <w:t>Table 2 (</w:t>
            </w:r>
            <w:r>
              <w:rPr>
                <w:rFonts w:ascii="Times New Roman" w:cs="Times New Roman" w:eastAsia="Times New Roman" w:hAnsi="Times New Roman"/>
                <w:sz w:val="13"/>
                <w:szCs w:val="13"/>
                <w:i w:val="1"/>
                <w:iCs w:val="1"/>
                <w:color w:val="auto"/>
              </w:rPr>
              <w:t>Continued</w:t>
            </w:r>
            <w:r>
              <w:rPr>
                <w:rFonts w:ascii="Times New Roman" w:cs="Times New Roman" w:eastAsia="Times New Roman" w:hAnsi="Times New Roman"/>
                <w:sz w:val="13"/>
                <w:szCs w:val="13"/>
                <w:color w:val="auto"/>
              </w:rPr>
              <w:t xml:space="preserve"> )</w:t>
            </w:r>
          </w:p>
        </w:tc>
        <w:tc>
          <w:tcPr>
            <w:tcW w:w="146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3100" w:type="dxa"/>
            <w:vAlign w:val="bottom"/>
          </w:tcPr>
          <w:p>
            <w:pPr>
              <w:spacing w:after="0"/>
              <w:rPr>
                <w:sz w:val="24"/>
                <w:szCs w:val="24"/>
                <w:color w:val="auto"/>
              </w:rPr>
            </w:pPr>
          </w:p>
        </w:tc>
        <w:tc>
          <w:tcPr>
            <w:tcW w:w="2680" w:type="dxa"/>
            <w:vAlign w:val="bottom"/>
          </w:tcPr>
          <w:p>
            <w:pPr>
              <w:spacing w:after="0"/>
              <w:rPr>
                <w:sz w:val="24"/>
                <w:szCs w:val="24"/>
                <w:color w:val="auto"/>
              </w:rPr>
            </w:pPr>
          </w:p>
        </w:tc>
      </w:tr>
      <w:tr>
        <w:trPr>
          <w:trHeight w:val="77"/>
        </w:trPr>
        <w:tc>
          <w:tcPr>
            <w:tcW w:w="1460" w:type="dxa"/>
            <w:vAlign w:val="bottom"/>
            <w:tcBorders>
              <w:bottom w:val="single" w:sz="8" w:color="auto"/>
            </w:tcBorders>
          </w:tcPr>
          <w:p>
            <w:pPr>
              <w:spacing w:after="0"/>
              <w:rPr>
                <w:sz w:val="6"/>
                <w:szCs w:val="6"/>
                <w:color w:val="auto"/>
              </w:rPr>
            </w:pPr>
          </w:p>
        </w:tc>
        <w:tc>
          <w:tcPr>
            <w:tcW w:w="1460" w:type="dxa"/>
            <w:vAlign w:val="bottom"/>
            <w:tcBorders>
              <w:bottom w:val="single" w:sz="8" w:color="auto"/>
            </w:tcBorders>
          </w:tcPr>
          <w:p>
            <w:pPr>
              <w:spacing w:after="0"/>
              <w:rPr>
                <w:sz w:val="6"/>
                <w:szCs w:val="6"/>
                <w:color w:val="auto"/>
              </w:rPr>
            </w:pPr>
          </w:p>
        </w:tc>
        <w:tc>
          <w:tcPr>
            <w:tcW w:w="1720" w:type="dxa"/>
            <w:vAlign w:val="bottom"/>
            <w:tcBorders>
              <w:bottom w:val="single" w:sz="8" w:color="auto"/>
            </w:tcBorders>
          </w:tcPr>
          <w:p>
            <w:pPr>
              <w:spacing w:after="0"/>
              <w:rPr>
                <w:sz w:val="6"/>
                <w:szCs w:val="6"/>
                <w:color w:val="auto"/>
              </w:rPr>
            </w:pPr>
          </w:p>
        </w:tc>
        <w:tc>
          <w:tcPr>
            <w:tcW w:w="3100" w:type="dxa"/>
            <w:vAlign w:val="bottom"/>
            <w:tcBorders>
              <w:bottom w:val="single" w:sz="8" w:color="auto"/>
            </w:tcBorders>
          </w:tcPr>
          <w:p>
            <w:pPr>
              <w:spacing w:after="0"/>
              <w:rPr>
                <w:sz w:val="6"/>
                <w:szCs w:val="6"/>
                <w:color w:val="auto"/>
              </w:rPr>
            </w:pPr>
          </w:p>
        </w:tc>
        <w:tc>
          <w:tcPr>
            <w:tcW w:w="2680" w:type="dxa"/>
            <w:vAlign w:val="bottom"/>
            <w:tcBorders>
              <w:bottom w:val="single" w:sz="8" w:color="auto"/>
            </w:tcBorders>
          </w:tcPr>
          <w:p>
            <w:pPr>
              <w:spacing w:after="0"/>
              <w:rPr>
                <w:sz w:val="6"/>
                <w:szCs w:val="6"/>
                <w:color w:val="auto"/>
              </w:rPr>
            </w:pPr>
          </w:p>
        </w:tc>
      </w:tr>
      <w:tr>
        <w:trPr>
          <w:trHeight w:val="196"/>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color w:val="auto"/>
              </w:rPr>
              <w:t>Plant</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Number of</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Part cited in the</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Antidiarrhoeal recipe/dosage</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Reported antidiarrhoeal/antidysenteric</w:t>
            </w:r>
          </w:p>
        </w:tc>
      </w:tr>
      <w:tr>
        <w:trPr>
          <w:trHeight w:val="221"/>
        </w:trPr>
        <w:tc>
          <w:tcPr>
            <w:tcW w:w="1460" w:type="dxa"/>
            <w:vAlign w:val="bottom"/>
            <w:tcBorders>
              <w:bottom w:val="single" w:sz="8" w:color="auto"/>
            </w:tcBorders>
            <w:shd w:val="clear" w:color="auto" w:fill="E6E6E6"/>
          </w:tcPr>
          <w:p>
            <w:pPr>
              <w:spacing w:after="0"/>
              <w:rPr>
                <w:sz w:val="19"/>
                <w:szCs w:val="19"/>
                <w:color w:val="auto"/>
              </w:rPr>
            </w:pPr>
          </w:p>
        </w:tc>
        <w:tc>
          <w:tcPr>
            <w:tcW w:w="1460" w:type="dxa"/>
            <w:vAlign w:val="bottom"/>
            <w:tcBorders>
              <w:bottom w:val="single" w:sz="8" w:color="auto"/>
            </w:tcBorders>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times quoted</w:t>
            </w:r>
            <w:r>
              <w:rPr>
                <w:rFonts w:ascii="Times New Roman" w:cs="Times New Roman" w:eastAsia="Times New Roman" w:hAnsi="Times New Roman"/>
                <w:sz w:val="17"/>
                <w:szCs w:val="17"/>
                <w:color w:val="000066"/>
                <w:vertAlign w:val="superscript"/>
              </w:rPr>
              <w:t>a</w:t>
            </w:r>
          </w:p>
        </w:tc>
        <w:tc>
          <w:tcPr>
            <w:tcW w:w="1720" w:type="dxa"/>
            <w:vAlign w:val="bottom"/>
            <w:tcBorders>
              <w:bottom w:val="single" w:sz="8" w:color="auto"/>
            </w:tcBorders>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present survey</w:t>
            </w:r>
          </w:p>
        </w:tc>
        <w:tc>
          <w:tcPr>
            <w:tcW w:w="3100" w:type="dxa"/>
            <w:vAlign w:val="bottom"/>
            <w:tcBorders>
              <w:bottom w:val="single" w:sz="8" w:color="auto"/>
            </w:tcBorders>
            <w:shd w:val="clear" w:color="auto" w:fill="E6E6E6"/>
          </w:tcPr>
          <w:p>
            <w:pPr>
              <w:spacing w:after="0"/>
              <w:rPr>
                <w:sz w:val="19"/>
                <w:szCs w:val="19"/>
                <w:color w:val="auto"/>
              </w:rPr>
            </w:pPr>
          </w:p>
        </w:tc>
        <w:tc>
          <w:tcPr>
            <w:tcW w:w="2680" w:type="dxa"/>
            <w:vAlign w:val="bottom"/>
            <w:tcBorders>
              <w:bottom w:val="single" w:sz="8" w:color="auto"/>
            </w:tcBorders>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activity</w:t>
            </w:r>
            <w:r>
              <w:rPr>
                <w:rFonts w:ascii="Times New Roman" w:cs="Times New Roman" w:eastAsia="Times New Roman" w:hAnsi="Times New Roman"/>
                <w:sz w:val="17"/>
                <w:szCs w:val="17"/>
                <w:color w:val="000066"/>
                <w:vertAlign w:val="superscript"/>
              </w:rPr>
              <w:t>b</w:t>
            </w:r>
          </w:p>
        </w:tc>
      </w:tr>
      <w:tr>
        <w:trPr>
          <w:trHeight w:val="196"/>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Tinospora cordifolia</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2</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Stem</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Freshly collected stem is cut into small</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Stem (</w:t>
            </w:r>
            <w:r>
              <w:rPr>
                <w:rFonts w:ascii="Times New Roman" w:cs="Times New Roman" w:eastAsia="Times New Roman" w:hAnsi="Times New Roman"/>
                <w:sz w:val="13"/>
                <w:szCs w:val="13"/>
                <w:color w:val="000066"/>
              </w:rPr>
              <w:t>Kirtikar and Basu, 1993</w:t>
            </w:r>
            <w:r>
              <w:rPr>
                <w:rFonts w:ascii="Times New Roman" w:cs="Times New Roman" w:eastAsia="Times New Roman" w:hAnsi="Times New Roman"/>
                <w:sz w:val="13"/>
                <w:szCs w:val="13"/>
                <w:color w:val="auto"/>
              </w:rPr>
              <w:t>)</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pieces of about 4–6 cm in size. About</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50 g of these pieces and 25 g sugar are</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mixed together and crushed</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thoroughly by adding 75 ml water. The</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material is filtered through a muslin</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cloth. The extract is given orally to</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patients in the morning time on empty</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stomach for a period of 3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Tridax procumbens</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2</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Leaves</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Infusion of leaves is administered</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Leaves (</w:t>
            </w:r>
            <w:r>
              <w:rPr>
                <w:rFonts w:ascii="Times New Roman" w:cs="Times New Roman" w:eastAsia="Times New Roman" w:hAnsi="Times New Roman"/>
                <w:sz w:val="13"/>
                <w:szCs w:val="13"/>
                <w:color w:val="000066"/>
              </w:rPr>
              <w:t>Anonymous, 1985</w:t>
            </w:r>
            <w:r>
              <w:rPr>
                <w:rFonts w:ascii="Times New Roman" w:cs="Times New Roman" w:eastAsia="Times New Roman" w:hAnsi="Times New Roman"/>
                <w:sz w:val="13"/>
                <w:szCs w:val="13"/>
                <w:color w:val="auto"/>
              </w:rPr>
              <w:t>)</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internally thrice a day for 3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Vitex neguno</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Flowers</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One fist full of flowers with or without</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Roots (</w:t>
            </w:r>
            <w:r>
              <w:rPr>
                <w:rFonts w:ascii="Times New Roman" w:cs="Times New Roman" w:eastAsia="Times New Roman" w:hAnsi="Times New Roman"/>
                <w:sz w:val="13"/>
                <w:szCs w:val="13"/>
                <w:color w:val="000066"/>
              </w:rPr>
              <w:t>Warrier et al., 1993–1996</w:t>
            </w:r>
            <w:r>
              <w:rPr>
                <w:rFonts w:ascii="Times New Roman" w:cs="Times New Roman" w:eastAsia="Times New Roman" w:hAnsi="Times New Roman"/>
                <w:sz w:val="13"/>
                <w:szCs w:val="13"/>
                <w:color w:val="auto"/>
              </w:rPr>
              <w:t>)</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peduncle is collected from a healthy</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tree. They are crushed in 20–25 ml</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water. The extract is filtered through a</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muslin cloth. The filtered extract is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orally administered twice–thrice a day</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for 2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Zingiber officinale</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2</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Rhizome</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One tablespoonful of powder is added</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Rhizome (</w:t>
            </w:r>
            <w:r>
              <w:rPr>
                <w:rFonts w:ascii="Times New Roman" w:cs="Times New Roman" w:eastAsia="Times New Roman" w:hAnsi="Times New Roman"/>
                <w:sz w:val="13"/>
                <w:szCs w:val="13"/>
                <w:color w:val="000066"/>
              </w:rPr>
              <w:t>Sharma et al., 2000–2002;</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to 25 ml or a cup of hot water is</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Borrelli et al., 2004</w:t>
            </w:r>
            <w:r>
              <w:rPr>
                <w:rFonts w:ascii="Times New Roman" w:cs="Times New Roman" w:eastAsia="Times New Roman" w:hAnsi="Times New Roman"/>
                <w:sz w:val="13"/>
                <w:szCs w:val="13"/>
                <w:color w:val="000000"/>
              </w:rPr>
              <w:t>)</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administered internally thrice a day for</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3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Ziziphus jujuba</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Mature leaves</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An extract is prepared from 8 to 10</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No reference found</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mature leaves in 15–25 ml water and</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mashed kernels of mango are added to</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it. The drug is administered orally</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thrice a day for 2 days</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Ziziphus xylopyra</w:t>
            </w:r>
          </w:p>
        </w:tc>
        <w:tc>
          <w:tcPr>
            <w:tcW w:w="146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1</w:t>
            </w:r>
          </w:p>
        </w:tc>
        <w:tc>
          <w:tcPr>
            <w:tcW w:w="1720" w:type="dxa"/>
            <w:vAlign w:val="bottom"/>
            <w:shd w:val="clear" w:color="auto" w:fill="E6E6E6"/>
          </w:tcPr>
          <w:p>
            <w:pPr>
              <w:ind w:left="360"/>
              <w:spacing w:after="0"/>
              <w:rPr>
                <w:sz w:val="20"/>
                <w:szCs w:val="20"/>
                <w:color w:val="auto"/>
              </w:rPr>
            </w:pPr>
            <w:r>
              <w:rPr>
                <w:rFonts w:ascii="Times New Roman" w:cs="Times New Roman" w:eastAsia="Times New Roman" w:hAnsi="Times New Roman"/>
                <w:sz w:val="13"/>
                <w:szCs w:val="13"/>
                <w:color w:val="auto"/>
              </w:rPr>
              <w:t>Seeds</w:t>
            </w: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The dried seeds are pounded to make a</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auto"/>
              </w:rPr>
              <w:t>Unspecified part (</w:t>
            </w:r>
            <w:r>
              <w:rPr>
                <w:rFonts w:ascii="Times New Roman" w:cs="Times New Roman" w:eastAsia="Times New Roman" w:hAnsi="Times New Roman"/>
                <w:sz w:val="13"/>
                <w:szCs w:val="13"/>
                <w:color w:val="000066"/>
              </w:rPr>
              <w:t>Dash and Padhy,</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fine powder and kept in air tight</w:t>
            </w:r>
          </w:p>
        </w:tc>
        <w:tc>
          <w:tcPr>
            <w:tcW w:w="2680" w:type="dxa"/>
            <w:vAlign w:val="bottom"/>
            <w:shd w:val="clear" w:color="auto" w:fill="E6E6E6"/>
          </w:tcPr>
          <w:p>
            <w:pPr>
              <w:ind w:left="280"/>
              <w:spacing w:after="0"/>
              <w:rPr>
                <w:sz w:val="20"/>
                <w:szCs w:val="20"/>
                <w:color w:val="auto"/>
              </w:rPr>
            </w:pPr>
            <w:r>
              <w:rPr>
                <w:rFonts w:ascii="Times New Roman" w:cs="Times New Roman" w:eastAsia="Times New Roman" w:hAnsi="Times New Roman"/>
                <w:sz w:val="13"/>
                <w:szCs w:val="13"/>
                <w:color w:val="000066"/>
              </w:rPr>
              <w:t>2006</w:t>
            </w:r>
            <w:r>
              <w:rPr>
                <w:rFonts w:ascii="Times New Roman" w:cs="Times New Roman" w:eastAsia="Times New Roman" w:hAnsi="Times New Roman"/>
                <w:sz w:val="13"/>
                <w:szCs w:val="13"/>
                <w:color w:val="000000"/>
              </w:rPr>
              <w:t>)</w:t>
            </w: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containers. One table spoon full of</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powder is mixed in a cup of (50 ml)</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water or boiled milk or even in tea and</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taken orally in case of diarrhoea. The</w:t>
            </w:r>
          </w:p>
        </w:tc>
        <w:tc>
          <w:tcPr>
            <w:tcW w:w="2680" w:type="dxa"/>
            <w:vAlign w:val="bottom"/>
            <w:shd w:val="clear" w:color="auto" w:fill="E6E6E6"/>
          </w:tcPr>
          <w:p>
            <w:pPr>
              <w:spacing w:after="0"/>
              <w:rPr>
                <w:sz w:val="14"/>
                <w:szCs w:val="14"/>
                <w:color w:val="auto"/>
              </w:rPr>
            </w:pPr>
          </w:p>
        </w:tc>
      </w:tr>
      <w:tr>
        <w:trPr>
          <w:trHeight w:val="171"/>
        </w:trPr>
        <w:tc>
          <w:tcPr>
            <w:tcW w:w="1460" w:type="dxa"/>
            <w:vAlign w:val="bottom"/>
            <w:shd w:val="clear" w:color="auto" w:fill="E6E6E6"/>
          </w:tcPr>
          <w:p>
            <w:pPr>
              <w:spacing w:after="0"/>
              <w:rPr>
                <w:sz w:val="14"/>
                <w:szCs w:val="14"/>
                <w:color w:val="auto"/>
              </w:rPr>
            </w:pPr>
          </w:p>
        </w:tc>
        <w:tc>
          <w:tcPr>
            <w:tcW w:w="1460" w:type="dxa"/>
            <w:vAlign w:val="bottom"/>
            <w:shd w:val="clear" w:color="auto" w:fill="E6E6E6"/>
          </w:tcPr>
          <w:p>
            <w:pPr>
              <w:spacing w:after="0"/>
              <w:rPr>
                <w:sz w:val="14"/>
                <w:szCs w:val="14"/>
                <w:color w:val="auto"/>
              </w:rPr>
            </w:pPr>
          </w:p>
        </w:tc>
        <w:tc>
          <w:tcPr>
            <w:tcW w:w="1720" w:type="dxa"/>
            <w:vAlign w:val="bottom"/>
            <w:shd w:val="clear" w:color="auto" w:fill="E6E6E6"/>
          </w:tcPr>
          <w:p>
            <w:pPr>
              <w:spacing w:after="0"/>
              <w:rPr>
                <w:sz w:val="14"/>
                <w:szCs w:val="14"/>
                <w:color w:val="auto"/>
              </w:rPr>
            </w:pPr>
          </w:p>
        </w:tc>
        <w:tc>
          <w:tcPr>
            <w:tcW w:w="3100" w:type="dxa"/>
            <w:vAlign w:val="bottom"/>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medicine is administered thrice a day,</w:t>
            </w:r>
          </w:p>
        </w:tc>
        <w:tc>
          <w:tcPr>
            <w:tcW w:w="2680" w:type="dxa"/>
            <w:vAlign w:val="bottom"/>
            <w:shd w:val="clear" w:color="auto" w:fill="E6E6E6"/>
          </w:tcPr>
          <w:p>
            <w:pPr>
              <w:spacing w:after="0"/>
              <w:rPr>
                <w:sz w:val="14"/>
                <w:szCs w:val="14"/>
                <w:color w:val="auto"/>
              </w:rPr>
            </w:pPr>
          </w:p>
        </w:tc>
      </w:tr>
      <w:tr>
        <w:trPr>
          <w:trHeight w:val="202"/>
        </w:trPr>
        <w:tc>
          <w:tcPr>
            <w:tcW w:w="1460" w:type="dxa"/>
            <w:vAlign w:val="bottom"/>
            <w:tcBorders>
              <w:bottom w:val="single" w:sz="8" w:color="E6E6E6"/>
            </w:tcBorders>
            <w:shd w:val="clear" w:color="auto" w:fill="E6E6E6"/>
          </w:tcPr>
          <w:p>
            <w:pPr>
              <w:spacing w:after="0"/>
              <w:rPr>
                <w:sz w:val="17"/>
                <w:szCs w:val="17"/>
                <w:color w:val="auto"/>
              </w:rPr>
            </w:pPr>
          </w:p>
        </w:tc>
        <w:tc>
          <w:tcPr>
            <w:tcW w:w="1460" w:type="dxa"/>
            <w:vAlign w:val="bottom"/>
            <w:tcBorders>
              <w:bottom w:val="single" w:sz="8" w:color="E6E6E6"/>
            </w:tcBorders>
            <w:shd w:val="clear" w:color="auto" w:fill="E6E6E6"/>
          </w:tcPr>
          <w:p>
            <w:pPr>
              <w:spacing w:after="0"/>
              <w:rPr>
                <w:sz w:val="17"/>
                <w:szCs w:val="17"/>
                <w:color w:val="auto"/>
              </w:rPr>
            </w:pPr>
          </w:p>
        </w:tc>
        <w:tc>
          <w:tcPr>
            <w:tcW w:w="1720" w:type="dxa"/>
            <w:vAlign w:val="bottom"/>
            <w:tcBorders>
              <w:bottom w:val="single" w:sz="8" w:color="E6E6E6"/>
            </w:tcBorders>
            <w:shd w:val="clear" w:color="auto" w:fill="E6E6E6"/>
          </w:tcPr>
          <w:p>
            <w:pPr>
              <w:spacing w:after="0"/>
              <w:rPr>
                <w:sz w:val="17"/>
                <w:szCs w:val="17"/>
                <w:color w:val="auto"/>
              </w:rPr>
            </w:pPr>
          </w:p>
        </w:tc>
        <w:tc>
          <w:tcPr>
            <w:tcW w:w="3100" w:type="dxa"/>
            <w:vAlign w:val="bottom"/>
            <w:tcBorders>
              <w:bottom w:val="single" w:sz="8" w:color="E6E6E6"/>
            </w:tcBorders>
            <w:shd w:val="clear" w:color="auto" w:fill="E6E6E6"/>
          </w:tcPr>
          <w:p>
            <w:pPr>
              <w:ind w:left="420"/>
              <w:spacing w:after="0"/>
              <w:rPr>
                <w:sz w:val="20"/>
                <w:szCs w:val="20"/>
                <w:color w:val="auto"/>
              </w:rPr>
            </w:pPr>
            <w:r>
              <w:rPr>
                <w:rFonts w:ascii="Times New Roman" w:cs="Times New Roman" w:eastAsia="Times New Roman" w:hAnsi="Times New Roman"/>
                <w:sz w:val="13"/>
                <w:szCs w:val="13"/>
                <w:color w:val="auto"/>
              </w:rPr>
              <w:t>for 2 days</w:t>
            </w:r>
          </w:p>
        </w:tc>
        <w:tc>
          <w:tcPr>
            <w:tcW w:w="2680" w:type="dxa"/>
            <w:vAlign w:val="bottom"/>
            <w:tcBorders>
              <w:bottom w:val="single" w:sz="8" w:color="E6E6E6"/>
            </w:tcBorders>
            <w:shd w:val="clear" w:color="auto" w:fill="E6E6E6"/>
          </w:tcPr>
          <w:p>
            <w:pPr>
              <w:spacing w:after="0"/>
              <w:rPr>
                <w:sz w:val="17"/>
                <w:szCs w:val="17"/>
                <w:color w:val="auto"/>
              </w:rPr>
            </w:pPr>
          </w:p>
        </w:tc>
      </w:tr>
      <w:tr>
        <w:trPr>
          <w:trHeight w:val="20"/>
        </w:trPr>
        <w:tc>
          <w:tcPr>
            <w:tcW w:w="1460" w:type="dxa"/>
            <w:vAlign w:val="bottom"/>
            <w:shd w:val="clear" w:color="auto" w:fill="000000"/>
          </w:tcPr>
          <w:p>
            <w:pPr>
              <w:spacing w:after="0" w:line="20" w:lineRule="exact"/>
              <w:rPr>
                <w:sz w:val="1"/>
                <w:szCs w:val="1"/>
                <w:color w:val="auto"/>
              </w:rPr>
            </w:pPr>
          </w:p>
        </w:tc>
        <w:tc>
          <w:tcPr>
            <w:tcW w:w="1460" w:type="dxa"/>
            <w:vAlign w:val="bottom"/>
            <w:shd w:val="clear" w:color="auto" w:fill="000000"/>
          </w:tcPr>
          <w:p>
            <w:pPr>
              <w:spacing w:after="0" w:line="20" w:lineRule="exact"/>
              <w:rPr>
                <w:sz w:val="1"/>
                <w:szCs w:val="1"/>
                <w:color w:val="auto"/>
              </w:rPr>
            </w:pPr>
          </w:p>
        </w:tc>
        <w:tc>
          <w:tcPr>
            <w:tcW w:w="1720" w:type="dxa"/>
            <w:vAlign w:val="bottom"/>
            <w:shd w:val="clear" w:color="auto" w:fill="000000"/>
          </w:tcPr>
          <w:p>
            <w:pPr>
              <w:spacing w:after="0" w:line="20" w:lineRule="exact"/>
              <w:rPr>
                <w:sz w:val="1"/>
                <w:szCs w:val="1"/>
                <w:color w:val="auto"/>
              </w:rPr>
            </w:pPr>
          </w:p>
        </w:tc>
        <w:tc>
          <w:tcPr>
            <w:tcW w:w="3100" w:type="dxa"/>
            <w:vAlign w:val="bottom"/>
            <w:shd w:val="clear" w:color="auto" w:fill="000000"/>
          </w:tcPr>
          <w:p>
            <w:pPr>
              <w:spacing w:after="0" w:line="20" w:lineRule="exact"/>
              <w:rPr>
                <w:sz w:val="1"/>
                <w:szCs w:val="1"/>
                <w:color w:val="auto"/>
              </w:rPr>
            </w:pPr>
          </w:p>
        </w:tc>
        <w:tc>
          <w:tcPr>
            <w:tcW w:w="2680" w:type="dxa"/>
            <w:vAlign w:val="bottom"/>
            <w:shd w:val="clear" w:color="auto" w:fill="000000"/>
          </w:tcPr>
          <w:p>
            <w:pPr>
              <w:spacing w:after="0" w:line="20" w:lineRule="exact"/>
              <w:rPr>
                <w:sz w:val="1"/>
                <w:szCs w:val="1"/>
                <w:color w:val="auto"/>
              </w:rPr>
            </w:pPr>
          </w:p>
        </w:tc>
      </w:tr>
    </w:tbl>
    <w:p>
      <w:pPr>
        <w:spacing w:after="0" w:line="50" w:lineRule="exact"/>
        <w:rPr>
          <w:sz w:val="20"/>
          <w:szCs w:val="20"/>
          <w:color w:val="auto"/>
        </w:rPr>
      </w:pPr>
    </w:p>
    <w:p>
      <w:pPr>
        <w:ind w:left="120" w:right="4080"/>
        <w:spacing w:after="0" w:line="263" w:lineRule="auto"/>
        <w:tabs>
          <w:tab w:leader="none" w:pos="244" w:val="left"/>
        </w:tabs>
        <w:numPr>
          <w:ilvl w:val="0"/>
          <w:numId w:val="5"/>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 xml:space="preserve">Obtained from 24 respondents (out of 115 interviewed) that cited plants with antidiarrhoeal activity. </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 xml:space="preserve"> Selected references only.</w:t>
      </w:r>
    </w:p>
    <w:p>
      <w:pPr>
        <w:spacing w:after="0" w:line="1" w:lineRule="exact"/>
        <w:rPr>
          <w:rFonts w:ascii="Times New Roman" w:cs="Times New Roman" w:eastAsia="Times New Roman" w:hAnsi="Times New Roman"/>
          <w:sz w:val="18"/>
          <w:szCs w:val="18"/>
          <w:color w:val="auto"/>
          <w:vertAlign w:val="superscript"/>
        </w:rPr>
      </w:pPr>
    </w:p>
    <w:p>
      <w:pPr>
        <w:ind w:left="120"/>
        <w:spacing w:after="0" w:line="228" w:lineRule="auto"/>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7"/>
          <w:szCs w:val="17"/>
          <w:color w:val="auto"/>
          <w:vertAlign w:val="superscript"/>
        </w:rPr>
        <w:t>c</w:t>
      </w:r>
      <w:r>
        <w:rPr>
          <w:rFonts w:ascii="Times New Roman" w:cs="Times New Roman" w:eastAsia="Times New Roman" w:hAnsi="Times New Roman"/>
          <w:sz w:val="13"/>
          <w:szCs w:val="13"/>
          <w:color w:val="auto"/>
        </w:rPr>
        <w:t xml:space="preserve">  Reference from ethnobotanical/ethnopharmacological study.</w:t>
      </w:r>
    </w:p>
    <w:p>
      <w:pPr>
        <w:sectPr>
          <w:pgSz w:w="11900" w:h="15874" w:orient="portrait"/>
          <w:cols w:equalWidth="0" w:num="1">
            <w:col w:w="10420"/>
          </w:cols>
          <w:pgMar w:left="640" w:top="717" w:right="846" w:bottom="429" w:gutter="0" w:footer="0" w:header="0"/>
        </w:sectPr>
      </w:pPr>
    </w:p>
    <w:p>
      <w:pPr>
        <w:spacing w:after="0" w:line="200" w:lineRule="exact"/>
        <w:rPr>
          <w:sz w:val="20"/>
          <w:szCs w:val="20"/>
          <w:color w:val="auto"/>
        </w:rPr>
      </w:pPr>
    </w:p>
    <w:p>
      <w:pPr>
        <w:spacing w:after="0" w:line="326" w:lineRule="exact"/>
        <w:rPr>
          <w:sz w:val="20"/>
          <w:szCs w:val="20"/>
          <w:color w:val="auto"/>
        </w:rPr>
      </w:pPr>
    </w:p>
    <w:p>
      <w:pPr>
        <w:jc w:val="both"/>
        <w:ind w:firstLine="239"/>
        <w:spacing w:after="0" w:line="273" w:lineRule="auto"/>
        <w:rPr>
          <w:sz w:val="20"/>
          <w:szCs w:val="20"/>
          <w:color w:val="auto"/>
        </w:rPr>
      </w:pPr>
      <w:r>
        <w:rPr>
          <w:rFonts w:ascii="Times New Roman" w:cs="Times New Roman" w:eastAsia="Times New Roman" w:hAnsi="Times New Roman"/>
          <w:sz w:val="16"/>
          <w:szCs w:val="16"/>
          <w:color w:val="auto"/>
        </w:rPr>
        <w:t>Maharashtra is the third largest state of India with diverse geo-graphical and climatic conditions resulting in a heterogeneous floral composition. Pune, one of the fastest growing cities of India, is amongst the floristically affluent districts of this state. Parinche valley, just 53 km away from Pune city, is rich in floristic as well as ethnic diversity. Despite its closeness to the city, large segments of the area are inaccessible and modern health care facilities do not reach a majority of the population. Thus the community mainly relies on traditional health care practitioners and other types of healers. Poverty, modern civilization, resettlements, deforestation, industrialization and urbanization are some of the factors affecting the traditional knowledge base in Parinche valley. These parame-ters coupled with the fact that no comprehensive ethnobotanical data is available for Parinche, the present study was seen as a unique opportunity to explore the floristics of this valley. This paper focuses on documenting the ethnobotanical aspects of antidiar-rhoeal plants. This was important since the diarrhoeal morbidity in the area was also high ranging from 152 to 248 diarrhoeal cases per 1000 population during the period 2003–2006 (data not shown) and a study of the potability of the water from various sources revealed a high incidence of coliform contamination (</w:t>
      </w:r>
      <w:r>
        <w:rPr>
          <w:rFonts w:ascii="Times New Roman" w:cs="Times New Roman" w:eastAsia="Times New Roman" w:hAnsi="Times New Roman"/>
          <w:sz w:val="16"/>
          <w:szCs w:val="16"/>
          <w:color w:val="000066"/>
        </w:rPr>
        <w:t>Tambe et 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0066"/>
        </w:rPr>
        <w:t>2008</w:t>
      </w:r>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 xml:space="preserve">The study revealed rich ethnobotanical information and recorded 182 plants used by tribes and natives for different ail-ments; 28 flowering plants were documented for use in diarrhoea. Amongst these, the antidiarrhoeal activity of five plants has not been previously reported. Interestingly, one of these plants viz., </w:t>
      </w:r>
      <w:r>
        <w:rPr>
          <w:rFonts w:ascii="Times New Roman" w:cs="Times New Roman" w:eastAsia="Times New Roman" w:hAnsi="Times New Roman"/>
          <w:sz w:val="16"/>
          <w:szCs w:val="16"/>
          <w:i w:val="1"/>
          <w:iCs w:val="1"/>
          <w:color w:val="auto"/>
        </w:rPr>
        <w:t xml:space="preserve">Ziziphus jujuba </w:t>
      </w:r>
      <w:r>
        <w:rPr>
          <w:rFonts w:ascii="Times New Roman" w:cs="Times New Roman" w:eastAsia="Times New Roman" w:hAnsi="Times New Roman"/>
          <w:sz w:val="16"/>
          <w:szCs w:val="16"/>
          <w:color w:val="auto"/>
        </w:rPr>
        <w:t>has been recently reported to be an effective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6"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safe treatment for chronic constipation in a controlled clinical trial (</w:t>
      </w:r>
      <w:r>
        <w:rPr>
          <w:rFonts w:ascii="Times New Roman" w:cs="Times New Roman" w:eastAsia="Times New Roman" w:hAnsi="Times New Roman"/>
          <w:sz w:val="16"/>
          <w:szCs w:val="16"/>
          <w:color w:val="000066"/>
        </w:rPr>
        <w:t>Naftali et al., 2009</w:t>
      </w:r>
      <w:r>
        <w:rPr>
          <w:rFonts w:ascii="Times New Roman" w:cs="Times New Roman" w:eastAsia="Times New Roman" w:hAnsi="Times New Roman"/>
          <w:sz w:val="16"/>
          <w:szCs w:val="16"/>
          <w:color w:val="auto"/>
        </w:rPr>
        <w:t xml:space="preserve">). Thus the fruit extract of </w:t>
      </w:r>
      <w:r>
        <w:rPr>
          <w:rFonts w:ascii="Times New Roman" w:cs="Times New Roman" w:eastAsia="Times New Roman" w:hAnsi="Times New Roman"/>
          <w:sz w:val="16"/>
          <w:szCs w:val="16"/>
          <w:i w:val="1"/>
          <w:iCs w:val="1"/>
          <w:color w:val="auto"/>
        </w:rPr>
        <w:t>Ziziphus jujuba</w:t>
      </w:r>
      <w:r>
        <w:rPr>
          <w:rFonts w:ascii="Times New Roman" w:cs="Times New Roman" w:eastAsia="Times New Roman" w:hAnsi="Times New Roman"/>
          <w:sz w:val="16"/>
          <w:szCs w:val="16"/>
          <w:color w:val="auto"/>
        </w:rPr>
        <w:t>, as tested in this trial, is a remedy for constipation and the leaf extract of this plant when mixed with mango kernels, as stated during this survey (</w:t>
      </w:r>
      <w:r>
        <w:rPr>
          <w:rFonts w:ascii="Times New Roman" w:cs="Times New Roman" w:eastAsia="Times New Roman" w:hAnsi="Times New Roman"/>
          <w:sz w:val="16"/>
          <w:szCs w:val="16"/>
          <w:color w:val="000066"/>
        </w:rPr>
        <w:t>Table 2</w:t>
      </w:r>
      <w:r>
        <w:rPr>
          <w:rFonts w:ascii="Times New Roman" w:cs="Times New Roman" w:eastAsia="Times New Roman" w:hAnsi="Times New Roman"/>
          <w:sz w:val="16"/>
          <w:szCs w:val="16"/>
          <w:color w:val="auto"/>
        </w:rPr>
        <w:t>), renders this plant an antidiarrhoeal.</w:t>
      </w:r>
    </w:p>
    <w:p>
      <w:pPr>
        <w:spacing w:after="0" w:line="3"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 xml:space="preserve">Nine of the 28 plants viz., </w:t>
      </w:r>
      <w:r>
        <w:rPr>
          <w:rFonts w:ascii="Times New Roman" w:cs="Times New Roman" w:eastAsia="Times New Roman" w:hAnsi="Times New Roman"/>
          <w:sz w:val="16"/>
          <w:szCs w:val="16"/>
          <w:i w:val="1"/>
          <w:iCs w:val="1"/>
          <w:color w:val="auto"/>
        </w:rPr>
        <w:t>Aegle marmelos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Bombax ceiba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Cassia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fistula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Cocculus hirsutus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Cyperus rotundus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Dalbergia sissoo</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Psid-ium guajava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Tinospora cordifolia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Ziziphus xylopyra </w:t>
      </w:r>
      <w:r>
        <w:rPr>
          <w:rFonts w:ascii="Times New Roman" w:cs="Times New Roman" w:eastAsia="Times New Roman" w:hAnsi="Times New Roman"/>
          <w:sz w:val="16"/>
          <w:szCs w:val="16"/>
          <w:color w:val="auto"/>
        </w:rPr>
        <w:t>found by us</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were also recorded to be used for diarrhoea in an ethnobotanical survey amongst the tribes inhabiting certain forest areas of Uttar Pradesh in Northern India (</w:t>
      </w:r>
      <w:r>
        <w:rPr>
          <w:rFonts w:ascii="Times New Roman" w:cs="Times New Roman" w:eastAsia="Times New Roman" w:hAnsi="Times New Roman"/>
          <w:sz w:val="16"/>
          <w:szCs w:val="16"/>
          <w:color w:val="000066"/>
        </w:rPr>
        <w:t>Singh, 2000</w:t>
      </w:r>
      <w:r>
        <w:rPr>
          <w:rFonts w:ascii="Times New Roman" w:cs="Times New Roman" w:eastAsia="Times New Roman" w:hAnsi="Times New Roman"/>
          <w:sz w:val="16"/>
          <w:szCs w:val="16"/>
          <w:color w:val="auto"/>
        </w:rPr>
        <w:t xml:space="preserve">). Similarly, use of </w:t>
      </w:r>
      <w:r>
        <w:rPr>
          <w:rFonts w:ascii="Times New Roman" w:cs="Times New Roman" w:eastAsia="Times New Roman" w:hAnsi="Times New Roman"/>
          <w:sz w:val="16"/>
          <w:szCs w:val="16"/>
          <w:i w:val="1"/>
          <w:iCs w:val="1"/>
          <w:color w:val="auto"/>
        </w:rPr>
        <w:t>Cocculus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hirsutus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Eclipta prostrata </w:t>
      </w:r>
      <w:r>
        <w:rPr>
          <w:rFonts w:ascii="Times New Roman" w:cs="Times New Roman" w:eastAsia="Times New Roman" w:hAnsi="Times New Roman"/>
          <w:sz w:val="16"/>
          <w:szCs w:val="16"/>
          <w:color w:val="auto"/>
        </w:rPr>
        <w:t>by the rural population of Bhadrak dis-trict, Orissa, India (</w:t>
      </w:r>
      <w:r>
        <w:rPr>
          <w:rFonts w:ascii="Times New Roman" w:cs="Times New Roman" w:eastAsia="Times New Roman" w:hAnsi="Times New Roman"/>
          <w:sz w:val="16"/>
          <w:szCs w:val="16"/>
          <w:color w:val="000066"/>
        </w:rPr>
        <w:t>Girach et al., 1996</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Cocculus hirsutus</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6"/>
          <w:szCs w:val="16"/>
          <w:i w:val="1"/>
          <w:iCs w:val="1"/>
          <w:color w:val="auto"/>
        </w:rPr>
        <w:t>Lantana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camera </w:t>
      </w:r>
      <w:r>
        <w:rPr>
          <w:rFonts w:ascii="Times New Roman" w:cs="Times New Roman" w:eastAsia="Times New Roman" w:hAnsi="Times New Roman"/>
          <w:sz w:val="16"/>
          <w:szCs w:val="16"/>
          <w:color w:val="auto"/>
        </w:rPr>
        <w:t>in Southern Western Ghats of India (</w:t>
      </w:r>
      <w:r>
        <w:rPr>
          <w:rFonts w:ascii="Times New Roman" w:cs="Times New Roman" w:eastAsia="Times New Roman" w:hAnsi="Times New Roman"/>
          <w:sz w:val="16"/>
          <w:szCs w:val="16"/>
          <w:color w:val="000066"/>
        </w:rPr>
        <w:t>Henry and Ravikumar,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000066"/>
        </w:rPr>
        <w:t>1996</w:t>
      </w:r>
      <w:r>
        <w:rPr>
          <w:rFonts w:ascii="Times New Roman" w:cs="Times New Roman" w:eastAsia="Times New Roman" w:hAnsi="Times New Roman"/>
          <w:sz w:val="16"/>
          <w:szCs w:val="16"/>
          <w:color w:val="000000"/>
        </w:rPr>
        <w:t>) and</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i w:val="1"/>
          <w:iCs w:val="1"/>
          <w:color w:val="000000"/>
        </w:rPr>
        <w:t>Tridax procumbens</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from Rayalaseema region of Southern</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Eastern Ghats in Andhra Pradesh, India (</w:t>
      </w:r>
      <w:r>
        <w:rPr>
          <w:rFonts w:ascii="Times New Roman" w:cs="Times New Roman" w:eastAsia="Times New Roman" w:hAnsi="Times New Roman"/>
          <w:sz w:val="16"/>
          <w:szCs w:val="16"/>
          <w:color w:val="000066"/>
        </w:rPr>
        <w:t>Rao et al., 2006</w:t>
      </w:r>
      <w:r>
        <w:rPr>
          <w:rFonts w:ascii="Times New Roman" w:cs="Times New Roman" w:eastAsia="Times New Roman" w:hAnsi="Times New Roman"/>
          <w:sz w:val="16"/>
          <w:szCs w:val="16"/>
          <w:color w:val="000000"/>
        </w:rPr>
        <w:t>) are exam-ples of common findings. On the other hand, none of the 28 plants revealed in the present survey were similar to the 29 reported for stomach disorders in a recent study amongst the tribes of western Himalayan, India (</w:t>
      </w:r>
      <w:r>
        <w:rPr>
          <w:rFonts w:ascii="Times New Roman" w:cs="Times New Roman" w:eastAsia="Times New Roman" w:hAnsi="Times New Roman"/>
          <w:sz w:val="16"/>
          <w:szCs w:val="16"/>
          <w:color w:val="000066"/>
        </w:rPr>
        <w:t>Singh and Lal, 2008</w:t>
      </w:r>
      <w:r>
        <w:rPr>
          <w:rFonts w:ascii="Times New Roman" w:cs="Times New Roman" w:eastAsia="Times New Roman" w:hAnsi="Times New Roman"/>
          <w:sz w:val="16"/>
          <w:szCs w:val="16"/>
          <w:color w:val="000000"/>
        </w:rPr>
        <w:t>).</w:t>
      </w:r>
    </w:p>
    <w:p>
      <w:pPr>
        <w:spacing w:after="0" w:line="198" w:lineRule="exact"/>
        <w:rPr>
          <w:sz w:val="20"/>
          <w:szCs w:val="20"/>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We recorded leaves of 13 species used in formulations for antidiarrhoeal drugs (</w:t>
      </w:r>
      <w:r>
        <w:rPr>
          <w:rFonts w:ascii="Times New Roman" w:cs="Times New Roman" w:eastAsia="Times New Roman" w:hAnsi="Times New Roman"/>
          <w:sz w:val="16"/>
          <w:szCs w:val="16"/>
          <w:color w:val="000066"/>
        </w:rPr>
        <w:t>Table 2</w:t>
      </w:r>
      <w:r>
        <w:rPr>
          <w:rFonts w:ascii="Times New Roman" w:cs="Times New Roman" w:eastAsia="Times New Roman" w:hAnsi="Times New Roman"/>
          <w:sz w:val="16"/>
          <w:szCs w:val="16"/>
          <w:color w:val="auto"/>
        </w:rPr>
        <w:t xml:space="preserve">). This indicates that local commu-nities and practitioners follow prudence in selecting the type of plant species as well as harvesting methods; the harvesting proce-dures being largely non-destructive in nature. A similar observation was also made in another survey carried out by </w:t>
      </w:r>
      <w:r>
        <w:rPr>
          <w:rFonts w:ascii="Times New Roman" w:cs="Times New Roman" w:eastAsia="Times New Roman" w:hAnsi="Times New Roman"/>
          <w:sz w:val="16"/>
          <w:szCs w:val="16"/>
          <w:color w:val="000066"/>
        </w:rPr>
        <w:t>Ayyanar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000066"/>
        </w:rPr>
        <w:t xml:space="preserve">Ignacimuthu (2005) </w:t>
      </w:r>
      <w:r>
        <w:rPr>
          <w:rFonts w:ascii="Times New Roman" w:cs="Times New Roman" w:eastAsia="Times New Roman" w:hAnsi="Times New Roman"/>
          <w:sz w:val="16"/>
          <w:szCs w:val="16"/>
          <w:color w:val="000000"/>
        </w:rPr>
        <w:t>in a tribal community in Tamil Nadu, India</w:t>
      </w:r>
      <w:r>
        <w:rPr>
          <w:rFonts w:ascii="Times New Roman" w:cs="Times New Roman" w:eastAsia="Times New Roman" w:hAnsi="Times New Roman"/>
          <w:sz w:val="16"/>
          <w:szCs w:val="16"/>
          <w:color w:val="000066"/>
        </w:rPr>
        <w:t xml:space="preserve"> </w:t>
      </w:r>
      <w:r>
        <w:rPr>
          <w:rFonts w:ascii="Times New Roman" w:cs="Times New Roman" w:eastAsia="Times New Roman" w:hAnsi="Times New Roman"/>
          <w:sz w:val="16"/>
          <w:szCs w:val="16"/>
          <w:color w:val="000000"/>
        </w:rPr>
        <w:t xml:space="preserve">and also in the study by </w:t>
      </w:r>
      <w:r>
        <w:rPr>
          <w:rFonts w:ascii="Times New Roman" w:cs="Times New Roman" w:eastAsia="Times New Roman" w:hAnsi="Times New Roman"/>
          <w:sz w:val="16"/>
          <w:szCs w:val="16"/>
          <w:color w:val="000066"/>
        </w:rPr>
        <w:t>Singh and Lal (2008)</w:t>
      </w:r>
      <w:r>
        <w:rPr>
          <w:rFonts w:ascii="Times New Roman" w:cs="Times New Roman" w:eastAsia="Times New Roman" w:hAnsi="Times New Roman"/>
          <w:sz w:val="16"/>
          <w:szCs w:val="16"/>
          <w:color w:val="000000"/>
        </w:rPr>
        <w:t>. The latter study also</w:t>
      </w:r>
    </w:p>
    <w:p>
      <w:pPr>
        <w:sectPr>
          <w:pgSz w:w="11900" w:h="15874" w:orient="portrait"/>
          <w:cols w:equalWidth="0" w:num="2">
            <w:col w:w="5040" w:space="340"/>
            <w:col w:w="5040"/>
          </w:cols>
          <w:pgMar w:left="640" w:top="717" w:right="846" w:bottom="429" w:gutter="0" w:footer="0" w:header="0"/>
          <w:type w:val="continuous"/>
        </w:sectPr>
      </w:pPr>
    </w:p>
    <w:bookmarkStart w:id="6" w:name="page7"/>
    <w:bookmarkEnd w:id="6"/>
    <w:tbl>
      <w:tblPr>
        <w:tblLayout w:type="fixed"/>
        <w:tblInd w:w="3280" w:type="dxa"/>
        <w:tblCellMar>
          <w:top w:w="0" w:type="dxa"/>
          <w:left w:w="0" w:type="dxa"/>
          <w:bottom w:w="0" w:type="dxa"/>
          <w:right w:w="0" w:type="dxa"/>
        </w:tblCellMar>
      </w:tblPr>
      <w:tr>
        <w:trPr>
          <w:trHeight w:val="156"/>
        </w:trPr>
        <w:tc>
          <w:tcPr>
            <w:tcW w:w="538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rPr>
              <w:t>P. Tetali et al. / Journal of Ethnopharmacology 123 (2009) 229–236</w:t>
            </w:r>
          </w:p>
        </w:tc>
        <w:tc>
          <w:tcPr>
            <w:tcW w:w="1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235</w:t>
            </w:r>
          </w:p>
        </w:tc>
      </w:tr>
    </w:tbl>
    <w:p>
      <w:pPr>
        <w:spacing w:after="0" w:line="200" w:lineRule="exact"/>
        <w:rPr>
          <w:sz w:val="20"/>
          <w:szCs w:val="20"/>
          <w:color w:val="auto"/>
        </w:rPr>
      </w:pPr>
    </w:p>
    <w:p>
      <w:pPr>
        <w:sectPr>
          <w:pgSz w:w="11900" w:h="15874" w:orient="portrait"/>
          <w:cols w:equalWidth="0" w:num="1">
            <w:col w:w="10420"/>
          </w:cols>
          <w:pgMar w:left="860" w:top="717" w:right="626" w:bottom="414" w:gutter="0" w:footer="0" w:header="0"/>
        </w:sectPr>
      </w:pP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b w:val="1"/>
          <w:bCs w:val="1"/>
          <w:color w:val="auto"/>
        </w:rPr>
        <w:t>Table 3</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Additional information obtained during the interviews.</w:t>
      </w:r>
    </w:p>
    <w:p>
      <w:pPr>
        <w:spacing w:after="0" w:line="64" w:lineRule="exact"/>
        <w:rPr>
          <w:sz w:val="20"/>
          <w:szCs w:val="20"/>
          <w:color w:val="auto"/>
        </w:rPr>
      </w:pPr>
    </w:p>
    <w:tbl>
      <w:tblPr>
        <w:tblLayout w:type="fixed"/>
        <w:tblInd w:w="0" w:type="dxa"/>
        <w:tblCellMar>
          <w:top w:w="0" w:type="dxa"/>
          <w:left w:w="0" w:type="dxa"/>
          <w:bottom w:w="0" w:type="dxa"/>
          <w:right w:w="0" w:type="dxa"/>
        </w:tblCellMar>
      </w:tblPr>
      <w:tr>
        <w:trPr>
          <w:trHeight w:val="270"/>
        </w:trPr>
        <w:tc>
          <w:tcPr>
            <w:tcW w:w="1540" w:type="dxa"/>
            <w:vAlign w:val="bottom"/>
            <w:tcBorders>
              <w:top w:val="single" w:sz="8" w:color="auto"/>
              <w:bottom w:val="single" w:sz="8" w:color="E6E6E6"/>
            </w:tcBorders>
            <w:shd w:val="clear" w:color="auto" w:fill="E6E6E6"/>
          </w:tcPr>
          <w:p>
            <w:pPr>
              <w:spacing w:after="0"/>
              <w:rPr>
                <w:sz w:val="20"/>
                <w:szCs w:val="20"/>
                <w:color w:val="auto"/>
              </w:rPr>
            </w:pPr>
            <w:r>
              <w:rPr>
                <w:rFonts w:ascii="Times New Roman" w:cs="Times New Roman" w:eastAsia="Times New Roman" w:hAnsi="Times New Roman"/>
                <w:sz w:val="13"/>
                <w:szCs w:val="13"/>
                <w:color w:val="auto"/>
              </w:rPr>
              <w:t>Plant</w:t>
            </w:r>
          </w:p>
        </w:tc>
        <w:tc>
          <w:tcPr>
            <w:tcW w:w="3480" w:type="dxa"/>
            <w:vAlign w:val="bottom"/>
            <w:tcBorders>
              <w:top w:val="single" w:sz="8" w:color="auto"/>
              <w:bottom w:val="single" w:sz="8" w:color="E6E6E6"/>
            </w:tcBorders>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Additional remarks</w:t>
            </w:r>
          </w:p>
        </w:tc>
      </w:tr>
      <w:tr>
        <w:trPr>
          <w:trHeight w:val="196"/>
        </w:trPr>
        <w:tc>
          <w:tcPr>
            <w:tcW w:w="1540" w:type="dxa"/>
            <w:vAlign w:val="bottom"/>
            <w:tcBorders>
              <w:top w:val="single" w:sz="8" w:color="auto"/>
            </w:tcBorders>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Aegle marmelos</w:t>
            </w:r>
          </w:p>
        </w:tc>
        <w:tc>
          <w:tcPr>
            <w:tcW w:w="3480" w:type="dxa"/>
            <w:vAlign w:val="bottom"/>
            <w:tcBorders>
              <w:top w:val="single" w:sz="8" w:color="auto"/>
            </w:tcBorders>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The harvesting stage of the fruit is important, as the</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pulp of ripe fruit is a laxative.</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Caesalpinia sepiaria</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The seeds collected from the dried fruits should be</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pounded using mortar and pestle. Machines especially</w:t>
            </w:r>
          </w:p>
        </w:tc>
      </w:tr>
      <w:tr>
        <w:trPr>
          <w:trHeight w:val="186"/>
        </w:trPr>
        <w:tc>
          <w:tcPr>
            <w:tcW w:w="1540" w:type="dxa"/>
            <w:vAlign w:val="bottom"/>
            <w:shd w:val="clear" w:color="auto" w:fill="E6E6E6"/>
          </w:tcPr>
          <w:p>
            <w:pPr>
              <w:spacing w:after="0"/>
              <w:rPr>
                <w:sz w:val="16"/>
                <w:szCs w:val="16"/>
                <w:color w:val="auto"/>
              </w:rPr>
            </w:pPr>
          </w:p>
        </w:tc>
        <w:tc>
          <w:tcPr>
            <w:tcW w:w="3480" w:type="dxa"/>
            <w:vAlign w:val="bottom"/>
            <w:shd w:val="clear" w:color="auto" w:fill="E6E6E6"/>
          </w:tcPr>
          <w:p>
            <w:pPr>
              <w:ind w:left="140"/>
              <w:spacing w:after="0" w:line="186" w:lineRule="exact"/>
              <w:rPr>
                <w:sz w:val="20"/>
                <w:szCs w:val="20"/>
                <w:color w:val="auto"/>
              </w:rPr>
            </w:pPr>
            <w:r>
              <w:rPr>
                <w:rFonts w:ascii="Times New Roman" w:cs="Times New Roman" w:eastAsia="Times New Roman" w:hAnsi="Times New Roman"/>
                <w:sz w:val="13"/>
                <w:szCs w:val="13"/>
                <w:color w:val="auto"/>
              </w:rPr>
              <w:t>mixer should not be used for grinding</w:t>
            </w:r>
            <w:r>
              <w:rPr>
                <w:rFonts w:ascii="Times New Roman" w:cs="Times New Roman" w:eastAsia="Times New Roman" w:hAnsi="Times New Roman"/>
                <w:sz w:val="17"/>
                <w:szCs w:val="17"/>
                <w:color w:val="000066"/>
                <w:vertAlign w:val="superscript"/>
              </w:rPr>
              <w:t>a</w:t>
            </w:r>
            <w:r>
              <w:rPr>
                <w:rFonts w:ascii="Times New Roman" w:cs="Times New Roman" w:eastAsia="Times New Roman" w:hAnsi="Times New Roman"/>
                <w:sz w:val="13"/>
                <w:szCs w:val="13"/>
                <w:color w:val="auto"/>
              </w:rPr>
              <w:t xml:space="preserve"> .</w:t>
            </w:r>
          </w:p>
        </w:tc>
      </w:tr>
      <w:tr>
        <w:trPr>
          <w:trHeight w:val="156"/>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Cocculus hirsutus</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This plant remedy may not be useful in cases of</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epidemics.</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Dalbergia sissoo</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The leaves of this plant can cure human as well as</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veterinary diarrhoea; the only difference being that in</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case of humans, leaves are eaten directly while for</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cattle diarrhoea, the pounded leaf paste is mixed with</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water and given orally.</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Dichrostachys cinerea</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The leaves should be freshly collected.</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Dioscorea pentaphylla</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The tubers can cure as many as 72 diseases, which</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includes cancer.</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Pongamia pinnata</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This is the most commonly used antidiarrhoeal plant</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 xml:space="preserve">medicine by the </w:t>
            </w:r>
            <w:r>
              <w:rPr>
                <w:rFonts w:ascii="Times New Roman" w:cs="Times New Roman" w:eastAsia="Times New Roman" w:hAnsi="Times New Roman"/>
                <w:sz w:val="13"/>
                <w:szCs w:val="13"/>
                <w:i w:val="1"/>
                <w:iCs w:val="1"/>
                <w:color w:val="auto"/>
              </w:rPr>
              <w:t>Warkaris</w:t>
            </w:r>
            <w:r>
              <w:rPr>
                <w:rFonts w:ascii="Times New Roman" w:cs="Times New Roman" w:eastAsia="Times New Roman" w:hAnsi="Times New Roman"/>
                <w:sz w:val="13"/>
                <w:szCs w:val="13"/>
                <w:color w:val="auto"/>
              </w:rPr>
              <w:t xml:space="preserve"> (pilgrims) during the</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 xml:space="preserve">Pandaripur </w:t>
            </w:r>
            <w:r>
              <w:rPr>
                <w:rFonts w:ascii="Times New Roman" w:cs="Times New Roman" w:eastAsia="Times New Roman" w:hAnsi="Times New Roman"/>
                <w:sz w:val="13"/>
                <w:szCs w:val="13"/>
                <w:i w:val="1"/>
                <w:iCs w:val="1"/>
                <w:color w:val="auto"/>
              </w:rPr>
              <w:t>yatra</w:t>
            </w:r>
            <w:r>
              <w:rPr>
                <w:rFonts w:ascii="Times New Roman" w:cs="Times New Roman" w:eastAsia="Times New Roman" w:hAnsi="Times New Roman"/>
                <w:sz w:val="13"/>
                <w:szCs w:val="13"/>
                <w:color w:val="auto"/>
              </w:rPr>
              <w:t xml:space="preserve"> (pilgrimage). One should not</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consume more than 1–2 leaves of this plant at one</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time.</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Punica granatum</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This tree is cultivated on a large scale for its fruits. A</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number of cultivars and varieties are grown in</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Maharashtra state. “Ganesh” is the most popular</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variety cultivated in this region.</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Semicarpus anacardium</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Marking nut to prepare the antidiarrhoeal recipe</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causes allergy.</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Tridax procumbens</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Quick relief is observed in certain cases of diarrhoea.</w:t>
            </w:r>
          </w:p>
        </w:tc>
      </w:tr>
      <w:tr>
        <w:trPr>
          <w:trHeight w:val="171"/>
        </w:trPr>
        <w:tc>
          <w:tcPr>
            <w:tcW w:w="1540" w:type="dxa"/>
            <w:vAlign w:val="bottom"/>
            <w:shd w:val="clear" w:color="auto" w:fill="E6E6E6"/>
          </w:tcPr>
          <w:p>
            <w:pPr>
              <w:spacing w:after="0"/>
              <w:rPr>
                <w:sz w:val="20"/>
                <w:szCs w:val="20"/>
                <w:color w:val="auto"/>
              </w:rPr>
            </w:pPr>
            <w:r>
              <w:rPr>
                <w:rFonts w:ascii="Times New Roman" w:cs="Times New Roman" w:eastAsia="Times New Roman" w:hAnsi="Times New Roman"/>
                <w:sz w:val="13"/>
                <w:szCs w:val="13"/>
                <w:i w:val="1"/>
                <w:iCs w:val="1"/>
                <w:color w:val="auto"/>
              </w:rPr>
              <w:t>Vitex negundo</w:t>
            </w: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This plant is highly recommended for common snake</w:t>
            </w:r>
          </w:p>
        </w:tc>
      </w:tr>
      <w:tr>
        <w:trPr>
          <w:trHeight w:val="171"/>
        </w:trPr>
        <w:tc>
          <w:tcPr>
            <w:tcW w:w="1540" w:type="dxa"/>
            <w:vAlign w:val="bottom"/>
            <w:shd w:val="clear" w:color="auto" w:fill="E6E6E6"/>
          </w:tcPr>
          <w:p>
            <w:pPr>
              <w:spacing w:after="0"/>
              <w:rPr>
                <w:sz w:val="14"/>
                <w:szCs w:val="14"/>
                <w:color w:val="auto"/>
              </w:rPr>
            </w:pPr>
          </w:p>
        </w:tc>
        <w:tc>
          <w:tcPr>
            <w:tcW w:w="3480" w:type="dxa"/>
            <w:vAlign w:val="bottom"/>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bites (non poisonous); however specific names of the</w:t>
            </w:r>
          </w:p>
        </w:tc>
      </w:tr>
      <w:tr>
        <w:trPr>
          <w:trHeight w:val="203"/>
        </w:trPr>
        <w:tc>
          <w:tcPr>
            <w:tcW w:w="1540" w:type="dxa"/>
            <w:vAlign w:val="bottom"/>
            <w:tcBorders>
              <w:bottom w:val="single" w:sz="8" w:color="E6E6E6"/>
            </w:tcBorders>
            <w:shd w:val="clear" w:color="auto" w:fill="E6E6E6"/>
          </w:tcPr>
          <w:p>
            <w:pPr>
              <w:spacing w:after="0"/>
              <w:rPr>
                <w:sz w:val="17"/>
                <w:szCs w:val="17"/>
                <w:color w:val="auto"/>
              </w:rPr>
            </w:pPr>
          </w:p>
        </w:tc>
        <w:tc>
          <w:tcPr>
            <w:tcW w:w="3480" w:type="dxa"/>
            <w:vAlign w:val="bottom"/>
            <w:tcBorders>
              <w:bottom w:val="single" w:sz="8" w:color="E6E6E6"/>
            </w:tcBorders>
            <w:shd w:val="clear" w:color="auto" w:fill="E6E6E6"/>
          </w:tcPr>
          <w:p>
            <w:pPr>
              <w:ind w:left="140"/>
              <w:spacing w:after="0"/>
              <w:rPr>
                <w:sz w:val="20"/>
                <w:szCs w:val="20"/>
                <w:color w:val="auto"/>
              </w:rPr>
            </w:pPr>
            <w:r>
              <w:rPr>
                <w:rFonts w:ascii="Times New Roman" w:cs="Times New Roman" w:eastAsia="Times New Roman" w:hAnsi="Times New Roman"/>
                <w:sz w:val="13"/>
                <w:szCs w:val="13"/>
                <w:color w:val="auto"/>
              </w:rPr>
              <w:t>snakes were not disclosed.</w:t>
            </w:r>
          </w:p>
        </w:tc>
      </w:tr>
      <w:tr>
        <w:trPr>
          <w:trHeight w:val="20"/>
        </w:trPr>
        <w:tc>
          <w:tcPr>
            <w:tcW w:w="1540" w:type="dxa"/>
            <w:vAlign w:val="bottom"/>
            <w:shd w:val="clear" w:color="auto" w:fill="000000"/>
          </w:tcPr>
          <w:p>
            <w:pPr>
              <w:spacing w:after="0" w:line="20" w:lineRule="exact"/>
              <w:rPr>
                <w:sz w:val="1"/>
                <w:szCs w:val="1"/>
                <w:color w:val="auto"/>
              </w:rPr>
            </w:pPr>
          </w:p>
        </w:tc>
        <w:tc>
          <w:tcPr>
            <w:tcW w:w="3480" w:type="dxa"/>
            <w:vAlign w:val="bottom"/>
            <w:shd w:val="clear" w:color="auto" w:fill="000000"/>
          </w:tcPr>
          <w:p>
            <w:pPr>
              <w:spacing w:after="0" w:line="20" w:lineRule="exact"/>
              <w:rPr>
                <w:sz w:val="1"/>
                <w:szCs w:val="1"/>
                <w:color w:val="auto"/>
              </w:rPr>
            </w:pPr>
          </w:p>
        </w:tc>
      </w:tr>
    </w:tbl>
    <w:p>
      <w:pPr>
        <w:spacing w:after="0" w:line="50" w:lineRule="exact"/>
        <w:rPr>
          <w:sz w:val="20"/>
          <w:szCs w:val="20"/>
          <w:color w:val="auto"/>
        </w:rPr>
      </w:pPr>
    </w:p>
    <w:p>
      <w:pPr>
        <w:ind w:firstLine="116"/>
        <w:spacing w:after="0" w:line="220" w:lineRule="auto"/>
        <w:tabs>
          <w:tab w:leader="none" w:pos="239" w:val="left"/>
        </w:tabs>
        <w:numPr>
          <w:ilvl w:val="0"/>
          <w:numId w:val="6"/>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According to the informer, it’s a traditional belief that the efficacy of the drug will be reduced if grinding is done with an electric mixer.</w:t>
      </w:r>
    </w:p>
    <w:p>
      <w:pPr>
        <w:spacing w:after="0" w:line="200" w:lineRule="exact"/>
        <w:rPr>
          <w:sz w:val="20"/>
          <w:szCs w:val="20"/>
          <w:color w:val="auto"/>
        </w:rPr>
      </w:pPr>
    </w:p>
    <w:p>
      <w:pPr>
        <w:spacing w:after="0" w:line="38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6"/>
          <w:szCs w:val="16"/>
          <w:color w:val="auto"/>
        </w:rPr>
        <w:t>noted diarrhoeal diseases to be a cause of major concern in the study area.</w:t>
      </w:r>
    </w:p>
    <w:p>
      <w:pPr>
        <w:spacing w:after="0" w:line="216" w:lineRule="exact"/>
        <w:rPr>
          <w:sz w:val="20"/>
          <w:szCs w:val="20"/>
          <w:color w:val="auto"/>
        </w:rPr>
      </w:pPr>
    </w:p>
    <w:p>
      <w:pPr>
        <w:jc w:val="both"/>
        <w:ind w:firstLine="239"/>
        <w:spacing w:after="0" w:line="282" w:lineRule="auto"/>
        <w:rPr>
          <w:sz w:val="20"/>
          <w:szCs w:val="20"/>
          <w:color w:val="auto"/>
        </w:rPr>
      </w:pPr>
      <w:r>
        <w:rPr>
          <w:rFonts w:ascii="Times New Roman" w:cs="Times New Roman" w:eastAsia="Times New Roman" w:hAnsi="Times New Roman"/>
          <w:sz w:val="16"/>
          <w:szCs w:val="16"/>
          <w:color w:val="auto"/>
        </w:rPr>
        <w:t>Abundant availability of these plants in the study area offers low cost health care. However, such ethnobotanical studies need to be supported by pharmacological studies for scientific valida-tion.</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Acknowledgements</w:t>
      </w:r>
    </w:p>
    <w:p>
      <w:pPr>
        <w:spacing w:after="0" w:line="236"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We thank Mr. Sanjay Kulkarni, Research Assistant, NGCPR, for technical assistance. We gratefully acknowledge the help rendered by Aviansh Gurav, Santosh Jangam, Meena Poman and the other staff of FRCH towards collection of information. This work has been supported by grant No. 91283 from the Department of Science and Technology, Ministry of Science and Technology, Government of India.</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References</w:t>
      </w:r>
    </w:p>
    <w:p>
      <w:pPr>
        <w:spacing w:after="0" w:line="216"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3"/>
          <w:szCs w:val="13"/>
          <w:color w:val="auto"/>
        </w:rPr>
        <w:t>Anonymous, 1985. Wealth of India: A Dictionary of Indian Raw Materials and Indus-trial Products, vol. 10. Council of Scientific and Industrial Research, New Delhi, p. 292.</w:t>
      </w:r>
    </w:p>
    <w:p>
      <w:pPr>
        <w:spacing w:after="0" w:line="144"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3"/>
          <w:szCs w:val="13"/>
          <w:color w:val="auto"/>
        </w:rPr>
        <w:t>Ayyanar, M., Ignacimuthu, S., 2005. Traditional knowledge of Kani tribes in Koutha-lai of Tirunelveli hills, Tamil Nadu, India. Journal of Ethnopharmacology 102, 246–255.</w:t>
      </w:r>
    </w:p>
    <w:p>
      <w:pPr>
        <w:spacing w:after="0" w:line="144"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Bartram, J., Lewis, K., Lenton, R., Wright, A., 2005. Focusing on improved water and sanitation for health. Lancet 365, 810–812.</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Borrelli, F., Capasso, R., Pinto, A., Izzo, A.A., 2004. Inhibitory effect of ginger (</w:t>
      </w:r>
      <w:r>
        <w:rPr>
          <w:rFonts w:ascii="Times New Roman" w:cs="Times New Roman" w:eastAsia="Times New Roman" w:hAnsi="Times New Roman"/>
          <w:sz w:val="13"/>
          <w:szCs w:val="13"/>
          <w:i w:val="1"/>
          <w:iCs w:val="1"/>
          <w:color w:val="auto"/>
        </w:rPr>
        <w:t>Zingiber</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officinale</w:t>
      </w:r>
      <w:r>
        <w:rPr>
          <w:rFonts w:ascii="Times New Roman" w:cs="Times New Roman" w:eastAsia="Times New Roman" w:hAnsi="Times New Roman"/>
          <w:sz w:val="13"/>
          <w:szCs w:val="13"/>
          <w:color w:val="auto"/>
        </w:rPr>
        <w:t>) on rat ileal mortality</w:t>
      </w:r>
      <w:r>
        <w:rPr>
          <w:rFonts w:ascii="Times New Roman" w:cs="Times New Roman" w:eastAsia="Times New Roman" w:hAnsi="Times New Roman"/>
          <w:sz w:val="13"/>
          <w:szCs w:val="13"/>
          <w:i w:val="1"/>
          <w:iCs w:val="1"/>
          <w:color w:val="auto"/>
        </w:rPr>
        <w:t xml:space="preserve"> in vitro</w:t>
      </w:r>
      <w:r>
        <w:rPr>
          <w:rFonts w:ascii="Times New Roman" w:cs="Times New Roman" w:eastAsia="Times New Roman" w:hAnsi="Times New Roman"/>
          <w:sz w:val="13"/>
          <w:szCs w:val="13"/>
          <w:color w:val="auto"/>
        </w:rPr>
        <w:t>. Life Sciences 74, 2889–2896.</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Brijesh, S., Daswani, P.G., Tetali, P., Antia, N.H., Birdi, T.J., 2006a. Studies on </w:t>
      </w:r>
      <w:r>
        <w:rPr>
          <w:rFonts w:ascii="Times New Roman" w:cs="Times New Roman" w:eastAsia="Times New Roman" w:hAnsi="Times New Roman"/>
          <w:sz w:val="13"/>
          <w:szCs w:val="13"/>
          <w:i w:val="1"/>
          <w:iCs w:val="1"/>
          <w:color w:val="auto"/>
        </w:rPr>
        <w:t xml:space="preserve">Dalber-gia sissoo </w:t>
      </w:r>
      <w:r>
        <w:rPr>
          <w:rFonts w:ascii="Times New Roman" w:cs="Times New Roman" w:eastAsia="Times New Roman" w:hAnsi="Times New Roman"/>
          <w:sz w:val="13"/>
          <w:szCs w:val="13"/>
          <w:color w:val="auto"/>
        </w:rPr>
        <w:t>Roxb leaves: possible mechanism(s) of action in infectious diarrhoea.</w:t>
      </w:r>
      <w:r>
        <w:rPr>
          <w:rFonts w:ascii="Times New Roman" w:cs="Times New Roman" w:eastAsia="Times New Roman" w:hAnsi="Times New Roman"/>
          <w:sz w:val="13"/>
          <w:szCs w:val="13"/>
          <w:i w:val="1"/>
          <w:iCs w:val="1"/>
          <w:color w:val="auto"/>
        </w:rPr>
        <w:t xml:space="preserve"> </w:t>
      </w:r>
      <w:r>
        <w:rPr>
          <w:rFonts w:ascii="Times New Roman" w:cs="Times New Roman" w:eastAsia="Times New Roman" w:hAnsi="Times New Roman"/>
          <w:sz w:val="13"/>
          <w:szCs w:val="13"/>
          <w:color w:val="auto"/>
        </w:rPr>
        <w:t>Indian Journal of Pharmacology 38, 120–124.</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Brijesh, S., Daswani, P.G., Tetali, P., Rojatkar, S.R., Antia, N.H., Birdi, T.J., 2006b. Stud-ies on </w:t>
      </w:r>
      <w:r>
        <w:rPr>
          <w:rFonts w:ascii="Times New Roman" w:cs="Times New Roman" w:eastAsia="Times New Roman" w:hAnsi="Times New Roman"/>
          <w:sz w:val="13"/>
          <w:szCs w:val="13"/>
          <w:i w:val="1"/>
          <w:iCs w:val="1"/>
          <w:color w:val="auto"/>
        </w:rPr>
        <w:t>Pongamia pinnata</w:t>
      </w:r>
      <w:r>
        <w:rPr>
          <w:rFonts w:ascii="Times New Roman" w:cs="Times New Roman" w:eastAsia="Times New Roman" w:hAnsi="Times New Roman"/>
          <w:sz w:val="13"/>
          <w:szCs w:val="13"/>
          <w:color w:val="auto"/>
        </w:rPr>
        <w:t xml:space="preserve"> (L.) Pierre leaves: understanding the mechanism(s) of action in infectious diarrhea. Journal of Zhejiang University Science B 7, 665–674.</w:t>
      </w:r>
    </w:p>
    <w:p>
      <w:pPr>
        <w:spacing w:after="0" w:line="2" w:lineRule="exact"/>
        <w:rPr>
          <w:sz w:val="20"/>
          <w:szCs w:val="20"/>
          <w:color w:val="auto"/>
        </w:rPr>
      </w:pPr>
    </w:p>
    <w:p>
      <w:pPr>
        <w:jc w:val="both"/>
        <w:ind w:left="240" w:hanging="238"/>
        <w:spacing w:after="0" w:line="267" w:lineRule="auto"/>
        <w:rPr>
          <w:sz w:val="20"/>
          <w:szCs w:val="20"/>
          <w:color w:val="auto"/>
        </w:rPr>
      </w:pPr>
      <w:r>
        <w:rPr>
          <w:rFonts w:ascii="Times New Roman" w:cs="Times New Roman" w:eastAsia="Times New Roman" w:hAnsi="Times New Roman"/>
          <w:sz w:val="13"/>
          <w:szCs w:val="13"/>
          <w:color w:val="auto"/>
        </w:rPr>
        <w:t>CHEMEXCIL, 1992. Selected medicinal plants of India. Bhartiya Vidya Bhavan’s Swami Prakashanand Ayurveda Research Centre, Bombay.</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Das, A.K., Mandal, S.C., Banerjee, S.K., Sinha, S., Das, J., Saha, B.P., Pal, M., 1999. Studies on antidiarrhoeal activity of </w:t>
      </w:r>
      <w:r>
        <w:rPr>
          <w:rFonts w:ascii="Times New Roman" w:cs="Times New Roman" w:eastAsia="Times New Roman" w:hAnsi="Times New Roman"/>
          <w:sz w:val="13"/>
          <w:szCs w:val="13"/>
          <w:i w:val="1"/>
          <w:iCs w:val="1"/>
          <w:color w:val="auto"/>
        </w:rPr>
        <w:t>Punica granatum</w:t>
      </w:r>
      <w:r>
        <w:rPr>
          <w:rFonts w:ascii="Times New Roman" w:cs="Times New Roman" w:eastAsia="Times New Roman" w:hAnsi="Times New Roman"/>
          <w:sz w:val="13"/>
          <w:szCs w:val="13"/>
          <w:color w:val="auto"/>
        </w:rPr>
        <w:t xml:space="preserve"> seed extract in rats. Journal of Ethnopharmacology 68, 205–208.</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Das, S., Prakash, R., Devaraj, S.N., 2003. Antidiarrhoeal effects of methanolic root extract of </w:t>
      </w:r>
      <w:r>
        <w:rPr>
          <w:rFonts w:ascii="Times New Roman" w:cs="Times New Roman" w:eastAsia="Times New Roman" w:hAnsi="Times New Roman"/>
          <w:sz w:val="13"/>
          <w:szCs w:val="13"/>
          <w:i w:val="1"/>
          <w:iCs w:val="1"/>
          <w:color w:val="auto"/>
        </w:rPr>
        <w:t>Hemidesmus indicus</w:t>
      </w:r>
      <w:r>
        <w:rPr>
          <w:rFonts w:ascii="Times New Roman" w:cs="Times New Roman" w:eastAsia="Times New Roman" w:hAnsi="Times New Roman"/>
          <w:sz w:val="13"/>
          <w:szCs w:val="13"/>
          <w:color w:val="auto"/>
        </w:rPr>
        <w:t xml:space="preserve"> (Indian Sarsaparilla)—an </w:t>
      </w:r>
      <w:r>
        <w:rPr>
          <w:rFonts w:ascii="Times New Roman" w:cs="Times New Roman" w:eastAsia="Times New Roman" w:hAnsi="Times New Roman"/>
          <w:sz w:val="13"/>
          <w:szCs w:val="13"/>
          <w:i w:val="1"/>
          <w:iCs w:val="1"/>
          <w:color w:val="auto"/>
        </w:rPr>
        <w:t>in vitro</w:t>
      </w:r>
      <w:r>
        <w:rPr>
          <w:rFonts w:ascii="Times New Roman" w:cs="Times New Roman" w:eastAsia="Times New Roman" w:hAnsi="Times New Roman"/>
          <w:sz w:val="13"/>
          <w:szCs w:val="13"/>
          <w:color w:val="auto"/>
        </w:rPr>
        <w:t xml:space="preserve"> and </w:t>
      </w:r>
      <w:r>
        <w:rPr>
          <w:rFonts w:ascii="Times New Roman" w:cs="Times New Roman" w:eastAsia="Times New Roman" w:hAnsi="Times New Roman"/>
          <w:sz w:val="13"/>
          <w:szCs w:val="13"/>
          <w:i w:val="1"/>
          <w:iCs w:val="1"/>
          <w:color w:val="auto"/>
        </w:rPr>
        <w:t>in vivo</w:t>
      </w:r>
      <w:r>
        <w:rPr>
          <w:rFonts w:ascii="Times New Roman" w:cs="Times New Roman" w:eastAsia="Times New Roman" w:hAnsi="Times New Roman"/>
          <w:sz w:val="13"/>
          <w:szCs w:val="13"/>
          <w:color w:val="auto"/>
        </w:rPr>
        <w:t xml:space="preserve"> study. Indian Journal of Experimental Biology 41, 363–366.</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Dash, S.K., Padhy, S., 2006. Review on ethnomedicines for diarrhoea diseases from Orissa: prevalence versus culture. Journal of Human Ecology 20, 59–64.</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Daswani, P.G., Birdi, T.J., Antia, N.H., 2001. Study of the action of </w:t>
      </w:r>
      <w:r>
        <w:rPr>
          <w:rFonts w:ascii="Times New Roman" w:cs="Times New Roman" w:eastAsia="Times New Roman" w:hAnsi="Times New Roman"/>
          <w:sz w:val="13"/>
          <w:szCs w:val="13"/>
          <w:i w:val="1"/>
          <w:iCs w:val="1"/>
          <w:color w:val="auto"/>
        </w:rPr>
        <w:t>Cyperus rotundus</w:t>
      </w:r>
      <w:r>
        <w:rPr>
          <w:rFonts w:ascii="Times New Roman" w:cs="Times New Roman" w:eastAsia="Times New Roman" w:hAnsi="Times New Roman"/>
          <w:sz w:val="13"/>
          <w:szCs w:val="13"/>
          <w:color w:val="auto"/>
        </w:rPr>
        <w:t xml:space="preserve"> root decoction on the adherence and enterotoxin production of diarrhoeagenic </w:t>
      </w:r>
      <w:r>
        <w:rPr>
          <w:rFonts w:ascii="Times New Roman" w:cs="Times New Roman" w:eastAsia="Times New Roman" w:hAnsi="Times New Roman"/>
          <w:sz w:val="13"/>
          <w:szCs w:val="13"/>
          <w:i w:val="1"/>
          <w:iCs w:val="1"/>
          <w:color w:val="auto"/>
        </w:rPr>
        <w:t>Escherichia coli</w:t>
      </w:r>
      <w:r>
        <w:rPr>
          <w:rFonts w:ascii="Times New Roman" w:cs="Times New Roman" w:eastAsia="Times New Roman" w:hAnsi="Times New Roman"/>
          <w:sz w:val="13"/>
          <w:szCs w:val="13"/>
          <w:color w:val="auto"/>
        </w:rPr>
        <w:t>. Indian Journal of Pharmacology 33, 116–117.</w:t>
      </w:r>
    </w:p>
    <w:p>
      <w:pPr>
        <w:spacing w:after="0" w:line="2" w:lineRule="exact"/>
        <w:rPr>
          <w:sz w:val="20"/>
          <w:szCs w:val="20"/>
          <w:color w:val="auto"/>
        </w:rPr>
      </w:pPr>
    </w:p>
    <w:p>
      <w:pPr>
        <w:jc w:val="both"/>
        <w:ind w:left="240" w:hanging="238"/>
        <w:spacing w:after="0" w:line="262" w:lineRule="auto"/>
        <w:rPr>
          <w:sz w:val="20"/>
          <w:szCs w:val="20"/>
          <w:color w:val="auto"/>
        </w:rPr>
      </w:pPr>
      <w:r>
        <w:rPr>
          <w:rFonts w:ascii="Times New Roman" w:cs="Times New Roman" w:eastAsia="Times New Roman" w:hAnsi="Times New Roman"/>
          <w:sz w:val="13"/>
          <w:szCs w:val="13"/>
          <w:color w:val="auto"/>
        </w:rPr>
        <w:t>Girach, R.D., Aminuddin, Ahmed, M., Brahman, M., Misra, M.K., 1996. Native phytotherapy among rural population of district Bhadrak, Orissa. In: Jain, S.K. (Ed.), Ethnobiology in Human Welfare. Deep Publication, New Delhi, pp. 162–164.</w:t>
      </w:r>
    </w:p>
    <w:p>
      <w:pPr>
        <w:spacing w:after="0" w:line="148"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Henry, A.N., Ravikumar, K., 1996. Ethno-medico-botany of Southern Western Ghats of India. In: Jain, S.K. (Ed.), Ethnobiology in Human Welfare. Deep Publication, New Delhi, pp. 173–180.</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Jain, S.K., 1989. Methods and Approaches in Ethnobotany. Society of Ethnobotanists, Lucknow, p. 612.</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Jain, S.K., 1991. Dictionary of Indian Folk Medicine and Ethnobotany. Deep Publica-tions, New Delhi.</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Jain, S.K., Mudgal, V.A., 1999. A Handbook of Ethnobotany. Bishen Singh Mahendra Pal Singh, Dehradun, p. 309.</w:t>
      </w:r>
    </w:p>
    <w:p>
      <w:pPr>
        <w:spacing w:after="0" w:line="1" w:lineRule="exact"/>
        <w:rPr>
          <w:sz w:val="20"/>
          <w:szCs w:val="20"/>
          <w:color w:val="auto"/>
        </w:rPr>
      </w:pPr>
    </w:p>
    <w:p>
      <w:pPr>
        <w:jc w:val="both"/>
        <w:ind w:left="240" w:hanging="238"/>
        <w:spacing w:after="0" w:line="262" w:lineRule="auto"/>
        <w:rPr>
          <w:sz w:val="20"/>
          <w:szCs w:val="20"/>
          <w:color w:val="auto"/>
        </w:rPr>
      </w:pPr>
      <w:r>
        <w:rPr>
          <w:rFonts w:ascii="Times New Roman" w:cs="Times New Roman" w:eastAsia="Times New Roman" w:hAnsi="Times New Roman"/>
          <w:sz w:val="13"/>
          <w:szCs w:val="13"/>
          <w:color w:val="auto"/>
        </w:rPr>
        <w:t>Kang, G., Ramakrishna, B.S., Daniel, J., Mathan, M., Mathan, V.I., 2001. Epidemio-logical and laboratory investigations of outbreaks of diarrhoea in rural South India: implications for control of disease. Epidemiology and Infection 127, 107–112.</w:t>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Kelkar, S.D., Ray, P.G., Shinde, N., 2004. An epidemic of rotavirus diarrhoea in Jawhar</w:t>
      </w:r>
    </w:p>
    <w:p>
      <w:pPr>
        <w:spacing w:after="0" w:line="10" w:lineRule="exact"/>
        <w:rPr>
          <w:sz w:val="20"/>
          <w:szCs w:val="20"/>
          <w:color w:val="auto"/>
        </w:rPr>
      </w:pPr>
    </w:p>
    <w:p>
      <w:pPr>
        <w:ind w:left="240"/>
        <w:spacing w:after="0" w:line="255" w:lineRule="auto"/>
        <w:rPr>
          <w:sz w:val="20"/>
          <w:szCs w:val="20"/>
          <w:color w:val="auto"/>
        </w:rPr>
      </w:pPr>
      <w:r>
        <w:rPr>
          <w:rFonts w:ascii="Times New Roman" w:cs="Times New Roman" w:eastAsia="Times New Roman" w:hAnsi="Times New Roman"/>
          <w:sz w:val="13"/>
          <w:szCs w:val="13"/>
          <w:color w:val="auto"/>
        </w:rPr>
        <w:t>– Taluk, Thane district, Maharashtra, India, December 2000–January 2001. Epi-demiology and Infection 132, 337–341.</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Kirtikar, K.R., Basu, B.D., 1993. In: Blatter, E., Caius, J.F., Mhaskar, K.S. (Eds.), Indian Medicinal Plants, vols. I–VI. Bishen Singh Mahendra Pal Singh, Dehradun.</w:t>
      </w:r>
    </w:p>
    <w:p>
      <w:pPr>
        <w:spacing w:after="0" w:line="1" w:lineRule="exact"/>
        <w:rPr>
          <w:sz w:val="20"/>
          <w:szCs w:val="20"/>
          <w:color w:val="auto"/>
        </w:rPr>
      </w:pPr>
    </w:p>
    <w:p>
      <w:pPr>
        <w:jc w:val="both"/>
        <w:ind w:left="240" w:hanging="238"/>
        <w:spacing w:after="0" w:line="262" w:lineRule="auto"/>
        <w:rPr>
          <w:sz w:val="20"/>
          <w:szCs w:val="20"/>
          <w:color w:val="auto"/>
        </w:rPr>
      </w:pPr>
      <w:r>
        <w:rPr>
          <w:rFonts w:ascii="Times New Roman" w:cs="Times New Roman" w:eastAsia="Times New Roman" w:hAnsi="Times New Roman"/>
          <w:sz w:val="13"/>
          <w:szCs w:val="13"/>
          <w:color w:val="auto"/>
        </w:rPr>
        <w:t>Kulkarni, D.K, Kumbhojkar, M.S., 1997. Ethnobotanical studies on Western Ghats in Maharashtra. In: Jagtap, A.P. (Ed.), Biodiversity of the Western Ghats of Maharashtra, Current Knowledge. World Wide Fund for Nature, Pune, pp. 69–77.</w:t>
      </w:r>
    </w:p>
    <w:p>
      <w:pPr>
        <w:spacing w:after="0" w:line="148" w:lineRule="exact"/>
        <w:rPr>
          <w:sz w:val="20"/>
          <w:szCs w:val="20"/>
          <w:color w:val="auto"/>
        </w:rPr>
      </w:pPr>
    </w:p>
    <w:p>
      <w:pPr>
        <w:jc w:val="both"/>
        <w:ind w:left="240" w:hanging="238"/>
        <w:spacing w:after="0" w:line="259" w:lineRule="auto"/>
        <w:rPr>
          <w:sz w:val="20"/>
          <w:szCs w:val="20"/>
          <w:color w:val="auto"/>
        </w:rPr>
      </w:pPr>
      <w:r>
        <w:rPr>
          <w:rFonts w:ascii="Times New Roman" w:cs="Times New Roman" w:eastAsia="Times New Roman" w:hAnsi="Times New Roman"/>
          <w:sz w:val="13"/>
          <w:szCs w:val="13"/>
          <w:color w:val="auto"/>
        </w:rPr>
        <w:t>Kulkarni, D.K., Kumbhojkar, M.S., Upadhye, A.S., 2003. Ethno-botanical resources used for antidiarrhoeal, antidysentery and stomach disorders in Western Maha-rashtra, India. In: Singh, V.K., Grovl, J.N., Hashmi, S., Singh, G. (Eds.), Recent Progress in Medicinal Plants, vol. 1. Bishen Singh Mahendra Pal Singh, Dehradun, pp. 413–433.</w:t>
      </w:r>
    </w:p>
    <w:p>
      <w:pPr>
        <w:spacing w:after="0" w:line="152"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3"/>
          <w:szCs w:val="13"/>
          <w:color w:val="auto"/>
        </w:rPr>
        <w:t>Lin, J., Puckree, T., Mvelase, T.P., 2002. Anti-diarrhoeal evaluation of some medicinal plants used by Zulu traditional healers. Journal of Ethnopharmacology 79, 53– 56.</w:t>
      </w:r>
    </w:p>
    <w:p>
      <w:pPr>
        <w:spacing w:after="0" w:line="144"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Majumdar, R., Bhattacharya, S., Mazumdar, A., Pattanaik, A.K., Tiwary, P.M., Chaud-hary, S., 2006. Antidiarrhoeal evaluation of </w:t>
      </w:r>
      <w:r>
        <w:rPr>
          <w:rFonts w:ascii="Times New Roman" w:cs="Times New Roman" w:eastAsia="Times New Roman" w:hAnsi="Times New Roman"/>
          <w:sz w:val="13"/>
          <w:szCs w:val="13"/>
          <w:i w:val="1"/>
          <w:iCs w:val="1"/>
          <w:color w:val="auto"/>
        </w:rPr>
        <w:t>Aegle marmelos</w:t>
      </w:r>
      <w:r>
        <w:rPr>
          <w:rFonts w:ascii="Times New Roman" w:cs="Times New Roman" w:eastAsia="Times New Roman" w:hAnsi="Times New Roman"/>
          <w:sz w:val="13"/>
          <w:szCs w:val="13"/>
          <w:color w:val="auto"/>
        </w:rPr>
        <w:t xml:space="preserve"> (Correa) L. root extract. Phytotherapy Research 20, 82–84.</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Naftali, T., Feingelernt, H., Lesin, Y., Rauchwarger, A., Konikoff, F.M., 2009. </w:t>
      </w:r>
      <w:r>
        <w:rPr>
          <w:rFonts w:ascii="Times New Roman" w:cs="Times New Roman" w:eastAsia="Times New Roman" w:hAnsi="Times New Roman"/>
          <w:sz w:val="13"/>
          <w:szCs w:val="13"/>
          <w:i w:val="1"/>
          <w:iCs w:val="1"/>
          <w:color w:val="auto"/>
        </w:rPr>
        <w:t>Ziziphus</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 xml:space="preserve">jujuba </w:t>
      </w:r>
      <w:r>
        <w:rPr>
          <w:rFonts w:ascii="Times New Roman" w:cs="Times New Roman" w:eastAsia="Times New Roman" w:hAnsi="Times New Roman"/>
          <w:sz w:val="13"/>
          <w:szCs w:val="13"/>
          <w:color w:val="auto"/>
        </w:rPr>
        <w:t>extract for the treatment of chronic idiopathic constipation: a controlled</w:t>
      </w:r>
      <w:r>
        <w:rPr>
          <w:rFonts w:ascii="Times New Roman" w:cs="Times New Roman" w:eastAsia="Times New Roman" w:hAnsi="Times New Roman"/>
          <w:sz w:val="13"/>
          <w:szCs w:val="13"/>
          <w:i w:val="1"/>
          <w:iCs w:val="1"/>
          <w:color w:val="auto"/>
        </w:rPr>
        <w:t xml:space="preserve"> </w:t>
      </w:r>
      <w:r>
        <w:rPr>
          <w:rFonts w:ascii="Times New Roman" w:cs="Times New Roman" w:eastAsia="Times New Roman" w:hAnsi="Times New Roman"/>
          <w:sz w:val="13"/>
          <w:szCs w:val="13"/>
          <w:color w:val="auto"/>
        </w:rPr>
        <w:t>clinical trial. Digestion 78, 224–228.</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Parashar, U., Bresee, J.S., Glass, R.I., 2003. The global burden of diarrhoeal disease in children. Bulletin of the World Organization 81, 4.</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Phukan, A.C., Borah, P.K., Biswas, D., Mahanta, J., 2004. A cholera epidemic in a rural area of northeast India. Transactions of the Royal Society of Tropical Medicine and Hygiene 98, 563–566.</w:t>
      </w:r>
    </w:p>
    <w:p>
      <w:pPr>
        <w:spacing w:after="0" w:line="2"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3"/>
          <w:szCs w:val="13"/>
          <w:color w:val="auto"/>
        </w:rPr>
        <w:t>Pruss, A., Kay, D., Fewtrell, L., Bartram, J., 2002. Estimating the burden of disease from water, sanitation, and hygiene at a global level. Environmental Health Perspectives 110, 537–542.</w:t>
      </w:r>
    </w:p>
    <w:p>
      <w:pPr>
        <w:spacing w:after="0" w:line="144"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Rao, D.M., Rao, U.V.U.B., Sudharshanam, G., 2006. Ethno-medico-botanical studies from Rayalaseema region of southern Eastern Ghats, Andhra Pradesh, India. Ethnobotanical Leaflets 10, 198–207.</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Sagar, L., Sehgal, R., Ojha, S., 2005. Evaluation of antimotility effects of </w:t>
      </w:r>
      <w:r>
        <w:rPr>
          <w:rFonts w:ascii="Times New Roman" w:cs="Times New Roman" w:eastAsia="Times New Roman" w:hAnsi="Times New Roman"/>
          <w:sz w:val="13"/>
          <w:szCs w:val="13"/>
          <w:i w:val="1"/>
          <w:iCs w:val="1"/>
          <w:color w:val="auto"/>
        </w:rPr>
        <w:t>Lantana camara</w:t>
      </w:r>
      <w:r>
        <w:rPr>
          <w:rFonts w:ascii="Times New Roman" w:cs="Times New Roman" w:eastAsia="Times New Roman" w:hAnsi="Times New Roman"/>
          <w:sz w:val="13"/>
          <w:szCs w:val="13"/>
          <w:color w:val="auto"/>
        </w:rPr>
        <w:t xml:space="preserve"> L. var. </w:t>
      </w:r>
      <w:r>
        <w:rPr>
          <w:rFonts w:ascii="Times New Roman" w:cs="Times New Roman" w:eastAsia="Times New Roman" w:hAnsi="Times New Roman"/>
          <w:sz w:val="13"/>
          <w:szCs w:val="13"/>
          <w:i w:val="1"/>
          <w:iCs w:val="1"/>
          <w:color w:val="auto"/>
        </w:rPr>
        <w:t>acuelata</w:t>
      </w:r>
      <w:r>
        <w:rPr>
          <w:rFonts w:ascii="Times New Roman" w:cs="Times New Roman" w:eastAsia="Times New Roman" w:hAnsi="Times New Roman"/>
          <w:sz w:val="13"/>
          <w:szCs w:val="13"/>
          <w:color w:val="auto"/>
        </w:rPr>
        <w:t xml:space="preserve"> constituents on neostigmine induced gastrointestinal transit in mice. BMC Complementary and Alternative Medicine 17, 5–18.</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Sairam, K., Hemalatha, D., Kumar, A., Srinivasan, T., Ganesh, F., Shankar, M., Venkatra-man, S., 2003. Evaluation of antidiarrhoeal activity in seed extracts of </w:t>
      </w:r>
      <w:r>
        <w:rPr>
          <w:rFonts w:ascii="Times New Roman" w:cs="Times New Roman" w:eastAsia="Times New Roman" w:hAnsi="Times New Roman"/>
          <w:sz w:val="13"/>
          <w:szCs w:val="13"/>
          <w:i w:val="1"/>
          <w:iCs w:val="1"/>
          <w:color w:val="auto"/>
        </w:rPr>
        <w:t>Mangifera</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indica</w:t>
      </w:r>
      <w:r>
        <w:rPr>
          <w:rFonts w:ascii="Times New Roman" w:cs="Times New Roman" w:eastAsia="Times New Roman" w:hAnsi="Times New Roman"/>
          <w:sz w:val="13"/>
          <w:szCs w:val="13"/>
          <w:color w:val="auto"/>
        </w:rPr>
        <w:t>. Journal of Ethnopharmacology 84, 11–15.</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Satyavati, G.V., Gupta, A.K., Tandon, N., 1976–1987. Medicinal Plants of India, vols.</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1–2. Indian Council of Medical Research, New Delhi.</w:t>
      </w:r>
    </w:p>
    <w:p>
      <w:pPr>
        <w:spacing w:after="0" w:line="10"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Sharma, R.K., Dash, V.B., 1997. Agnivesa’s Caraka Samhita based on Cakrapani Datta’s Ayurveda Dipika, vol. IV. Chowkhamba Sanskrit Series, Varanasi, pp. 204–242.</w:t>
      </w:r>
    </w:p>
    <w:p>
      <w:pPr>
        <w:spacing w:after="0" w:line="1"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3"/>
          <w:szCs w:val="13"/>
          <w:color w:val="auto"/>
        </w:rPr>
        <w:t>Sharma, B.D., Lakshminarasimhan, P., 1986. Ethnobotanical studies on the tribes of Nasik district (Maharashtra). Journal of Economic and Taxonomic Botany 8, 439–454.</w:t>
      </w:r>
    </w:p>
    <w:p>
      <w:pPr>
        <w:spacing w:after="0" w:line="144"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Sharma, P.P., Mujumdar, A.M., 2003. Traditional knowledge of plants from Toranmal plateau of Maharashtra. Indian Journal of Traditional Knowledge 2, 292–296.</w:t>
      </w:r>
    </w:p>
    <w:p>
      <w:pPr>
        <w:spacing w:after="0" w:line="1" w:lineRule="exact"/>
        <w:rPr>
          <w:sz w:val="20"/>
          <w:szCs w:val="20"/>
          <w:color w:val="auto"/>
        </w:rPr>
      </w:pPr>
    </w:p>
    <w:p>
      <w:pPr>
        <w:jc w:val="both"/>
        <w:ind w:left="240" w:hanging="238"/>
        <w:spacing w:after="0" w:line="268" w:lineRule="auto"/>
        <w:rPr>
          <w:sz w:val="20"/>
          <w:szCs w:val="20"/>
          <w:color w:val="auto"/>
        </w:rPr>
      </w:pPr>
      <w:r>
        <w:rPr>
          <w:rFonts w:ascii="Times New Roman" w:cs="Times New Roman" w:eastAsia="Times New Roman" w:hAnsi="Times New Roman"/>
          <w:sz w:val="13"/>
          <w:szCs w:val="13"/>
          <w:color w:val="auto"/>
        </w:rPr>
        <w:t>Sharma, P.C., Yelne, M.B., Dennis, T.J., 2000–2002. Database on Medicinal Plants Used in Ayurveda, vols. 1–5. Central Council for Research in Ayurveda and Siddha, New Delhi.</w:t>
      </w:r>
    </w:p>
    <w:p>
      <w:pPr>
        <w:spacing w:after="0" w:line="144"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Singh, K.K., 2000. Role of ethnoherbals in bio-prospecting of safe phytomedicines and nutraceuticals for 21st century. Journal of Medicinal and Aromatic Plant Sciences 22 and 23, 579–596.</w:t>
      </w:r>
    </w:p>
    <w:p>
      <w:pPr>
        <w:spacing w:after="0" w:line="2" w:lineRule="exact"/>
        <w:rPr>
          <w:sz w:val="20"/>
          <w:szCs w:val="20"/>
          <w:color w:val="auto"/>
        </w:rPr>
      </w:pPr>
    </w:p>
    <w:p>
      <w:pPr>
        <w:jc w:val="both"/>
        <w:ind w:left="240" w:hanging="238"/>
        <w:spacing w:after="0" w:line="261" w:lineRule="auto"/>
        <w:rPr>
          <w:sz w:val="20"/>
          <w:szCs w:val="20"/>
          <w:color w:val="auto"/>
        </w:rPr>
      </w:pPr>
      <w:r>
        <w:rPr>
          <w:rFonts w:ascii="Times New Roman" w:cs="Times New Roman" w:eastAsia="Times New Roman" w:hAnsi="Times New Roman"/>
          <w:sz w:val="13"/>
          <w:szCs w:val="13"/>
          <w:color w:val="auto"/>
        </w:rPr>
        <w:t>Singh, K.N., Lal, B., 2008. Ethnomedicines used against four common ailments by the tribal communities of Lahaul-Spiti in western Himalaya. Journal of Ethnophar-macology 115, 147–159.</w:t>
      </w:r>
    </w:p>
    <w:p>
      <w:pPr>
        <w:sectPr>
          <w:pgSz w:w="11900" w:h="15874" w:orient="portrait"/>
          <w:cols w:equalWidth="0" w:num="2">
            <w:col w:w="5020" w:space="360"/>
            <w:col w:w="5040"/>
          </w:cols>
          <w:pgMar w:left="860" w:top="717" w:right="626" w:bottom="414" w:gutter="0" w:footer="0" w:header="0"/>
          <w:type w:val="continuous"/>
        </w:sectPr>
      </w:pPr>
    </w:p>
    <w:bookmarkStart w:id="7" w:name="page8"/>
    <w:bookmarkEnd w:id="7"/>
    <w:p>
      <w:pPr>
        <w:spacing w:after="0"/>
        <w:tabs>
          <w:tab w:leader="none" w:pos="3260" w:val="left"/>
        </w:tabs>
        <w:rPr>
          <w:sz w:val="20"/>
          <w:szCs w:val="20"/>
          <w:color w:val="auto"/>
        </w:rPr>
      </w:pPr>
      <w:r>
        <w:rPr>
          <w:rFonts w:ascii="Times New Roman" w:cs="Times New Roman" w:eastAsia="Times New Roman" w:hAnsi="Times New Roman"/>
          <w:sz w:val="13"/>
          <w:szCs w:val="13"/>
          <w:color w:val="auto"/>
        </w:rPr>
        <w:t>236</w:t>
      </w:r>
      <w:r>
        <w:rPr>
          <w:sz w:val="20"/>
          <w:szCs w:val="20"/>
          <w:color w:val="auto"/>
        </w:rPr>
        <w:tab/>
      </w:r>
      <w:r>
        <w:rPr>
          <w:rFonts w:ascii="Times New Roman" w:cs="Times New Roman" w:eastAsia="Times New Roman" w:hAnsi="Times New Roman"/>
          <w:sz w:val="13"/>
          <w:szCs w:val="13"/>
          <w:i w:val="1"/>
          <w:iCs w:val="1"/>
          <w:color w:val="auto"/>
        </w:rPr>
        <w:t>P. Tetali et al. / Journal of Ethnopharmacology 123 (2009) 229–236</w:t>
      </w:r>
    </w:p>
    <w:p>
      <w:pPr>
        <w:sectPr>
          <w:pgSz w:w="11900" w:h="15874" w:orient="portrait"/>
          <w:cols w:equalWidth="0" w:num="1">
            <w:col w:w="10420"/>
          </w:cols>
          <w:pgMar w:left="640" w:top="717" w:right="846" w:bottom="1440" w:gutter="0" w:footer="0" w:header="0"/>
        </w:sectPr>
      </w:pPr>
    </w:p>
    <w:p>
      <w:pPr>
        <w:spacing w:after="0" w:line="257" w:lineRule="exact"/>
        <w:rPr>
          <w:sz w:val="20"/>
          <w:szCs w:val="20"/>
          <w:color w:val="auto"/>
        </w:rPr>
      </w:pPr>
    </w:p>
    <w:p>
      <w:pPr>
        <w:jc w:val="both"/>
        <w:ind w:left="240" w:hanging="238"/>
        <w:spacing w:after="0" w:line="262" w:lineRule="auto"/>
        <w:rPr>
          <w:sz w:val="20"/>
          <w:szCs w:val="20"/>
          <w:color w:val="auto"/>
        </w:rPr>
      </w:pPr>
      <w:r>
        <w:rPr>
          <w:rFonts w:ascii="Times New Roman" w:cs="Times New Roman" w:eastAsia="Times New Roman" w:hAnsi="Times New Roman"/>
          <w:sz w:val="13"/>
          <w:szCs w:val="13"/>
          <w:color w:val="auto"/>
        </w:rPr>
        <w:t>Tambe, P.V., Daswani, P.G., Ghadge, A.A., Mistry, N.F., Antia, N.H., 2008. A community-based bacteriological study of drinking water quality and its feedback to a rural community in Western Maharashtra, India. Journal of Health Population and Nutrition 26, 139–150.</w:t>
      </w:r>
    </w:p>
    <w:p>
      <w:pPr>
        <w:spacing w:after="0" w:line="14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Valiathan, M.S., 2006. Towards Ayurvedic Biology—A Decadal Vision Document.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Indian Academy of Sciences, Bangalore, p. 37.</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Waghchaure, C.K., Tetali, P., Gunale, V.R., Antia, N.H., Birdi, T.J., 2006. Sacred groves of Parinche Valley of Pune district of Maharashtra, India and their importance. Anthropology and Medicine 13, 56–76.</w:t>
      </w:r>
    </w:p>
    <w:p>
      <w:pPr>
        <w:spacing w:after="0" w:line="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Warrier, P.K., Nambiar, V.P.K., Ramankutty, C., 1993–1996. Indian Medicinal Plants—A Compendium of 500 Species, vols. 1–5. Orient Longman, India.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World Health Organization, 2004. World Health Report. WHO, Geneva, p. 120–125.</w:t>
      </w:r>
    </w:p>
    <w:sectPr>
      <w:pgSz w:w="11900" w:h="15874" w:orient="portrait"/>
      <w:cols w:equalWidth="0" w:num="2">
        <w:col w:w="5020" w:space="360"/>
        <w:col w:w="5040"/>
      </w:cols>
      <w:pgMar w:left="640" w:top="717"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a"/>
      <w:numFmt w:val="bullet"/>
      <w:start w:val="1"/>
    </w:lvl>
  </w:abstractNum>
  <w:abstractNum w:abstractNumId="1">
    <w:nsid w:val="238E1F29"/>
    <w:multiLevelType w:val="hybridMultilevel"/>
    <w:lvl w:ilvl="0">
      <w:lvlJc w:val="left"/>
      <w:lvlText w:val=" "/>
      <w:numFmt w:val="bullet"/>
      <w:start w:val="1"/>
    </w:lvl>
  </w:abstractNum>
  <w:abstractNum w:abstractNumId="2">
    <w:nsid w:val="46E87CCD"/>
    <w:multiLevelType w:val="hybridMultilevel"/>
    <w:lvl w:ilvl="0">
      <w:lvlJc w:val="left"/>
      <w:lvlText w:val="(%1)"/>
      <w:numFmt w:val="decimal"/>
      <w:start w:val="1"/>
    </w:lvl>
    <w:lvl w:ilvl="1">
      <w:lvlJc w:val="left"/>
      <w:lvlText w:val="(%2)"/>
      <w:numFmt w:val="lowerLetter"/>
      <w:start w:val="1"/>
    </w:lvl>
  </w:abstractNum>
  <w:abstractNum w:abstractNumId="3">
    <w:nsid w:val="3D1B58BA"/>
    <w:multiLevelType w:val="hybridMultilevel"/>
    <w:lvl w:ilvl="0">
      <w:lvlJc w:val="left"/>
      <w:lvlText w:val="a"/>
      <w:numFmt w:val="bullet"/>
      <w:start w:val="1"/>
    </w:lvl>
  </w:abstractNum>
  <w:abstractNum w:abstractNumId="4">
    <w:nsid w:val="507ED7AB"/>
    <w:multiLevelType w:val="hybridMultilevel"/>
    <w:lvl w:ilvl="0">
      <w:lvlJc w:val="left"/>
      <w:lvlText w:val="a"/>
      <w:numFmt w:val="bullet"/>
      <w:start w:val="1"/>
    </w:lvl>
  </w:abstractNum>
  <w:abstractNum w:abstractNumId="5">
    <w:nsid w:val="2EB141F2"/>
    <w:multiLevelType w:val="hybridMultilevel"/>
    <w:lvl w:ilvl="0">
      <w:lvlJc w:val="left"/>
      <w:lvlText w:val="a"/>
      <w:numFmt w:val="bullet"/>
      <w:start w:val="1"/>
    </w:lvl>
  </w:abstractNum>
  <w:abstractNum w:abstractNumId="6">
    <w:nsid w:val="41B71EFB"/>
    <w:multiLevelType w:val="hybridMultilevel"/>
    <w:lvl w:ilvl="0">
      <w:lvlJc w:val="left"/>
      <w:lvlText w:val="\endash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2020-09-15T05:06:19Z</dcterms:created>
  <dcterms:modified xsi:type="dcterms:W3CDTF">2020-09-15T05:06:19Z</dcterms:modified>
</cp:coreProperties>
</file>