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4"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435610" cy="1005840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5610" cy="10058400"/>
                        </a:xfrm>
                        <a:prstGeom prst="rect">
                          <a:avLst/>
                        </a:prstGeom>
                        <a:solidFill>
                          <a:srgbClr val="BDE2D4"/>
                        </a:solidFill>
                      </wps:spPr>
                      <wps:bodyPr/>
                    </wps:wsp>
                  </a:graphicData>
                </a:graphic>
              </wp:anchor>
            </w:drawing>
          </mc:Choice>
          <mc:Fallback>
            <w:pict>
              <v:rect id="Shape 1" o:spid="_x0000_s1026" style="position:absolute;margin-left:0pt;margin-top:0pt;width:34.3pt;height:792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BDE2D4" stroked="f">
                <w10:wrap anchorx="page" anchory="page"/>
              </v:rect>
            </w:pict>
          </mc:Fallback>
        </mc:AlternateContent>
      </w:r>
    </w:p>
    <w:tbl>
      <w:tblPr>
        <w:tblLayout w:type="fixed"/>
        <w:tblInd w:w="0" w:type="dxa"/>
        <w:tblCellMar>
          <w:top w:w="0" w:type="dxa"/>
          <w:left w:w="0" w:type="dxa"/>
          <w:bottom w:w="0" w:type="dxa"/>
          <w:right w:w="0" w:type="dxa"/>
        </w:tblCellMar>
      </w:tblPr>
      <w:tr>
        <w:trPr>
          <w:trHeight w:val="2260"/>
        </w:trPr>
        <w:tc>
          <w:tcPr>
            <w:tcW w:w="310" w:type="dxa"/>
            <w:vAlign w:val="bottom"/>
            <w:textDirection w:val="btLr"/>
          </w:tcPr>
          <w:p>
            <w:pPr>
              <w:spacing w:after="0"/>
              <w:rPr>
                <w:sz w:val="20"/>
                <w:szCs w:val="20"/>
                <w:color w:val="auto"/>
              </w:rPr>
            </w:pPr>
            <w:r>
              <w:rPr>
                <w:rFonts w:ascii="Arial" w:cs="Arial" w:eastAsia="Arial" w:hAnsi="Arial"/>
                <w:sz w:val="27"/>
                <w:szCs w:val="27"/>
                <w:b w:val="1"/>
                <w:bCs w:val="1"/>
                <w:color w:val="6D6E71"/>
              </w:rPr>
              <w:t>Agrometeorology</w:t>
            </w:r>
          </w:p>
        </w:tc>
      </w:tr>
    </w:tbl>
    <w:p>
      <w:pPr>
        <w:spacing w:after="0" w:line="20" w:lineRule="exact"/>
        <w:rPr>
          <w:sz w:val="24"/>
          <w:szCs w:val="24"/>
          <w:color w:val="auto"/>
        </w:rPr>
      </w:pPr>
      <w:r>
        <w:rPr>
          <w:sz w:val="24"/>
          <w:szCs w:val="24"/>
          <w:color w:val="auto"/>
        </w:rPr>
        <w:br w:type="column"/>
      </w:r>
    </w:p>
    <w:p>
      <w:pPr>
        <w:spacing w:after="0"/>
        <w:rPr>
          <w:sz w:val="20"/>
          <w:szCs w:val="20"/>
          <w:color w:val="auto"/>
        </w:rPr>
      </w:pPr>
      <w:r>
        <w:rPr>
          <w:rFonts w:ascii="Arial" w:cs="Arial" w:eastAsia="Arial" w:hAnsi="Arial"/>
          <w:sz w:val="14"/>
          <w:szCs w:val="14"/>
          <w:color w:val="auto"/>
        </w:rPr>
        <w:t>DOI: http://dx.doi.org/10.1590/1678-992X-2018-0275</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2540</wp:posOffset>
            </wp:positionH>
            <wp:positionV relativeFrom="paragraph">
              <wp:posOffset>-462915</wp:posOffset>
            </wp:positionV>
            <wp:extent cx="6132830" cy="5276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6132830" cy="527685"/>
                    </a:xfrm>
                    <a:prstGeom prst="rect">
                      <a:avLst/>
                    </a:prstGeom>
                    <a:noFill/>
                  </pic:spPr>
                </pic:pic>
              </a:graphicData>
            </a:graphic>
          </wp:anchor>
        </w:drawing>
      </w:r>
    </w:p>
    <w:p>
      <w:pPr>
        <w:spacing w:after="0" w:line="104" w:lineRule="exact"/>
        <w:rPr>
          <w:sz w:val="24"/>
          <w:szCs w:val="24"/>
          <w:color w:val="auto"/>
        </w:rPr>
      </w:pPr>
    </w:p>
    <w:p>
      <w:pPr>
        <w:spacing w:after="0"/>
        <w:tabs>
          <w:tab w:leader="none" w:pos="8300" w:val="left"/>
        </w:tabs>
        <w:rPr>
          <w:sz w:val="20"/>
          <w:szCs w:val="20"/>
          <w:color w:val="auto"/>
        </w:rPr>
      </w:pPr>
      <w:r>
        <w:rPr>
          <w:rFonts w:ascii="Arial" w:cs="Arial" w:eastAsia="Arial" w:hAnsi="Arial"/>
          <w:sz w:val="12"/>
          <w:szCs w:val="12"/>
          <w:color w:val="6D6E71"/>
        </w:rPr>
        <w:t>ISSN 1678-992X</w:t>
      </w:r>
      <w:r>
        <w:rPr>
          <w:sz w:val="20"/>
          <w:szCs w:val="20"/>
          <w:color w:val="auto"/>
        </w:rPr>
        <w:tab/>
      </w:r>
      <w:r>
        <w:rPr>
          <w:rFonts w:ascii="Arial" w:cs="Arial" w:eastAsia="Arial" w:hAnsi="Arial"/>
          <w:sz w:val="16"/>
          <w:szCs w:val="16"/>
          <w:b w:val="1"/>
          <w:bCs w:val="1"/>
          <w:color w:val="939598"/>
        </w:rPr>
        <w:t>Research Article</w:t>
      </w:r>
    </w:p>
    <w:p>
      <w:pPr>
        <w:spacing w:after="0" w:line="183" w:lineRule="exact"/>
        <w:rPr>
          <w:sz w:val="24"/>
          <w:szCs w:val="24"/>
          <w:color w:val="auto"/>
        </w:rPr>
      </w:pPr>
    </w:p>
    <w:p>
      <w:pPr>
        <w:spacing w:after="0"/>
        <w:rPr>
          <w:sz w:val="20"/>
          <w:szCs w:val="20"/>
          <w:color w:val="auto"/>
        </w:rPr>
      </w:pPr>
      <w:r>
        <w:rPr>
          <w:rFonts w:ascii="Arial" w:cs="Arial" w:eastAsia="Arial" w:hAnsi="Arial"/>
          <w:sz w:val="24"/>
          <w:szCs w:val="24"/>
          <w:b w:val="1"/>
          <w:bCs w:val="1"/>
          <w:color w:val="00B085"/>
        </w:rPr>
        <w:t>Assessing climate change effects on gladiola in Southern Brazil</w:t>
      </w:r>
    </w:p>
    <w:p>
      <w:pPr>
        <w:spacing w:after="0" w:line="240" w:lineRule="exact"/>
        <w:rPr>
          <w:sz w:val="24"/>
          <w:szCs w:val="24"/>
          <w:color w:val="auto"/>
        </w:rPr>
      </w:pPr>
    </w:p>
    <w:p>
      <w:pPr>
        <w:ind w:right="280"/>
        <w:spacing w:after="0" w:line="294" w:lineRule="auto"/>
        <w:rPr>
          <w:rFonts w:ascii="Arial" w:cs="Arial" w:eastAsia="Arial" w:hAnsi="Arial"/>
          <w:sz w:val="17"/>
          <w:szCs w:val="17"/>
          <w:color w:val="auto"/>
        </w:rPr>
      </w:pPr>
      <w:r>
        <w:rPr>
          <w:rFonts w:ascii="Arial" w:cs="Arial" w:eastAsia="Arial" w:hAnsi="Arial"/>
          <w:sz w:val="17"/>
          <w:szCs w:val="17"/>
          <w:color w:val="auto"/>
        </w:rPr>
        <w:t>Camila Coelho Becker</w:t>
      </w:r>
      <w:r>
        <w:rPr>
          <w:rFonts w:ascii="Arial" w:cs="Arial" w:eastAsia="Arial" w:hAnsi="Arial"/>
          <w:sz w:val="9"/>
          <w:szCs w:val="9"/>
          <w:color w:val="auto"/>
        </w:rPr>
        <w:t>1</w:t>
      </w:r>
      <w:r>
        <w:rPr>
          <w:rFonts w:ascii="Arial" w:cs="Arial" w:eastAsia="Arial" w:hAnsi="Arial"/>
          <w:sz w:val="17"/>
          <w:szCs w:val="17"/>
          <w:color w:val="auto"/>
        </w:rPr>
        <w:t>*</w:t>
      </w:r>
      <w:r>
        <w:rPr>
          <w:sz w:val="1"/>
          <w:szCs w:val="1"/>
          <w:color w:val="auto"/>
        </w:rPr>
        <w:drawing>
          <wp:inline distT="0" distB="0" distL="0" distR="0">
            <wp:extent cx="87630" cy="8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10">
        <w:r>
          <w:rPr>
            <w:rFonts w:ascii="Arial" w:cs="Arial" w:eastAsia="Arial" w:hAnsi="Arial"/>
            <w:sz w:val="17"/>
            <w:szCs w:val="17"/>
            <w:color w:val="auto"/>
          </w:rPr>
          <w:t xml:space="preserve">, </w:t>
        </w:r>
      </w:hyperlink>
      <w:r>
        <w:rPr>
          <w:rFonts w:ascii="Arial" w:cs="Arial" w:eastAsia="Arial" w:hAnsi="Arial"/>
          <w:sz w:val="17"/>
          <w:szCs w:val="17"/>
          <w:color w:val="auto"/>
        </w:rPr>
        <w:t>Nereu Augusto Streck</w:t>
      </w:r>
      <w:hyperlink r:id="rId11">
        <w:r>
          <w:rPr>
            <w:rFonts w:ascii="Arial" w:cs="Arial" w:eastAsia="Arial" w:hAnsi="Arial"/>
            <w:sz w:val="9"/>
            <w:szCs w:val="9"/>
            <w:color w:val="auto"/>
          </w:rPr>
          <w:t>1</w:t>
        </w:r>
      </w:hyperlink>
      <w:r>
        <w:rPr>
          <w:rFonts w:ascii="Arial" w:cs="Arial" w:eastAsia="Arial" w:hAnsi="Arial"/>
          <w:sz w:val="1"/>
          <w:szCs w:val="1"/>
          <w:color w:val="auto"/>
        </w:rPr>
        <w:drawing>
          <wp:inline distT="0" distB="0" distL="0" distR="0">
            <wp:extent cx="87630" cy="8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11">
        <w:r>
          <w:rPr>
            <w:rFonts w:ascii="Arial" w:cs="Arial" w:eastAsia="Arial" w:hAnsi="Arial"/>
            <w:sz w:val="17"/>
            <w:szCs w:val="17"/>
            <w:color w:val="auto"/>
          </w:rPr>
          <w:t xml:space="preserve">, </w:t>
        </w:r>
      </w:hyperlink>
      <w:r>
        <w:rPr>
          <w:rFonts w:ascii="Arial" w:cs="Arial" w:eastAsia="Arial" w:hAnsi="Arial"/>
          <w:sz w:val="17"/>
          <w:szCs w:val="17"/>
          <w:color w:val="auto"/>
        </w:rPr>
        <w:t>Lilian Osmari Uhlmann</w:t>
      </w:r>
      <w:hyperlink r:id="rId13">
        <w:r>
          <w:rPr>
            <w:rFonts w:ascii="Arial" w:cs="Arial" w:eastAsia="Arial" w:hAnsi="Arial"/>
            <w:sz w:val="9"/>
            <w:szCs w:val="9"/>
            <w:color w:val="auto"/>
          </w:rPr>
          <w:t>1</w:t>
        </w:r>
      </w:hyperlink>
      <w:r>
        <w:rPr>
          <w:rFonts w:ascii="Arial" w:cs="Arial" w:eastAsia="Arial" w:hAnsi="Arial"/>
          <w:sz w:val="1"/>
          <w:szCs w:val="1"/>
          <w:color w:val="auto"/>
        </w:rPr>
        <w:drawing>
          <wp:inline distT="0" distB="0" distL="0" distR="0">
            <wp:extent cx="87630" cy="86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13">
        <w:r>
          <w:rPr>
            <w:rFonts w:ascii="Arial" w:cs="Arial" w:eastAsia="Arial" w:hAnsi="Arial"/>
            <w:sz w:val="17"/>
            <w:szCs w:val="17"/>
            <w:color w:val="auto"/>
          </w:rPr>
          <w:t xml:space="preserve">, </w:t>
        </w:r>
      </w:hyperlink>
      <w:r>
        <w:rPr>
          <w:rFonts w:ascii="Arial" w:cs="Arial" w:eastAsia="Arial" w:hAnsi="Arial"/>
          <w:sz w:val="17"/>
          <w:szCs w:val="17"/>
          <w:color w:val="auto"/>
        </w:rPr>
        <w:t>Jossana Ceolin Cera</w:t>
      </w:r>
      <w:hyperlink r:id="rId15">
        <w:r>
          <w:rPr>
            <w:rFonts w:ascii="Arial" w:cs="Arial" w:eastAsia="Arial" w:hAnsi="Arial"/>
            <w:sz w:val="9"/>
            <w:szCs w:val="9"/>
            <w:color w:val="auto"/>
          </w:rPr>
          <w:t>2</w:t>
        </w:r>
      </w:hyperlink>
      <w:r>
        <w:rPr>
          <w:rFonts w:ascii="Arial" w:cs="Arial" w:eastAsia="Arial" w:hAnsi="Arial"/>
          <w:sz w:val="1"/>
          <w:szCs w:val="1"/>
          <w:color w:val="auto"/>
        </w:rPr>
        <w:drawing>
          <wp:inline distT="0" distB="0" distL="0" distR="0">
            <wp:extent cx="87630" cy="8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15">
        <w:r>
          <w:rPr>
            <w:rFonts w:ascii="Arial" w:cs="Arial" w:eastAsia="Arial" w:hAnsi="Arial"/>
            <w:sz w:val="17"/>
            <w:szCs w:val="17"/>
            <w:color w:val="auto"/>
          </w:rPr>
          <w:t xml:space="preserve">, </w:t>
        </w:r>
      </w:hyperlink>
      <w:r>
        <w:rPr>
          <w:rFonts w:ascii="Arial" w:cs="Arial" w:eastAsia="Arial" w:hAnsi="Arial"/>
          <w:sz w:val="17"/>
          <w:szCs w:val="17"/>
          <w:color w:val="auto"/>
        </w:rPr>
        <w:t>Simone Erotildes Teleginski Ferraz</w:t>
      </w:r>
      <w:hyperlink r:id="rId17">
        <w:r>
          <w:rPr>
            <w:rFonts w:ascii="Arial" w:cs="Arial" w:eastAsia="Arial" w:hAnsi="Arial"/>
            <w:sz w:val="9"/>
            <w:szCs w:val="9"/>
            <w:color w:val="auto"/>
          </w:rPr>
          <w:t>3</w:t>
        </w:r>
      </w:hyperlink>
      <w:r>
        <w:rPr>
          <w:rFonts w:ascii="Arial" w:cs="Arial" w:eastAsia="Arial" w:hAnsi="Arial"/>
          <w:sz w:val="1"/>
          <w:szCs w:val="1"/>
          <w:color w:val="auto"/>
        </w:rPr>
        <w:drawing>
          <wp:inline distT="0" distB="0" distL="0" distR="0">
            <wp:extent cx="87630" cy="8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17">
        <w:r>
          <w:rPr>
            <w:rFonts w:ascii="Arial" w:cs="Arial" w:eastAsia="Arial" w:hAnsi="Arial"/>
            <w:sz w:val="17"/>
            <w:szCs w:val="17"/>
            <w:color w:val="auto"/>
          </w:rPr>
          <w:t xml:space="preserve">, </w:t>
        </w:r>
      </w:hyperlink>
      <w:r>
        <w:rPr>
          <w:rFonts w:ascii="Arial" w:cs="Arial" w:eastAsia="Arial" w:hAnsi="Arial"/>
          <w:sz w:val="17"/>
          <w:szCs w:val="17"/>
          <w:color w:val="auto"/>
        </w:rPr>
        <w:t>Waleska Bolson Silveira</w:t>
      </w:r>
      <w:hyperlink r:id="rId19">
        <w:r>
          <w:rPr>
            <w:rFonts w:ascii="Arial" w:cs="Arial" w:eastAsia="Arial" w:hAnsi="Arial"/>
            <w:sz w:val="9"/>
            <w:szCs w:val="9"/>
            <w:color w:val="auto"/>
          </w:rPr>
          <w:t>1</w:t>
        </w:r>
      </w:hyperlink>
      <w:r>
        <w:rPr>
          <w:rFonts w:ascii="Arial" w:cs="Arial" w:eastAsia="Arial" w:hAnsi="Arial"/>
          <w:sz w:val="1"/>
          <w:szCs w:val="1"/>
          <w:color w:val="auto"/>
        </w:rPr>
        <w:drawing>
          <wp:inline distT="0" distB="0" distL="0" distR="0">
            <wp:extent cx="87630" cy="86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19">
        <w:r>
          <w:rPr>
            <w:rFonts w:ascii="Arial" w:cs="Arial" w:eastAsia="Arial" w:hAnsi="Arial"/>
            <w:sz w:val="17"/>
            <w:szCs w:val="17"/>
            <w:color w:val="auto"/>
          </w:rPr>
          <w:t xml:space="preserve">, </w:t>
        </w:r>
      </w:hyperlink>
      <w:r>
        <w:rPr>
          <w:rFonts w:ascii="Arial" w:cs="Arial" w:eastAsia="Arial" w:hAnsi="Arial"/>
          <w:sz w:val="17"/>
          <w:szCs w:val="17"/>
          <w:color w:val="auto"/>
        </w:rPr>
        <w:t>Darlan Scapini Balest</w:t>
      </w:r>
      <w:hyperlink r:id="rId21">
        <w:r>
          <w:rPr>
            <w:rFonts w:ascii="Arial" w:cs="Arial" w:eastAsia="Arial" w:hAnsi="Arial"/>
            <w:sz w:val="9"/>
            <w:szCs w:val="9"/>
            <w:color w:val="auto"/>
          </w:rPr>
          <w:t>1</w:t>
        </w:r>
      </w:hyperlink>
      <w:r>
        <w:rPr>
          <w:rFonts w:ascii="Arial" w:cs="Arial" w:eastAsia="Arial" w:hAnsi="Arial"/>
          <w:sz w:val="1"/>
          <w:szCs w:val="1"/>
          <w:color w:val="auto"/>
        </w:rPr>
        <w:drawing>
          <wp:inline distT="0" distB="0" distL="0" distR="0">
            <wp:extent cx="87630" cy="86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hyperlink r:id="rId21">
        <w:r>
          <w:rPr>
            <w:rFonts w:ascii="Arial" w:cs="Arial" w:eastAsia="Arial" w:hAnsi="Arial"/>
            <w:sz w:val="17"/>
            <w:szCs w:val="17"/>
            <w:color w:val="auto"/>
          </w:rPr>
          <w:t xml:space="preserve">, </w:t>
        </w:r>
      </w:hyperlink>
      <w:r>
        <w:rPr>
          <w:rFonts w:ascii="Arial" w:cs="Arial" w:eastAsia="Arial" w:hAnsi="Arial"/>
          <w:sz w:val="17"/>
          <w:szCs w:val="17"/>
          <w:color w:val="auto"/>
        </w:rPr>
        <w:t>Lucas Ferreira da Silva</w:t>
      </w:r>
      <w:hyperlink r:id="rId23">
        <w:r>
          <w:rPr>
            <w:rFonts w:ascii="Arial" w:cs="Arial" w:eastAsia="Arial" w:hAnsi="Arial"/>
            <w:sz w:val="9"/>
            <w:szCs w:val="9"/>
            <w:color w:val="auto"/>
          </w:rPr>
          <w:t>4</w:t>
        </w:r>
      </w:hyperlink>
      <w:r>
        <w:rPr>
          <w:rFonts w:ascii="Arial" w:cs="Arial" w:eastAsia="Arial" w:hAnsi="Arial"/>
          <w:sz w:val="1"/>
          <w:szCs w:val="1"/>
          <w:color w:val="auto"/>
        </w:rPr>
        <w:drawing>
          <wp:inline distT="0" distB="0" distL="0" distR="0">
            <wp:extent cx="87630" cy="8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extLst>
                    </a:blip>
                    <a:srcRect/>
                    <a:stretch>
                      <a:fillRect/>
                    </a:stretch>
                  </pic:blipFill>
                  <pic:spPr bwMode="auto">
                    <a:xfrm>
                      <a:off x="0" y="0"/>
                      <a:ext cx="87630" cy="86360"/>
                    </a:xfrm>
                    <a:prstGeom prst="rect">
                      <a:avLst/>
                    </a:prstGeom>
                    <a:noFill/>
                    <a:ln>
                      <a:noFill/>
                    </a:ln>
                  </pic:spPr>
                </pic:pic>
              </a:graphicData>
            </a:graphic>
          </wp:inline>
        </w:drawing>
      </w:r>
    </w:p>
    <w:p>
      <w:pPr>
        <w:spacing w:after="0" w:line="354" w:lineRule="exact"/>
        <w:rPr>
          <w:rFonts w:ascii="Arial" w:cs="Arial" w:eastAsia="Arial" w:hAnsi="Arial"/>
          <w:sz w:val="17"/>
          <w:szCs w:val="17"/>
          <w:color w:val="auto"/>
        </w:rPr>
      </w:pPr>
    </w:p>
    <w:tbl>
      <w:tblPr>
        <w:tblLayout w:type="fixed"/>
        <w:tblInd w:w="0" w:type="dxa"/>
        <w:tblCellMar>
          <w:top w:w="0" w:type="dxa"/>
          <w:left w:w="0" w:type="dxa"/>
          <w:bottom w:w="0" w:type="dxa"/>
          <w:right w:w="0" w:type="dxa"/>
        </w:tblCellMar>
      </w:tblPr>
      <w:tr>
        <w:trPr>
          <w:trHeight w:val="256"/>
        </w:trPr>
        <w:tc>
          <w:tcPr>
            <w:tcW w:w="3700" w:type="dxa"/>
            <w:vAlign w:val="bottom"/>
            <w:tcBorders>
              <w:right w:val="single" w:sz="8" w:color="00B085"/>
            </w:tcBorders>
          </w:tcPr>
          <w:p>
            <w:pPr>
              <w:spacing w:after="0"/>
              <w:rPr>
                <w:sz w:val="20"/>
                <w:szCs w:val="20"/>
                <w:color w:val="auto"/>
              </w:rPr>
            </w:pPr>
            <w:r>
              <w:rPr>
                <w:rFonts w:ascii="Arial" w:cs="Arial" w:eastAsia="Arial" w:hAnsi="Arial"/>
                <w:sz w:val="8"/>
                <w:szCs w:val="8"/>
                <w:color w:val="auto"/>
              </w:rPr>
              <w:t>1</w:t>
            </w:r>
            <w:r>
              <w:rPr>
                <w:rFonts w:ascii="Arial" w:cs="Arial" w:eastAsia="Arial" w:hAnsi="Arial"/>
                <w:sz w:val="14"/>
                <w:szCs w:val="14"/>
                <w:color w:val="auto"/>
              </w:rPr>
              <w:t>Universidade Federal de Santa Maria/CCR – Depto. de</w:t>
            </w:r>
          </w:p>
        </w:tc>
        <w:tc>
          <w:tcPr>
            <w:tcW w:w="5940" w:type="dxa"/>
            <w:vAlign w:val="bottom"/>
          </w:tcPr>
          <w:p>
            <w:pPr>
              <w:ind w:left="160"/>
              <w:spacing w:after="0"/>
              <w:rPr>
                <w:sz w:val="20"/>
                <w:szCs w:val="20"/>
                <w:color w:val="auto"/>
              </w:rPr>
            </w:pPr>
            <w:r>
              <w:rPr>
                <w:rFonts w:ascii="Arial" w:cs="Arial" w:eastAsia="Arial" w:hAnsi="Arial"/>
                <w:sz w:val="15"/>
                <w:szCs w:val="15"/>
                <w:b w:val="1"/>
                <w:bCs w:val="1"/>
                <w:color w:val="auto"/>
                <w:w w:val="89"/>
              </w:rPr>
              <w:t>ABSTRACT</w:t>
            </w:r>
            <w:r>
              <w:rPr>
                <w:rFonts w:ascii="Arial" w:cs="Arial" w:eastAsia="Arial" w:hAnsi="Arial"/>
                <w:sz w:val="15"/>
                <w:szCs w:val="15"/>
                <w:color w:val="auto"/>
                <w:w w:val="89"/>
              </w:rPr>
              <w:t>: Gladiola (</w:t>
            </w:r>
            <w:r>
              <w:rPr>
                <w:rFonts w:ascii="Arial" w:cs="Arial" w:eastAsia="Arial" w:hAnsi="Arial"/>
                <w:sz w:val="15"/>
                <w:szCs w:val="15"/>
                <w:i w:val="1"/>
                <w:iCs w:val="1"/>
                <w:color w:val="auto"/>
                <w:w w:val="89"/>
              </w:rPr>
              <w:t>Gladiolus</w:t>
            </w:r>
            <w:r>
              <w:rPr>
                <w:rFonts w:ascii="Arial" w:cs="Arial" w:eastAsia="Arial" w:hAnsi="Arial"/>
                <w:sz w:val="15"/>
                <w:szCs w:val="15"/>
                <w:b w:val="1"/>
                <w:bCs w:val="1"/>
                <w:color w:val="auto"/>
                <w:w w:val="89"/>
              </w:rPr>
              <w:t xml:space="preserve"> </w:t>
            </w:r>
            <w:r>
              <w:rPr>
                <w:rFonts w:ascii="Arial" w:cs="Arial" w:eastAsia="Arial" w:hAnsi="Arial"/>
                <w:sz w:val="15"/>
                <w:szCs w:val="15"/>
                <w:color w:val="auto"/>
                <w:w w:val="89"/>
              </w:rPr>
              <w:t>×</w:t>
            </w:r>
            <w:r>
              <w:rPr>
                <w:rFonts w:ascii="Arial" w:cs="Arial" w:eastAsia="Arial" w:hAnsi="Arial"/>
                <w:sz w:val="15"/>
                <w:szCs w:val="15"/>
                <w:b w:val="1"/>
                <w:bCs w:val="1"/>
                <w:color w:val="auto"/>
                <w:w w:val="89"/>
              </w:rPr>
              <w:t xml:space="preserve"> </w:t>
            </w:r>
            <w:r>
              <w:rPr>
                <w:rFonts w:ascii="Arial" w:cs="Arial" w:eastAsia="Arial" w:hAnsi="Arial"/>
                <w:sz w:val="15"/>
                <w:szCs w:val="15"/>
                <w:i w:val="1"/>
                <w:iCs w:val="1"/>
                <w:color w:val="auto"/>
                <w:w w:val="89"/>
              </w:rPr>
              <w:t>grandiflorus</w:t>
            </w:r>
            <w:r>
              <w:rPr>
                <w:rFonts w:ascii="Arial" w:cs="Arial" w:eastAsia="Arial" w:hAnsi="Arial"/>
                <w:sz w:val="15"/>
                <w:szCs w:val="15"/>
                <w:b w:val="1"/>
                <w:bCs w:val="1"/>
                <w:color w:val="auto"/>
                <w:w w:val="89"/>
              </w:rPr>
              <w:t xml:space="preserve"> </w:t>
            </w:r>
            <w:r>
              <w:rPr>
                <w:rFonts w:ascii="Arial" w:cs="Arial" w:eastAsia="Arial" w:hAnsi="Arial"/>
                <w:sz w:val="15"/>
                <w:szCs w:val="15"/>
                <w:color w:val="auto"/>
                <w:w w:val="89"/>
              </w:rPr>
              <w:t>Hort.) is an important cut flower for small farmers</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Fitotecnia, Av. Roraima, 1000 – 97105-900 – Santa Maria,</w:t>
            </w:r>
          </w:p>
        </w:tc>
        <w:tc>
          <w:tcPr>
            <w:tcW w:w="5940" w:type="dxa"/>
            <w:vAlign w:val="bottom"/>
          </w:tcPr>
          <w:p>
            <w:pPr>
              <w:ind w:left="160"/>
              <w:spacing w:after="0"/>
              <w:rPr>
                <w:sz w:val="20"/>
                <w:szCs w:val="20"/>
                <w:color w:val="auto"/>
              </w:rPr>
            </w:pPr>
            <w:r>
              <w:rPr>
                <w:rFonts w:ascii="Arial" w:cs="Arial" w:eastAsia="Arial" w:hAnsi="Arial"/>
                <w:sz w:val="15"/>
                <w:szCs w:val="15"/>
                <w:color w:val="auto"/>
                <w:w w:val="84"/>
              </w:rPr>
              <w:t>in Brazil. While the El Niño Southern Oscillation, which causes interannual variability to air temperature</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RS – Brasil.</w:t>
            </w:r>
          </w:p>
        </w:tc>
        <w:tc>
          <w:tcPr>
            <w:tcW w:w="5940" w:type="dxa"/>
            <w:vAlign w:val="bottom"/>
          </w:tcPr>
          <w:p>
            <w:pPr>
              <w:ind w:left="160"/>
              <w:spacing w:after="0"/>
              <w:rPr>
                <w:sz w:val="20"/>
                <w:szCs w:val="20"/>
                <w:color w:val="auto"/>
              </w:rPr>
            </w:pPr>
            <w:r>
              <w:rPr>
                <w:rFonts w:ascii="Arial" w:cs="Arial" w:eastAsia="Arial" w:hAnsi="Arial"/>
                <w:sz w:val="15"/>
                <w:szCs w:val="15"/>
                <w:color w:val="auto"/>
                <w:w w:val="86"/>
              </w:rPr>
              <w:t>in Southern Brazil, can shift the optimum planting window of gladiola, an increase in temperature due</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8"/>
                <w:szCs w:val="8"/>
                <w:color w:val="auto"/>
              </w:rPr>
              <w:t>2</w:t>
            </w:r>
            <w:r>
              <w:rPr>
                <w:rFonts w:ascii="Arial" w:cs="Arial" w:eastAsia="Arial" w:hAnsi="Arial"/>
                <w:sz w:val="14"/>
                <w:szCs w:val="14"/>
                <w:color w:val="auto"/>
              </w:rPr>
              <w:t>Instituto Rio Grandense do Arroz, Av. Missões, 342 –</w:t>
            </w:r>
          </w:p>
        </w:tc>
        <w:tc>
          <w:tcPr>
            <w:tcW w:w="5940" w:type="dxa"/>
            <w:vAlign w:val="bottom"/>
          </w:tcPr>
          <w:p>
            <w:pPr>
              <w:ind w:left="160"/>
              <w:spacing w:after="0"/>
              <w:rPr>
                <w:sz w:val="20"/>
                <w:szCs w:val="20"/>
                <w:color w:val="auto"/>
              </w:rPr>
            </w:pPr>
            <w:r>
              <w:rPr>
                <w:rFonts w:ascii="Arial" w:cs="Arial" w:eastAsia="Arial" w:hAnsi="Arial"/>
                <w:sz w:val="15"/>
                <w:szCs w:val="15"/>
                <w:color w:val="auto"/>
                <w:w w:val="93"/>
              </w:rPr>
              <w:t>to climate change can accelerate gladiola flowering and cause injuries by heat. The objective</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90230-100 – Porto Alegre, RS – Brasil.</w:t>
            </w:r>
          </w:p>
        </w:tc>
        <w:tc>
          <w:tcPr>
            <w:tcW w:w="5940" w:type="dxa"/>
            <w:vAlign w:val="bottom"/>
          </w:tcPr>
          <w:p>
            <w:pPr>
              <w:ind w:left="160"/>
              <w:spacing w:after="0"/>
              <w:rPr>
                <w:sz w:val="20"/>
                <w:szCs w:val="20"/>
                <w:color w:val="auto"/>
              </w:rPr>
            </w:pPr>
            <w:r>
              <w:rPr>
                <w:rFonts w:ascii="Arial" w:cs="Arial" w:eastAsia="Arial" w:hAnsi="Arial"/>
                <w:sz w:val="15"/>
                <w:szCs w:val="15"/>
                <w:color w:val="auto"/>
                <w:w w:val="93"/>
              </w:rPr>
              <w:t>of this study was to assess the potential climate change effects on gladiola optimum planting</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8"/>
                <w:szCs w:val="8"/>
                <w:color w:val="auto"/>
              </w:rPr>
              <w:t>3</w:t>
            </w:r>
            <w:r>
              <w:rPr>
                <w:rFonts w:ascii="Arial" w:cs="Arial" w:eastAsia="Arial" w:hAnsi="Arial"/>
                <w:sz w:val="14"/>
                <w:szCs w:val="14"/>
                <w:color w:val="auto"/>
              </w:rPr>
              <w:t>Universidade Federal de Santa Maria/CCNE – Depto. de</w:t>
            </w:r>
          </w:p>
        </w:tc>
        <w:tc>
          <w:tcPr>
            <w:tcW w:w="5940" w:type="dxa"/>
            <w:vAlign w:val="bottom"/>
          </w:tcPr>
          <w:p>
            <w:pPr>
              <w:ind w:left="160"/>
              <w:spacing w:after="0"/>
              <w:rPr>
                <w:sz w:val="20"/>
                <w:szCs w:val="20"/>
                <w:color w:val="auto"/>
              </w:rPr>
            </w:pPr>
            <w:r>
              <w:rPr>
                <w:rFonts w:ascii="Arial" w:cs="Arial" w:eastAsia="Arial" w:hAnsi="Arial"/>
                <w:sz w:val="15"/>
                <w:szCs w:val="15"/>
                <w:color w:val="auto"/>
                <w:w w:val="92"/>
              </w:rPr>
              <w:t>date for specific market dates and investigate injuries occurrence on spikes in the Rio Grande</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Física, Av. Roraima, 1000 – 97105-900 – Santa Maria, RS</w:t>
            </w:r>
          </w:p>
        </w:tc>
        <w:tc>
          <w:tcPr>
            <w:tcW w:w="5940" w:type="dxa"/>
            <w:vAlign w:val="bottom"/>
          </w:tcPr>
          <w:p>
            <w:pPr>
              <w:ind w:left="160"/>
              <w:spacing w:after="0"/>
              <w:rPr>
                <w:sz w:val="20"/>
                <w:szCs w:val="20"/>
                <w:color w:val="auto"/>
              </w:rPr>
            </w:pPr>
            <w:r>
              <w:rPr>
                <w:rFonts w:ascii="Arial" w:cs="Arial" w:eastAsia="Arial" w:hAnsi="Arial"/>
                <w:sz w:val="15"/>
                <w:szCs w:val="15"/>
                <w:color w:val="auto"/>
                <w:w w:val="87"/>
              </w:rPr>
              <w:t>do Sul State, Brazil. Field experiments were conducted from 2016 to 2018 at four different locations</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 Brasil.</w:t>
            </w:r>
          </w:p>
        </w:tc>
        <w:tc>
          <w:tcPr>
            <w:tcW w:w="5940" w:type="dxa"/>
            <w:vAlign w:val="bottom"/>
          </w:tcPr>
          <w:p>
            <w:pPr>
              <w:ind w:left="160"/>
              <w:spacing w:after="0"/>
              <w:rPr>
                <w:sz w:val="20"/>
                <w:szCs w:val="20"/>
                <w:color w:val="auto"/>
              </w:rPr>
            </w:pPr>
            <w:r>
              <w:rPr>
                <w:rFonts w:ascii="Arial" w:cs="Arial" w:eastAsia="Arial" w:hAnsi="Arial"/>
                <w:sz w:val="15"/>
                <w:szCs w:val="15"/>
                <w:color w:val="auto"/>
                <w:w w:val="84"/>
              </w:rPr>
              <w:t>across the Rio Grande do Sul State to evaluate the performance of the PhenoGlad model in simulating</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8"/>
                <w:szCs w:val="8"/>
                <w:color w:val="auto"/>
              </w:rPr>
              <w:t>4</w:t>
            </w:r>
            <w:r>
              <w:rPr>
                <w:rFonts w:ascii="Arial" w:cs="Arial" w:eastAsia="Arial" w:hAnsi="Arial"/>
                <w:sz w:val="14"/>
                <w:szCs w:val="14"/>
                <w:color w:val="auto"/>
              </w:rPr>
              <w:t>Universidade Federal de Santa Maria/CT – Depto. de</w:t>
            </w:r>
          </w:p>
        </w:tc>
        <w:tc>
          <w:tcPr>
            <w:tcW w:w="5940" w:type="dxa"/>
            <w:vAlign w:val="bottom"/>
          </w:tcPr>
          <w:p>
            <w:pPr>
              <w:ind w:left="160"/>
              <w:spacing w:after="0"/>
              <w:rPr>
                <w:sz w:val="20"/>
                <w:szCs w:val="20"/>
                <w:color w:val="auto"/>
              </w:rPr>
            </w:pPr>
            <w:r>
              <w:rPr>
                <w:rFonts w:ascii="Arial" w:cs="Arial" w:eastAsia="Arial" w:hAnsi="Arial"/>
                <w:sz w:val="15"/>
                <w:szCs w:val="15"/>
                <w:color w:val="auto"/>
                <w:w w:val="89"/>
              </w:rPr>
              <w:t>the developmental stages of gladiola. The PhenoGlad model was run on climate scenarios of the</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w w:val="98"/>
              </w:rPr>
              <w:t>Linguagens e Sistemas de Computação, Av. Roraima, 1000</w:t>
            </w:r>
          </w:p>
        </w:tc>
        <w:tc>
          <w:tcPr>
            <w:tcW w:w="5940" w:type="dxa"/>
            <w:vAlign w:val="bottom"/>
          </w:tcPr>
          <w:p>
            <w:pPr>
              <w:ind w:left="160"/>
              <w:spacing w:after="0"/>
              <w:rPr>
                <w:sz w:val="20"/>
                <w:szCs w:val="20"/>
                <w:color w:val="auto"/>
              </w:rPr>
            </w:pPr>
            <w:r>
              <w:rPr>
                <w:rFonts w:ascii="Arial" w:cs="Arial" w:eastAsia="Arial" w:hAnsi="Arial"/>
                <w:sz w:val="15"/>
                <w:szCs w:val="15"/>
                <w:color w:val="auto"/>
                <w:w w:val="90"/>
              </w:rPr>
              <w:t>Coupled Model Intercomparison Project Phase 5 (CMIP5) named RCP2.6, RCP4.5 and RCP8.5</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 97105-900 – Santa Maria, RS – Brasil.</w:t>
            </w:r>
          </w:p>
        </w:tc>
        <w:tc>
          <w:tcPr>
            <w:tcW w:w="5940" w:type="dxa"/>
            <w:vAlign w:val="bottom"/>
          </w:tcPr>
          <w:p>
            <w:pPr>
              <w:ind w:left="160"/>
              <w:spacing w:after="0"/>
              <w:rPr>
                <w:sz w:val="20"/>
                <w:szCs w:val="20"/>
                <w:color w:val="auto"/>
              </w:rPr>
            </w:pPr>
            <w:r>
              <w:rPr>
                <w:rFonts w:ascii="Arial" w:cs="Arial" w:eastAsia="Arial" w:hAnsi="Arial"/>
                <w:sz w:val="15"/>
                <w:szCs w:val="15"/>
                <w:color w:val="auto"/>
                <w:w w:val="90"/>
              </w:rPr>
              <w:t>scenarios. The climate change scenarios caused a delay in the optimum planting date to harvest</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*Corresponding author &lt;camilabecker07@hotmail.com&gt;</w:t>
            </w:r>
          </w:p>
        </w:tc>
        <w:tc>
          <w:tcPr>
            <w:tcW w:w="5940" w:type="dxa"/>
            <w:vAlign w:val="bottom"/>
          </w:tcPr>
          <w:p>
            <w:pPr>
              <w:ind w:left="160"/>
              <w:spacing w:after="0"/>
              <w:rPr>
                <w:sz w:val="20"/>
                <w:szCs w:val="20"/>
                <w:color w:val="auto"/>
              </w:rPr>
            </w:pPr>
            <w:r>
              <w:rPr>
                <w:rFonts w:ascii="Arial" w:cs="Arial" w:eastAsia="Arial" w:hAnsi="Arial"/>
                <w:sz w:val="15"/>
                <w:szCs w:val="15"/>
                <w:color w:val="auto"/>
                <w:w w:val="89"/>
              </w:rPr>
              <w:t>gladiola for All Souls’ Day across the Rio Grande do Sul State. For harvesting spikes for Mother’s</w:t>
            </w:r>
          </w:p>
        </w:tc>
      </w:tr>
      <w:tr>
        <w:trPr>
          <w:trHeight w:val="220"/>
        </w:trPr>
        <w:tc>
          <w:tcPr>
            <w:tcW w:w="3700" w:type="dxa"/>
            <w:vAlign w:val="bottom"/>
            <w:tcBorders>
              <w:right w:val="single" w:sz="8" w:color="00B085"/>
            </w:tcBorders>
          </w:tcPr>
          <w:p>
            <w:pPr>
              <w:spacing w:after="0"/>
              <w:rPr>
                <w:sz w:val="19"/>
                <w:szCs w:val="19"/>
                <w:color w:val="auto"/>
              </w:rPr>
            </w:pPr>
          </w:p>
        </w:tc>
        <w:tc>
          <w:tcPr>
            <w:tcW w:w="5940" w:type="dxa"/>
            <w:vAlign w:val="bottom"/>
          </w:tcPr>
          <w:p>
            <w:pPr>
              <w:ind w:left="160"/>
              <w:spacing w:after="0"/>
              <w:rPr>
                <w:sz w:val="20"/>
                <w:szCs w:val="20"/>
                <w:color w:val="auto"/>
              </w:rPr>
            </w:pPr>
            <w:r>
              <w:rPr>
                <w:rFonts w:ascii="Arial" w:cs="Arial" w:eastAsia="Arial" w:hAnsi="Arial"/>
                <w:sz w:val="15"/>
                <w:szCs w:val="15"/>
                <w:color w:val="auto"/>
                <w:w w:val="96"/>
              </w:rPr>
              <w:t>Day, negative anomalies (earliest planting date) occurred in the warmest regions, because</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Edited by: Gerrit Hoogenboom</w:t>
            </w:r>
          </w:p>
        </w:tc>
        <w:tc>
          <w:tcPr>
            <w:tcW w:w="5940" w:type="dxa"/>
            <w:vAlign w:val="bottom"/>
          </w:tcPr>
          <w:p>
            <w:pPr>
              <w:ind w:left="160"/>
              <w:spacing w:after="0"/>
              <w:rPr>
                <w:sz w:val="20"/>
                <w:szCs w:val="20"/>
                <w:color w:val="auto"/>
              </w:rPr>
            </w:pPr>
            <w:r>
              <w:rPr>
                <w:rFonts w:ascii="Arial" w:cs="Arial" w:eastAsia="Arial" w:hAnsi="Arial"/>
                <w:sz w:val="15"/>
                <w:szCs w:val="15"/>
                <w:color w:val="auto"/>
                <w:w w:val="92"/>
              </w:rPr>
              <w:t>the very high temperature extended the crop development. Injuries by heat on spikes reached</w:t>
            </w:r>
          </w:p>
        </w:tc>
      </w:tr>
      <w:tr>
        <w:trPr>
          <w:trHeight w:val="220"/>
        </w:trPr>
        <w:tc>
          <w:tcPr>
            <w:tcW w:w="3700" w:type="dxa"/>
            <w:vAlign w:val="bottom"/>
            <w:tcBorders>
              <w:right w:val="single" w:sz="8" w:color="00B085"/>
            </w:tcBorders>
          </w:tcPr>
          <w:p>
            <w:pPr>
              <w:spacing w:after="0"/>
              <w:rPr>
                <w:sz w:val="19"/>
                <w:szCs w:val="19"/>
                <w:color w:val="auto"/>
              </w:rPr>
            </w:pPr>
          </w:p>
        </w:tc>
        <w:tc>
          <w:tcPr>
            <w:tcW w:w="5940" w:type="dxa"/>
            <w:vAlign w:val="bottom"/>
          </w:tcPr>
          <w:p>
            <w:pPr>
              <w:ind w:left="160"/>
              <w:spacing w:after="0"/>
              <w:rPr>
                <w:sz w:val="20"/>
                <w:szCs w:val="20"/>
                <w:color w:val="auto"/>
              </w:rPr>
            </w:pPr>
            <w:r>
              <w:rPr>
                <w:rFonts w:ascii="Arial" w:cs="Arial" w:eastAsia="Arial" w:hAnsi="Arial"/>
                <w:sz w:val="15"/>
                <w:szCs w:val="15"/>
                <w:color w:val="auto"/>
                <w:w w:val="90"/>
              </w:rPr>
              <w:t>positive anomalies in 70 % of the years in the warmest regions for scenario RCP8.5. To harvest</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Received August 17, 2018</w:t>
            </w:r>
          </w:p>
        </w:tc>
        <w:tc>
          <w:tcPr>
            <w:tcW w:w="5940" w:type="dxa"/>
            <w:vAlign w:val="bottom"/>
          </w:tcPr>
          <w:p>
            <w:pPr>
              <w:ind w:left="160"/>
              <w:spacing w:after="0"/>
              <w:rPr>
                <w:sz w:val="20"/>
                <w:szCs w:val="20"/>
                <w:color w:val="auto"/>
              </w:rPr>
            </w:pPr>
            <w:r>
              <w:rPr>
                <w:rFonts w:ascii="Arial" w:cs="Arial" w:eastAsia="Arial" w:hAnsi="Arial"/>
                <w:sz w:val="15"/>
                <w:szCs w:val="15"/>
                <w:color w:val="auto"/>
                <w:w w:val="92"/>
              </w:rPr>
              <w:t>spikes for Mother’s Day, heat injury did not exceed 20 % of the years. Mitigation strategies for</w:t>
            </w:r>
          </w:p>
        </w:tc>
      </w:tr>
      <w:tr>
        <w:trPr>
          <w:trHeight w:val="220"/>
        </w:trPr>
        <w:tc>
          <w:tcPr>
            <w:tcW w:w="3700" w:type="dxa"/>
            <w:vAlign w:val="bottom"/>
            <w:tcBorders>
              <w:right w:val="single" w:sz="8" w:color="00B085"/>
            </w:tcBorders>
          </w:tcPr>
          <w:p>
            <w:pPr>
              <w:spacing w:after="0"/>
              <w:rPr>
                <w:sz w:val="20"/>
                <w:szCs w:val="20"/>
                <w:color w:val="auto"/>
              </w:rPr>
            </w:pPr>
            <w:r>
              <w:rPr>
                <w:rFonts w:ascii="Arial" w:cs="Arial" w:eastAsia="Arial" w:hAnsi="Arial"/>
                <w:sz w:val="14"/>
                <w:szCs w:val="14"/>
                <w:color w:val="auto"/>
              </w:rPr>
              <w:t>Accepted July 30, 2019</w:t>
            </w:r>
          </w:p>
        </w:tc>
        <w:tc>
          <w:tcPr>
            <w:tcW w:w="5940" w:type="dxa"/>
            <w:vAlign w:val="bottom"/>
          </w:tcPr>
          <w:p>
            <w:pPr>
              <w:ind w:left="160"/>
              <w:spacing w:after="0"/>
              <w:rPr>
                <w:sz w:val="20"/>
                <w:szCs w:val="20"/>
                <w:color w:val="auto"/>
              </w:rPr>
            </w:pPr>
            <w:r>
              <w:rPr>
                <w:rFonts w:ascii="Arial" w:cs="Arial" w:eastAsia="Arial" w:hAnsi="Arial"/>
                <w:sz w:val="15"/>
                <w:szCs w:val="15"/>
                <w:color w:val="auto"/>
                <w:w w:val="95"/>
              </w:rPr>
              <w:t>farmers to deal with climate change and keep their gladiola production include adjusting the</w:t>
            </w:r>
          </w:p>
        </w:tc>
      </w:tr>
      <w:tr>
        <w:trPr>
          <w:trHeight w:val="220"/>
        </w:trPr>
        <w:tc>
          <w:tcPr>
            <w:tcW w:w="3700" w:type="dxa"/>
            <w:vAlign w:val="bottom"/>
            <w:tcBorders>
              <w:right w:val="single" w:sz="8" w:color="00B085"/>
            </w:tcBorders>
          </w:tcPr>
          <w:p>
            <w:pPr>
              <w:spacing w:after="0"/>
              <w:rPr>
                <w:sz w:val="19"/>
                <w:szCs w:val="19"/>
                <w:color w:val="auto"/>
              </w:rPr>
            </w:pPr>
          </w:p>
        </w:tc>
        <w:tc>
          <w:tcPr>
            <w:tcW w:w="5940" w:type="dxa"/>
            <w:vAlign w:val="bottom"/>
          </w:tcPr>
          <w:p>
            <w:pPr>
              <w:ind w:left="160"/>
              <w:spacing w:after="0"/>
              <w:rPr>
                <w:sz w:val="20"/>
                <w:szCs w:val="20"/>
                <w:color w:val="auto"/>
              </w:rPr>
            </w:pPr>
            <w:r>
              <w:rPr>
                <w:rFonts w:ascii="Arial" w:cs="Arial" w:eastAsia="Arial" w:hAnsi="Arial"/>
                <w:sz w:val="15"/>
                <w:szCs w:val="15"/>
                <w:color w:val="auto"/>
              </w:rPr>
              <w:t>optimum planting date.</w:t>
            </w:r>
          </w:p>
        </w:tc>
      </w:tr>
      <w:tr>
        <w:trPr>
          <w:trHeight w:val="220"/>
        </w:trPr>
        <w:tc>
          <w:tcPr>
            <w:tcW w:w="3700" w:type="dxa"/>
            <w:vAlign w:val="bottom"/>
            <w:tcBorders>
              <w:right w:val="single" w:sz="8" w:color="00B085"/>
            </w:tcBorders>
          </w:tcPr>
          <w:p>
            <w:pPr>
              <w:spacing w:after="0"/>
              <w:rPr>
                <w:sz w:val="19"/>
                <w:szCs w:val="19"/>
                <w:color w:val="auto"/>
              </w:rPr>
            </w:pPr>
          </w:p>
        </w:tc>
        <w:tc>
          <w:tcPr>
            <w:tcW w:w="5940" w:type="dxa"/>
            <w:vAlign w:val="bottom"/>
          </w:tcPr>
          <w:p>
            <w:pPr>
              <w:ind w:left="160"/>
              <w:spacing w:after="0"/>
              <w:rPr>
                <w:sz w:val="20"/>
                <w:szCs w:val="20"/>
                <w:color w:val="auto"/>
              </w:rPr>
            </w:pPr>
            <w:r>
              <w:rPr>
                <w:rFonts w:ascii="Arial" w:cs="Arial" w:eastAsia="Arial" w:hAnsi="Arial"/>
                <w:sz w:val="15"/>
                <w:szCs w:val="15"/>
                <w:b w:val="1"/>
                <w:bCs w:val="1"/>
                <w:color w:val="auto"/>
              </w:rPr>
              <w:t>Keywords</w:t>
            </w:r>
            <w:r>
              <w:rPr>
                <w:rFonts w:ascii="Arial" w:cs="Arial" w:eastAsia="Arial" w:hAnsi="Arial"/>
                <w:sz w:val="15"/>
                <w:szCs w:val="15"/>
                <w:color w:val="auto"/>
              </w:rPr>
              <w:t>: rising temperature, heat injuries, spike quality, planting date</w:t>
            </w:r>
          </w:p>
        </w:tc>
      </w:tr>
      <w:tr>
        <w:trPr>
          <w:trHeight w:val="78"/>
        </w:trPr>
        <w:tc>
          <w:tcPr>
            <w:tcW w:w="3700" w:type="dxa"/>
            <w:vAlign w:val="bottom"/>
            <w:tcBorders>
              <w:right w:val="single" w:sz="8" w:color="00B085"/>
            </w:tcBorders>
          </w:tcPr>
          <w:p>
            <w:pPr>
              <w:spacing w:after="0"/>
              <w:rPr>
                <w:sz w:val="6"/>
                <w:szCs w:val="6"/>
                <w:color w:val="auto"/>
              </w:rPr>
            </w:pPr>
          </w:p>
        </w:tc>
        <w:tc>
          <w:tcPr>
            <w:tcW w:w="5940" w:type="dxa"/>
            <w:vAlign w:val="bottom"/>
          </w:tcPr>
          <w:p>
            <w:pPr>
              <w:spacing w:after="0"/>
              <w:rPr>
                <w:sz w:val="6"/>
                <w:szCs w:val="6"/>
                <w:color w:val="auto"/>
              </w:rPr>
            </w:pPr>
          </w:p>
        </w:tc>
      </w:tr>
    </w:tbl>
    <w:p>
      <w:pPr>
        <w:spacing w:after="0" w:line="200" w:lineRule="exact"/>
        <w:rPr>
          <w:rFonts w:ascii="Arial" w:cs="Arial" w:eastAsia="Arial" w:hAnsi="Arial"/>
          <w:sz w:val="17"/>
          <w:szCs w:val="17"/>
          <w:color w:val="auto"/>
        </w:rPr>
      </w:pPr>
    </w:p>
    <w:p>
      <w:pPr>
        <w:sectPr>
          <w:pgSz w:w="12240" w:h="15840" w:orient="portrait"/>
          <w:cols w:equalWidth="0" w:num="2">
            <w:col w:w="775" w:space="720"/>
            <w:col w:w="9640"/>
          </w:cols>
          <w:pgMar w:left="145" w:top="906" w:right="960" w:bottom="272" w:gutter="0" w:footer="0" w:header="0"/>
        </w:sectPr>
      </w:pPr>
    </w:p>
    <w:p>
      <w:pPr>
        <w:spacing w:after="0" w:line="96" w:lineRule="exact"/>
        <w:rPr>
          <w:rFonts w:ascii="Arial" w:cs="Arial" w:eastAsia="Arial" w:hAnsi="Arial"/>
          <w:sz w:val="17"/>
          <w:szCs w:val="17"/>
          <w:color w:val="auto"/>
        </w:rPr>
      </w:pPr>
    </w:p>
    <w:p>
      <w:pPr>
        <w:ind w:left="1495"/>
        <w:spacing w:after="0"/>
        <w:rPr>
          <w:sz w:val="20"/>
          <w:szCs w:val="20"/>
          <w:color w:val="auto"/>
        </w:rPr>
      </w:pPr>
      <w:r>
        <w:rPr>
          <w:rFonts w:ascii="Arial" w:cs="Arial" w:eastAsia="Arial" w:hAnsi="Arial"/>
          <w:sz w:val="24"/>
          <w:szCs w:val="24"/>
          <w:b w:val="1"/>
          <w:bCs w:val="1"/>
          <w:color w:val="00B085"/>
        </w:rPr>
        <w:t>Introduction</w:t>
      </w:r>
    </w:p>
    <w:p>
      <w:pPr>
        <w:spacing w:after="0" w:line="242" w:lineRule="exact"/>
        <w:rPr>
          <w:rFonts w:ascii="Arial" w:cs="Arial" w:eastAsia="Arial" w:hAnsi="Arial"/>
          <w:sz w:val="17"/>
          <w:szCs w:val="17"/>
          <w:color w:val="auto"/>
        </w:rPr>
      </w:pPr>
    </w:p>
    <w:p>
      <w:pPr>
        <w:jc w:val="both"/>
        <w:ind w:left="1495" w:firstLine="479"/>
        <w:spacing w:after="0" w:line="255" w:lineRule="auto"/>
        <w:rPr>
          <w:sz w:val="20"/>
          <w:szCs w:val="20"/>
          <w:color w:val="auto"/>
        </w:rPr>
      </w:pPr>
      <w:r>
        <w:rPr>
          <w:rFonts w:ascii="Times New Roman" w:cs="Times New Roman" w:eastAsia="Times New Roman" w:hAnsi="Times New Roman"/>
          <w:sz w:val="18"/>
          <w:szCs w:val="18"/>
          <w:color w:val="auto"/>
        </w:rPr>
        <w:t>The increase of greenhouse gases (GHG) emissions into the atmosphere is a major cause of the increase of global surface temperature. The latest report of the Intergovernmental Panel on Climate Change (IPCC) indicates an average global temperature increase of 0.85 °C from 1880 to 2012, with the largest increase in the 1990’s (Kerr, 2005; IPCC, 2013). In the subtropics of Southern Brazil, which includes the state of Rio Grande do Sul, daily thermal amplitude in summer months decreased from 1960 to 2002 because of a larger increase in minimum temperature (Marengo and Camargo, 2008).</w:t>
      </w:r>
    </w:p>
    <w:p>
      <w:pPr>
        <w:spacing w:after="0" w:line="216" w:lineRule="exact"/>
        <w:rPr>
          <w:rFonts w:ascii="Arial" w:cs="Arial" w:eastAsia="Arial" w:hAnsi="Arial"/>
          <w:sz w:val="17"/>
          <w:szCs w:val="17"/>
          <w:color w:val="auto"/>
        </w:rPr>
      </w:pPr>
    </w:p>
    <w:p>
      <w:pPr>
        <w:jc w:val="both"/>
        <w:ind w:left="1495" w:firstLine="479"/>
        <w:spacing w:after="0" w:line="254" w:lineRule="auto"/>
        <w:rPr>
          <w:sz w:val="20"/>
          <w:szCs w:val="20"/>
          <w:color w:val="auto"/>
        </w:rPr>
      </w:pPr>
      <w:r>
        <w:rPr>
          <w:rFonts w:ascii="Times New Roman" w:cs="Times New Roman" w:eastAsia="Times New Roman" w:hAnsi="Times New Roman"/>
          <w:sz w:val="18"/>
          <w:szCs w:val="18"/>
          <w:color w:val="auto"/>
        </w:rPr>
        <w:t>Agriculture is highly vulnerable to climate change (Alexandrov and Hoogenboom, 2000; IPCC, 2013) and several studies have shown an impact on crops yield mainly at the end of last century (Hur and Ahn, 2015; Ramirez-Villegas and Thornton, 2015; Bhattarai et al., 2017; Cera et al., 2017). For ornamental crops grown in open field, temperature changes may cause major losses because the market requires that flowering occur within a rather narrow time window to meet the market demand (Snipen et al., 1999; Fisher and Lieth, 2000; Munir et al., 2015). In Rio Grande do Sul State, the cultivated area with floriculture crops covers 1,360 ha and the sector generates about 11,000 jobs (Ibraflor, 2018). However, roughly 90 % of the cut flowers consumed come from other states and gladiola is an alternative crop to supply this demand.</w:t>
      </w:r>
    </w:p>
    <w:p>
      <w:pPr>
        <w:spacing w:after="0" w:line="8" w:lineRule="exact"/>
        <w:rPr>
          <w:rFonts w:ascii="Arial" w:cs="Arial" w:eastAsia="Arial" w:hAnsi="Arial"/>
          <w:sz w:val="17"/>
          <w:szCs w:val="17"/>
          <w:color w:val="auto"/>
        </w:rPr>
      </w:pPr>
    </w:p>
    <w:p>
      <w:pPr>
        <w:jc w:val="both"/>
        <w:ind w:left="1495" w:firstLine="479"/>
        <w:spacing w:after="0" w:line="259" w:lineRule="auto"/>
        <w:rPr>
          <w:sz w:val="20"/>
          <w:szCs w:val="20"/>
          <w:color w:val="auto"/>
        </w:rPr>
      </w:pPr>
      <w:r>
        <w:rPr>
          <w:rFonts w:ascii="Times New Roman" w:cs="Times New Roman" w:eastAsia="Times New Roman" w:hAnsi="Times New Roman"/>
          <w:sz w:val="18"/>
          <w:szCs w:val="18"/>
          <w:color w:val="auto"/>
        </w:rPr>
        <w:t>Gladiola is one of the most popular bulbous cut flowers worldwide (Thakur et al., 2015) and an important crop for small farmers in Brazil because it is</w:t>
      </w:r>
    </w:p>
    <w:p>
      <w:pPr>
        <w:spacing w:after="0" w:line="20" w:lineRule="exact"/>
        <w:rPr>
          <w:rFonts w:ascii="Arial" w:cs="Arial" w:eastAsia="Arial" w:hAnsi="Arial"/>
          <w:sz w:val="17"/>
          <w:szCs w:val="17"/>
          <w:color w:val="auto"/>
        </w:rPr>
      </w:pPr>
      <w:r>
        <w:rPr>
          <w:rFonts w:ascii="Arial" w:cs="Arial" w:eastAsia="Arial" w:hAnsi="Arial"/>
          <w:sz w:val="17"/>
          <w:szCs w:val="17"/>
          <w:color w:val="auto"/>
        </w:rPr>
        <mc:AlternateContent>
          <mc:Choice Requires="wps">
            <w:drawing>
              <wp:anchor simplePos="0" relativeHeight="251657728" behindDoc="1" locked="0" layoutInCell="0" allowOverlap="1">
                <wp:simplePos x="0" y="0"/>
                <wp:positionH relativeFrom="column">
                  <wp:posOffset>951865</wp:posOffset>
                </wp:positionH>
                <wp:positionV relativeFrom="paragraph">
                  <wp:posOffset>229870</wp:posOffset>
                </wp:positionV>
                <wp:extent cx="612013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20130" cy="4763"/>
                        </a:xfrm>
                        <a:prstGeom prst="line">
                          <a:avLst/>
                        </a:prstGeom>
                        <a:solidFill>
                          <a:srgbClr val="FFFFFF"/>
                        </a:solidFill>
                        <a:ln w="25400">
                          <a:solidFill>
                            <a:srgbClr val="B0B7BB"/>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95pt,18.1pt" to="556.85pt,18.1pt" o:allowincell="f" strokecolor="#B0B7BB" strokeweight="2pt"/>
            </w:pict>
          </mc:Fallback>
        </mc:AlternateContent>
      </w:r>
    </w:p>
    <w:p>
      <w:pPr>
        <w:spacing w:after="0" w:line="20" w:lineRule="exact"/>
        <w:rPr>
          <w:rFonts w:ascii="Arial" w:cs="Arial" w:eastAsia="Arial" w:hAnsi="Arial"/>
          <w:sz w:val="17"/>
          <w:szCs w:val="17"/>
          <w:color w:val="auto"/>
        </w:rPr>
      </w:pPr>
      <w:r>
        <w:rPr>
          <w:rFonts w:ascii="Arial" w:cs="Arial" w:eastAsia="Arial" w:hAnsi="Arial"/>
          <w:sz w:val="17"/>
          <w:szCs w:val="17"/>
          <w:color w:val="auto"/>
        </w:rPr>
        <w:br w:type="column"/>
      </w:r>
    </w:p>
    <w:p>
      <w:pPr>
        <w:spacing w:after="0" w:line="154" w:lineRule="exact"/>
        <w:rPr>
          <w:rFonts w:ascii="Arial" w:cs="Arial" w:eastAsia="Arial" w:hAnsi="Arial"/>
          <w:sz w:val="17"/>
          <w:szCs w:val="17"/>
          <w:color w:val="auto"/>
        </w:rPr>
      </w:pPr>
    </w:p>
    <w:p>
      <w:pPr>
        <w:jc w:val="both"/>
        <w:spacing w:after="0" w:line="255" w:lineRule="auto"/>
        <w:rPr>
          <w:sz w:val="20"/>
          <w:szCs w:val="20"/>
          <w:color w:val="auto"/>
        </w:rPr>
      </w:pPr>
      <w:r>
        <w:rPr>
          <w:rFonts w:ascii="Times New Roman" w:cs="Times New Roman" w:eastAsia="Times New Roman" w:hAnsi="Times New Roman"/>
          <w:sz w:val="18"/>
          <w:szCs w:val="18"/>
          <w:color w:val="auto"/>
        </w:rPr>
        <w:t>easily grown in open field. Air temperature is the main abiotic factor that drives gladiola phenology (Schwab et al., 2015). Climate variability such as the El Niño Southern Oscillation (ENSO), which causes interannual variability to air temperature in Southern Brazil, can shift the optimum planting window of gladiola according to the ENSO phase (Becker et al., 2020). While studying the ENSO effect produces short-term responses to gladiola farmers, studies on climate change are important for the long term and may drive decisions of policy makers, management practices, and breeding programs. Therefore, a practical and important question for farmers is how climate change, mainly global warming, can affect gladiola phenology and flower quality compared to the current climate? Furthermore, if phenology is affected, how optimum planting date needs to be shifted to reach market targets? The objective of this study was to assess the potential climate change effects on optimum planting date of gladiola to meet de demands of specific market dates as well as investigate injuries occurrence on spikes in the Rio Grande do Sul State, Brazil.</w:t>
      </w:r>
    </w:p>
    <w:p>
      <w:pPr>
        <w:spacing w:after="0" w:line="356" w:lineRule="exact"/>
        <w:rPr>
          <w:rFonts w:ascii="Arial" w:cs="Arial" w:eastAsia="Arial" w:hAnsi="Arial"/>
          <w:sz w:val="17"/>
          <w:szCs w:val="17"/>
          <w:color w:val="auto"/>
        </w:rPr>
      </w:pPr>
    </w:p>
    <w:p>
      <w:pPr>
        <w:spacing w:after="0"/>
        <w:rPr>
          <w:sz w:val="20"/>
          <w:szCs w:val="20"/>
          <w:color w:val="auto"/>
        </w:rPr>
      </w:pPr>
      <w:r>
        <w:rPr>
          <w:rFonts w:ascii="Arial" w:cs="Arial" w:eastAsia="Arial" w:hAnsi="Arial"/>
          <w:sz w:val="24"/>
          <w:szCs w:val="24"/>
          <w:b w:val="1"/>
          <w:bCs w:val="1"/>
          <w:color w:val="00B085"/>
        </w:rPr>
        <w:t>Materials and Methods</w:t>
      </w:r>
    </w:p>
    <w:p>
      <w:pPr>
        <w:spacing w:after="0" w:line="242" w:lineRule="exact"/>
        <w:rPr>
          <w:rFonts w:ascii="Arial" w:cs="Arial" w:eastAsia="Arial" w:hAnsi="Arial"/>
          <w:sz w:val="17"/>
          <w:szCs w:val="17"/>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The study region and climate scenarios</w:t>
      </w:r>
    </w:p>
    <w:p>
      <w:pPr>
        <w:spacing w:after="0" w:line="12" w:lineRule="exact"/>
        <w:rPr>
          <w:rFonts w:ascii="Arial" w:cs="Arial" w:eastAsia="Arial" w:hAnsi="Arial"/>
          <w:sz w:val="17"/>
          <w:szCs w:val="17"/>
          <w:color w:val="auto"/>
        </w:rPr>
      </w:pPr>
    </w:p>
    <w:p>
      <w:pPr>
        <w:jc w:val="both"/>
        <w:ind w:firstLine="479"/>
        <w:spacing w:after="0" w:line="256" w:lineRule="auto"/>
        <w:rPr>
          <w:sz w:val="20"/>
          <w:szCs w:val="20"/>
          <w:color w:val="auto"/>
        </w:rPr>
      </w:pPr>
      <w:r>
        <w:rPr>
          <w:rFonts w:ascii="Times New Roman" w:cs="Times New Roman" w:eastAsia="Times New Roman" w:hAnsi="Times New Roman"/>
          <w:sz w:val="18"/>
          <w:szCs w:val="18"/>
          <w:color w:val="auto"/>
        </w:rPr>
        <w:t>This study was performed in the State of Rio Grande do Sul, Southern Brazil, (Figure 1A). According to Köppen climate classification system, the state has regions with humid subtropical climate without dry seasons and hot summers (Cfa) and regions with temperate summers (Cfb) (Alvares et al., 2013).</w:t>
      </w:r>
    </w:p>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2417445</wp:posOffset>
            </wp:positionH>
            <wp:positionV relativeFrom="paragraph">
              <wp:posOffset>269875</wp:posOffset>
            </wp:positionV>
            <wp:extent cx="466090" cy="1644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extLst>
                    </a:blip>
                    <a:srcRect/>
                    <a:stretch>
                      <a:fillRect/>
                    </a:stretch>
                  </pic:blipFill>
                  <pic:spPr bwMode="auto">
                    <a:xfrm>
                      <a:off x="0" y="0"/>
                      <a:ext cx="466090" cy="164465"/>
                    </a:xfrm>
                    <a:prstGeom prst="rect">
                      <a:avLst/>
                    </a:prstGeom>
                    <a:noFill/>
                  </pic:spPr>
                </pic:pic>
              </a:graphicData>
            </a:graphic>
          </wp:anchor>
        </w:drawing>
      </w:r>
    </w:p>
    <w:p>
      <w:pPr>
        <w:spacing w:after="0" w:line="202" w:lineRule="exact"/>
        <w:rPr>
          <w:rFonts w:ascii="Arial" w:cs="Arial" w:eastAsia="Arial" w:hAnsi="Arial"/>
          <w:sz w:val="17"/>
          <w:szCs w:val="17"/>
          <w:color w:val="auto"/>
        </w:rPr>
      </w:pPr>
    </w:p>
    <w:p>
      <w:pPr>
        <w:sectPr>
          <w:pgSz w:w="12240" w:h="15840" w:orient="portrait"/>
          <w:cols w:equalWidth="0" w:num="2">
            <w:col w:w="6035" w:space="560"/>
            <w:col w:w="4540"/>
          </w:cols>
          <w:pgMar w:left="145" w:top="906" w:right="960" w:bottom="272" w:gutter="0" w:footer="0" w:header="0"/>
          <w:type w:val="continuous"/>
        </w:sectPr>
      </w:pPr>
    </w:p>
    <w:p>
      <w:pPr>
        <w:spacing w:after="0" w:line="256" w:lineRule="exact"/>
        <w:rPr>
          <w:rFonts w:ascii="Arial" w:cs="Arial" w:eastAsia="Arial" w:hAnsi="Arial"/>
          <w:sz w:val="17"/>
          <w:szCs w:val="17"/>
          <w:color w:val="auto"/>
        </w:rPr>
      </w:pPr>
    </w:p>
    <w:p>
      <w:pPr>
        <w:ind w:left="1495"/>
        <w:spacing w:after="0"/>
        <w:rPr>
          <w:sz w:val="20"/>
          <w:szCs w:val="20"/>
          <w:color w:val="auto"/>
        </w:rPr>
      </w:pPr>
      <w:r>
        <w:rPr>
          <w:rFonts w:ascii="Arial" w:cs="Arial" w:eastAsia="Arial" w:hAnsi="Arial"/>
          <w:sz w:val="14"/>
          <w:szCs w:val="14"/>
          <w:b w:val="1"/>
          <w:bCs w:val="1"/>
          <w:color w:val="auto"/>
        </w:rPr>
        <w:t>Sci. Agric. v.78, n.1, e20180275, 2021</w:t>
      </w:r>
    </w:p>
    <w:p>
      <w:pPr>
        <w:sectPr>
          <w:pgSz w:w="12240" w:h="15840" w:orient="portrait"/>
          <w:cols w:equalWidth="0" w:num="1">
            <w:col w:w="11135"/>
          </w:cols>
          <w:pgMar w:left="145" w:top="906" w:right="960" w:bottom="272" w:gutter="0" w:footer="0" w:header="0"/>
          <w:type w:val="continuous"/>
        </w:sectPr>
      </w:pPr>
    </w:p>
    <w:bookmarkStart w:id="1" w:name="page2"/>
    <w:bookmarkEnd w:id="1"/>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109220</wp:posOffset>
                </wp:positionV>
                <wp:extent cx="611695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93D2BB"/>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6pt" to="481.8pt,8.6pt" o:allowincell="f" strokecolor="#93D2BB" strokeweight="1.5pt"/>
            </w:pict>
          </mc:Fallback>
        </mc:AlternateContent>
      </w:r>
    </w:p>
    <w:p>
      <w:pPr>
        <w:sectPr>
          <w:pgSz w:w="12240" w:h="15840" w:orient="portrait"/>
          <w:cols w:equalWidth="0" w:num="1">
            <w:col w:w="9640"/>
          </w:cols>
          <w:pgMar w:left="1300" w:top="996" w:right="1300" w:bottom="277" w:gutter="0" w:footer="0" w:header="0"/>
        </w:sectPr>
      </w:pPr>
    </w:p>
    <w:p>
      <w:pPr>
        <w:spacing w:after="0" w:line="200" w:lineRule="exact"/>
        <w:rPr>
          <w:sz w:val="20"/>
          <w:szCs w:val="20"/>
          <w:color w:val="auto"/>
        </w:rPr>
      </w:pPr>
    </w:p>
    <w:p>
      <w:pPr>
        <w:spacing w:after="0" w:line="256" w:lineRule="exact"/>
        <w:rPr>
          <w:sz w:val="20"/>
          <w:szCs w:val="20"/>
          <w:color w:val="auto"/>
        </w:rPr>
      </w:pPr>
    </w:p>
    <w:p>
      <w:pPr>
        <w:jc w:val="both"/>
        <w:ind w:firstLine="479"/>
        <w:spacing w:after="0" w:line="253" w:lineRule="auto"/>
        <w:rPr>
          <w:sz w:val="20"/>
          <w:szCs w:val="20"/>
          <w:color w:val="auto"/>
        </w:rPr>
      </w:pPr>
      <w:r>
        <w:rPr>
          <w:rFonts w:ascii="Times New Roman" w:cs="Times New Roman" w:eastAsia="Times New Roman" w:hAnsi="Times New Roman"/>
          <w:sz w:val="18"/>
          <w:szCs w:val="18"/>
          <w:color w:val="auto"/>
        </w:rPr>
        <w:t>The scenarios of climate change used in this study were obtained from the Assessment Report Five (AR5) of the IPCC, derived from the Coupled Model Intercomparison Project Phase 5 (CMIP5). Three scenarios were used: RCP2.6, RCP4.5, and RCP8.5 (RCP stands for Representative Concentration Pathway), representing optimistic, intermediate and pessimistic scenarios of GHG emissions, respectively. Climate scenarios were generated with the global ocean-atmosphere HadGEM-ES model (Jones et al., 2011) with a 250-km spatial resolution and used as boundary conditions for downscaling to a regional basis with a 81-km resolution with the RegCM4 (Regional Climate Model, version 4), totaling 46 grid points across Rio Grande do Sul State (Figure 1B). The projections of temperature increase and CO</w:t>
      </w:r>
      <w:r>
        <w:rPr>
          <w:rFonts w:ascii="Times New Roman" w:cs="Times New Roman" w:eastAsia="Times New Roman" w:hAnsi="Times New Roman"/>
          <w:sz w:val="20"/>
          <w:szCs w:val="20"/>
          <w:color w:val="auto"/>
          <w:vertAlign w:val="subscript"/>
        </w:rPr>
        <w:t>2</w:t>
      </w:r>
      <w:r>
        <w:rPr>
          <w:rFonts w:ascii="Times New Roman" w:cs="Times New Roman" w:eastAsia="Times New Roman" w:hAnsi="Times New Roman"/>
          <w:sz w:val="18"/>
          <w:szCs w:val="18"/>
          <w:color w:val="auto"/>
        </w:rPr>
        <w:t xml:space="preserve"> concentration until 2100 are 1.7 °C and 421 ppm for RCP2.6 scenario, 2.6 °C and 538 ppm for RCP4.5 scenario, and 4.8 °C and 936 ppm for RCP8.5 scenario (IPCC, 2013). Two periods were used for each grid points: 1976 to 2005 (baseline period) and 2070 to 2098 (for each climatic scenarios).</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The PhenoGlad model</w:t>
      </w:r>
    </w:p>
    <w:p>
      <w:pPr>
        <w:spacing w:after="0" w:line="12"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The model used in this study was PhenoGlad (Uhlmann et al., 2017), a dynamic process-based gladiola phenology model that was previously calibrated and validated with different cultivars, planting dates, years, and locations from experiments conducted in two southern states in Brazil, Rio Grande do Sul State and Santa Catarina (Uhlmann et al., 2017). In PhenoGlad, gladiola phenology is simulated without water limitations and considering three main phases based on the developmental scale by Schwab et al. (2015): sprouting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376555</wp:posOffset>
            </wp:positionV>
            <wp:extent cx="4319270" cy="28105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extLst>
                    </a:blip>
                    <a:srcRect/>
                    <a:stretch>
                      <a:fillRect/>
                    </a:stretch>
                  </pic:blipFill>
                  <pic:spPr bwMode="auto">
                    <a:xfrm>
                      <a:off x="0" y="0"/>
                      <a:ext cx="4319270" cy="2810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4"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phase, vegetative phase, and reproductive phase. Starting at planting, the developmental stage (DVS) is calculated by accumulating the daily developmental rate values, using daily mean air temperature, using the nonlinear approach of Wang and Engel (1998). A nonlinear temperature response function is used to penalize crop development when daily air temperature is below or above the optimum temperature. The PhenoGlad model simulates the development of selected cultivars or, in the general mode, of four different maturity group (MG): Early, Intermediate I, Intermediate II and Late. Each MG has a maximum daily developmental rate that represents a group of cultivars belonging to this MG. The cardinal temperatures: minimum (Tb), optimum (Topt) and maximum (TB) in the sprouting phase are Tb = 5 °C, Topt = 25 °C, and TB = 35 °C. In the vegetative phase, the cardinal temperatures are Tb = 2 °C, Topt = 27 °C and TB = 45 °C and in the reproductive phase, cardinal temperatures are Tb = 6 °C, Topt = 25 °C and TB = 42 °C. Input data required to run the PhenoGlad include daily minimum and maximum air temperatures, planting or emergence date and cultivar or MG (Early, Intermediate I, Intermediate II and Late). Air temperature is the only factor that controls gladiola development in PhenoGlad and the model was calibrated under potential condition (without water limitation) (Uhlmann et al., 2017). Most farmers in the state, even small farmers, use irrigation in their gladiola beds. In this study, we are looking at direct effects of climate change (air temperature) on gladiola plants. Version 1.1 of the PhenoGlad model, available at www.ufsm.br/phenoglad, was used in the study.</w:t>
      </w:r>
    </w:p>
    <w:p>
      <w:pPr>
        <w:spacing w:after="0" w:line="200" w:lineRule="exact"/>
        <w:rPr>
          <w:sz w:val="20"/>
          <w:szCs w:val="20"/>
          <w:color w:val="auto"/>
        </w:rPr>
      </w:pPr>
    </w:p>
    <w:p>
      <w:pPr>
        <w:spacing w:after="0" w:line="255" w:lineRule="exact"/>
        <w:rPr>
          <w:sz w:val="20"/>
          <w:szCs w:val="20"/>
          <w:color w:val="auto"/>
        </w:rPr>
      </w:pPr>
    </w:p>
    <w:p>
      <w:pPr>
        <w:jc w:val="both"/>
        <w:ind w:firstLine="479"/>
        <w:spacing w:after="0" w:line="264" w:lineRule="auto"/>
        <w:rPr>
          <w:sz w:val="20"/>
          <w:szCs w:val="20"/>
          <w:color w:val="auto"/>
        </w:rPr>
      </w:pPr>
      <w:r>
        <w:rPr>
          <w:rFonts w:ascii="Times New Roman" w:cs="Times New Roman" w:eastAsia="Times New Roman" w:hAnsi="Times New Roman"/>
          <w:sz w:val="18"/>
          <w:szCs w:val="18"/>
          <w:color w:val="auto"/>
        </w:rPr>
        <w:t>The PhenoGlad model also simulates the occurrence of crop injuries caused by low (freezing)</w:t>
      </w:r>
    </w:p>
    <w:p>
      <w:pPr>
        <w:spacing w:after="0" w:line="200"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140" w:hanging="141"/>
        <w:spacing w:after="0" w:line="301" w:lineRule="auto"/>
        <w:rPr>
          <w:sz w:val="20"/>
          <w:szCs w:val="20"/>
          <w:color w:val="auto"/>
        </w:rPr>
      </w:pPr>
      <w:r>
        <w:rPr>
          <w:rFonts w:ascii="Arial" w:cs="Arial" w:eastAsia="Arial" w:hAnsi="Arial"/>
          <w:sz w:val="16"/>
          <w:szCs w:val="16"/>
          <w:b w:val="1"/>
          <w:bCs w:val="1"/>
          <w:color w:val="auto"/>
        </w:rPr>
        <w:t xml:space="preserve">Figure 1 </w:t>
      </w:r>
      <w:r>
        <w:rPr>
          <w:rFonts w:ascii="Arial" w:cs="Arial" w:eastAsia="Arial" w:hAnsi="Arial"/>
          <w:sz w:val="16"/>
          <w:szCs w:val="16"/>
          <w:color w:val="auto"/>
        </w:rPr>
        <w:t>– Maps of South America and Brazil (A), and Rio Grande do Sul State (B) with the four locations (Santa Maria, Cachoeira do Sul,</w:t>
      </w:r>
      <w:r>
        <w:rPr>
          <w:rFonts w:ascii="Arial" w:cs="Arial" w:eastAsia="Arial" w:hAnsi="Arial"/>
          <w:sz w:val="16"/>
          <w:szCs w:val="16"/>
          <w:b w:val="1"/>
          <w:bCs w:val="1"/>
          <w:color w:val="auto"/>
        </w:rPr>
        <w:t xml:space="preserve"> </w:t>
      </w:r>
      <w:r>
        <w:rPr>
          <w:rFonts w:ascii="Arial" w:cs="Arial" w:eastAsia="Arial" w:hAnsi="Arial"/>
          <w:sz w:val="16"/>
          <w:szCs w:val="16"/>
          <w:color w:val="auto"/>
        </w:rPr>
        <w:t>Dilermando de Aguiar, and Santiago) where field experiments with gladiola were conducted. The grid points of the climate scenarios and the 18 locations of weather stations from the Brazilian Meteorological Service (INMET) used in this study.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213995</wp:posOffset>
                </wp:positionV>
                <wp:extent cx="611695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6.85pt" to="481.8pt,16.85pt" o:allowincell="f" strokecolor="#BDE2D4" strokeweight="1.5pt"/>
            </w:pict>
          </mc:Fallback>
        </mc:AlternateContent>
      </w:r>
    </w:p>
    <w:p>
      <w:pPr>
        <w:sectPr>
          <w:pgSz w:w="12240" w:h="15840" w:orient="portrait"/>
          <w:cols w:equalWidth="0" w:num="1">
            <w:col w:w="9640"/>
          </w:cols>
          <w:pgMar w:left="1300" w:top="996" w:right="1300" w:bottom="277" w:gutter="0" w:footer="0" w:header="0"/>
          <w:type w:val="continuous"/>
        </w:sectPr>
      </w:pPr>
    </w:p>
    <w:p>
      <w:pPr>
        <w:spacing w:after="0" w:line="399"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2</w:t>
      </w:r>
    </w:p>
    <w:p>
      <w:pPr>
        <w:sectPr>
          <w:pgSz w:w="12240" w:h="15840" w:orient="portrait"/>
          <w:cols w:equalWidth="0" w:num="1">
            <w:col w:w="9640"/>
          </w:cols>
          <w:pgMar w:left="1300" w:top="996" w:right="1300" w:bottom="277" w:gutter="0" w:footer="0" w:header="0"/>
          <w:type w:val="continuous"/>
        </w:sectPr>
      </w:pPr>
    </w:p>
    <w:bookmarkStart w:id="2" w:name="page3"/>
    <w:bookmarkEnd w:id="2"/>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109220</wp:posOffset>
                </wp:positionV>
                <wp:extent cx="611695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93D2BB"/>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6pt" to="481.8pt,8.6pt" o:allowincell="f" strokecolor="#93D2BB" strokeweight="1.5pt"/>
            </w:pict>
          </mc:Fallback>
        </mc:AlternateContent>
      </w:r>
    </w:p>
    <w:p>
      <w:pPr>
        <w:sectPr>
          <w:pgSz w:w="12240" w:h="15840" w:orient="portrait"/>
          <w:cols w:equalWidth="0" w:num="1">
            <w:col w:w="9640"/>
          </w:cols>
          <w:pgMar w:left="1300" w:top="996" w:right="1300" w:bottom="277" w:gutter="0" w:footer="0" w:header="0"/>
        </w:sectPr>
      </w:pPr>
    </w:p>
    <w:p>
      <w:pPr>
        <w:spacing w:after="0" w:line="200" w:lineRule="exact"/>
        <w:rPr>
          <w:sz w:val="20"/>
          <w:szCs w:val="20"/>
          <w:color w:val="auto"/>
        </w:rPr>
      </w:pPr>
    </w:p>
    <w:p>
      <w:pPr>
        <w:spacing w:after="0" w:line="256"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and high (heat) temperatures. When daily minimum temperature (Tmin) is lower than −2 ºC during at least four days in a row from emergence to the R5 stage, then the crop is killed by frost. If minimum temperature is lower than or equal to −2 ºC for one day or if −2 ºC</w:t>
      </w:r>
    </w:p>
    <w:p>
      <w:pPr>
        <w:spacing w:after="0" w:line="3" w:lineRule="exact"/>
        <w:rPr>
          <w:sz w:val="20"/>
          <w:szCs w:val="20"/>
          <w:color w:val="auto"/>
        </w:rPr>
      </w:pPr>
    </w:p>
    <w:p>
      <w:pPr>
        <w:jc w:val="both"/>
        <w:ind w:firstLine="4"/>
        <w:spacing w:after="0" w:line="254" w:lineRule="auto"/>
        <w:tabs>
          <w:tab w:leader="none" w:pos="252" w:val="left"/>
        </w:tabs>
        <w:numPr>
          <w:ilvl w:val="0"/>
          <w:numId w:val="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Tmin &lt; 3 ºC during 4 days in a row during the reproductive phase, then the spike is killed by frost. Heat injury in PhenoGlad is considered when maximum temperature is greater than or equal to 34 ºC during three consecutive days during the reproductive phase, causing severe burning on sepals. If the maximum temperature is higher than 48 ºC, the upper lethal temperature is reached and the crop is killed by heat.</w:t>
      </w:r>
    </w:p>
    <w:p>
      <w:pPr>
        <w:spacing w:after="0" w:line="4" w:lineRule="exact"/>
        <w:rPr>
          <w:rFonts w:ascii="Times New Roman" w:cs="Times New Roman" w:eastAsia="Times New Roman" w:hAnsi="Times New Roman"/>
          <w:sz w:val="18"/>
          <w:szCs w:val="18"/>
          <w:color w:val="auto"/>
        </w:rPr>
      </w:pPr>
    </w:p>
    <w:p>
      <w:pPr>
        <w:jc w:val="both"/>
        <w:ind w:firstLine="479"/>
        <w:spacing w:after="0" w:line="255"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addition to the previous validation of PhenoGlad (Uhlmann et al., 2017), other independent field experiments were conducted from 2016 to 2018 at four different locations across Rio Grande do Sul State to evaluate the performance of the PhenoGlad model in simulating the developmental stages of gladiola (Figure 1B). The experiments were conducted in the municipality of Santa Maria, Rio Grande do Sul (latitude: 29º43’ S, longitude: 53º43’ W and altitude: 95 m). Experiments were also conducted at commercial farms in Santa Maria (latitude: 29º39’ S, longitude: 53º40’ W and altitude: 115 m), Dilermando de Aguiar (latitude: 29º 2’ S, longitude: 54º12’ W and altitude: 133 m), Cachoeira do Sul (latitude: 29º57’ S, longitude: 52º55’ W and altitude: 26 m) and Santiago (latitude: 29º18’ S, longitude: 54º43’ W and altitude: 409 m), totaling five experiments with different cultivars, planting dates and locations (Table 1).</w:t>
      </w:r>
    </w:p>
    <w:p>
      <w:pPr>
        <w:spacing w:after="0" w:line="200" w:lineRule="exact"/>
        <w:rPr>
          <w:rFonts w:ascii="Times New Roman" w:cs="Times New Roman" w:eastAsia="Times New Roman" w:hAnsi="Times New Roman"/>
          <w:sz w:val="18"/>
          <w:szCs w:val="18"/>
          <w:color w:val="auto"/>
        </w:rPr>
      </w:pPr>
    </w:p>
    <w:p>
      <w:pPr>
        <w:spacing w:after="0" w:line="234" w:lineRule="exact"/>
        <w:rPr>
          <w:rFonts w:ascii="Times New Roman" w:cs="Times New Roman" w:eastAsia="Times New Roman" w:hAnsi="Times New Roman"/>
          <w:sz w:val="18"/>
          <w:szCs w:val="18"/>
          <w:color w:val="auto"/>
        </w:rPr>
      </w:pPr>
    </w:p>
    <w:p>
      <w:pPr>
        <w:jc w:val="both"/>
        <w:ind w:firstLine="479"/>
        <w:spacing w:after="0" w:line="256"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During all field experiments, the date of occurrence of vegetative and reproductive developmental stages were observed on tagged plants (20 plants per plot) according to the phenological scale of gladiola (Schwab et al., 2015). The date of developmental stages was considered when 50 % of plants had reached the stages. The cumulative leaf number (CLN) was counted twice a week in Santa Maria, and in the other locations every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2"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other week, until the final leaf (flag leaf) was visible. The reproductive stages observed were heading (R1) and blooming (R2 stage, considered the harvest point for gladiola) (Schwab et al., 2015).</w:t>
      </w:r>
    </w:p>
    <w:p>
      <w:pPr>
        <w:spacing w:after="0" w:line="2"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The model evaluation consisted of running the PhenoGlad model starting at planting date for each cultivar, location, and planting date. Daily data on the weather were obtained from automatic weather stations of the Brazilian National Weather Service (INMET) in Santa Maria and Santiago. Daily data on the weather from Santa Maria were used to run the model in the experiments at Dilermando de Aguiar and Cachoeira do Sul. The model performance was evaluated with the statistics Root Mean Square Error (RMSE), BIAS index (Wallach, 2006), index of agreement (dw) (Willmott, 1981), correlation coefficient (r), and systematic (MSEs) and unsystematic (MSEns) errors (Willmott, 1981). Low RMSE, zero BIAS, one dw and r, and low systematic and high unsystematic error are characteristics of a good model.</w:t>
      </w:r>
    </w:p>
    <w:p>
      <w:pPr>
        <w:spacing w:after="0" w:line="200" w:lineRule="exact"/>
        <w:rPr>
          <w:sz w:val="20"/>
          <w:szCs w:val="20"/>
          <w:color w:val="auto"/>
        </w:rPr>
      </w:pPr>
    </w:p>
    <w:p>
      <w:pPr>
        <w:spacing w:after="0" w:line="235"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We compared the DAP (days after planting) until the R2 stage simulated using the baseline period and weather stations (WS) of the INMET to evaluate the ability of the PhenoGlad model to simulate the current optimum planting date for harvesting gladiola flowers for All Souls’ Day and Mother’s Day, with the baseline of the climate scenarios. PhenoGlad was run for 18 locations of the INMET WS in Rio Grande do Sul and for the nearest grid point of the baseline period (1976-2005) (Figure 1B). The statistics used to test the difference in the duration of developmental cycle of gladiola was the same as mentioned above.</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Simulations of the optimum planting date</w:t>
      </w:r>
    </w:p>
    <w:p>
      <w:pPr>
        <w:spacing w:after="0" w:line="12" w:lineRule="exact"/>
        <w:rPr>
          <w:sz w:val="20"/>
          <w:szCs w:val="20"/>
          <w:color w:val="auto"/>
        </w:rPr>
      </w:pPr>
    </w:p>
    <w:p>
      <w:pPr>
        <w:jc w:val="both"/>
        <w:ind w:firstLine="479"/>
        <w:spacing w:after="0" w:line="257" w:lineRule="auto"/>
        <w:rPr>
          <w:sz w:val="20"/>
          <w:szCs w:val="20"/>
          <w:color w:val="auto"/>
        </w:rPr>
      </w:pPr>
      <w:r>
        <w:rPr>
          <w:rFonts w:ascii="Times New Roman" w:cs="Times New Roman" w:eastAsia="Times New Roman" w:hAnsi="Times New Roman"/>
          <w:sz w:val="18"/>
          <w:szCs w:val="18"/>
          <w:color w:val="auto"/>
        </w:rPr>
        <w:t>The optimum planting date was simulated for each market target day, grid point, maturation group, and each CMIP5 climate scenario by running the PhenoGlad model for four MG of gladiola (Early, Intermediate I, Intermediate II and Late), which vary</w:t>
      </w:r>
    </w:p>
    <w:p>
      <w:pPr>
        <w:spacing w:after="0" w:line="202"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38" w:lineRule="exact"/>
        <w:rPr>
          <w:sz w:val="20"/>
          <w:szCs w:val="20"/>
          <w:color w:val="auto"/>
        </w:rPr>
      </w:pPr>
    </w:p>
    <w:p>
      <w:pPr>
        <w:ind w:left="140" w:hanging="141"/>
        <w:spacing w:after="0" w:line="286" w:lineRule="auto"/>
        <w:rPr>
          <w:sz w:val="20"/>
          <w:szCs w:val="20"/>
          <w:color w:val="auto"/>
        </w:rPr>
      </w:pPr>
      <w:r>
        <w:rPr>
          <w:rFonts w:ascii="Arial" w:cs="Arial" w:eastAsia="Arial" w:hAnsi="Arial"/>
          <w:sz w:val="16"/>
          <w:szCs w:val="16"/>
          <w:b w:val="1"/>
          <w:bCs w:val="1"/>
          <w:color w:val="auto"/>
        </w:rPr>
        <w:t xml:space="preserve">Table 1 </w:t>
      </w:r>
      <w:r>
        <w:rPr>
          <w:rFonts w:ascii="Arial" w:cs="Arial" w:eastAsia="Arial" w:hAnsi="Arial"/>
          <w:sz w:val="16"/>
          <w:szCs w:val="16"/>
          <w:color w:val="auto"/>
        </w:rPr>
        <w:t>– Experiments conducted in southern Brazil with locations, planting dates (mm/dd/yyyy) and Gladiola cultivars used to evaluate the</w:t>
      </w:r>
      <w:r>
        <w:rPr>
          <w:rFonts w:ascii="Arial" w:cs="Arial" w:eastAsia="Arial" w:hAnsi="Arial"/>
          <w:sz w:val="16"/>
          <w:szCs w:val="16"/>
          <w:b w:val="1"/>
          <w:bCs w:val="1"/>
          <w:color w:val="auto"/>
        </w:rPr>
        <w:t xml:space="preserve"> </w:t>
      </w:r>
      <w:r>
        <w:rPr>
          <w:rFonts w:ascii="Arial" w:cs="Arial" w:eastAsia="Arial" w:hAnsi="Arial"/>
          <w:sz w:val="16"/>
          <w:szCs w:val="16"/>
          <w:color w:val="auto"/>
        </w:rPr>
        <w:t>PhenoGlad model.</w:t>
      </w:r>
    </w:p>
    <w:tbl>
      <w:tblPr>
        <w:tblLayout w:type="fixed"/>
        <w:tblInd w:w="0" w:type="dxa"/>
        <w:tblCellMar>
          <w:top w:w="0" w:type="dxa"/>
          <w:left w:w="0" w:type="dxa"/>
          <w:bottom w:w="0" w:type="dxa"/>
          <w:right w:w="0" w:type="dxa"/>
        </w:tblCellMar>
      </w:tblPr>
      <w:tr>
        <w:trPr>
          <w:trHeight w:val="174"/>
        </w:trPr>
        <w:tc>
          <w:tcPr>
            <w:tcW w:w="1300" w:type="dxa"/>
            <w:vAlign w:val="bottom"/>
            <w:tcBorders>
              <w:top w:val="single" w:sz="8" w:color="00B085"/>
              <w:bottom w:val="single" w:sz="8" w:color="00B085"/>
            </w:tcBorders>
          </w:tcPr>
          <w:p>
            <w:pPr>
              <w:spacing w:after="0"/>
              <w:rPr>
                <w:sz w:val="20"/>
                <w:szCs w:val="20"/>
                <w:color w:val="auto"/>
              </w:rPr>
            </w:pPr>
            <w:r>
              <w:rPr>
                <w:rFonts w:ascii="Arial" w:cs="Arial" w:eastAsia="Arial" w:hAnsi="Arial"/>
                <w:sz w:val="15"/>
                <w:szCs w:val="15"/>
                <w:color w:val="auto"/>
                <w:w w:val="97"/>
              </w:rPr>
              <w:t>Experiment number</w:t>
            </w:r>
          </w:p>
        </w:tc>
        <w:tc>
          <w:tcPr>
            <w:tcW w:w="2120" w:type="dxa"/>
            <w:vAlign w:val="bottom"/>
            <w:tcBorders>
              <w:top w:val="single" w:sz="8" w:color="00B085"/>
              <w:bottom w:val="single" w:sz="8" w:color="00B085"/>
            </w:tcBorders>
          </w:tcPr>
          <w:p>
            <w:pPr>
              <w:jc w:val="center"/>
              <w:spacing w:after="0"/>
              <w:rPr>
                <w:sz w:val="20"/>
                <w:szCs w:val="20"/>
                <w:color w:val="auto"/>
              </w:rPr>
            </w:pPr>
            <w:r>
              <w:rPr>
                <w:rFonts w:ascii="Arial" w:cs="Arial" w:eastAsia="Arial" w:hAnsi="Arial"/>
                <w:sz w:val="15"/>
                <w:szCs w:val="15"/>
                <w:color w:val="auto"/>
                <w:w w:val="91"/>
              </w:rPr>
              <w:t>Location</w:t>
            </w:r>
          </w:p>
        </w:tc>
        <w:tc>
          <w:tcPr>
            <w:tcW w:w="1540" w:type="dxa"/>
            <w:vAlign w:val="bottom"/>
            <w:tcBorders>
              <w:top w:val="single" w:sz="8" w:color="00B085"/>
              <w:bottom w:val="single" w:sz="8" w:color="00B085"/>
            </w:tcBorders>
          </w:tcPr>
          <w:p>
            <w:pPr>
              <w:jc w:val="center"/>
              <w:ind w:left="168"/>
              <w:spacing w:after="0"/>
              <w:rPr>
                <w:sz w:val="20"/>
                <w:szCs w:val="20"/>
                <w:color w:val="auto"/>
              </w:rPr>
            </w:pPr>
            <w:r>
              <w:rPr>
                <w:rFonts w:ascii="Arial" w:cs="Arial" w:eastAsia="Arial" w:hAnsi="Arial"/>
                <w:sz w:val="15"/>
                <w:szCs w:val="15"/>
                <w:color w:val="auto"/>
                <w:w w:val="90"/>
              </w:rPr>
              <w:t>Planting dates</w:t>
            </w:r>
          </w:p>
        </w:tc>
        <w:tc>
          <w:tcPr>
            <w:tcW w:w="4680" w:type="dxa"/>
            <w:vAlign w:val="bottom"/>
            <w:tcBorders>
              <w:top w:val="single" w:sz="8" w:color="00B085"/>
              <w:bottom w:val="single" w:sz="8" w:color="00B085"/>
            </w:tcBorders>
          </w:tcPr>
          <w:p>
            <w:pPr>
              <w:ind w:left="2180"/>
              <w:spacing w:after="0"/>
              <w:rPr>
                <w:sz w:val="20"/>
                <w:szCs w:val="20"/>
                <w:color w:val="auto"/>
              </w:rPr>
            </w:pPr>
            <w:r>
              <w:rPr>
                <w:rFonts w:ascii="Arial" w:cs="Arial" w:eastAsia="Arial" w:hAnsi="Arial"/>
                <w:sz w:val="15"/>
                <w:szCs w:val="15"/>
                <w:color w:val="auto"/>
              </w:rPr>
              <w:t>Cultivars</w:t>
            </w:r>
          </w:p>
        </w:tc>
        <w:tc>
          <w:tcPr>
            <w:tcW w:w="0" w:type="dxa"/>
            <w:vAlign w:val="bottom"/>
          </w:tcPr>
          <w:p>
            <w:pPr>
              <w:spacing w:after="0"/>
              <w:rPr>
                <w:sz w:val="1"/>
                <w:szCs w:val="1"/>
                <w:color w:val="auto"/>
              </w:rPr>
            </w:pPr>
          </w:p>
        </w:tc>
      </w:tr>
      <w:tr>
        <w:trPr>
          <w:trHeight w:val="189"/>
        </w:trPr>
        <w:tc>
          <w:tcPr>
            <w:tcW w:w="1300" w:type="dxa"/>
            <w:vAlign w:val="bottom"/>
            <w:vMerge w:val="restart"/>
          </w:tcPr>
          <w:p>
            <w:pPr>
              <w:spacing w:after="0"/>
              <w:rPr>
                <w:sz w:val="20"/>
                <w:szCs w:val="20"/>
                <w:color w:val="auto"/>
              </w:rPr>
            </w:pPr>
            <w:r>
              <w:rPr>
                <w:rFonts w:ascii="Arial" w:cs="Arial" w:eastAsia="Arial" w:hAnsi="Arial"/>
                <w:sz w:val="15"/>
                <w:szCs w:val="15"/>
                <w:color w:val="auto"/>
              </w:rPr>
              <w:t>1</w:t>
            </w:r>
          </w:p>
        </w:tc>
        <w:tc>
          <w:tcPr>
            <w:tcW w:w="2120" w:type="dxa"/>
            <w:vAlign w:val="bottom"/>
            <w:vMerge w:val="restart"/>
          </w:tcPr>
          <w:p>
            <w:pPr>
              <w:jc w:val="center"/>
              <w:spacing w:after="0"/>
              <w:rPr>
                <w:sz w:val="20"/>
                <w:szCs w:val="20"/>
                <w:color w:val="auto"/>
              </w:rPr>
            </w:pPr>
            <w:r>
              <w:rPr>
                <w:rFonts w:ascii="Arial" w:cs="Arial" w:eastAsia="Arial" w:hAnsi="Arial"/>
                <w:sz w:val="15"/>
                <w:szCs w:val="15"/>
                <w:color w:val="auto"/>
                <w:w w:val="88"/>
              </w:rPr>
              <w:t>Santa Maria</w:t>
            </w:r>
          </w:p>
        </w:tc>
        <w:tc>
          <w:tcPr>
            <w:tcW w:w="6220" w:type="dxa"/>
            <w:vAlign w:val="bottom"/>
            <w:gridSpan w:val="2"/>
          </w:tcPr>
          <w:p>
            <w:pPr>
              <w:ind w:left="20"/>
              <w:spacing w:after="0"/>
              <w:rPr>
                <w:sz w:val="20"/>
                <w:szCs w:val="20"/>
                <w:color w:val="auto"/>
              </w:rPr>
            </w:pPr>
            <w:r>
              <w:rPr>
                <w:rFonts w:ascii="Arial" w:cs="Arial" w:eastAsia="Arial" w:hAnsi="Arial"/>
                <w:sz w:val="15"/>
                <w:szCs w:val="15"/>
                <w:color w:val="auto"/>
                <w:w w:val="96"/>
              </w:rPr>
              <w:t>12/02/2016, 07/14/2017, Purple Flora and Peter Pears (only on 12/02/2016), Jester (not in 2016)</w:t>
            </w:r>
          </w:p>
        </w:tc>
        <w:tc>
          <w:tcPr>
            <w:tcW w:w="0" w:type="dxa"/>
            <w:vAlign w:val="bottom"/>
          </w:tcPr>
          <w:p>
            <w:pPr>
              <w:spacing w:after="0"/>
              <w:rPr>
                <w:sz w:val="1"/>
                <w:szCs w:val="1"/>
                <w:color w:val="auto"/>
              </w:rPr>
            </w:pPr>
          </w:p>
        </w:tc>
      </w:tr>
      <w:tr>
        <w:trPr>
          <w:trHeight w:val="94"/>
        </w:trPr>
        <w:tc>
          <w:tcPr>
            <w:tcW w:w="1300" w:type="dxa"/>
            <w:vAlign w:val="bottom"/>
            <w:vMerge w:val="continue"/>
          </w:tcPr>
          <w:p>
            <w:pPr>
              <w:spacing w:after="0"/>
              <w:rPr>
                <w:sz w:val="8"/>
                <w:szCs w:val="8"/>
                <w:color w:val="auto"/>
              </w:rPr>
            </w:pPr>
          </w:p>
        </w:tc>
        <w:tc>
          <w:tcPr>
            <w:tcW w:w="2120" w:type="dxa"/>
            <w:vAlign w:val="bottom"/>
            <w:vMerge w:val="continue"/>
          </w:tcPr>
          <w:p>
            <w:pPr>
              <w:spacing w:after="0"/>
              <w:rPr>
                <w:sz w:val="8"/>
                <w:szCs w:val="8"/>
                <w:color w:val="auto"/>
              </w:rPr>
            </w:pPr>
          </w:p>
        </w:tc>
        <w:tc>
          <w:tcPr>
            <w:tcW w:w="1540" w:type="dxa"/>
            <w:vAlign w:val="bottom"/>
            <w:vMerge w:val="restart"/>
          </w:tcPr>
          <w:p>
            <w:pPr>
              <w:jc w:val="center"/>
              <w:ind w:left="148"/>
              <w:spacing w:after="0"/>
              <w:rPr>
                <w:sz w:val="20"/>
                <w:szCs w:val="20"/>
                <w:color w:val="auto"/>
              </w:rPr>
            </w:pPr>
            <w:r>
              <w:rPr>
                <w:rFonts w:ascii="Arial" w:cs="Arial" w:eastAsia="Arial" w:hAnsi="Arial"/>
                <w:sz w:val="15"/>
                <w:szCs w:val="15"/>
                <w:color w:val="auto"/>
              </w:rPr>
              <w:t>11/22/2017</w:t>
            </w:r>
          </w:p>
        </w:tc>
        <w:tc>
          <w:tcPr>
            <w:tcW w:w="4680" w:type="dxa"/>
            <w:vAlign w:val="bottom"/>
            <w:vMerge w:val="restart"/>
          </w:tcPr>
          <w:p>
            <w:pPr>
              <w:ind w:left="220"/>
              <w:spacing w:after="0"/>
              <w:rPr>
                <w:sz w:val="20"/>
                <w:szCs w:val="20"/>
                <w:color w:val="auto"/>
              </w:rPr>
            </w:pPr>
            <w:r>
              <w:rPr>
                <w:rFonts w:ascii="Arial" w:cs="Arial" w:eastAsia="Arial" w:hAnsi="Arial"/>
                <w:sz w:val="15"/>
                <w:szCs w:val="15"/>
                <w:color w:val="auto"/>
              </w:rPr>
              <w:t>and Rose Friendship (not in 07/14/2017)</w:t>
            </w:r>
          </w:p>
        </w:tc>
        <w:tc>
          <w:tcPr>
            <w:tcW w:w="0" w:type="dxa"/>
            <w:vAlign w:val="bottom"/>
          </w:tcPr>
          <w:p>
            <w:pPr>
              <w:spacing w:after="0"/>
              <w:rPr>
                <w:sz w:val="1"/>
                <w:szCs w:val="1"/>
                <w:color w:val="auto"/>
              </w:rPr>
            </w:pPr>
          </w:p>
        </w:tc>
      </w:tr>
      <w:tr>
        <w:trPr>
          <w:trHeight w:val="89"/>
        </w:trPr>
        <w:tc>
          <w:tcPr>
            <w:tcW w:w="1300" w:type="dxa"/>
            <w:vAlign w:val="bottom"/>
            <w:tcBorders>
              <w:bottom w:val="single" w:sz="8" w:color="00B085"/>
            </w:tcBorders>
          </w:tcPr>
          <w:p>
            <w:pPr>
              <w:spacing w:after="0"/>
              <w:rPr>
                <w:sz w:val="7"/>
                <w:szCs w:val="7"/>
                <w:color w:val="auto"/>
              </w:rPr>
            </w:pPr>
          </w:p>
        </w:tc>
        <w:tc>
          <w:tcPr>
            <w:tcW w:w="2120" w:type="dxa"/>
            <w:vAlign w:val="bottom"/>
            <w:tcBorders>
              <w:bottom w:val="single" w:sz="8" w:color="00B085"/>
            </w:tcBorders>
          </w:tcPr>
          <w:p>
            <w:pPr>
              <w:spacing w:after="0"/>
              <w:rPr>
                <w:sz w:val="7"/>
                <w:szCs w:val="7"/>
                <w:color w:val="auto"/>
              </w:rPr>
            </w:pPr>
          </w:p>
        </w:tc>
        <w:tc>
          <w:tcPr>
            <w:tcW w:w="1540" w:type="dxa"/>
            <w:vAlign w:val="bottom"/>
            <w:vMerge w:val="continue"/>
          </w:tcPr>
          <w:p>
            <w:pPr>
              <w:spacing w:after="0"/>
              <w:rPr>
                <w:sz w:val="7"/>
                <w:szCs w:val="7"/>
                <w:color w:val="auto"/>
              </w:rPr>
            </w:pPr>
          </w:p>
        </w:tc>
        <w:tc>
          <w:tcPr>
            <w:tcW w:w="46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99"/>
        </w:trPr>
        <w:tc>
          <w:tcPr>
            <w:tcW w:w="1300" w:type="dxa"/>
            <w:vAlign w:val="bottom"/>
          </w:tcPr>
          <w:p>
            <w:pPr>
              <w:spacing w:after="0"/>
              <w:rPr>
                <w:sz w:val="17"/>
                <w:szCs w:val="17"/>
                <w:color w:val="auto"/>
              </w:rPr>
            </w:pPr>
          </w:p>
        </w:tc>
        <w:tc>
          <w:tcPr>
            <w:tcW w:w="2120" w:type="dxa"/>
            <w:vAlign w:val="bottom"/>
          </w:tcPr>
          <w:p>
            <w:pPr>
              <w:spacing w:after="0"/>
              <w:rPr>
                <w:sz w:val="17"/>
                <w:szCs w:val="17"/>
                <w:color w:val="auto"/>
              </w:rPr>
            </w:pP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07/21/2016</w:t>
            </w:r>
          </w:p>
        </w:tc>
        <w:tc>
          <w:tcPr>
            <w:tcW w:w="4680" w:type="dxa"/>
            <w:vAlign w:val="bottom"/>
          </w:tcPr>
          <w:p>
            <w:pPr>
              <w:ind w:left="220"/>
              <w:spacing w:after="0"/>
              <w:rPr>
                <w:sz w:val="20"/>
                <w:szCs w:val="20"/>
                <w:color w:val="auto"/>
              </w:rPr>
            </w:pPr>
            <w:r>
              <w:rPr>
                <w:rFonts w:ascii="Arial" w:cs="Arial" w:eastAsia="Arial" w:hAnsi="Arial"/>
                <w:sz w:val="15"/>
                <w:szCs w:val="15"/>
                <w:color w:val="auto"/>
              </w:rPr>
              <w:t>Red Beauty, Peter Pears</w:t>
            </w:r>
          </w:p>
        </w:tc>
        <w:tc>
          <w:tcPr>
            <w:tcW w:w="0" w:type="dxa"/>
            <w:vAlign w:val="bottom"/>
          </w:tcPr>
          <w:p>
            <w:pPr>
              <w:spacing w:after="0"/>
              <w:rPr>
                <w:sz w:val="1"/>
                <w:szCs w:val="1"/>
                <w:color w:val="auto"/>
              </w:rPr>
            </w:pPr>
          </w:p>
        </w:tc>
      </w:tr>
      <w:tr>
        <w:trPr>
          <w:trHeight w:val="220"/>
        </w:trPr>
        <w:tc>
          <w:tcPr>
            <w:tcW w:w="1300" w:type="dxa"/>
            <w:vAlign w:val="bottom"/>
          </w:tcPr>
          <w:p>
            <w:pPr>
              <w:spacing w:after="0"/>
              <w:rPr>
                <w:sz w:val="19"/>
                <w:szCs w:val="19"/>
                <w:color w:val="auto"/>
              </w:rPr>
            </w:pPr>
          </w:p>
        </w:tc>
        <w:tc>
          <w:tcPr>
            <w:tcW w:w="2120" w:type="dxa"/>
            <w:vAlign w:val="bottom"/>
          </w:tcPr>
          <w:p>
            <w:pPr>
              <w:spacing w:after="0"/>
              <w:rPr>
                <w:sz w:val="19"/>
                <w:szCs w:val="19"/>
                <w:color w:val="auto"/>
              </w:rPr>
            </w:pP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08/04/2016</w:t>
            </w:r>
          </w:p>
        </w:tc>
        <w:tc>
          <w:tcPr>
            <w:tcW w:w="4680" w:type="dxa"/>
            <w:vAlign w:val="bottom"/>
          </w:tcPr>
          <w:p>
            <w:pPr>
              <w:ind w:left="220"/>
              <w:spacing w:after="0"/>
              <w:rPr>
                <w:sz w:val="20"/>
                <w:szCs w:val="20"/>
                <w:color w:val="auto"/>
              </w:rPr>
            </w:pPr>
            <w:r>
              <w:rPr>
                <w:rFonts w:ascii="Arial" w:cs="Arial" w:eastAsia="Arial" w:hAnsi="Arial"/>
                <w:sz w:val="15"/>
                <w:szCs w:val="15"/>
                <w:color w:val="auto"/>
              </w:rPr>
              <w:t>Amsterdam</w:t>
            </w:r>
          </w:p>
        </w:tc>
        <w:tc>
          <w:tcPr>
            <w:tcW w:w="0" w:type="dxa"/>
            <w:vAlign w:val="bottom"/>
          </w:tcPr>
          <w:p>
            <w:pPr>
              <w:spacing w:after="0"/>
              <w:rPr>
                <w:sz w:val="1"/>
                <w:szCs w:val="1"/>
                <w:color w:val="auto"/>
              </w:rPr>
            </w:pPr>
          </w:p>
        </w:tc>
      </w:tr>
      <w:tr>
        <w:trPr>
          <w:trHeight w:val="220"/>
        </w:trPr>
        <w:tc>
          <w:tcPr>
            <w:tcW w:w="1300" w:type="dxa"/>
            <w:vAlign w:val="bottom"/>
          </w:tcPr>
          <w:p>
            <w:pPr>
              <w:spacing w:after="0"/>
              <w:rPr>
                <w:sz w:val="19"/>
                <w:szCs w:val="19"/>
                <w:color w:val="auto"/>
              </w:rPr>
            </w:pPr>
          </w:p>
        </w:tc>
        <w:tc>
          <w:tcPr>
            <w:tcW w:w="2120" w:type="dxa"/>
            <w:vAlign w:val="bottom"/>
          </w:tcPr>
          <w:p>
            <w:pPr>
              <w:spacing w:after="0"/>
              <w:rPr>
                <w:sz w:val="19"/>
                <w:szCs w:val="19"/>
                <w:color w:val="auto"/>
              </w:rPr>
            </w:pP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02/17/2017</w:t>
            </w:r>
          </w:p>
        </w:tc>
        <w:tc>
          <w:tcPr>
            <w:tcW w:w="4680" w:type="dxa"/>
            <w:vAlign w:val="bottom"/>
          </w:tcPr>
          <w:p>
            <w:pPr>
              <w:ind w:left="220"/>
              <w:spacing w:after="0"/>
              <w:rPr>
                <w:sz w:val="20"/>
                <w:szCs w:val="20"/>
                <w:color w:val="auto"/>
              </w:rPr>
            </w:pPr>
            <w:r>
              <w:rPr>
                <w:rFonts w:ascii="Arial" w:cs="Arial" w:eastAsia="Arial" w:hAnsi="Arial"/>
                <w:sz w:val="15"/>
                <w:szCs w:val="15"/>
                <w:color w:val="auto"/>
              </w:rPr>
              <w:t>Gold Field, Jester</w:t>
            </w:r>
          </w:p>
        </w:tc>
        <w:tc>
          <w:tcPr>
            <w:tcW w:w="0" w:type="dxa"/>
            <w:vAlign w:val="bottom"/>
          </w:tcPr>
          <w:p>
            <w:pPr>
              <w:spacing w:after="0"/>
              <w:rPr>
                <w:sz w:val="1"/>
                <w:szCs w:val="1"/>
                <w:color w:val="auto"/>
              </w:rPr>
            </w:pPr>
          </w:p>
        </w:tc>
      </w:tr>
      <w:tr>
        <w:trPr>
          <w:trHeight w:val="220"/>
        </w:trPr>
        <w:tc>
          <w:tcPr>
            <w:tcW w:w="1300" w:type="dxa"/>
            <w:vAlign w:val="bottom"/>
            <w:vMerge w:val="restart"/>
          </w:tcPr>
          <w:p>
            <w:pPr>
              <w:spacing w:after="0"/>
              <w:rPr>
                <w:sz w:val="20"/>
                <w:szCs w:val="20"/>
                <w:color w:val="auto"/>
              </w:rPr>
            </w:pPr>
            <w:r>
              <w:rPr>
                <w:rFonts w:ascii="Arial" w:cs="Arial" w:eastAsia="Arial" w:hAnsi="Arial"/>
                <w:sz w:val="15"/>
                <w:szCs w:val="15"/>
                <w:color w:val="auto"/>
              </w:rPr>
              <w:t>2</w:t>
            </w:r>
          </w:p>
        </w:tc>
        <w:tc>
          <w:tcPr>
            <w:tcW w:w="2120" w:type="dxa"/>
            <w:vAlign w:val="bottom"/>
            <w:vMerge w:val="restart"/>
          </w:tcPr>
          <w:p>
            <w:pPr>
              <w:jc w:val="center"/>
              <w:spacing w:after="0"/>
              <w:rPr>
                <w:sz w:val="20"/>
                <w:szCs w:val="20"/>
                <w:color w:val="auto"/>
              </w:rPr>
            </w:pPr>
            <w:r>
              <w:rPr>
                <w:rFonts w:ascii="Arial" w:cs="Arial" w:eastAsia="Arial" w:hAnsi="Arial"/>
                <w:sz w:val="15"/>
                <w:szCs w:val="15"/>
                <w:color w:val="auto"/>
                <w:w w:val="88"/>
              </w:rPr>
              <w:t>On Farm, Santa Maria</w:t>
            </w: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02/20/2017</w:t>
            </w:r>
          </w:p>
        </w:tc>
        <w:tc>
          <w:tcPr>
            <w:tcW w:w="4680" w:type="dxa"/>
            <w:vAlign w:val="bottom"/>
          </w:tcPr>
          <w:p>
            <w:pPr>
              <w:ind w:left="220"/>
              <w:spacing w:after="0"/>
              <w:rPr>
                <w:sz w:val="20"/>
                <w:szCs w:val="20"/>
                <w:color w:val="auto"/>
              </w:rPr>
            </w:pPr>
            <w:r>
              <w:rPr>
                <w:rFonts w:ascii="Arial" w:cs="Arial" w:eastAsia="Arial" w:hAnsi="Arial"/>
                <w:sz w:val="15"/>
                <w:szCs w:val="15"/>
                <w:color w:val="auto"/>
              </w:rPr>
              <w:t>Red Beauty</w:t>
            </w:r>
          </w:p>
        </w:tc>
        <w:tc>
          <w:tcPr>
            <w:tcW w:w="0" w:type="dxa"/>
            <w:vAlign w:val="bottom"/>
          </w:tcPr>
          <w:p>
            <w:pPr>
              <w:spacing w:after="0"/>
              <w:rPr>
                <w:sz w:val="1"/>
                <w:szCs w:val="1"/>
                <w:color w:val="auto"/>
              </w:rPr>
            </w:pPr>
          </w:p>
        </w:tc>
      </w:tr>
      <w:tr>
        <w:trPr>
          <w:trHeight w:val="133"/>
        </w:trPr>
        <w:tc>
          <w:tcPr>
            <w:tcW w:w="1300" w:type="dxa"/>
            <w:vAlign w:val="bottom"/>
            <w:vMerge w:val="continue"/>
          </w:tcPr>
          <w:p>
            <w:pPr>
              <w:spacing w:after="0"/>
              <w:rPr>
                <w:sz w:val="11"/>
                <w:szCs w:val="11"/>
                <w:color w:val="auto"/>
              </w:rPr>
            </w:pPr>
          </w:p>
        </w:tc>
        <w:tc>
          <w:tcPr>
            <w:tcW w:w="2120" w:type="dxa"/>
            <w:vAlign w:val="bottom"/>
            <w:vMerge w:val="continue"/>
          </w:tcPr>
          <w:p>
            <w:pPr>
              <w:spacing w:after="0"/>
              <w:rPr>
                <w:sz w:val="11"/>
                <w:szCs w:val="11"/>
                <w:color w:val="auto"/>
              </w:rPr>
            </w:pPr>
          </w:p>
        </w:tc>
        <w:tc>
          <w:tcPr>
            <w:tcW w:w="1540" w:type="dxa"/>
            <w:vAlign w:val="bottom"/>
            <w:vMerge w:val="restart"/>
          </w:tcPr>
          <w:p>
            <w:pPr>
              <w:jc w:val="center"/>
              <w:ind w:left="148"/>
              <w:spacing w:after="0"/>
              <w:rPr>
                <w:sz w:val="20"/>
                <w:szCs w:val="20"/>
                <w:color w:val="auto"/>
              </w:rPr>
            </w:pPr>
            <w:r>
              <w:rPr>
                <w:rFonts w:ascii="Arial" w:cs="Arial" w:eastAsia="Arial" w:hAnsi="Arial"/>
                <w:sz w:val="15"/>
                <w:szCs w:val="15"/>
                <w:color w:val="auto"/>
              </w:rPr>
              <w:t>02/24/2017</w:t>
            </w:r>
          </w:p>
        </w:tc>
        <w:tc>
          <w:tcPr>
            <w:tcW w:w="4680" w:type="dxa"/>
            <w:vAlign w:val="bottom"/>
            <w:vMerge w:val="restart"/>
          </w:tcPr>
          <w:p>
            <w:pPr>
              <w:ind w:left="220"/>
              <w:spacing w:after="0"/>
              <w:rPr>
                <w:sz w:val="20"/>
                <w:szCs w:val="20"/>
                <w:color w:val="auto"/>
              </w:rPr>
            </w:pPr>
            <w:r>
              <w:rPr>
                <w:rFonts w:ascii="Arial" w:cs="Arial" w:eastAsia="Arial" w:hAnsi="Arial"/>
                <w:sz w:val="15"/>
                <w:szCs w:val="15"/>
                <w:color w:val="auto"/>
              </w:rPr>
              <w:t>Peter Pears, Rose Friendship, Amsterdam</w:t>
            </w:r>
          </w:p>
        </w:tc>
        <w:tc>
          <w:tcPr>
            <w:tcW w:w="0" w:type="dxa"/>
            <w:vAlign w:val="bottom"/>
          </w:tcPr>
          <w:p>
            <w:pPr>
              <w:spacing w:after="0"/>
              <w:rPr>
                <w:sz w:val="1"/>
                <w:szCs w:val="1"/>
                <w:color w:val="auto"/>
              </w:rPr>
            </w:pPr>
          </w:p>
        </w:tc>
      </w:tr>
      <w:tr>
        <w:trPr>
          <w:trHeight w:val="87"/>
        </w:trPr>
        <w:tc>
          <w:tcPr>
            <w:tcW w:w="1300" w:type="dxa"/>
            <w:vAlign w:val="bottom"/>
          </w:tcPr>
          <w:p>
            <w:pPr>
              <w:spacing w:after="0"/>
              <w:rPr>
                <w:sz w:val="7"/>
                <w:szCs w:val="7"/>
                <w:color w:val="auto"/>
              </w:rPr>
            </w:pPr>
          </w:p>
        </w:tc>
        <w:tc>
          <w:tcPr>
            <w:tcW w:w="2120" w:type="dxa"/>
            <w:vAlign w:val="bottom"/>
          </w:tcPr>
          <w:p>
            <w:pPr>
              <w:spacing w:after="0"/>
              <w:rPr>
                <w:sz w:val="7"/>
                <w:szCs w:val="7"/>
                <w:color w:val="auto"/>
              </w:rPr>
            </w:pPr>
          </w:p>
        </w:tc>
        <w:tc>
          <w:tcPr>
            <w:tcW w:w="1540" w:type="dxa"/>
            <w:vAlign w:val="bottom"/>
            <w:vMerge w:val="continue"/>
          </w:tcPr>
          <w:p>
            <w:pPr>
              <w:spacing w:after="0"/>
              <w:rPr>
                <w:sz w:val="7"/>
                <w:szCs w:val="7"/>
                <w:color w:val="auto"/>
              </w:rPr>
            </w:pPr>
          </w:p>
        </w:tc>
        <w:tc>
          <w:tcPr>
            <w:tcW w:w="46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20"/>
        </w:trPr>
        <w:tc>
          <w:tcPr>
            <w:tcW w:w="1300" w:type="dxa"/>
            <w:vAlign w:val="bottom"/>
          </w:tcPr>
          <w:p>
            <w:pPr>
              <w:spacing w:after="0"/>
              <w:rPr>
                <w:sz w:val="19"/>
                <w:szCs w:val="19"/>
                <w:color w:val="auto"/>
              </w:rPr>
            </w:pPr>
          </w:p>
        </w:tc>
        <w:tc>
          <w:tcPr>
            <w:tcW w:w="2120" w:type="dxa"/>
            <w:vAlign w:val="bottom"/>
          </w:tcPr>
          <w:p>
            <w:pPr>
              <w:spacing w:after="0"/>
              <w:rPr>
                <w:sz w:val="19"/>
                <w:szCs w:val="19"/>
                <w:color w:val="auto"/>
              </w:rPr>
            </w:pP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07/17/2017</w:t>
            </w:r>
          </w:p>
        </w:tc>
        <w:tc>
          <w:tcPr>
            <w:tcW w:w="4680" w:type="dxa"/>
            <w:vAlign w:val="bottom"/>
          </w:tcPr>
          <w:p>
            <w:pPr>
              <w:ind w:left="220"/>
              <w:spacing w:after="0"/>
              <w:rPr>
                <w:sz w:val="20"/>
                <w:szCs w:val="20"/>
                <w:color w:val="auto"/>
              </w:rPr>
            </w:pPr>
            <w:r>
              <w:rPr>
                <w:rFonts w:ascii="Arial" w:cs="Arial" w:eastAsia="Arial" w:hAnsi="Arial"/>
                <w:sz w:val="15"/>
                <w:szCs w:val="15"/>
                <w:color w:val="auto"/>
              </w:rPr>
              <w:t>Jester</w:t>
            </w:r>
          </w:p>
        </w:tc>
        <w:tc>
          <w:tcPr>
            <w:tcW w:w="0" w:type="dxa"/>
            <w:vAlign w:val="bottom"/>
          </w:tcPr>
          <w:p>
            <w:pPr>
              <w:spacing w:after="0"/>
              <w:rPr>
                <w:sz w:val="1"/>
                <w:szCs w:val="1"/>
                <w:color w:val="auto"/>
              </w:rPr>
            </w:pPr>
          </w:p>
        </w:tc>
      </w:tr>
      <w:tr>
        <w:trPr>
          <w:trHeight w:val="220"/>
        </w:trPr>
        <w:tc>
          <w:tcPr>
            <w:tcW w:w="1300" w:type="dxa"/>
            <w:vAlign w:val="bottom"/>
          </w:tcPr>
          <w:p>
            <w:pPr>
              <w:spacing w:after="0"/>
              <w:rPr>
                <w:sz w:val="19"/>
                <w:szCs w:val="19"/>
                <w:color w:val="auto"/>
              </w:rPr>
            </w:pPr>
          </w:p>
        </w:tc>
        <w:tc>
          <w:tcPr>
            <w:tcW w:w="2120" w:type="dxa"/>
            <w:vAlign w:val="bottom"/>
          </w:tcPr>
          <w:p>
            <w:pPr>
              <w:spacing w:after="0"/>
              <w:rPr>
                <w:sz w:val="19"/>
                <w:szCs w:val="19"/>
                <w:color w:val="auto"/>
              </w:rPr>
            </w:pP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07/27/2017</w:t>
            </w:r>
          </w:p>
        </w:tc>
        <w:tc>
          <w:tcPr>
            <w:tcW w:w="4680" w:type="dxa"/>
            <w:vAlign w:val="bottom"/>
          </w:tcPr>
          <w:p>
            <w:pPr>
              <w:ind w:left="220"/>
              <w:spacing w:after="0"/>
              <w:rPr>
                <w:sz w:val="20"/>
                <w:szCs w:val="20"/>
                <w:color w:val="auto"/>
              </w:rPr>
            </w:pPr>
            <w:r>
              <w:rPr>
                <w:rFonts w:ascii="Arial" w:cs="Arial" w:eastAsia="Arial" w:hAnsi="Arial"/>
                <w:sz w:val="15"/>
                <w:szCs w:val="15"/>
                <w:color w:val="auto"/>
              </w:rPr>
              <w:t>Amsterdam, Peter Pears</w:t>
            </w:r>
          </w:p>
        </w:tc>
        <w:tc>
          <w:tcPr>
            <w:tcW w:w="0" w:type="dxa"/>
            <w:vAlign w:val="bottom"/>
          </w:tcPr>
          <w:p>
            <w:pPr>
              <w:spacing w:after="0"/>
              <w:rPr>
                <w:sz w:val="1"/>
                <w:szCs w:val="1"/>
                <w:color w:val="auto"/>
              </w:rPr>
            </w:pPr>
          </w:p>
        </w:tc>
      </w:tr>
      <w:tr>
        <w:trPr>
          <w:trHeight w:val="220"/>
        </w:trPr>
        <w:tc>
          <w:tcPr>
            <w:tcW w:w="1300" w:type="dxa"/>
            <w:vAlign w:val="bottom"/>
          </w:tcPr>
          <w:p>
            <w:pPr>
              <w:spacing w:after="0"/>
              <w:rPr>
                <w:sz w:val="19"/>
                <w:szCs w:val="19"/>
                <w:color w:val="auto"/>
              </w:rPr>
            </w:pPr>
          </w:p>
        </w:tc>
        <w:tc>
          <w:tcPr>
            <w:tcW w:w="2120" w:type="dxa"/>
            <w:vAlign w:val="bottom"/>
          </w:tcPr>
          <w:p>
            <w:pPr>
              <w:spacing w:after="0"/>
              <w:rPr>
                <w:sz w:val="19"/>
                <w:szCs w:val="19"/>
                <w:color w:val="auto"/>
              </w:rPr>
            </w:pP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02/16/2018</w:t>
            </w:r>
          </w:p>
        </w:tc>
        <w:tc>
          <w:tcPr>
            <w:tcW w:w="4680" w:type="dxa"/>
            <w:vAlign w:val="bottom"/>
          </w:tcPr>
          <w:p>
            <w:pPr>
              <w:ind w:left="220"/>
              <w:spacing w:after="0"/>
              <w:rPr>
                <w:sz w:val="20"/>
                <w:szCs w:val="20"/>
                <w:color w:val="auto"/>
              </w:rPr>
            </w:pPr>
            <w:r>
              <w:rPr>
                <w:rFonts w:ascii="Arial" w:cs="Arial" w:eastAsia="Arial" w:hAnsi="Arial"/>
                <w:sz w:val="15"/>
                <w:szCs w:val="15"/>
                <w:color w:val="auto"/>
              </w:rPr>
              <w:t>Fidelio, Red Beauty, Rose Supreme, Jester</w:t>
            </w:r>
          </w:p>
        </w:tc>
        <w:tc>
          <w:tcPr>
            <w:tcW w:w="0" w:type="dxa"/>
            <w:vAlign w:val="bottom"/>
          </w:tcPr>
          <w:p>
            <w:pPr>
              <w:spacing w:after="0"/>
              <w:rPr>
                <w:sz w:val="1"/>
                <w:szCs w:val="1"/>
                <w:color w:val="auto"/>
              </w:rPr>
            </w:pPr>
          </w:p>
        </w:tc>
      </w:tr>
      <w:tr>
        <w:trPr>
          <w:trHeight w:val="224"/>
        </w:trPr>
        <w:tc>
          <w:tcPr>
            <w:tcW w:w="1300" w:type="dxa"/>
            <w:vAlign w:val="bottom"/>
            <w:tcBorders>
              <w:bottom w:val="single" w:sz="8" w:color="00B085"/>
            </w:tcBorders>
          </w:tcPr>
          <w:p>
            <w:pPr>
              <w:spacing w:after="0"/>
              <w:rPr>
                <w:sz w:val="19"/>
                <w:szCs w:val="19"/>
                <w:color w:val="auto"/>
              </w:rPr>
            </w:pPr>
          </w:p>
        </w:tc>
        <w:tc>
          <w:tcPr>
            <w:tcW w:w="2120" w:type="dxa"/>
            <w:vAlign w:val="bottom"/>
            <w:tcBorders>
              <w:bottom w:val="single" w:sz="8" w:color="00B085"/>
            </w:tcBorders>
          </w:tcPr>
          <w:p>
            <w:pPr>
              <w:spacing w:after="0"/>
              <w:rPr>
                <w:sz w:val="19"/>
                <w:szCs w:val="19"/>
                <w:color w:val="auto"/>
              </w:rPr>
            </w:pPr>
          </w:p>
        </w:tc>
        <w:tc>
          <w:tcPr>
            <w:tcW w:w="1540" w:type="dxa"/>
            <w:vAlign w:val="bottom"/>
            <w:tcBorders>
              <w:bottom w:val="single" w:sz="8" w:color="00B085"/>
            </w:tcBorders>
          </w:tcPr>
          <w:p>
            <w:pPr>
              <w:jc w:val="center"/>
              <w:ind w:left="148"/>
              <w:spacing w:after="0"/>
              <w:rPr>
                <w:sz w:val="20"/>
                <w:szCs w:val="20"/>
                <w:color w:val="auto"/>
              </w:rPr>
            </w:pPr>
            <w:r>
              <w:rPr>
                <w:rFonts w:ascii="Arial" w:cs="Arial" w:eastAsia="Arial" w:hAnsi="Arial"/>
                <w:sz w:val="15"/>
                <w:szCs w:val="15"/>
                <w:color w:val="auto"/>
              </w:rPr>
              <w:t>02/19/2018</w:t>
            </w:r>
          </w:p>
        </w:tc>
        <w:tc>
          <w:tcPr>
            <w:tcW w:w="4680" w:type="dxa"/>
            <w:vAlign w:val="bottom"/>
            <w:tcBorders>
              <w:bottom w:val="single" w:sz="8" w:color="00B085"/>
            </w:tcBorders>
          </w:tcPr>
          <w:p>
            <w:pPr>
              <w:ind w:left="220"/>
              <w:spacing w:after="0"/>
              <w:rPr>
                <w:sz w:val="20"/>
                <w:szCs w:val="20"/>
                <w:color w:val="auto"/>
              </w:rPr>
            </w:pPr>
            <w:r>
              <w:rPr>
                <w:rFonts w:ascii="Arial" w:cs="Arial" w:eastAsia="Arial" w:hAnsi="Arial"/>
                <w:sz w:val="15"/>
                <w:szCs w:val="15"/>
                <w:color w:val="auto"/>
              </w:rPr>
              <w:t>Red Beauty, Rose Supreme, Jester</w:t>
            </w:r>
          </w:p>
        </w:tc>
        <w:tc>
          <w:tcPr>
            <w:tcW w:w="0" w:type="dxa"/>
            <w:vAlign w:val="bottom"/>
          </w:tcPr>
          <w:p>
            <w:pPr>
              <w:spacing w:after="0"/>
              <w:rPr>
                <w:sz w:val="1"/>
                <w:szCs w:val="1"/>
                <w:color w:val="auto"/>
              </w:rPr>
            </w:pPr>
          </w:p>
        </w:tc>
      </w:tr>
      <w:tr>
        <w:trPr>
          <w:trHeight w:val="202"/>
        </w:trPr>
        <w:tc>
          <w:tcPr>
            <w:tcW w:w="1300" w:type="dxa"/>
            <w:vAlign w:val="bottom"/>
            <w:tcBorders>
              <w:bottom w:val="single" w:sz="8" w:color="00B085"/>
            </w:tcBorders>
          </w:tcPr>
          <w:p>
            <w:pPr>
              <w:spacing w:after="0"/>
              <w:rPr>
                <w:sz w:val="20"/>
                <w:szCs w:val="20"/>
                <w:color w:val="auto"/>
              </w:rPr>
            </w:pPr>
            <w:r>
              <w:rPr>
                <w:rFonts w:ascii="Arial" w:cs="Arial" w:eastAsia="Arial" w:hAnsi="Arial"/>
                <w:sz w:val="15"/>
                <w:szCs w:val="15"/>
                <w:color w:val="auto"/>
              </w:rPr>
              <w:t>3</w:t>
            </w:r>
          </w:p>
        </w:tc>
        <w:tc>
          <w:tcPr>
            <w:tcW w:w="2120" w:type="dxa"/>
            <w:vAlign w:val="bottom"/>
            <w:tcBorders>
              <w:bottom w:val="single" w:sz="8" w:color="00B085"/>
            </w:tcBorders>
          </w:tcPr>
          <w:p>
            <w:pPr>
              <w:jc w:val="center"/>
              <w:spacing w:after="0"/>
              <w:rPr>
                <w:sz w:val="20"/>
                <w:szCs w:val="20"/>
                <w:color w:val="auto"/>
              </w:rPr>
            </w:pPr>
            <w:r>
              <w:rPr>
                <w:rFonts w:ascii="Arial" w:cs="Arial" w:eastAsia="Arial" w:hAnsi="Arial"/>
                <w:sz w:val="15"/>
                <w:szCs w:val="15"/>
                <w:color w:val="auto"/>
                <w:w w:val="89"/>
              </w:rPr>
              <w:t>On Farm, Dilermando de Aguiar</w:t>
            </w:r>
          </w:p>
        </w:tc>
        <w:tc>
          <w:tcPr>
            <w:tcW w:w="1540" w:type="dxa"/>
            <w:vAlign w:val="bottom"/>
          </w:tcPr>
          <w:p>
            <w:pPr>
              <w:jc w:val="center"/>
              <w:ind w:left="148"/>
              <w:spacing w:after="0"/>
              <w:rPr>
                <w:sz w:val="20"/>
                <w:szCs w:val="20"/>
                <w:color w:val="auto"/>
              </w:rPr>
            </w:pPr>
            <w:r>
              <w:rPr>
                <w:rFonts w:ascii="Arial" w:cs="Arial" w:eastAsia="Arial" w:hAnsi="Arial"/>
                <w:sz w:val="15"/>
                <w:szCs w:val="15"/>
                <w:color w:val="auto"/>
              </w:rPr>
              <w:t>02/14/2018</w:t>
            </w:r>
          </w:p>
        </w:tc>
        <w:tc>
          <w:tcPr>
            <w:tcW w:w="4680" w:type="dxa"/>
            <w:vAlign w:val="bottom"/>
            <w:vMerge w:val="restart"/>
          </w:tcPr>
          <w:p>
            <w:pPr>
              <w:ind w:left="220"/>
              <w:spacing w:after="0"/>
              <w:rPr>
                <w:sz w:val="20"/>
                <w:szCs w:val="20"/>
                <w:color w:val="auto"/>
              </w:rPr>
            </w:pPr>
            <w:r>
              <w:rPr>
                <w:rFonts w:ascii="Arial" w:cs="Arial" w:eastAsia="Arial" w:hAnsi="Arial"/>
                <w:sz w:val="15"/>
                <w:szCs w:val="15"/>
                <w:color w:val="auto"/>
                <w:w w:val="89"/>
              </w:rPr>
              <w:t>Red Beauty, Rose Supreme, Jester, White Goddess (not in Dilermando de</w:t>
            </w:r>
          </w:p>
        </w:tc>
        <w:tc>
          <w:tcPr>
            <w:tcW w:w="0" w:type="dxa"/>
            <w:vAlign w:val="bottom"/>
          </w:tcPr>
          <w:p>
            <w:pPr>
              <w:spacing w:after="0"/>
              <w:rPr>
                <w:sz w:val="1"/>
                <w:szCs w:val="1"/>
                <w:color w:val="auto"/>
              </w:rPr>
            </w:pPr>
          </w:p>
        </w:tc>
      </w:tr>
      <w:tr>
        <w:trPr>
          <w:trHeight w:val="96"/>
        </w:trPr>
        <w:tc>
          <w:tcPr>
            <w:tcW w:w="1300" w:type="dxa"/>
            <w:vAlign w:val="bottom"/>
            <w:vMerge w:val="restart"/>
          </w:tcPr>
          <w:p>
            <w:pPr>
              <w:spacing w:after="0"/>
              <w:rPr>
                <w:sz w:val="20"/>
                <w:szCs w:val="20"/>
                <w:color w:val="auto"/>
              </w:rPr>
            </w:pPr>
            <w:r>
              <w:rPr>
                <w:rFonts w:ascii="Arial" w:cs="Arial" w:eastAsia="Arial" w:hAnsi="Arial"/>
                <w:sz w:val="15"/>
                <w:szCs w:val="15"/>
                <w:color w:val="auto"/>
              </w:rPr>
              <w:t>4</w:t>
            </w:r>
          </w:p>
        </w:tc>
        <w:tc>
          <w:tcPr>
            <w:tcW w:w="2120" w:type="dxa"/>
            <w:vAlign w:val="bottom"/>
            <w:vMerge w:val="restart"/>
          </w:tcPr>
          <w:p>
            <w:pPr>
              <w:jc w:val="center"/>
              <w:spacing w:after="0"/>
              <w:rPr>
                <w:sz w:val="20"/>
                <w:szCs w:val="20"/>
                <w:color w:val="auto"/>
              </w:rPr>
            </w:pPr>
            <w:r>
              <w:rPr>
                <w:rFonts w:ascii="Arial" w:cs="Arial" w:eastAsia="Arial" w:hAnsi="Arial"/>
                <w:sz w:val="15"/>
                <w:szCs w:val="15"/>
                <w:color w:val="auto"/>
                <w:w w:val="89"/>
              </w:rPr>
              <w:t>On Farm, Cachoeira do Sul</w:t>
            </w:r>
          </w:p>
        </w:tc>
        <w:tc>
          <w:tcPr>
            <w:tcW w:w="1540" w:type="dxa"/>
            <w:vAlign w:val="bottom"/>
            <w:vMerge w:val="restart"/>
          </w:tcPr>
          <w:p>
            <w:pPr>
              <w:jc w:val="center"/>
              <w:ind w:left="148"/>
              <w:spacing w:after="0"/>
              <w:rPr>
                <w:sz w:val="20"/>
                <w:szCs w:val="20"/>
                <w:color w:val="auto"/>
              </w:rPr>
            </w:pPr>
            <w:r>
              <w:rPr>
                <w:rFonts w:ascii="Arial" w:cs="Arial" w:eastAsia="Arial" w:hAnsi="Arial"/>
                <w:sz w:val="15"/>
                <w:szCs w:val="15"/>
                <w:color w:val="auto"/>
              </w:rPr>
              <w:t>02/15/2018</w:t>
            </w:r>
          </w:p>
        </w:tc>
        <w:tc>
          <w:tcPr>
            <w:tcW w:w="46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300" w:type="dxa"/>
            <w:vAlign w:val="bottom"/>
            <w:tcBorders>
              <w:bottom w:val="single" w:sz="8" w:color="00B085"/>
            </w:tcBorders>
            <w:vMerge w:val="continue"/>
          </w:tcPr>
          <w:p>
            <w:pPr>
              <w:spacing w:after="0"/>
              <w:rPr>
                <w:sz w:val="8"/>
                <w:szCs w:val="8"/>
                <w:color w:val="auto"/>
              </w:rPr>
            </w:pPr>
          </w:p>
        </w:tc>
        <w:tc>
          <w:tcPr>
            <w:tcW w:w="2120" w:type="dxa"/>
            <w:vAlign w:val="bottom"/>
            <w:tcBorders>
              <w:bottom w:val="single" w:sz="8" w:color="00B085"/>
            </w:tcBorders>
            <w:vMerge w:val="continue"/>
          </w:tcPr>
          <w:p>
            <w:pPr>
              <w:spacing w:after="0"/>
              <w:rPr>
                <w:sz w:val="8"/>
                <w:szCs w:val="8"/>
                <w:color w:val="auto"/>
              </w:rPr>
            </w:pPr>
          </w:p>
        </w:tc>
        <w:tc>
          <w:tcPr>
            <w:tcW w:w="1540" w:type="dxa"/>
            <w:vAlign w:val="bottom"/>
            <w:vMerge w:val="continue"/>
          </w:tcPr>
          <w:p>
            <w:pPr>
              <w:spacing w:after="0"/>
              <w:rPr>
                <w:sz w:val="8"/>
                <w:szCs w:val="8"/>
                <w:color w:val="auto"/>
              </w:rPr>
            </w:pPr>
          </w:p>
        </w:tc>
        <w:tc>
          <w:tcPr>
            <w:tcW w:w="4680" w:type="dxa"/>
            <w:vAlign w:val="bottom"/>
            <w:vMerge w:val="restart"/>
          </w:tcPr>
          <w:p>
            <w:pPr>
              <w:ind w:left="220"/>
              <w:spacing w:after="0"/>
              <w:rPr>
                <w:sz w:val="20"/>
                <w:szCs w:val="20"/>
                <w:color w:val="auto"/>
              </w:rPr>
            </w:pPr>
            <w:r>
              <w:rPr>
                <w:rFonts w:ascii="Arial" w:cs="Arial" w:eastAsia="Arial" w:hAnsi="Arial"/>
                <w:sz w:val="15"/>
                <w:szCs w:val="15"/>
                <w:color w:val="auto"/>
              </w:rPr>
              <w:t>Aguiar), Fidelio (not in Dilermando de Aguiar)</w:t>
            </w:r>
          </w:p>
        </w:tc>
        <w:tc>
          <w:tcPr>
            <w:tcW w:w="0" w:type="dxa"/>
            <w:vAlign w:val="bottom"/>
          </w:tcPr>
          <w:p>
            <w:pPr>
              <w:spacing w:after="0"/>
              <w:rPr>
                <w:sz w:val="1"/>
                <w:szCs w:val="1"/>
                <w:color w:val="auto"/>
              </w:rPr>
            </w:pPr>
          </w:p>
        </w:tc>
      </w:tr>
      <w:tr>
        <w:trPr>
          <w:trHeight w:val="66"/>
        </w:trPr>
        <w:tc>
          <w:tcPr>
            <w:tcW w:w="1300" w:type="dxa"/>
            <w:vAlign w:val="bottom"/>
            <w:vMerge w:val="restart"/>
          </w:tcPr>
          <w:p>
            <w:pPr>
              <w:spacing w:after="0"/>
              <w:rPr>
                <w:sz w:val="20"/>
                <w:szCs w:val="20"/>
                <w:color w:val="auto"/>
              </w:rPr>
            </w:pPr>
            <w:r>
              <w:rPr>
                <w:rFonts w:ascii="Arial" w:cs="Arial" w:eastAsia="Arial" w:hAnsi="Arial"/>
                <w:sz w:val="15"/>
                <w:szCs w:val="15"/>
                <w:color w:val="auto"/>
              </w:rPr>
              <w:t>5</w:t>
            </w:r>
          </w:p>
        </w:tc>
        <w:tc>
          <w:tcPr>
            <w:tcW w:w="2120" w:type="dxa"/>
            <w:vAlign w:val="bottom"/>
            <w:vMerge w:val="restart"/>
          </w:tcPr>
          <w:p>
            <w:pPr>
              <w:jc w:val="center"/>
              <w:spacing w:after="0"/>
              <w:rPr>
                <w:sz w:val="20"/>
                <w:szCs w:val="20"/>
                <w:color w:val="auto"/>
              </w:rPr>
            </w:pPr>
            <w:r>
              <w:rPr>
                <w:rFonts w:ascii="Arial" w:cs="Arial" w:eastAsia="Arial" w:hAnsi="Arial"/>
                <w:sz w:val="15"/>
                <w:szCs w:val="15"/>
                <w:color w:val="auto"/>
                <w:w w:val="89"/>
              </w:rPr>
              <w:t>On Farm, Santiago</w:t>
            </w:r>
          </w:p>
        </w:tc>
        <w:tc>
          <w:tcPr>
            <w:tcW w:w="1540" w:type="dxa"/>
            <w:vAlign w:val="bottom"/>
            <w:vMerge w:val="restart"/>
          </w:tcPr>
          <w:p>
            <w:pPr>
              <w:jc w:val="center"/>
              <w:ind w:left="148"/>
              <w:spacing w:after="0"/>
              <w:rPr>
                <w:sz w:val="20"/>
                <w:szCs w:val="20"/>
                <w:color w:val="auto"/>
              </w:rPr>
            </w:pPr>
            <w:r>
              <w:rPr>
                <w:rFonts w:ascii="Arial" w:cs="Arial" w:eastAsia="Arial" w:hAnsi="Arial"/>
                <w:sz w:val="15"/>
                <w:szCs w:val="15"/>
                <w:color w:val="auto"/>
              </w:rPr>
              <w:t>02/19/2018</w:t>
            </w:r>
          </w:p>
        </w:tc>
        <w:tc>
          <w:tcPr>
            <w:tcW w:w="46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38"/>
        </w:trPr>
        <w:tc>
          <w:tcPr>
            <w:tcW w:w="1300" w:type="dxa"/>
            <w:vAlign w:val="bottom"/>
            <w:tcBorders>
              <w:bottom w:val="single" w:sz="8" w:color="00B085"/>
            </w:tcBorders>
            <w:vMerge w:val="continue"/>
          </w:tcPr>
          <w:p>
            <w:pPr>
              <w:spacing w:after="0"/>
              <w:rPr>
                <w:sz w:val="12"/>
                <w:szCs w:val="12"/>
                <w:color w:val="auto"/>
              </w:rPr>
            </w:pPr>
          </w:p>
        </w:tc>
        <w:tc>
          <w:tcPr>
            <w:tcW w:w="2120" w:type="dxa"/>
            <w:vAlign w:val="bottom"/>
            <w:tcBorders>
              <w:bottom w:val="single" w:sz="8" w:color="00B085"/>
            </w:tcBorders>
            <w:vMerge w:val="continue"/>
          </w:tcPr>
          <w:p>
            <w:pPr>
              <w:spacing w:after="0"/>
              <w:rPr>
                <w:sz w:val="12"/>
                <w:szCs w:val="12"/>
                <w:color w:val="auto"/>
              </w:rPr>
            </w:pPr>
          </w:p>
        </w:tc>
        <w:tc>
          <w:tcPr>
            <w:tcW w:w="1540" w:type="dxa"/>
            <w:vAlign w:val="bottom"/>
            <w:tcBorders>
              <w:bottom w:val="single" w:sz="8" w:color="00B085"/>
            </w:tcBorders>
            <w:vMerge w:val="continue"/>
          </w:tcPr>
          <w:p>
            <w:pPr>
              <w:spacing w:after="0"/>
              <w:rPr>
                <w:sz w:val="12"/>
                <w:szCs w:val="12"/>
                <w:color w:val="auto"/>
              </w:rPr>
            </w:pPr>
          </w:p>
        </w:tc>
        <w:tc>
          <w:tcPr>
            <w:tcW w:w="4680" w:type="dxa"/>
            <w:vAlign w:val="bottom"/>
            <w:tcBorders>
              <w:bottom w:val="single" w:sz="8" w:color="00B085"/>
            </w:tcBorders>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269240</wp:posOffset>
                </wp:positionV>
                <wp:extent cx="611695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2pt" to="481.8pt,21.2pt" o:allowincell="f" strokecolor="#BDE2D4" strokeweight="1.5pt"/>
            </w:pict>
          </mc:Fallback>
        </mc:AlternateContent>
        <w:drawing>
          <wp:anchor simplePos="0" relativeHeight="251657728" behindDoc="1" locked="0" layoutInCell="0" allowOverlap="1">
            <wp:simplePos x="0" y="0"/>
            <wp:positionH relativeFrom="column">
              <wp:posOffset>2163445</wp:posOffset>
            </wp:positionH>
            <wp:positionV relativeFrom="paragraph">
              <wp:posOffset>-1941195</wp:posOffset>
            </wp:positionV>
            <wp:extent cx="3971290" cy="19513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extLst>
                    </a:blip>
                    <a:srcRect/>
                    <a:stretch>
                      <a:fillRect/>
                    </a:stretch>
                  </pic:blipFill>
                  <pic:spPr bwMode="auto">
                    <a:xfrm>
                      <a:off x="0" y="0"/>
                      <a:ext cx="3971290" cy="1951355"/>
                    </a:xfrm>
                    <a:prstGeom prst="rect">
                      <a:avLst/>
                    </a:prstGeom>
                    <a:noFill/>
                  </pic:spPr>
                </pic:pic>
              </a:graphicData>
            </a:graphic>
          </wp:anchor>
        </w:drawing>
      </w:r>
    </w:p>
    <w:p>
      <w:pPr>
        <w:sectPr>
          <w:pgSz w:w="12240" w:h="15840" w:orient="portrait"/>
          <w:cols w:equalWidth="0" w:num="1">
            <w:col w:w="9640"/>
          </w:cols>
          <w:pgMar w:left="1300" w:top="996" w:right="1300" w:bottom="277" w:gutter="0" w:footer="0" w:header="0"/>
          <w:type w:val="continuous"/>
        </w:sectPr>
      </w:pPr>
    </w:p>
    <w:p>
      <w:pPr>
        <w:spacing w:after="0" w:line="200" w:lineRule="exact"/>
        <w:rPr>
          <w:sz w:val="20"/>
          <w:szCs w:val="20"/>
          <w:color w:val="auto"/>
        </w:rPr>
      </w:pPr>
    </w:p>
    <w:p>
      <w:pPr>
        <w:spacing w:after="0" w:line="286"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3</w:t>
      </w:r>
    </w:p>
    <w:p>
      <w:pPr>
        <w:sectPr>
          <w:pgSz w:w="12240" w:h="15840" w:orient="portrait"/>
          <w:cols w:equalWidth="0" w:num="1">
            <w:col w:w="9640"/>
          </w:cols>
          <w:pgMar w:left="1300" w:top="996" w:right="1300" w:bottom="277" w:gutter="0" w:footer="0" w:header="0"/>
          <w:type w:val="continuous"/>
        </w:sectPr>
      </w:pPr>
    </w:p>
    <w:bookmarkStart w:id="3" w:name="page4"/>
    <w:bookmarkEnd w:id="3"/>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109220</wp:posOffset>
                </wp:positionV>
                <wp:extent cx="611695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93D2BB"/>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6pt" to="481.8pt,8.6pt" o:allowincell="f" strokecolor="#93D2BB" strokeweight="1.5pt"/>
            </w:pict>
          </mc:Fallback>
        </mc:AlternateContent>
      </w:r>
    </w:p>
    <w:p>
      <w:pPr>
        <w:sectPr>
          <w:pgSz w:w="12240" w:h="15840" w:orient="portrait"/>
          <w:cols w:equalWidth="0" w:num="1">
            <w:col w:w="9640"/>
          </w:cols>
          <w:pgMar w:left="1300" w:top="996" w:right="1300" w:bottom="277" w:gutter="0" w:footer="0" w:header="0"/>
        </w:sectPr>
      </w:pPr>
    </w:p>
    <w:p>
      <w:pPr>
        <w:spacing w:after="0" w:line="200" w:lineRule="exact"/>
        <w:rPr>
          <w:sz w:val="20"/>
          <w:szCs w:val="20"/>
          <w:color w:val="auto"/>
        </w:rPr>
      </w:pPr>
    </w:p>
    <w:p>
      <w:pPr>
        <w:spacing w:after="0" w:line="256"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18"/>
          <w:szCs w:val="18"/>
          <w:color w:val="auto"/>
        </w:rPr>
        <w:t>in their developmental cycle from 69 to 121 days for early cultivars and from 85 to 148 days for late cultivars. For each year and each MG, the optimum planting date was simulated in order to have plants with the first three florets showing the characteristic color of the cultivar (the R2 stage of the phenological scale by Schwab et al., 2015) three days before Mother’s Day (second Sunday of May) and All Souls’ Day (November 2). The optimum planting date in the future period (2070-2098) was presented as anomalies calculated from the difference between the optimum planting dates in each year in the future period and average optimum planting date in the baseline period for each grid point and maturation group.</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Plant injuries</w:t>
      </w:r>
    </w:p>
    <w:p>
      <w:pPr>
        <w:spacing w:after="0" w:line="12"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For each optimum planting date, the occurrence of crop damage due to freezing or heat was assessed, and the percentage of years with damages for each grid point, MG, and climate scenarios was calculated. The percentage of years with damage was also presented as anomalies (anomalies here are the difference between the percentage of years with damage in the future period and the percentage of years with damage in the baseline). Maps were generated with the Quantum GIS software using the inverse distance weighted (IDW) interpolation approach for a better view of the spatial distribution of anomalies of optimum planting dates and percentage of years with damage for all climate scenarios,.</w:t>
      </w:r>
    </w:p>
    <w:p>
      <w:pPr>
        <w:spacing w:after="0" w:line="359" w:lineRule="exact"/>
        <w:rPr>
          <w:sz w:val="20"/>
          <w:szCs w:val="20"/>
          <w:color w:val="auto"/>
        </w:rPr>
      </w:pPr>
    </w:p>
    <w:p>
      <w:pPr>
        <w:spacing w:after="0"/>
        <w:rPr>
          <w:sz w:val="20"/>
          <w:szCs w:val="20"/>
          <w:color w:val="auto"/>
        </w:rPr>
      </w:pPr>
      <w:r>
        <w:rPr>
          <w:rFonts w:ascii="Arial" w:cs="Arial" w:eastAsia="Arial" w:hAnsi="Arial"/>
          <w:sz w:val="24"/>
          <w:szCs w:val="24"/>
          <w:b w:val="1"/>
          <w:bCs w:val="1"/>
          <w:color w:val="00B085"/>
        </w:rPr>
        <w:t>Results</w:t>
      </w:r>
    </w:p>
    <w:p>
      <w:pPr>
        <w:spacing w:after="0" w:line="242" w:lineRule="exact"/>
        <w:rPr>
          <w:sz w:val="20"/>
          <w:szCs w:val="20"/>
          <w:color w:val="auto"/>
        </w:rPr>
      </w:pPr>
    </w:p>
    <w:p>
      <w:pPr>
        <w:jc w:val="both"/>
        <w:ind w:firstLine="479"/>
        <w:spacing w:after="0" w:line="257" w:lineRule="auto"/>
        <w:rPr>
          <w:sz w:val="20"/>
          <w:szCs w:val="20"/>
          <w:color w:val="auto"/>
        </w:rPr>
      </w:pPr>
      <w:r>
        <w:rPr>
          <w:rFonts w:ascii="Times New Roman" w:cs="Times New Roman" w:eastAsia="Times New Roman" w:hAnsi="Times New Roman"/>
          <w:sz w:val="18"/>
          <w:szCs w:val="18"/>
          <w:color w:val="auto"/>
        </w:rPr>
        <w:t>The cumulative leaf number (CLN) simulated by the PhenoGlad model were close to the observed data collected in the experiments and on the farms (Figure 2A), with an overall RMSE of 0.8 leaves. Decomposing the RMSE into systematic (MSEs) and non-sistematic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252730</wp:posOffset>
            </wp:positionV>
            <wp:extent cx="4319270" cy="20815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4319270" cy="20815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5"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(MSEns) components, the MSEs was 42.3 % and the MSEns was 57.7 %. The BIAS index was –0.10 and the dw and r were high, 0.98 and 0.97, respectively. Simulated versus observed days after planting (DAP) for heading (R1 stage) and blooming (R2 stage) had an RMSE of 4.3 days and MSEs and MSEns of 0.9 % and 99.1 %, respectively (Figure 2B). The BIAS index was close to zero, dw was 0.95 and r was 0.91. These results indicate a good performance of the PhenoGlad model to simulate the cumulative leaf number and the reproductive developmental stages, including the harvest point, of gladiola in different locations of Rio Grande do Sul State.</w:t>
      </w:r>
    </w:p>
    <w:p>
      <w:pPr>
        <w:spacing w:after="0" w:line="7"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Figure 3 shows a comparison of DAP until blooming (R2 stage), simulated with the PhenoGlad model using observed meteorological data and the baseline period. The RMSE was 2.5 days to harvest spikes for Mother’s Day (Figure 3A). The MSEs and MSEns was 39.8 % and 60.2 %, respectively. The BIAS index was close to zero, and dw and r presented values of 0.96 and 0.95, respectively. The RMSE was 5.6 days (Figure 3B), the MSEs was 32.7 %, and the MSEns was 67.3 % to harvest spikes for All Souls’ Day. Similar to the comparison to Mother’s Day, the BIAS index close to zero and, dw and r were 0.96 and 0.94, respectively. This comparison indicates that climate of the baseline is similar to current climate in the State.</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Simulations of the optimum planting date</w:t>
      </w:r>
    </w:p>
    <w:p>
      <w:pPr>
        <w:spacing w:after="0" w:line="12" w:lineRule="exact"/>
        <w:rPr>
          <w:sz w:val="20"/>
          <w:szCs w:val="20"/>
          <w:color w:val="auto"/>
        </w:rPr>
      </w:pPr>
    </w:p>
    <w:p>
      <w:pPr>
        <w:jc w:val="both"/>
        <w:ind w:firstLine="479"/>
        <w:spacing w:after="0" w:line="256" w:lineRule="auto"/>
        <w:rPr>
          <w:sz w:val="20"/>
          <w:szCs w:val="20"/>
          <w:color w:val="auto"/>
        </w:rPr>
      </w:pPr>
      <w:r>
        <w:rPr>
          <w:rFonts w:ascii="Times New Roman" w:cs="Times New Roman" w:eastAsia="Times New Roman" w:hAnsi="Times New Roman"/>
          <w:sz w:val="18"/>
          <w:szCs w:val="18"/>
          <w:color w:val="auto"/>
        </w:rPr>
        <w:t>The spatial distribution of anomalies of optimum planting date to harvest gladiola for All Souls’ Day for each climate scenario is shown in Figure 4. For the RCP2.6 scenario (Figures 4A, 4D, 4G, 4J), optimum planting date anomalies varied from + 5 to + 10 days (later planting date compared to the baseline) for most Rio Grande do Sul State and, in some regions, the shift may reach + 15 days later than today.</w:t>
      </w:r>
    </w:p>
    <w:p>
      <w:pPr>
        <w:spacing w:after="0" w:line="203"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both"/>
        <w:ind w:left="140" w:hanging="141"/>
        <w:spacing w:after="0" w:line="293" w:lineRule="auto"/>
        <w:rPr>
          <w:sz w:val="20"/>
          <w:szCs w:val="20"/>
          <w:color w:val="auto"/>
        </w:rPr>
      </w:pPr>
      <w:r>
        <w:rPr>
          <w:rFonts w:ascii="Arial" w:cs="Arial" w:eastAsia="Arial" w:hAnsi="Arial"/>
          <w:sz w:val="16"/>
          <w:szCs w:val="16"/>
          <w:b w:val="1"/>
          <w:bCs w:val="1"/>
          <w:color w:val="auto"/>
        </w:rPr>
        <w:t xml:space="preserve">Figure 2 </w:t>
      </w:r>
      <w:r>
        <w:rPr>
          <w:rFonts w:ascii="Arial" w:cs="Arial" w:eastAsia="Arial" w:hAnsi="Arial"/>
          <w:sz w:val="16"/>
          <w:szCs w:val="16"/>
          <w:color w:val="auto"/>
        </w:rPr>
        <w:t>– The simulated versus observed cumulative leaf number (CLN) (A) and the simulated versus observed days after planting (DAP) until</w:t>
      </w:r>
      <w:r>
        <w:rPr>
          <w:rFonts w:ascii="Arial" w:cs="Arial" w:eastAsia="Arial" w:hAnsi="Arial"/>
          <w:sz w:val="16"/>
          <w:szCs w:val="16"/>
          <w:b w:val="1"/>
          <w:bCs w:val="1"/>
          <w:color w:val="auto"/>
        </w:rPr>
        <w:t xml:space="preserve"> </w:t>
      </w:r>
      <w:r>
        <w:rPr>
          <w:rFonts w:ascii="Arial" w:cs="Arial" w:eastAsia="Arial" w:hAnsi="Arial"/>
          <w:sz w:val="16"/>
          <w:szCs w:val="16"/>
          <w:color w:val="auto"/>
        </w:rPr>
        <w:t>heading (R1) and blooming (R2) for gladiola in four locations in Rio Grande do Sul State, Brazil (Santa Maria, Dilermando de Aguiar, Cachoeira do Sul, and Santiago) (B). Data on all planting dates and cultivars are pooled. The solid line is 1:1 line. RMSE = root mean square error, BIAS = BIAS index, dw = index of agreement, r = correlation coefficient, MSEs = percentage of systematic means square error, MSEns = percentage of unsystematic mean square error, n = number of observations.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219710</wp:posOffset>
                </wp:positionV>
                <wp:extent cx="611695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7.3pt" to="481.8pt,17.3pt" o:allowincell="f" strokecolor="#BDE2D4" strokeweight="1.5pt"/>
            </w:pict>
          </mc:Fallback>
        </mc:AlternateContent>
      </w:r>
    </w:p>
    <w:p>
      <w:pPr>
        <w:sectPr>
          <w:pgSz w:w="12240" w:h="15840" w:orient="portrait"/>
          <w:cols w:equalWidth="0" w:num="1">
            <w:col w:w="9640"/>
          </w:cols>
          <w:pgMar w:left="1300" w:top="996" w:right="1300" w:bottom="277" w:gutter="0" w:footer="0" w:header="0"/>
          <w:type w:val="continuous"/>
        </w:sectPr>
      </w:pPr>
    </w:p>
    <w:p>
      <w:pPr>
        <w:spacing w:after="0" w:line="200" w:lineRule="exact"/>
        <w:rPr>
          <w:sz w:val="20"/>
          <w:szCs w:val="20"/>
          <w:color w:val="auto"/>
        </w:rPr>
      </w:pPr>
    </w:p>
    <w:p>
      <w:pPr>
        <w:spacing w:after="0" w:line="208"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4</w:t>
      </w:r>
    </w:p>
    <w:p>
      <w:pPr>
        <w:sectPr>
          <w:pgSz w:w="12240" w:h="15840" w:orient="portrait"/>
          <w:cols w:equalWidth="0" w:num="1">
            <w:col w:w="9640"/>
          </w:cols>
          <w:pgMar w:left="1300" w:top="996" w:right="1300" w:bottom="277" w:gutter="0" w:footer="0" w:header="0"/>
          <w:type w:val="continuous"/>
        </w:sectPr>
      </w:pPr>
    </w:p>
    <w:bookmarkStart w:id="4" w:name="page5"/>
    <w:bookmarkEnd w:id="4"/>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100330</wp:posOffset>
            </wp:positionV>
            <wp:extent cx="6116320" cy="22510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6116320" cy="2251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right"/>
        <w:spacing w:after="0" w:line="317" w:lineRule="auto"/>
        <w:rPr>
          <w:sz w:val="20"/>
          <w:szCs w:val="20"/>
          <w:color w:val="auto"/>
        </w:rPr>
      </w:pPr>
      <w:r>
        <w:rPr>
          <w:rFonts w:ascii="Arial" w:cs="Arial" w:eastAsia="Arial" w:hAnsi="Arial"/>
          <w:sz w:val="15"/>
          <w:szCs w:val="15"/>
          <w:b w:val="1"/>
          <w:bCs w:val="1"/>
          <w:color w:val="auto"/>
        </w:rPr>
        <w:t xml:space="preserve">Figure 3 </w:t>
      </w:r>
      <w:r>
        <w:rPr>
          <w:rFonts w:ascii="Arial" w:cs="Arial" w:eastAsia="Arial" w:hAnsi="Arial"/>
          <w:sz w:val="15"/>
          <w:szCs w:val="15"/>
          <w:color w:val="auto"/>
        </w:rPr>
        <w:t>– Days after planting (DAP) until blooming (R2 stage) for planting aiming harvesting gladiola for (A) Mother’s Day and for (B) All Souls’</w:t>
      </w:r>
      <w:r>
        <w:rPr>
          <w:rFonts w:ascii="Arial" w:cs="Arial" w:eastAsia="Arial" w:hAnsi="Arial"/>
          <w:sz w:val="15"/>
          <w:szCs w:val="15"/>
          <w:b w:val="1"/>
          <w:bCs w:val="1"/>
          <w:color w:val="auto"/>
        </w:rPr>
        <w:t xml:space="preserve"> </w:t>
      </w:r>
      <w:r>
        <w:rPr>
          <w:rFonts w:ascii="Arial" w:cs="Arial" w:eastAsia="Arial" w:hAnsi="Arial"/>
          <w:sz w:val="15"/>
          <w:szCs w:val="15"/>
          <w:color w:val="auto"/>
        </w:rPr>
        <w:t>Day simulated with observed weather data from the Brazilian National Weather Service (INMET) and simulated with the baseline period (1976-2005) for 18 locations in the Rio Grande do Sul State. Data on all maturity groups of gladiola (Early, Intermediate I, Intermediate II and Late) are pooled. The solid line is 1:1 line. RMSE = root mean square error, BIAS = BIAS index, dw = index of agreement, r = correlation coefficient, MSEs = percentage of systematic means square error, MSEns = percentage of unsystematic mean square error, n = number of observations.</w:t>
      </w:r>
    </w:p>
    <w:p>
      <w:pPr>
        <w:sectPr>
          <w:pgSz w:w="12240" w:h="15840" w:orient="portrait"/>
          <w:cols w:equalWidth="0" w:num="1">
            <w:col w:w="9640"/>
          </w:cols>
          <w:pgMar w:left="1300" w:top="996" w:right="1300" w:bottom="277" w:gutter="0" w:footer="0" w:header="0"/>
        </w:sectPr>
      </w:pPr>
    </w:p>
    <w:p>
      <w:pPr>
        <w:spacing w:after="0" w:line="394"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In the RCP4.5 scenario, the greatest positive anomalies occurred in the coldest region in Rio Grande do Sul located in the northeastern part of the state, indicating greater effect of climate change in these regions (Figures 4B, 4E, 4H, 4K). The anomalies of planting date may reach + 35 days for Intermediate II and Late MG (Figures 4H and 4K). In most Rio Grande do Sul State, anomalies range from + 10 to + 15 days for early MG, from + 15 to + 20 days for Intermediate I and Intermediate II MG, and from + 20 to + 25 days for Late MG. In the RCP8.5 scenario, most of the state presents positive anomalies from + 20 to + 25 days for Early, Intermediate I and II, and + 25 to + 30 in Late MG (Figures 4C, 4F, 4I, 4L) and can reach + 55 days for Late MG in the northeastern region (Figure 4L). The trend is that planting date of Late MG needs to be delayed more than the Early MG. As the cycle length of these cultivars is higher, they are planted at the end of winter, when temperatures are lower than the optimum temperature. An increase in temperature during these colder days affects more the developmental of these cultivars thus delaying the planting date.</w:t>
      </w:r>
    </w:p>
    <w:p>
      <w:pPr>
        <w:spacing w:after="0" w:line="200" w:lineRule="exact"/>
        <w:rPr>
          <w:sz w:val="20"/>
          <w:szCs w:val="20"/>
          <w:color w:val="auto"/>
        </w:rPr>
      </w:pPr>
    </w:p>
    <w:p>
      <w:pPr>
        <w:spacing w:after="0" w:line="233"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The spatial distribution of anomalies of optimum planting date to harvest gladiola for Mother’s Day for each climatic scenario is shown in Figure 5. For the RCP2.6 scenario (Figures 5A, 5D, 5G, 5J), most Rio Grande do Sul State presents anomalies of + 5 days and warmer regions, such as the northwestern region, present negative anomalies of up to - 5 days (earlier planting date compared to baseline) for all gladiola maturity groups. For scenarios RCP4.5 (Figures 5B, 5E, 5H, 5K) and RCP8.5 (Figures 5C, 5F, 5I, 5L), most Rio Grande do Sul State presents anomalies of + 5 days as well as in scenario RCP2.6. However, in RCP8.5 scenario, anomalies may reach - 10 to - 15 days in the northwestern part of state and + 10 to + 15 days in northeastern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377190</wp:posOffset>
                </wp:positionV>
                <wp:extent cx="611695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9.7pt" to="481.8pt,29.7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371"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18"/>
          <w:szCs w:val="18"/>
          <w:color w:val="auto"/>
        </w:rPr>
        <w:t>region (Figure 5L). The temperature increase during the summer months affects more the optimum planting date of Late MG than Early MG cultivars, as Late MG are exposed to environmental conditions during more days.</w:t>
      </w: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Plant injuries</w:t>
      </w:r>
    </w:p>
    <w:p>
      <w:pPr>
        <w:spacing w:after="0" w:line="12" w:lineRule="exact"/>
        <w:rPr>
          <w:sz w:val="20"/>
          <w:szCs w:val="20"/>
          <w:color w:val="auto"/>
        </w:rPr>
      </w:pPr>
    </w:p>
    <w:p>
      <w:pPr>
        <w:jc w:val="both"/>
        <w:ind w:firstLine="479"/>
        <w:spacing w:after="0" w:line="254" w:lineRule="auto"/>
        <w:rPr>
          <w:sz w:val="20"/>
          <w:szCs w:val="20"/>
          <w:color w:val="auto"/>
        </w:rPr>
      </w:pPr>
      <w:r>
        <w:rPr>
          <w:rFonts w:ascii="Times New Roman" w:cs="Times New Roman" w:eastAsia="Times New Roman" w:hAnsi="Times New Roman"/>
          <w:sz w:val="18"/>
          <w:szCs w:val="18"/>
          <w:color w:val="auto"/>
        </w:rPr>
        <w:t>During the growing season to harvest for All Souls’ Day, the crop was killed by frost in ten grid points of the baseline period in all gladiola MG (Early, Intermediate I, Intermediate II, and Late) in only one year (data not shown). For scenario RCP8.5, the crop was killed by heat in ten grid points in all gladiola MG in up to three years (data not shown). To harvest spikes for Mother’s Day, no spike killed by heat or frost was simulated in the three climate scenarios and in the baseline.</w:t>
      </w:r>
    </w:p>
    <w:p>
      <w:pPr>
        <w:spacing w:after="0" w:line="5" w:lineRule="exact"/>
        <w:rPr>
          <w:sz w:val="20"/>
          <w:szCs w:val="20"/>
          <w:color w:val="auto"/>
        </w:rPr>
      </w:pPr>
    </w:p>
    <w:p>
      <w:pPr>
        <w:jc w:val="both"/>
        <w:ind w:firstLine="479"/>
        <w:spacing w:after="0" w:line="254" w:lineRule="auto"/>
        <w:rPr>
          <w:sz w:val="20"/>
          <w:szCs w:val="20"/>
          <w:color w:val="auto"/>
        </w:rPr>
      </w:pPr>
      <w:r>
        <w:rPr>
          <w:rFonts w:ascii="Times New Roman" w:cs="Times New Roman" w:eastAsia="Times New Roman" w:hAnsi="Times New Roman"/>
          <w:sz w:val="18"/>
          <w:szCs w:val="18"/>
          <w:color w:val="auto"/>
        </w:rPr>
        <w:t>In most Rio Grande do Sul State, the anomaly of percentage of years when severe burning of sepals occurred in the cultivation for All Souls’ Day reached + 20 % (20 % more years than the baseline) in scenarios RCP2.6 (Figures 6A, 6D, 6G, 6J) and RCP4.5 (Figures 6B, 6E, 6H, 6K). Some regions showed negative anomalies of</w:t>
      </w:r>
    </w:p>
    <w:p>
      <w:pPr>
        <w:spacing w:after="0" w:line="3" w:lineRule="exact"/>
        <w:rPr>
          <w:sz w:val="20"/>
          <w:szCs w:val="20"/>
          <w:color w:val="auto"/>
        </w:rPr>
      </w:pPr>
    </w:p>
    <w:p>
      <w:pPr>
        <w:jc w:val="both"/>
        <w:spacing w:after="0" w:line="256" w:lineRule="auto"/>
        <w:tabs>
          <w:tab w:leader="none" w:pos="115"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10 % (10 % less years than the baseline). For the Late MG in scenario RCP4.5 (Figure 6K), the western region of the state showed anomalies of + 50 % of years with injuries caused by the heat. The anomalies reached + 70 % in the west of Rio Grande do Sul for the Late MG in the scenario RCP8.5 (Figure 6L) and the other gladiola MG reached + 60 % (Figures 6C, 6F, 6I). The lowest anomalies were + 10 % and occurred in the South and Southeast of the state.</w:t>
      </w:r>
    </w:p>
    <w:p>
      <w:pPr>
        <w:spacing w:after="0" w:line="210" w:lineRule="exact"/>
        <w:rPr>
          <w:rFonts w:ascii="Times New Roman" w:cs="Times New Roman" w:eastAsia="Times New Roman" w:hAnsi="Times New Roman"/>
          <w:sz w:val="18"/>
          <w:szCs w:val="18"/>
          <w:color w:val="auto"/>
        </w:rPr>
      </w:pPr>
    </w:p>
    <w:p>
      <w:pPr>
        <w:jc w:val="both"/>
        <w:ind w:firstLine="479"/>
        <w:spacing w:after="0" w:line="25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the growing season to harvest spikes for Mother’s Day, no burning of sepals caused by heat occurred in the baseline period and in scenario RCP2.6. In RCP4.5 and RCP8.5 scenarios, most state showed anomalies of + 10 % and some regions showed anomalies of + 20 % (data not shown).</w:t>
      </w:r>
    </w:p>
    <w:p>
      <w:pPr>
        <w:spacing w:after="0" w:line="200"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00" w:lineRule="exact"/>
        <w:rPr>
          <w:sz w:val="20"/>
          <w:szCs w:val="20"/>
          <w:color w:val="auto"/>
        </w:rPr>
      </w:pPr>
    </w:p>
    <w:p>
      <w:pPr>
        <w:spacing w:after="0" w:line="253"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5</w:t>
      </w:r>
    </w:p>
    <w:p>
      <w:pPr>
        <w:sectPr>
          <w:pgSz w:w="12240" w:h="15840" w:orient="portrait"/>
          <w:cols w:equalWidth="0" w:num="1">
            <w:col w:w="9640"/>
          </w:cols>
          <w:pgMar w:left="1300" w:top="996" w:right="1300" w:bottom="277" w:gutter="0" w:footer="0" w:header="0"/>
          <w:type w:val="continuous"/>
        </w:sectPr>
      </w:pPr>
    </w:p>
    <w:bookmarkStart w:id="5" w:name="page6"/>
    <w:bookmarkEnd w:id="5"/>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100330</wp:posOffset>
            </wp:positionV>
            <wp:extent cx="6116320" cy="45351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extLst>
                    </a:blip>
                    <a:srcRect/>
                    <a:stretch>
                      <a:fillRect/>
                    </a:stretch>
                  </pic:blipFill>
                  <pic:spPr bwMode="auto">
                    <a:xfrm>
                      <a:off x="0" y="0"/>
                      <a:ext cx="6116320" cy="4535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both"/>
        <w:ind w:left="140" w:hanging="141"/>
        <w:spacing w:after="0" w:line="301" w:lineRule="auto"/>
        <w:rPr>
          <w:sz w:val="20"/>
          <w:szCs w:val="20"/>
          <w:color w:val="auto"/>
        </w:rPr>
      </w:pPr>
      <w:r>
        <w:rPr>
          <w:rFonts w:ascii="Arial" w:cs="Arial" w:eastAsia="Arial" w:hAnsi="Arial"/>
          <w:sz w:val="16"/>
          <w:szCs w:val="16"/>
          <w:b w:val="1"/>
          <w:bCs w:val="1"/>
          <w:color w:val="auto"/>
        </w:rPr>
        <w:t xml:space="preserve">Figure 4 </w:t>
      </w:r>
      <w:r>
        <w:rPr>
          <w:rFonts w:ascii="Arial" w:cs="Arial" w:eastAsia="Arial" w:hAnsi="Arial"/>
          <w:sz w:val="16"/>
          <w:szCs w:val="16"/>
          <w:color w:val="auto"/>
        </w:rPr>
        <w:t>– Anomalies in optimum planting date for harvesting gladiola for All Souls’ Day in the Rio Grande do Sul State, Brazil, as simulated with</w:t>
      </w:r>
      <w:r>
        <w:rPr>
          <w:rFonts w:ascii="Arial" w:cs="Arial" w:eastAsia="Arial" w:hAnsi="Arial"/>
          <w:sz w:val="16"/>
          <w:szCs w:val="16"/>
          <w:b w:val="1"/>
          <w:bCs w:val="1"/>
          <w:color w:val="auto"/>
        </w:rPr>
        <w:t xml:space="preserve"> </w:t>
      </w:r>
      <w:r>
        <w:rPr>
          <w:rFonts w:ascii="Arial" w:cs="Arial" w:eastAsia="Arial" w:hAnsi="Arial"/>
          <w:sz w:val="16"/>
          <w:szCs w:val="16"/>
          <w:color w:val="auto"/>
        </w:rPr>
        <w:t>the PhenoGlad model for scenarios RCP2.6 (A, D, G and J), RCP4.5 (B, E, H and K) and RCP8.5 (C, F, I and L) for Early (A, B and C), Intermediate I (D, E and F), Intermediate II (G, H and I) and Late (J, K and L) maturity groups.</w:t>
      </w:r>
    </w:p>
    <w:p>
      <w:pPr>
        <w:sectPr>
          <w:pgSz w:w="12240" w:h="15840" w:orient="portrait"/>
          <w:cols w:equalWidth="0" w:num="1">
            <w:col w:w="9640"/>
          </w:cols>
          <w:pgMar w:left="1300" w:top="996" w:right="1300" w:bottom="277" w:gutter="0" w:footer="0" w:header="0"/>
        </w:sectPr>
      </w:pPr>
    </w:p>
    <w:p>
      <w:pPr>
        <w:spacing w:after="0" w:line="323" w:lineRule="exact"/>
        <w:rPr>
          <w:sz w:val="20"/>
          <w:szCs w:val="20"/>
          <w:color w:val="auto"/>
        </w:rPr>
      </w:pPr>
    </w:p>
    <w:p>
      <w:pPr>
        <w:spacing w:after="0"/>
        <w:rPr>
          <w:sz w:val="20"/>
          <w:szCs w:val="20"/>
          <w:color w:val="auto"/>
        </w:rPr>
      </w:pPr>
      <w:r>
        <w:rPr>
          <w:rFonts w:ascii="Arial" w:cs="Arial" w:eastAsia="Arial" w:hAnsi="Arial"/>
          <w:sz w:val="24"/>
          <w:szCs w:val="24"/>
          <w:b w:val="1"/>
          <w:bCs w:val="1"/>
          <w:color w:val="00B085"/>
        </w:rPr>
        <w:t>Discussion</w:t>
      </w: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Simulations of optimum planting date</w:t>
      </w:r>
    </w:p>
    <w:p>
      <w:pPr>
        <w:spacing w:after="0" w:line="12"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 xml:space="preserve">A delay in the optimum planting date (positive anomalies) to harvest gladiola for All Souls’ Day in future climate scenarios is attributed to an increase in minimum and maximum temperature in all regions of the state (Figures 7 and 8), which leads to an increase in developmental rate and a decrease in length of the developmental cycle (Adil et al., 2013; Schwab et al., 2015). Ornamental crops, such as </w:t>
      </w:r>
      <w:r>
        <w:rPr>
          <w:rFonts w:ascii="Times New Roman" w:cs="Times New Roman" w:eastAsia="Times New Roman" w:hAnsi="Times New Roman"/>
          <w:sz w:val="18"/>
          <w:szCs w:val="18"/>
          <w:i w:val="1"/>
          <w:iCs w:val="1"/>
          <w:color w:val="auto"/>
        </w:rPr>
        <w:t>Antirrhinum manus</w:t>
      </w:r>
      <w:r>
        <w:rPr>
          <w:rFonts w:ascii="Times New Roman" w:cs="Times New Roman" w:eastAsia="Times New Roman" w:hAnsi="Times New Roman"/>
          <w:sz w:val="18"/>
          <w:szCs w:val="18"/>
          <w:color w:val="auto"/>
        </w:rPr>
        <w:t xml:space="preserve"> L. (Munir et al., 2004; Munir et al., 2015), </w:t>
      </w:r>
      <w:r>
        <w:rPr>
          <w:rFonts w:ascii="Times New Roman" w:cs="Times New Roman" w:eastAsia="Times New Roman" w:hAnsi="Times New Roman"/>
          <w:sz w:val="18"/>
          <w:szCs w:val="18"/>
          <w:i w:val="1"/>
          <w:iCs w:val="1"/>
          <w:color w:val="auto"/>
        </w:rPr>
        <w:t>Celosia</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 xml:space="preserve">argentea </w:t>
      </w:r>
      <w:r>
        <w:rPr>
          <w:rFonts w:ascii="Times New Roman" w:cs="Times New Roman" w:eastAsia="Times New Roman" w:hAnsi="Times New Roman"/>
          <w:sz w:val="18"/>
          <w:szCs w:val="18"/>
          <w:color w:val="auto"/>
        </w:rPr>
        <w:t>L. and</w:t>
      </w:r>
      <w:r>
        <w:rPr>
          <w:rFonts w:ascii="Times New Roman" w:cs="Times New Roman" w:eastAsia="Times New Roman" w:hAnsi="Times New Roman"/>
          <w:sz w:val="18"/>
          <w:szCs w:val="18"/>
          <w:i w:val="1"/>
          <w:iCs w:val="1"/>
          <w:color w:val="auto"/>
        </w:rPr>
        <w:t xml:space="preserve"> Impatiens walleriana </w:t>
      </w:r>
      <w:r>
        <w:rPr>
          <w:rFonts w:ascii="Times New Roman" w:cs="Times New Roman" w:eastAsia="Times New Roman" w:hAnsi="Times New Roman"/>
          <w:sz w:val="18"/>
          <w:szCs w:val="18"/>
          <w:color w:val="auto"/>
        </w:rPr>
        <w:t>Hook. F. (Pramuk</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 xml:space="preserve">and Runkle, 2005), </w:t>
      </w:r>
      <w:r>
        <w:rPr>
          <w:rFonts w:ascii="Times New Roman" w:cs="Times New Roman" w:eastAsia="Times New Roman" w:hAnsi="Times New Roman"/>
          <w:sz w:val="18"/>
          <w:szCs w:val="18"/>
          <w:i w:val="1"/>
          <w:iCs w:val="1"/>
          <w:color w:val="auto"/>
        </w:rPr>
        <w:t>Brunonia australis</w:t>
      </w:r>
      <w:r>
        <w:rPr>
          <w:rFonts w:ascii="Times New Roman" w:cs="Times New Roman" w:eastAsia="Times New Roman" w:hAnsi="Times New Roman"/>
          <w:sz w:val="18"/>
          <w:szCs w:val="18"/>
          <w:color w:val="auto"/>
        </w:rPr>
        <w:t xml:space="preserve"> and </w:t>
      </w:r>
      <w:r>
        <w:rPr>
          <w:rFonts w:ascii="Times New Roman" w:cs="Times New Roman" w:eastAsia="Times New Roman" w:hAnsi="Times New Roman"/>
          <w:sz w:val="18"/>
          <w:szCs w:val="18"/>
          <w:i w:val="1"/>
          <w:iCs w:val="1"/>
          <w:color w:val="auto"/>
        </w:rPr>
        <w:t>Calandrinia</w:t>
      </w:r>
      <w:r>
        <w:rPr>
          <w:rFonts w:ascii="Times New Roman" w:cs="Times New Roman" w:eastAsia="Times New Roman" w:hAnsi="Times New Roman"/>
          <w:sz w:val="18"/>
          <w:szCs w:val="18"/>
          <w:color w:val="auto"/>
        </w:rPr>
        <w:t xml:space="preserve"> sp. (Cave et al., 2013), </w:t>
      </w:r>
      <w:r>
        <w:rPr>
          <w:rFonts w:ascii="Times New Roman" w:cs="Times New Roman" w:eastAsia="Times New Roman" w:hAnsi="Times New Roman"/>
          <w:sz w:val="18"/>
          <w:szCs w:val="18"/>
          <w:i w:val="1"/>
          <w:iCs w:val="1"/>
          <w:color w:val="auto"/>
        </w:rPr>
        <w:t>Salvia splendens</w:t>
      </w:r>
      <w:r>
        <w:rPr>
          <w:rFonts w:ascii="Times New Roman" w:cs="Times New Roman" w:eastAsia="Times New Roman" w:hAnsi="Times New Roman"/>
          <w:sz w:val="18"/>
          <w:szCs w:val="18"/>
          <w:color w:val="auto"/>
        </w:rPr>
        <w:t xml:space="preserve"> and </w:t>
      </w:r>
      <w:r>
        <w:rPr>
          <w:rFonts w:ascii="Times New Roman" w:cs="Times New Roman" w:eastAsia="Times New Roman" w:hAnsi="Times New Roman"/>
          <w:sz w:val="18"/>
          <w:szCs w:val="18"/>
          <w:i w:val="1"/>
          <w:iCs w:val="1"/>
          <w:color w:val="auto"/>
        </w:rPr>
        <w:t>Tagetes</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 xml:space="preserve">patula </w:t>
      </w:r>
      <w:r>
        <w:rPr>
          <w:rFonts w:ascii="Times New Roman" w:cs="Times New Roman" w:eastAsia="Times New Roman" w:hAnsi="Times New Roman"/>
          <w:sz w:val="18"/>
          <w:szCs w:val="18"/>
          <w:color w:val="auto"/>
        </w:rPr>
        <w:t>(Moccaldi and Runkle, 2007),</w:t>
      </w:r>
      <w:r>
        <w:rPr>
          <w:rFonts w:ascii="Times New Roman" w:cs="Times New Roman" w:eastAsia="Times New Roman" w:hAnsi="Times New Roman"/>
          <w:sz w:val="18"/>
          <w:szCs w:val="18"/>
          <w:i w:val="1"/>
          <w:iCs w:val="1"/>
          <w:color w:val="auto"/>
        </w:rPr>
        <w:t xml:space="preserve"> Chysanthemum morifolium </w:t>
      </w:r>
      <w:r>
        <w:rPr>
          <w:rFonts w:ascii="Times New Roman" w:cs="Times New Roman" w:eastAsia="Times New Roman" w:hAnsi="Times New Roman"/>
          <w:sz w:val="18"/>
          <w:szCs w:val="18"/>
          <w:color w:val="auto"/>
        </w:rPr>
        <w:t>(Larsen and Persson, 1999), 18 species of</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 xml:space="preserve">annual bedding plants (Blanchard and Runkle, 2011), and </w:t>
      </w:r>
      <w:r>
        <w:rPr>
          <w:rFonts w:ascii="Times New Roman" w:cs="Times New Roman" w:eastAsia="Times New Roman" w:hAnsi="Times New Roman"/>
          <w:sz w:val="18"/>
          <w:szCs w:val="18"/>
          <w:i w:val="1"/>
          <w:iCs w:val="1"/>
          <w:color w:val="auto"/>
        </w:rPr>
        <w:t>Petunia × hybrida</w:t>
      </w:r>
      <w:r>
        <w:rPr>
          <w:rFonts w:ascii="Times New Roman" w:cs="Times New Roman" w:eastAsia="Times New Roman" w:hAnsi="Times New Roman"/>
          <w:sz w:val="18"/>
          <w:szCs w:val="18"/>
          <w:color w:val="auto"/>
        </w:rPr>
        <w:t xml:space="preserve"> (Blanchard et al., 2011) present a similar response to rising temperature; however, their response was not evaluated in the scenarios of climate change.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514985</wp:posOffset>
                </wp:positionV>
                <wp:extent cx="611695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0.55pt" to="481.8pt,40.55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380"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The northeastern region (the coolest region) of Rio Grande do Sul State had the greatest positive anomalies in the planting date, because in future climate scenarios, temperatures are closer to the optimum temperature for gladiola (27 °C for the vegetative phase and 25 °C for the reproductive phase). When average daily air temperature is below or above the optimum temperature for the crop, the development rate is penalized by the nonlinear temperature response function (Uhlmann et al., 2017), increasing the cycle duration. In RCP8.5 scenario, minimum and maximum air temperatures are greater (Figures 7 and 8) and exceeded the optimum temperature for the crop, leading to the highest positive anomalies (+ 55 days) in the optimum planting date in this region (Figure 4L). This implies that, in the future, farmers should plant gladiola corms almost two months later than they currently do. In addition to the effect on developmental rate, several studies have reported a decrease in quality of ornamental crops with increases in temperature, because a faster crop development leads to a reduced number of flower buds, smaller flower size and less plant biomass (Pramuk and Runkle, 2005;</w:t>
      </w:r>
    </w:p>
    <w:p>
      <w:pPr>
        <w:spacing w:after="0" w:line="200"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00" w:lineRule="exact"/>
        <w:rPr>
          <w:sz w:val="20"/>
          <w:szCs w:val="20"/>
          <w:color w:val="auto"/>
        </w:rPr>
      </w:pPr>
    </w:p>
    <w:p>
      <w:pPr>
        <w:spacing w:after="0" w:line="254"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6</w:t>
      </w:r>
    </w:p>
    <w:p>
      <w:pPr>
        <w:sectPr>
          <w:pgSz w:w="12240" w:h="15840" w:orient="portrait"/>
          <w:cols w:equalWidth="0" w:num="1">
            <w:col w:w="9640"/>
          </w:cols>
          <w:pgMar w:left="1300" w:top="996" w:right="1300" w:bottom="277" w:gutter="0" w:footer="0" w:header="0"/>
          <w:type w:val="continuous"/>
        </w:sectPr>
      </w:pPr>
    </w:p>
    <w:bookmarkStart w:id="6" w:name="page7"/>
    <w:bookmarkEnd w:id="6"/>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100330</wp:posOffset>
            </wp:positionV>
            <wp:extent cx="6116320" cy="44831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6116320" cy="4483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both"/>
        <w:ind w:left="140" w:hanging="141"/>
        <w:spacing w:after="0" w:line="301" w:lineRule="auto"/>
        <w:rPr>
          <w:sz w:val="20"/>
          <w:szCs w:val="20"/>
          <w:color w:val="auto"/>
        </w:rPr>
      </w:pPr>
      <w:r>
        <w:rPr>
          <w:rFonts w:ascii="Arial" w:cs="Arial" w:eastAsia="Arial" w:hAnsi="Arial"/>
          <w:sz w:val="16"/>
          <w:szCs w:val="16"/>
          <w:b w:val="1"/>
          <w:bCs w:val="1"/>
          <w:color w:val="auto"/>
        </w:rPr>
        <w:t xml:space="preserve">Figure 5 </w:t>
      </w:r>
      <w:r>
        <w:rPr>
          <w:rFonts w:ascii="Arial" w:cs="Arial" w:eastAsia="Arial" w:hAnsi="Arial"/>
          <w:sz w:val="16"/>
          <w:szCs w:val="16"/>
          <w:color w:val="auto"/>
        </w:rPr>
        <w:t>– Anomalies in optimum planting date for harvesting gladiola for Mother’s Day in the Rio Grande do Sul State, Brazil, as simulated with</w:t>
      </w:r>
      <w:r>
        <w:rPr>
          <w:rFonts w:ascii="Arial" w:cs="Arial" w:eastAsia="Arial" w:hAnsi="Arial"/>
          <w:sz w:val="16"/>
          <w:szCs w:val="16"/>
          <w:b w:val="1"/>
          <w:bCs w:val="1"/>
          <w:color w:val="auto"/>
        </w:rPr>
        <w:t xml:space="preserve"> </w:t>
      </w:r>
      <w:r>
        <w:rPr>
          <w:rFonts w:ascii="Arial" w:cs="Arial" w:eastAsia="Arial" w:hAnsi="Arial"/>
          <w:sz w:val="16"/>
          <w:szCs w:val="16"/>
          <w:color w:val="auto"/>
        </w:rPr>
        <w:t>the PhenoGlad model for scenarios RCP2.6 (A, D, G and J), RCP4.5 (B, E, H and K) and RCP8.5 (C, F, I and L) for Early (A, B and C), Intermediate I (D, E and F), Intermediate II (G, H and I) and Late (J, K and L) maturity groups.</w:t>
      </w:r>
    </w:p>
    <w:p>
      <w:pPr>
        <w:sectPr>
          <w:pgSz w:w="12240" w:h="15840" w:orient="portrait"/>
          <w:cols w:equalWidth="0" w:num="1">
            <w:col w:w="9640"/>
          </w:cols>
          <w:pgMar w:left="1300" w:top="996" w:right="1300" w:bottom="277" w:gutter="0" w:footer="0" w:header="0"/>
        </w:sectPr>
      </w:pPr>
    </w:p>
    <w:p>
      <w:pPr>
        <w:spacing w:after="0" w:line="200" w:lineRule="exact"/>
        <w:rPr>
          <w:sz w:val="20"/>
          <w:szCs w:val="20"/>
          <w:color w:val="auto"/>
        </w:rPr>
      </w:pPr>
    </w:p>
    <w:p>
      <w:pPr>
        <w:spacing w:after="0" w:line="201"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18"/>
          <w:szCs w:val="18"/>
          <w:color w:val="auto"/>
        </w:rPr>
        <w:t>Moccaldi and Runkle, 2007; Blanchard et al., 2011, Vaid et al., 2014). In crops, such as soybean (Rio et al., 2015), potato (Wang et al., 2015b) and wheat (Wang et al., 2015a), a shortening in developmental cycle leads to a shorter leaf development phase, leading to a smaller amount of radiation intercepted and consequently decreasing crop yield. An alternative for the negative effect of the shortening of the gladiola cycle on growth of the plants and on the quality of the flower stems may be choosing Late MG cultivars, which have a longer developmental cycle.</w:t>
      </w:r>
    </w:p>
    <w:p>
      <w:pPr>
        <w:spacing w:after="0" w:line="216"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In the future climate scenarios used in this study, the minimum air temperature is quite high, mainly in the western region of the state to harvest spikes for Mother’s Day (Figure 7H) when air temperature exceeded the optimal temperature for gladiola mainly in the scenario RCP8.5. When temperature exceeds the optimum level, the developmental rate decreases (Blanchard and Runkle, 2011; Cave et al., 2013; Uhlmann et al., 2017), resulting in a longer developmental cycle (Schwab et al., 2015). In the western region of the state, negative anomalies of optimum planting date (earlier planting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377190</wp:posOffset>
                </wp:positionV>
                <wp:extent cx="611695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9.7pt" to="481.8pt,29.7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379"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18"/>
          <w:szCs w:val="18"/>
          <w:color w:val="auto"/>
        </w:rPr>
        <w:t>date) to harvest for Mother’s Day (Figures 5C, 5F, 5I, 5L) can be explained by a greater frequency in above optimum temperatures for development, mainly in RCP8.5 scenario (Figures 7H and 8H).</w:t>
      </w: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Plant injuries</w:t>
      </w:r>
    </w:p>
    <w:p>
      <w:pPr>
        <w:spacing w:after="0" w:line="12"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Crop killed by frost for All Souls’ Day harvest occurred only in the baseline in the northern region of the state, because the initial development of crop happens at the end of winter, when minimum temperatures are lower (Figure 7A). The increase in minimum temperature observed in the climate scenarios resulted in no crop killed by frost in the growing season for All Souls’ Day (Figures 7A-E). In the growing season to harvest gladiola for Mother’s Day, minimum temperatures are not so low because planting is performed at the end of summer and most development occurs during fall (Figures 7F-J). Therefore, for this growing season, no crop was killed by frost. Crop was killed by heat for All Souls’ Day harvest only in RCP8.5 period mainly in the northern region of the state, because the maximum temperature exceeded 48 °C (Figure 8A).</w:t>
      </w:r>
    </w:p>
    <w:p>
      <w:pPr>
        <w:spacing w:after="0" w:line="200"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00" w:lineRule="exact"/>
        <w:rPr>
          <w:sz w:val="20"/>
          <w:szCs w:val="20"/>
          <w:color w:val="auto"/>
        </w:rPr>
      </w:pPr>
    </w:p>
    <w:p>
      <w:pPr>
        <w:spacing w:after="0" w:line="256"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7</w:t>
      </w:r>
    </w:p>
    <w:p>
      <w:pPr>
        <w:sectPr>
          <w:pgSz w:w="12240" w:h="15840" w:orient="portrait"/>
          <w:cols w:equalWidth="0" w:num="1">
            <w:col w:w="9640"/>
          </w:cols>
          <w:pgMar w:left="1300" w:top="996" w:right="1300" w:bottom="277" w:gutter="0" w:footer="0" w:header="0"/>
          <w:type w:val="continuous"/>
        </w:sectPr>
      </w:pPr>
    </w:p>
    <w:bookmarkStart w:id="7" w:name="page8"/>
    <w:bookmarkEnd w:id="7"/>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100330</wp:posOffset>
            </wp:positionV>
            <wp:extent cx="6116320" cy="49015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6116320" cy="4901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140" w:hanging="141"/>
        <w:spacing w:after="0" w:line="329" w:lineRule="auto"/>
        <w:rPr>
          <w:sz w:val="20"/>
          <w:szCs w:val="20"/>
          <w:color w:val="auto"/>
        </w:rPr>
      </w:pPr>
      <w:r>
        <w:rPr>
          <w:rFonts w:ascii="Arial" w:cs="Arial" w:eastAsia="Arial" w:hAnsi="Arial"/>
          <w:sz w:val="15"/>
          <w:szCs w:val="15"/>
          <w:b w:val="1"/>
          <w:bCs w:val="1"/>
          <w:color w:val="auto"/>
        </w:rPr>
        <w:t xml:space="preserve">Figure 6 </w:t>
      </w:r>
      <w:r>
        <w:rPr>
          <w:rFonts w:ascii="Arial" w:cs="Arial" w:eastAsia="Arial" w:hAnsi="Arial"/>
          <w:sz w:val="15"/>
          <w:szCs w:val="15"/>
          <w:color w:val="auto"/>
        </w:rPr>
        <w:t>– Anomaly of the percentage of years that occurred heat injury in the growing season for harvesting gladiola for All Souls’ Day in the Rio</w:t>
      </w:r>
      <w:r>
        <w:rPr>
          <w:rFonts w:ascii="Arial" w:cs="Arial" w:eastAsia="Arial" w:hAnsi="Arial"/>
          <w:sz w:val="15"/>
          <w:szCs w:val="15"/>
          <w:b w:val="1"/>
          <w:bCs w:val="1"/>
          <w:color w:val="auto"/>
        </w:rPr>
        <w:t xml:space="preserve"> </w:t>
      </w:r>
      <w:r>
        <w:rPr>
          <w:rFonts w:ascii="Arial" w:cs="Arial" w:eastAsia="Arial" w:hAnsi="Arial"/>
          <w:sz w:val="15"/>
          <w:szCs w:val="15"/>
          <w:color w:val="auto"/>
        </w:rPr>
        <w:t>Grande do Sul State, Brazil, as simulated with the PhenoGlad model for scenarios RCP2.6 (A, D, G and J), RCP4.5 (B, E, H and K) and RCP8.5 (C, F, I and L) for Early (A, B and C), Intermediate I (D, E and F), Intermediate II (G, H and I) and Late (J, K and L) maturity groups.</w:t>
      </w:r>
    </w:p>
    <w:p>
      <w:pPr>
        <w:sectPr>
          <w:pgSz w:w="12240" w:h="15840" w:orient="portrait"/>
          <w:cols w:equalWidth="0" w:num="1">
            <w:col w:w="9640"/>
          </w:cols>
          <w:pgMar w:left="1300" w:top="996" w:right="1300" w:bottom="277" w:gutter="0" w:footer="0" w:header="0"/>
        </w:sectPr>
      </w:pPr>
    </w:p>
    <w:p>
      <w:pPr>
        <w:spacing w:after="0" w:line="384"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The risk of injuries on florets caused by heat was more intense in the growing season to harvest for All Souls’ Day than for Mother’s Day, mainly in RCP8.5 scenario in the warmest regions (north and west) (Figures 6C, 6F, 6I, 6L). This happened because of the high maximum temperature in these regions (Figures 8A and 8C) at the end of the growing season (when plants are in the reproductive phase), whereas for Mother’s Day, injuries are less frequent (Figures 8F to 8J). The regions South (Figure 8B), Center (Figure8D) and East (Figure 8E) present mild maximum temperatures, therefore, the risk of injuries is lower. The RCP8.5 scenario was also the most damaging to winter wheat in Australia, because of the lower frequency of cold days that affects vernalization (Wang et al., 2015a).</w:t>
      </w:r>
    </w:p>
    <w:p>
      <w:pPr>
        <w:spacing w:after="0" w:line="215" w:lineRule="exact"/>
        <w:rPr>
          <w:sz w:val="20"/>
          <w:szCs w:val="20"/>
          <w:color w:val="auto"/>
        </w:rPr>
      </w:pPr>
    </w:p>
    <w:p>
      <w:pPr>
        <w:jc w:val="both"/>
        <w:ind w:firstLine="479"/>
        <w:spacing w:after="0" w:line="259" w:lineRule="auto"/>
        <w:rPr>
          <w:sz w:val="20"/>
          <w:szCs w:val="20"/>
          <w:color w:val="auto"/>
        </w:rPr>
      </w:pPr>
      <w:r>
        <w:rPr>
          <w:rFonts w:ascii="Times New Roman" w:cs="Times New Roman" w:eastAsia="Times New Roman" w:hAnsi="Times New Roman"/>
          <w:sz w:val="18"/>
          <w:szCs w:val="18"/>
          <w:color w:val="auto"/>
        </w:rPr>
        <w:t>The production of gladiola to sell on All Souls’ Day is more affected by climate change than on Mother’s Day. Although there is a reduction in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232410</wp:posOffset>
                </wp:positionV>
                <wp:extent cx="611695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8.3pt" to="481.8pt,18.3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363"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18"/>
          <w:szCs w:val="18"/>
          <w:color w:val="auto"/>
        </w:rPr>
        <w:t>occurrence of crop killed by frost, in scenario RCP8.5, there was occurrence of crop killed by heat (data not shown). The southern and eastern regions were more favored in scenario RCP8.5 due to less occurrence of injuries caused by heat (Figure 6). These injuries reduce the quality of floral stems thus decreasing their market value.</w:t>
      </w: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Practical implications of this study</w:t>
      </w:r>
    </w:p>
    <w:p>
      <w:pPr>
        <w:spacing w:after="0" w:line="12" w:lineRule="exact"/>
        <w:rPr>
          <w:sz w:val="20"/>
          <w:szCs w:val="20"/>
          <w:color w:val="auto"/>
        </w:rPr>
      </w:pPr>
    </w:p>
    <w:p>
      <w:pPr>
        <w:jc w:val="both"/>
        <w:ind w:firstLine="479"/>
        <w:spacing w:after="0" w:line="256" w:lineRule="auto"/>
        <w:rPr>
          <w:sz w:val="20"/>
          <w:szCs w:val="20"/>
          <w:color w:val="auto"/>
        </w:rPr>
      </w:pPr>
      <w:r>
        <w:rPr>
          <w:rFonts w:ascii="Times New Roman" w:cs="Times New Roman" w:eastAsia="Times New Roman" w:hAnsi="Times New Roman"/>
          <w:sz w:val="18"/>
          <w:szCs w:val="18"/>
          <w:color w:val="auto"/>
        </w:rPr>
        <w:t>The results of this study have practical applications for strategies in southern Brazil under future climate scenarios. One application is a shift of current planting date of gladiola to meet the demand in consumption peaks in future climate scenarios. In order to sell gladiola on All Souls’ Day, and considering the more optimist scenario RCP2.6, most farmers of the state need to carry out the planting between 5 and 10 days later than they currently do. In RCP4.5</w:t>
      </w:r>
    </w:p>
    <w:p>
      <w:pPr>
        <w:spacing w:after="0" w:line="422"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27"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8</w:t>
      </w:r>
    </w:p>
    <w:p>
      <w:pPr>
        <w:sectPr>
          <w:pgSz w:w="12240" w:h="15840" w:orient="portrait"/>
          <w:cols w:equalWidth="0" w:num="1">
            <w:col w:w="9640"/>
          </w:cols>
          <w:pgMar w:left="1300" w:top="996" w:right="1300" w:bottom="277" w:gutter="0" w:footer="0" w:header="0"/>
          <w:type w:val="continuous"/>
        </w:sectPr>
      </w:pPr>
    </w:p>
    <w:bookmarkStart w:id="8" w:name="page9"/>
    <w:bookmarkEnd w:id="8"/>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100330</wp:posOffset>
            </wp:positionV>
            <wp:extent cx="6116320" cy="22644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extLst>
                    </a:blip>
                    <a:srcRect/>
                    <a:stretch>
                      <a:fillRect/>
                    </a:stretch>
                  </pic:blipFill>
                  <pic:spPr bwMode="auto">
                    <a:xfrm>
                      <a:off x="0" y="0"/>
                      <a:ext cx="6116320" cy="22644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right"/>
        <w:spacing w:after="0"/>
        <w:rPr>
          <w:sz w:val="20"/>
          <w:szCs w:val="20"/>
          <w:color w:val="auto"/>
        </w:rPr>
      </w:pPr>
      <w:r>
        <w:rPr>
          <w:rFonts w:ascii="Arial" w:cs="Arial" w:eastAsia="Arial" w:hAnsi="Arial"/>
          <w:sz w:val="15"/>
          <w:szCs w:val="15"/>
          <w:b w:val="1"/>
          <w:bCs w:val="1"/>
          <w:color w:val="auto"/>
        </w:rPr>
        <w:t xml:space="preserve">Figure 7 </w:t>
      </w:r>
      <w:r>
        <w:rPr>
          <w:rFonts w:ascii="Arial" w:cs="Arial" w:eastAsia="Arial" w:hAnsi="Arial"/>
          <w:sz w:val="15"/>
          <w:szCs w:val="15"/>
          <w:color w:val="auto"/>
        </w:rPr>
        <w:t>– Minimum temperature in CMIP5 climate scenarios during the growing season for harvesting gladiola for All Souls’ Day (panels: A, B,</w:t>
      </w:r>
    </w:p>
    <w:p>
      <w:pPr>
        <w:spacing w:after="0" w:line="50" w:lineRule="exact"/>
        <w:rPr>
          <w:sz w:val="20"/>
          <w:szCs w:val="20"/>
          <w:color w:val="auto"/>
        </w:rPr>
      </w:pPr>
    </w:p>
    <w:p>
      <w:pPr>
        <w:jc w:val="right"/>
        <w:spacing w:after="0"/>
        <w:rPr>
          <w:sz w:val="20"/>
          <w:szCs w:val="20"/>
          <w:color w:val="auto"/>
        </w:rPr>
      </w:pPr>
      <w:r>
        <w:rPr>
          <w:rFonts w:ascii="Arial" w:cs="Arial" w:eastAsia="Arial" w:hAnsi="Arial"/>
          <w:sz w:val="15"/>
          <w:szCs w:val="15"/>
          <w:color w:val="auto"/>
        </w:rPr>
        <w:t>C, D, E) and for Mother’s Day (panels: F, G, H, I, J) for five grid points located in different regions of the Rio Grande do Sul State, Brazil: North</w:t>
      </w:r>
    </w:p>
    <w:p>
      <w:pPr>
        <w:spacing w:after="0" w:line="47" w:lineRule="exact"/>
        <w:rPr>
          <w:sz w:val="20"/>
          <w:szCs w:val="20"/>
          <w:color w:val="auto"/>
        </w:rPr>
      </w:pPr>
    </w:p>
    <w:p>
      <w:pPr>
        <w:ind w:left="140" w:firstLine="6"/>
        <w:spacing w:after="0" w:line="311" w:lineRule="auto"/>
        <w:tabs>
          <w:tab w:leader="none" w:pos="294" w:val="left"/>
        </w:tabs>
        <w:numPr>
          <w:ilvl w:val="0"/>
          <w:numId w:val="3"/>
        </w:numPr>
        <w:rPr>
          <w:rFonts w:ascii="Arial" w:cs="Arial" w:eastAsia="Arial" w:hAnsi="Arial"/>
          <w:sz w:val="16"/>
          <w:szCs w:val="16"/>
          <w:color w:val="auto"/>
        </w:rPr>
      </w:pPr>
      <w:r>
        <w:rPr>
          <w:rFonts w:ascii="Arial" w:cs="Arial" w:eastAsia="Arial" w:hAnsi="Arial"/>
          <w:sz w:val="16"/>
          <w:szCs w:val="16"/>
          <w:color w:val="auto"/>
        </w:rPr>
        <w:t>27º42’ S; 53º15’ W; South = 33º22’ S, 53º15’ W; West = 30º08’ S; 57º18’ W, Center: 30º08’ S; 54º03’ W, and East: 30º08’ S; 50º00’ W. The dotted line indicates the threshold temperature of -2 °C in which crop is killed by frost.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219075</wp:posOffset>
            </wp:positionV>
            <wp:extent cx="4319270" cy="21761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extLst>
                    </a:blip>
                    <a:srcRect/>
                    <a:stretch>
                      <a:fillRect/>
                    </a:stretch>
                  </pic:blipFill>
                  <pic:spPr bwMode="auto">
                    <a:xfrm>
                      <a:off x="0" y="0"/>
                      <a:ext cx="4319270" cy="2176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both"/>
        <w:ind w:left="140" w:hanging="141"/>
        <w:spacing w:after="0" w:line="296" w:lineRule="auto"/>
        <w:rPr>
          <w:sz w:val="20"/>
          <w:szCs w:val="20"/>
          <w:color w:val="auto"/>
        </w:rPr>
      </w:pPr>
      <w:r>
        <w:rPr>
          <w:rFonts w:ascii="Arial" w:cs="Arial" w:eastAsia="Arial" w:hAnsi="Arial"/>
          <w:sz w:val="16"/>
          <w:szCs w:val="16"/>
          <w:b w:val="1"/>
          <w:bCs w:val="1"/>
          <w:color w:val="auto"/>
        </w:rPr>
        <w:t xml:space="preserve">Figure 8 </w:t>
      </w:r>
      <w:r>
        <w:rPr>
          <w:rFonts w:ascii="Arial" w:cs="Arial" w:eastAsia="Arial" w:hAnsi="Arial"/>
          <w:sz w:val="16"/>
          <w:szCs w:val="16"/>
          <w:color w:val="auto"/>
        </w:rPr>
        <w:t>– Maximum temperature in the CMIP5 climate scenarios during the reproductive phase for harvesting gladiola for All Souls’ Day (panels:</w:t>
      </w:r>
      <w:r>
        <w:rPr>
          <w:rFonts w:ascii="Arial" w:cs="Arial" w:eastAsia="Arial" w:hAnsi="Arial"/>
          <w:sz w:val="16"/>
          <w:szCs w:val="16"/>
          <w:b w:val="1"/>
          <w:bCs w:val="1"/>
          <w:color w:val="auto"/>
        </w:rPr>
        <w:t xml:space="preserve"> </w:t>
      </w:r>
      <w:r>
        <w:rPr>
          <w:rFonts w:ascii="Arial" w:cs="Arial" w:eastAsia="Arial" w:hAnsi="Arial"/>
          <w:sz w:val="16"/>
          <w:szCs w:val="16"/>
          <w:color w:val="auto"/>
        </w:rPr>
        <w:t>A, B, C, D, E) and for Mother’s Day (panels: F, G, H, I, J) for five grid points located in different regions of the Rio Grande do Sul State, Brazil: North = 27º42’ S; 53º15’ W, South = 33º22’ S; 53º15’ W, West = 30º08’ S; 57º18’ W, Center: 30º08’ S; 54º03’ W, and East: 30º08’ S; 50º00’ W. The dotted line indicates the threshold temperature of 34 °C that causes severe burning of sepals.</w:t>
      </w:r>
    </w:p>
    <w:p>
      <w:pPr>
        <w:sectPr>
          <w:pgSz w:w="12240" w:h="15840" w:orient="portrait"/>
          <w:cols w:equalWidth="0" w:num="1">
            <w:col w:w="9640"/>
          </w:cols>
          <w:pgMar w:left="1300" w:top="996" w:right="1300" w:bottom="277" w:gutter="0" w:footer="0" w:header="0"/>
        </w:sectPr>
      </w:pPr>
    </w:p>
    <w:p>
      <w:pPr>
        <w:spacing w:after="0" w:line="186"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18"/>
          <w:szCs w:val="18"/>
          <w:color w:val="auto"/>
        </w:rPr>
        <w:t>scenario, in most state, planting needs to be carried out up to 25 days later (Late MG). In RCP8.5 scenario, planting should be carried out about 55 days later in the northeastern region of the state, which has the highest altitude and the coldest temperatures in current climate. If farmers do not adjust the planting date, gladiola flower stems become ready for harvest way before the date of sale.</w:t>
      </w:r>
    </w:p>
    <w:p>
      <w:pPr>
        <w:spacing w:after="0" w:line="211" w:lineRule="exact"/>
        <w:rPr>
          <w:sz w:val="20"/>
          <w:szCs w:val="20"/>
          <w:color w:val="auto"/>
        </w:rPr>
      </w:pPr>
    </w:p>
    <w:p>
      <w:pPr>
        <w:jc w:val="both"/>
        <w:ind w:firstLine="479"/>
        <w:spacing w:after="0" w:line="256" w:lineRule="auto"/>
        <w:rPr>
          <w:sz w:val="20"/>
          <w:szCs w:val="20"/>
          <w:color w:val="auto"/>
        </w:rPr>
      </w:pPr>
      <w:r>
        <w:rPr>
          <w:rFonts w:ascii="Times New Roman" w:cs="Times New Roman" w:eastAsia="Times New Roman" w:hAnsi="Times New Roman"/>
          <w:sz w:val="18"/>
          <w:szCs w:val="18"/>
          <w:color w:val="auto"/>
        </w:rPr>
        <w:t>Another application of this study is that future temperatures are more harmful to florets, decreasing spikes quality, mainly in the growing season for harvest for All Souls’ Day. Therefore, these results highlight the importance of research about the effect of shading screens on reducing damage from high temperatures on gladiola flower stems. The use of screens reduced the occurrence of sunburned peppers during the summer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233045</wp:posOffset>
                </wp:positionV>
                <wp:extent cx="611695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8.35pt" to="481.8pt,18.35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164"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months in southern Spain (López-Marin et al., 2011). Another strategy may come from breeding programs, which should focus on developing gladiola cultivars more tolerant to high temperatures.</w:t>
      </w:r>
    </w:p>
    <w:p>
      <w:pPr>
        <w:spacing w:after="0" w:line="2" w:lineRule="exact"/>
        <w:rPr>
          <w:sz w:val="20"/>
          <w:szCs w:val="20"/>
          <w:color w:val="auto"/>
        </w:rPr>
      </w:pPr>
    </w:p>
    <w:p>
      <w:pPr>
        <w:jc w:val="both"/>
        <w:ind w:firstLine="479"/>
        <w:spacing w:after="0" w:line="255" w:lineRule="auto"/>
        <w:rPr>
          <w:sz w:val="20"/>
          <w:szCs w:val="20"/>
          <w:color w:val="auto"/>
        </w:rPr>
      </w:pPr>
      <w:r>
        <w:rPr>
          <w:rFonts w:ascii="Times New Roman" w:cs="Times New Roman" w:eastAsia="Times New Roman" w:hAnsi="Times New Roman"/>
          <w:sz w:val="18"/>
          <w:szCs w:val="18"/>
          <w:color w:val="auto"/>
        </w:rPr>
        <w:t>The results of this study have practical applications for strategies in southern Brazil, mainly to enable the production of gladiola by small farmers and ensure access to flowers produced locally. Gladiola producers from major producing countries, such as Bulgaria, the United States, and India, have studied the impact of climate change on agricultural crops, but not on gladiola (Alexandrov and Hoogenbom, 2000; Fei et al., 2017; Srivastava et al., 2010). Therefore, effects of climate change on gladiola demonstrated in this study and the strategies to mitigate these effects are also relevant information to these countries.</w:t>
      </w:r>
    </w:p>
    <w:p>
      <w:pPr>
        <w:spacing w:after="0" w:line="426" w:lineRule="exact"/>
        <w:rPr>
          <w:sz w:val="20"/>
          <w:szCs w:val="20"/>
          <w:color w:val="auto"/>
        </w:rPr>
      </w:pPr>
    </w:p>
    <w:p>
      <w:pPr>
        <w:sectPr>
          <w:pgSz w:w="12240" w:h="15840" w:orient="portrait"/>
          <w:cols w:equalWidth="0" w:num="2">
            <w:col w:w="4540" w:space="560"/>
            <w:col w:w="4540"/>
          </w:cols>
          <w:pgMar w:left="1300" w:top="996" w:right="1300" w:bottom="277" w:gutter="0" w:footer="0" w:header="0"/>
          <w:type w:val="continuous"/>
        </w:sectPr>
      </w:pPr>
    </w:p>
    <w:p>
      <w:pPr>
        <w:spacing w:after="0" w:line="229" w:lineRule="exact"/>
        <w:rPr>
          <w:sz w:val="20"/>
          <w:szCs w:val="20"/>
          <w:color w:val="auto"/>
        </w:rPr>
      </w:pPr>
    </w:p>
    <w:p>
      <w:pPr>
        <w:spacing w:after="0"/>
        <w:tabs>
          <w:tab w:leader="none" w:pos="95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9</w:t>
      </w:r>
    </w:p>
    <w:p>
      <w:pPr>
        <w:sectPr>
          <w:pgSz w:w="12240" w:h="15840" w:orient="portrait"/>
          <w:cols w:equalWidth="0" w:num="1">
            <w:col w:w="9640"/>
          </w:cols>
          <w:pgMar w:left="1300" w:top="996" w:right="1300" w:bottom="277" w:gutter="0" w:footer="0" w:header="0"/>
          <w:type w:val="continuous"/>
        </w:sectPr>
      </w:pPr>
    </w:p>
    <w:bookmarkStart w:id="9" w:name="page10"/>
    <w:bookmarkEnd w:id="9"/>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109220</wp:posOffset>
                </wp:positionV>
                <wp:extent cx="611695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93D2BB"/>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6pt" to="481.8pt,8.6pt" o:allowincell="f" strokecolor="#93D2BB" strokeweight="1.5pt"/>
            </w:pict>
          </mc:Fallback>
        </mc:AlternateContent>
      </w:r>
    </w:p>
    <w:p>
      <w:pPr>
        <w:sectPr>
          <w:pgSz w:w="12240" w:h="15840" w:orient="portrait"/>
          <w:cols w:equalWidth="0" w:num="1">
            <w:col w:w="9640"/>
          </w:cols>
          <w:pgMar w:left="1300" w:top="996" w:right="1300" w:bottom="277" w:gutter="0" w:footer="0" w:header="0"/>
        </w:sectPr>
      </w:pPr>
    </w:p>
    <w:p>
      <w:pPr>
        <w:spacing w:after="0" w:line="377" w:lineRule="exact"/>
        <w:rPr>
          <w:sz w:val="20"/>
          <w:szCs w:val="20"/>
          <w:color w:val="auto"/>
        </w:rPr>
      </w:pPr>
    </w:p>
    <w:p>
      <w:pPr>
        <w:spacing w:after="0"/>
        <w:rPr>
          <w:sz w:val="20"/>
          <w:szCs w:val="20"/>
          <w:color w:val="auto"/>
        </w:rPr>
      </w:pPr>
      <w:r>
        <w:rPr>
          <w:rFonts w:ascii="Arial" w:cs="Arial" w:eastAsia="Arial" w:hAnsi="Arial"/>
          <w:sz w:val="24"/>
          <w:szCs w:val="24"/>
          <w:b w:val="1"/>
          <w:bCs w:val="1"/>
          <w:color w:val="00B085"/>
        </w:rPr>
        <w:t>Conclusions</w:t>
      </w:r>
    </w:p>
    <w:p>
      <w:pPr>
        <w:spacing w:after="0" w:line="242" w:lineRule="exact"/>
        <w:rPr>
          <w:sz w:val="20"/>
          <w:szCs w:val="20"/>
          <w:color w:val="auto"/>
        </w:rPr>
      </w:pPr>
    </w:p>
    <w:p>
      <w:pPr>
        <w:jc w:val="both"/>
        <w:ind w:right="20" w:firstLine="479"/>
        <w:spacing w:after="0" w:line="255" w:lineRule="auto"/>
        <w:rPr>
          <w:sz w:val="20"/>
          <w:szCs w:val="20"/>
          <w:color w:val="auto"/>
        </w:rPr>
      </w:pPr>
      <w:r>
        <w:rPr>
          <w:rFonts w:ascii="Times New Roman" w:cs="Times New Roman" w:eastAsia="Times New Roman" w:hAnsi="Times New Roman"/>
          <w:sz w:val="18"/>
          <w:szCs w:val="18"/>
          <w:color w:val="auto"/>
        </w:rPr>
        <w:t>Flowering time of gladiola is strongly driven by temperature. Therefore, a shift in planting date in the Rio Grande do Sul State to meet demands of marketable days may occur in scenarios of future climate change. Our simulations suggest a delay in planting date of gladiola to harvest for All Souls’ Day in future climate scenarios of up to 55 days in RCP8.5 scenario for the coldest region of the state. To harvest for Mother’s Day, negative anomalies (earliest planting date) occurred in the warmest regions because temperatures exceeded the optimum temperature, decreasing the developmental rate of gladiola. Gladiola flower quality may also be affected by climate change due to heat stress and injury. Mitigation strategies for farmers to deal with climate change and keep their gladiola production in southern Brazil include adapting the optimum planting date.</w:t>
      </w:r>
    </w:p>
    <w:p>
      <w:pPr>
        <w:spacing w:after="0" w:line="358" w:lineRule="exact"/>
        <w:rPr>
          <w:sz w:val="20"/>
          <w:szCs w:val="20"/>
          <w:color w:val="auto"/>
        </w:rPr>
      </w:pPr>
    </w:p>
    <w:p>
      <w:pPr>
        <w:spacing w:after="0"/>
        <w:rPr>
          <w:sz w:val="20"/>
          <w:szCs w:val="20"/>
          <w:color w:val="auto"/>
        </w:rPr>
      </w:pPr>
      <w:r>
        <w:rPr>
          <w:rFonts w:ascii="Arial" w:cs="Arial" w:eastAsia="Arial" w:hAnsi="Arial"/>
          <w:sz w:val="24"/>
          <w:szCs w:val="24"/>
          <w:b w:val="1"/>
          <w:bCs w:val="1"/>
          <w:color w:val="00B085"/>
        </w:rPr>
        <w:t>Acknowledgements</w:t>
      </w:r>
    </w:p>
    <w:p>
      <w:pPr>
        <w:spacing w:after="0" w:line="242" w:lineRule="exact"/>
        <w:rPr>
          <w:sz w:val="20"/>
          <w:szCs w:val="20"/>
          <w:color w:val="auto"/>
        </w:rPr>
      </w:pPr>
    </w:p>
    <w:p>
      <w:pPr>
        <w:jc w:val="both"/>
        <w:ind w:right="20" w:firstLine="479"/>
        <w:spacing w:after="0" w:line="255" w:lineRule="auto"/>
        <w:rPr>
          <w:sz w:val="20"/>
          <w:szCs w:val="20"/>
          <w:color w:val="auto"/>
        </w:rPr>
      </w:pPr>
      <w:r>
        <w:rPr>
          <w:rFonts w:ascii="Times New Roman" w:cs="Times New Roman" w:eastAsia="Times New Roman" w:hAnsi="Times New Roman"/>
          <w:sz w:val="18"/>
          <w:szCs w:val="18"/>
          <w:color w:val="auto"/>
        </w:rPr>
        <w:t>The authors thank extensionists from Empresa de Assistência Técnica e Extensão Rural do Rio Grande do Sul (EMATER, RS – Ascar): Alfredo Schons, Luana Fernandes Tironi, Silvio Augusto Wilhelm and Otávio Mendonça Poleto for technical support during data collection at the farms in the municipalities of Dilermando de Aguiar, Cachoeira do Sul, and Santiago. This study was supported by Conselho Nacional de Desenvolvimento Científico e Tecnológico (CNPq) (Proc. No. 302858/2015-6) and Coordenação de Aperfeiçoamento de Pessoal de Nível Superior (CAPES).</w:t>
      </w:r>
    </w:p>
    <w:p>
      <w:pPr>
        <w:spacing w:after="0" w:line="359" w:lineRule="exact"/>
        <w:rPr>
          <w:sz w:val="20"/>
          <w:szCs w:val="20"/>
          <w:color w:val="auto"/>
        </w:rPr>
      </w:pPr>
    </w:p>
    <w:p>
      <w:pPr>
        <w:spacing w:after="0"/>
        <w:rPr>
          <w:sz w:val="20"/>
          <w:szCs w:val="20"/>
          <w:color w:val="auto"/>
        </w:rPr>
      </w:pPr>
      <w:r>
        <w:rPr>
          <w:rFonts w:ascii="Arial" w:cs="Arial" w:eastAsia="Arial" w:hAnsi="Arial"/>
          <w:sz w:val="24"/>
          <w:szCs w:val="24"/>
          <w:b w:val="1"/>
          <w:bCs w:val="1"/>
          <w:color w:val="00B085"/>
        </w:rPr>
        <w:t>Authors’ Contributions</w:t>
      </w:r>
    </w:p>
    <w:p>
      <w:pPr>
        <w:spacing w:after="0" w:line="242" w:lineRule="exact"/>
        <w:rPr>
          <w:sz w:val="20"/>
          <w:szCs w:val="20"/>
          <w:color w:val="auto"/>
        </w:rPr>
      </w:pPr>
    </w:p>
    <w:p>
      <w:pPr>
        <w:jc w:val="both"/>
        <w:ind w:right="20" w:firstLine="479"/>
        <w:spacing w:after="0" w:line="256" w:lineRule="auto"/>
        <w:rPr>
          <w:sz w:val="20"/>
          <w:szCs w:val="20"/>
          <w:color w:val="auto"/>
        </w:rPr>
      </w:pPr>
      <w:r>
        <w:rPr>
          <w:rFonts w:ascii="Times New Roman" w:cs="Times New Roman" w:eastAsia="Times New Roman" w:hAnsi="Times New Roman"/>
          <w:sz w:val="18"/>
          <w:szCs w:val="18"/>
          <w:b w:val="1"/>
          <w:bCs w:val="1"/>
          <w:color w:val="auto"/>
        </w:rPr>
        <w:t>Conceptualization</w:t>
      </w:r>
      <w:r>
        <w:rPr>
          <w:rFonts w:ascii="Times New Roman" w:cs="Times New Roman" w:eastAsia="Times New Roman" w:hAnsi="Times New Roman"/>
          <w:sz w:val="18"/>
          <w:szCs w:val="18"/>
          <w:color w:val="auto"/>
        </w:rPr>
        <w:t>: Becker, C.C.; Streck, N.A.;</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 xml:space="preserve">Uhlmann, L.O.; Cera, J.C. </w:t>
      </w:r>
      <w:r>
        <w:rPr>
          <w:rFonts w:ascii="Times New Roman" w:cs="Times New Roman" w:eastAsia="Times New Roman" w:hAnsi="Times New Roman"/>
          <w:sz w:val="18"/>
          <w:szCs w:val="18"/>
          <w:b w:val="1"/>
          <w:bCs w:val="1"/>
          <w:color w:val="auto"/>
        </w:rPr>
        <w:t>Data acquisition</w:t>
      </w:r>
      <w:r>
        <w:rPr>
          <w:rFonts w:ascii="Times New Roman" w:cs="Times New Roman" w:eastAsia="Times New Roman" w:hAnsi="Times New Roman"/>
          <w:sz w:val="18"/>
          <w:szCs w:val="18"/>
          <w:color w:val="auto"/>
        </w:rPr>
        <w:t xml:space="preserve">: Becker, C.C.; Silveira, W.B.; Ferraz, E.T.; Silva, L.F. </w:t>
      </w:r>
      <w:r>
        <w:rPr>
          <w:rFonts w:ascii="Times New Roman" w:cs="Times New Roman" w:eastAsia="Times New Roman" w:hAnsi="Times New Roman"/>
          <w:sz w:val="18"/>
          <w:szCs w:val="18"/>
          <w:b w:val="1"/>
          <w:bCs w:val="1"/>
          <w:color w:val="auto"/>
        </w:rPr>
        <w:t>Data</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analysis</w:t>
      </w:r>
      <w:r>
        <w:rPr>
          <w:rFonts w:ascii="Times New Roman" w:cs="Times New Roman" w:eastAsia="Times New Roman" w:hAnsi="Times New Roman"/>
          <w:sz w:val="18"/>
          <w:szCs w:val="18"/>
          <w:color w:val="auto"/>
        </w:rPr>
        <w:t>: Becker, C.C.; Balest, D.S.; Silveira, W.B.; Cera,</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 xml:space="preserve">J.C. </w:t>
      </w:r>
      <w:r>
        <w:rPr>
          <w:rFonts w:ascii="Times New Roman" w:cs="Times New Roman" w:eastAsia="Times New Roman" w:hAnsi="Times New Roman"/>
          <w:sz w:val="18"/>
          <w:szCs w:val="18"/>
          <w:b w:val="1"/>
          <w:bCs w:val="1"/>
          <w:color w:val="auto"/>
        </w:rPr>
        <w:t>Design of methodology</w:t>
      </w:r>
      <w:r>
        <w:rPr>
          <w:rFonts w:ascii="Times New Roman" w:cs="Times New Roman" w:eastAsia="Times New Roman" w:hAnsi="Times New Roman"/>
          <w:sz w:val="18"/>
          <w:szCs w:val="18"/>
          <w:color w:val="auto"/>
        </w:rPr>
        <w:t xml:space="preserve">: Becker, C.C.; Streck, N.A.; Uhlmann, L.O.; Ferraz, E.T.; Cera, J.C. </w:t>
      </w:r>
      <w:r>
        <w:rPr>
          <w:rFonts w:ascii="Times New Roman" w:cs="Times New Roman" w:eastAsia="Times New Roman" w:hAnsi="Times New Roman"/>
          <w:sz w:val="18"/>
          <w:szCs w:val="18"/>
          <w:b w:val="1"/>
          <w:bCs w:val="1"/>
          <w:color w:val="auto"/>
        </w:rPr>
        <w:t>Writing and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editing</w:t>
      </w:r>
      <w:r>
        <w:rPr>
          <w:rFonts w:ascii="Times New Roman" w:cs="Times New Roman" w:eastAsia="Times New Roman" w:hAnsi="Times New Roman"/>
          <w:sz w:val="18"/>
          <w:szCs w:val="18"/>
          <w:color w:val="auto"/>
        </w:rPr>
        <w:t>: Becker, C.C.; Streck, N.A.; Uhlmann, L.O.; Cera,</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J.C.; Ferraz, E.T.; Silveira, W.B.; Balest, D.S.; Silva, L.F.</w:t>
      </w:r>
    </w:p>
    <w:p>
      <w:pPr>
        <w:spacing w:after="0" w:line="133" w:lineRule="exact"/>
        <w:rPr>
          <w:sz w:val="20"/>
          <w:szCs w:val="20"/>
          <w:color w:val="auto"/>
        </w:rPr>
      </w:pPr>
    </w:p>
    <w:p>
      <w:pPr>
        <w:spacing w:after="0"/>
        <w:rPr>
          <w:sz w:val="20"/>
          <w:szCs w:val="20"/>
          <w:color w:val="auto"/>
        </w:rPr>
      </w:pPr>
      <w:r>
        <w:rPr>
          <w:rFonts w:ascii="Arial" w:cs="Arial" w:eastAsia="Arial" w:hAnsi="Arial"/>
          <w:sz w:val="24"/>
          <w:szCs w:val="24"/>
          <w:b w:val="1"/>
          <w:bCs w:val="1"/>
          <w:color w:val="00B085"/>
        </w:rPr>
        <w:t>References</w:t>
      </w:r>
    </w:p>
    <w:p>
      <w:pPr>
        <w:spacing w:after="0" w:line="265" w:lineRule="exact"/>
        <w:rPr>
          <w:sz w:val="20"/>
          <w:szCs w:val="20"/>
          <w:color w:val="auto"/>
        </w:rPr>
      </w:pPr>
    </w:p>
    <w:p>
      <w:pPr>
        <w:jc w:val="both"/>
        <w:ind w:left="180" w:right="20" w:hanging="179"/>
        <w:spacing w:after="0" w:line="288" w:lineRule="auto"/>
        <w:rPr>
          <w:sz w:val="20"/>
          <w:szCs w:val="20"/>
          <w:color w:val="auto"/>
        </w:rPr>
      </w:pPr>
      <w:r>
        <w:rPr>
          <w:rFonts w:ascii="Times New Roman" w:cs="Times New Roman" w:eastAsia="Times New Roman" w:hAnsi="Times New Roman"/>
          <w:sz w:val="16"/>
          <w:szCs w:val="16"/>
          <w:color w:val="auto"/>
        </w:rPr>
        <w:t>Adil, M.; Ahmad, W.; Ahmad, K.S.; Shafi, J.; Shehzad, M.A.; Sarwar, M.A.; Salman, M.; Ghani, M.I.; Iqabal, M. 2013. Effect of different planting dates on growth and development of Gladiolus grandiflorus under the ecological conditions of Faisalabad, Pakistan. Universal Journal of Agricultural Research 1: 110-117.</w:t>
      </w:r>
    </w:p>
    <w:p>
      <w:pPr>
        <w:spacing w:after="0" w:line="214" w:lineRule="exact"/>
        <w:rPr>
          <w:sz w:val="20"/>
          <w:szCs w:val="20"/>
          <w:color w:val="auto"/>
        </w:rPr>
      </w:pPr>
    </w:p>
    <w:p>
      <w:pPr>
        <w:jc w:val="both"/>
        <w:ind w:left="180" w:right="20" w:hanging="179"/>
        <w:spacing w:after="0" w:line="286" w:lineRule="auto"/>
        <w:rPr>
          <w:sz w:val="20"/>
          <w:szCs w:val="20"/>
          <w:color w:val="auto"/>
        </w:rPr>
      </w:pPr>
      <w:r>
        <w:rPr>
          <w:rFonts w:ascii="Times New Roman" w:cs="Times New Roman" w:eastAsia="Times New Roman" w:hAnsi="Times New Roman"/>
          <w:sz w:val="16"/>
          <w:szCs w:val="16"/>
          <w:color w:val="auto"/>
        </w:rPr>
        <w:t>Alexandrov, V.A.; Hoogenboom, G. 2000. The impact of climate variability and change on crop yield in Bulgaria. Agricultural and Forest Meteorology 104: 315-327.</w:t>
      </w:r>
    </w:p>
    <w:p>
      <w:pPr>
        <w:spacing w:after="0" w:line="1" w:lineRule="exact"/>
        <w:rPr>
          <w:sz w:val="20"/>
          <w:szCs w:val="20"/>
          <w:color w:val="auto"/>
        </w:rPr>
      </w:pPr>
    </w:p>
    <w:p>
      <w:pPr>
        <w:jc w:val="both"/>
        <w:ind w:left="180" w:right="20" w:hanging="179"/>
        <w:spacing w:after="0" w:line="287" w:lineRule="auto"/>
        <w:rPr>
          <w:sz w:val="20"/>
          <w:szCs w:val="20"/>
          <w:color w:val="auto"/>
        </w:rPr>
      </w:pPr>
      <w:r>
        <w:rPr>
          <w:rFonts w:ascii="Times New Roman" w:cs="Times New Roman" w:eastAsia="Times New Roman" w:hAnsi="Times New Roman"/>
          <w:sz w:val="16"/>
          <w:szCs w:val="16"/>
          <w:color w:val="auto"/>
        </w:rPr>
        <w:t>Alvares, C.A.; Stape, J.L.; Sentelhas, P.C.; Gonçalves, J.L.M.; Sparovek, G. 2013. Köppen’s climate classification map for Brazil. Meteorologische Zeitschrift 22: 711-728.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222885</wp:posOffset>
                </wp:positionV>
                <wp:extent cx="611695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7.55pt" to="481.8pt,17.55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9"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Becker, C.C.; Streck, N.A.; Uhlmann, L.O.; Silveira, W.B. 2020. Scheduling optimum planting window for gladiola based on El Nino Southern Oscillation. Scientia Agricola 77: e20180336.</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Bhattarai, M.D.; Secchi, S.; Schoof, J. 2017. Projecting corn and soybeans yields under climate change in a Corn Belt watershed. Agricultural Systems 152: 90-99.</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Blanchard, M.G.; Runkle, E.S. 2011. Quantifying the thermal flowering rates of eighteen species of annual bedding plants. Scientia Horticulturae 128: 30-37.</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Blanchard, M.G.; Runkle, E.S.; Fisher, P.S. 2011. Modeling plant morphology and development of petunia in response to temperature and photosynthetic daily light integral. Scientia Horticulturae 129: 313-320.</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Cave, R.L.; Hammer, G.L.; McLean, G.; Birch, C.J.; Erwin, J.E.; Johnston, M.E. 2013. Moddeling temperature, photoperiod and vernalisation responses of Brunonia australis (Goodeniaceae) and Calandrinia sp. (Portulacaceae) to predict flowering time. Annals of Botany 111: 629-639.</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Cera, J.C.; Streck, N.A.; Fensterseifer, C.A.J.; Ferraz, S.E.T.; Bexaira, K.P.; Silveira, W.B.; Cardoso, A.P. 2017. Soybean yield in future climate scenarios for the state of Rio Grande do Sul, Brazil. Pesquisa Agropecuária Brasileira 52: 380-392.</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Fei, C.J.; McCarl, B.A.; Thayer, A.W. 2017. Estimating the impacts of climate change and potential adaptation strategies on cereal grains in the United States. Frontiers in Ecology and Evolution 5: article 62.</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Fisher, P.R.; Lieth, J.H. 2000. Variability in flower development of Easter lily (Lilium longiflorum Thunb.): model and decision-support system. Computers and Electronics in Agriculture 26: 53-64.</w:t>
      </w:r>
    </w:p>
    <w:p>
      <w:pPr>
        <w:spacing w:after="0" w:line="2" w:lineRule="exact"/>
        <w:rPr>
          <w:sz w:val="20"/>
          <w:szCs w:val="20"/>
          <w:color w:val="auto"/>
        </w:rPr>
      </w:pPr>
    </w:p>
    <w:p>
      <w:pPr>
        <w:jc w:val="both"/>
        <w:ind w:hanging="179"/>
        <w:spacing w:after="0" w:line="293" w:lineRule="auto"/>
        <w:rPr>
          <w:sz w:val="20"/>
          <w:szCs w:val="20"/>
          <w:color w:val="auto"/>
        </w:rPr>
      </w:pPr>
      <w:r>
        <w:rPr>
          <w:rFonts w:ascii="Times New Roman" w:cs="Times New Roman" w:eastAsia="Times New Roman" w:hAnsi="Times New Roman"/>
          <w:sz w:val="16"/>
          <w:szCs w:val="16"/>
          <w:color w:val="auto"/>
        </w:rPr>
        <w:t>Hur, J.; Ahn, J.B. 2015. The change of first-flowering date over South Korea projected from downscaled IPCC AR5 simulation: peach and pear. International Journal of Climatology 35: 1926-1937.</w:t>
      </w:r>
    </w:p>
    <w:p>
      <w:pPr>
        <w:spacing w:after="0" w:line="205"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IPCC. 2013. Climate Change 2013: The Physical Science Basis. Contribution of Working Group I to the Fifth Assessment Report of the Intergovernmental Panel on Climate Change. Cambridge University Press, Cambridge, UK.</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Jones, C.D.; Hughes, J.K.; Bellouin, N.; Hardiman, S.C.; Jones, G.S.; Knight, J.; Liddicoat, S.; O’Connor, F.M.; Andres, R.J.; Bell, C.; Boo, K.-O.; Bozzo, A.; Butchart, N.; Cadule, P.; Corbin, K.D.; Doutriaux-Boucher, M.; Friedlingstein, P.; Gornall, J.; Gray, L.; Halloran, P.R.; Hurtt, J.; Ingram, W.J.; Lamarque, J.F.; Law, R.M.; Meinshausen, M.; Osprey, S.; Palin, E.J.; Chini, L.P.; Raddatz, T.; Sanderson, M.G.; Sellar, A.A.; Schurer, A.; Valdes, P.; Wood, N.; Woodward, S.; Yoshioka, M.; Zerroukat, M. 2011. The HadGEM2-ES implementation of CMIP5 centennial simulations. Geoscientific Model Development 4: 543-570.</w:t>
      </w:r>
    </w:p>
    <w:p>
      <w:pPr>
        <w:spacing w:after="0" w:line="4" w:lineRule="exact"/>
        <w:rPr>
          <w:sz w:val="20"/>
          <w:szCs w:val="20"/>
          <w:color w:val="auto"/>
        </w:rPr>
      </w:pPr>
    </w:p>
    <w:p>
      <w:pPr>
        <w:jc w:val="both"/>
        <w:ind w:hanging="179"/>
        <w:spacing w:after="0" w:line="293" w:lineRule="auto"/>
        <w:rPr>
          <w:sz w:val="20"/>
          <w:szCs w:val="20"/>
          <w:color w:val="auto"/>
        </w:rPr>
      </w:pPr>
      <w:r>
        <w:rPr>
          <w:rFonts w:ascii="Times New Roman" w:cs="Times New Roman" w:eastAsia="Times New Roman" w:hAnsi="Times New Roman"/>
          <w:sz w:val="16"/>
          <w:szCs w:val="16"/>
          <w:color w:val="auto"/>
        </w:rPr>
        <w:t>Larsen, R.U.; Persson, L. 1999. Modelling flower development in greenhouse chrysanthemum cultivars in relation to temperature and response group. Scientia Horticulturae 80: 73-89.</w:t>
      </w:r>
    </w:p>
    <w:p>
      <w:pPr>
        <w:spacing w:after="0" w:line="205" w:lineRule="exact"/>
        <w:rPr>
          <w:sz w:val="20"/>
          <w:szCs w:val="20"/>
          <w:color w:val="auto"/>
        </w:rPr>
      </w:pPr>
    </w:p>
    <w:p>
      <w:pPr>
        <w:jc w:val="both"/>
        <w:ind w:hanging="179"/>
        <w:spacing w:after="0" w:line="303" w:lineRule="auto"/>
        <w:rPr>
          <w:sz w:val="20"/>
          <w:szCs w:val="20"/>
          <w:color w:val="auto"/>
        </w:rPr>
      </w:pPr>
      <w:r>
        <w:rPr>
          <w:rFonts w:ascii="Times New Roman" w:cs="Times New Roman" w:eastAsia="Times New Roman" w:hAnsi="Times New Roman"/>
          <w:sz w:val="16"/>
          <w:szCs w:val="16"/>
          <w:color w:val="auto"/>
        </w:rPr>
        <w:t>López-Marin, J.; González, A.; Gálvez, A. 2011. Effect of shade on quality of greenhouse peppers. Acta Horticulturae 893: 895-900.</w:t>
      </w:r>
    </w:p>
    <w:p>
      <w:pPr>
        <w:spacing w:after="0" w:line="194" w:lineRule="exact"/>
        <w:rPr>
          <w:sz w:val="20"/>
          <w:szCs w:val="20"/>
          <w:color w:val="auto"/>
        </w:rPr>
      </w:pPr>
    </w:p>
    <w:p>
      <w:pPr>
        <w:jc w:val="both"/>
        <w:ind w:hanging="179"/>
        <w:spacing w:after="0" w:line="287" w:lineRule="auto"/>
        <w:rPr>
          <w:sz w:val="20"/>
          <w:szCs w:val="20"/>
          <w:color w:val="auto"/>
        </w:rPr>
      </w:pPr>
      <w:r>
        <w:rPr>
          <w:rFonts w:ascii="Times New Roman" w:cs="Times New Roman" w:eastAsia="Times New Roman" w:hAnsi="Times New Roman"/>
          <w:sz w:val="16"/>
          <w:szCs w:val="16"/>
          <w:color w:val="auto"/>
        </w:rPr>
        <w:t>Marengo, J.A.; Camargo, C.C. 2008. Surface air temperature trends in southern Brazil for 1960-2002. International Journal of Climatology 28: 893-904.</w:t>
      </w:r>
    </w:p>
    <w:p>
      <w:pPr>
        <w:spacing w:after="0" w:line="202" w:lineRule="exact"/>
        <w:rPr>
          <w:sz w:val="20"/>
          <w:szCs w:val="20"/>
          <w:color w:val="auto"/>
        </w:rPr>
      </w:pPr>
    </w:p>
    <w:p>
      <w:pPr>
        <w:sectPr>
          <w:pgSz w:w="12240" w:h="15840" w:orient="portrait"/>
          <w:cols w:equalWidth="0" w:num="2">
            <w:col w:w="4560" w:space="720"/>
            <w:col w:w="4360"/>
          </w:cols>
          <w:pgMar w:left="1300" w:top="996" w:right="1300" w:bottom="277" w:gutter="0" w:footer="0" w:header="0"/>
          <w:type w:val="continuous"/>
        </w:sectPr>
      </w:pPr>
    </w:p>
    <w:p>
      <w:pPr>
        <w:spacing w:after="0" w:line="213" w:lineRule="exact"/>
        <w:rPr>
          <w:sz w:val="20"/>
          <w:szCs w:val="20"/>
          <w:color w:val="auto"/>
        </w:rPr>
      </w:pPr>
    </w:p>
    <w:p>
      <w:pPr>
        <w:spacing w:after="0"/>
        <w:tabs>
          <w:tab w:leader="none" w:pos="94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10</w:t>
      </w:r>
    </w:p>
    <w:p>
      <w:pPr>
        <w:sectPr>
          <w:pgSz w:w="12240" w:h="15840" w:orient="portrait"/>
          <w:cols w:equalWidth="0" w:num="1">
            <w:col w:w="9640"/>
          </w:cols>
          <w:pgMar w:left="1300" w:top="996" w:right="1300" w:bottom="277" w:gutter="0" w:footer="0" w:header="0"/>
          <w:type w:val="continuous"/>
        </w:sectPr>
      </w:pPr>
    </w:p>
    <w:bookmarkStart w:id="10" w:name="page11"/>
    <w:bookmarkEnd w:id="10"/>
    <w:p>
      <w:pPr>
        <w:spacing w:after="0"/>
        <w:tabs>
          <w:tab w:leader="none" w:pos="6900" w:val="left"/>
        </w:tabs>
        <w:rPr>
          <w:sz w:val="20"/>
          <w:szCs w:val="20"/>
          <w:color w:val="auto"/>
        </w:rPr>
      </w:pPr>
      <w:r>
        <w:rPr>
          <w:rFonts w:ascii="Times New Roman" w:cs="Times New Roman" w:eastAsia="Times New Roman" w:hAnsi="Times New Roman"/>
          <w:sz w:val="16"/>
          <w:szCs w:val="16"/>
          <w:b w:val="1"/>
          <w:bCs w:val="1"/>
          <w:color w:val="auto"/>
        </w:rPr>
        <w:t>Becker et al.</w:t>
      </w:r>
      <w:r>
        <w:rPr>
          <w:sz w:val="20"/>
          <w:szCs w:val="20"/>
          <w:color w:val="auto"/>
        </w:rPr>
        <w:tab/>
      </w:r>
      <w:r>
        <w:rPr>
          <w:rFonts w:ascii="Times New Roman" w:cs="Times New Roman" w:eastAsia="Times New Roman" w:hAnsi="Times New Roman"/>
          <w:sz w:val="16"/>
          <w:szCs w:val="16"/>
          <w:b w:val="1"/>
          <w:bCs w:val="1"/>
          <w:color w:val="auto"/>
        </w:rPr>
        <w:t>Climate change effects on gladiola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109220</wp:posOffset>
                </wp:positionV>
                <wp:extent cx="611695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93D2BB"/>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6pt" to="481.8pt,8.6pt" o:allowincell="f" strokecolor="#93D2BB" strokeweight="1.5pt"/>
            </w:pict>
          </mc:Fallback>
        </mc:AlternateContent>
      </w:r>
    </w:p>
    <w:p>
      <w:pPr>
        <w:sectPr>
          <w:pgSz w:w="12240" w:h="15840" w:orient="portrait"/>
          <w:cols w:equalWidth="0" w:num="1">
            <w:col w:w="9640"/>
          </w:cols>
          <w:pgMar w:left="1300" w:top="996" w:right="1300" w:bottom="277" w:gutter="0" w:footer="0" w:header="0"/>
        </w:sectPr>
      </w:pPr>
    </w:p>
    <w:p>
      <w:pPr>
        <w:spacing w:after="0" w:line="200" w:lineRule="exact"/>
        <w:rPr>
          <w:sz w:val="20"/>
          <w:szCs w:val="20"/>
          <w:color w:val="auto"/>
        </w:rPr>
      </w:pPr>
    </w:p>
    <w:p>
      <w:pPr>
        <w:spacing w:after="0" w:line="279" w:lineRule="exact"/>
        <w:rPr>
          <w:sz w:val="20"/>
          <w:szCs w:val="20"/>
          <w:color w:val="auto"/>
        </w:rPr>
      </w:pPr>
    </w:p>
    <w:p>
      <w:pPr>
        <w:jc w:val="both"/>
        <w:ind w:left="180" w:right="20" w:hanging="179"/>
        <w:spacing w:after="0" w:line="286" w:lineRule="auto"/>
        <w:rPr>
          <w:sz w:val="20"/>
          <w:szCs w:val="20"/>
          <w:color w:val="auto"/>
        </w:rPr>
      </w:pPr>
      <w:r>
        <w:rPr>
          <w:rFonts w:ascii="Times New Roman" w:cs="Times New Roman" w:eastAsia="Times New Roman" w:hAnsi="Times New Roman"/>
          <w:sz w:val="16"/>
          <w:szCs w:val="16"/>
          <w:color w:val="auto"/>
        </w:rPr>
        <w:t>Moccaldi, L.A.; Runkle, E.S. 2007. Modeling the effects of temperature and photosynthetic daily integral on growth and flowering of Salvia splendens and Tagetes patula. Journal of the American Society for Horticultural Science 132: 283-288.</w:t>
      </w:r>
    </w:p>
    <w:p>
      <w:pPr>
        <w:spacing w:after="0" w:line="2" w:lineRule="exact"/>
        <w:rPr>
          <w:sz w:val="20"/>
          <w:szCs w:val="20"/>
          <w:color w:val="auto"/>
        </w:rPr>
      </w:pPr>
    </w:p>
    <w:p>
      <w:pPr>
        <w:jc w:val="both"/>
        <w:ind w:left="180" w:right="20" w:hanging="179"/>
        <w:spacing w:after="0" w:line="290" w:lineRule="auto"/>
        <w:rPr>
          <w:sz w:val="20"/>
          <w:szCs w:val="20"/>
          <w:color w:val="auto"/>
        </w:rPr>
      </w:pPr>
      <w:r>
        <w:rPr>
          <w:rFonts w:ascii="Times New Roman" w:cs="Times New Roman" w:eastAsia="Times New Roman" w:hAnsi="Times New Roman"/>
          <w:sz w:val="16"/>
          <w:szCs w:val="16"/>
          <w:color w:val="auto"/>
        </w:rPr>
        <w:t>Munir, M.; Hadley, P.; Carew, J.; Adams, S.; Pearson, S.; Sudhakar, B. 2015. Effect of constant temperatures and natural daylength on flowering time and leaf number of Antirrhinum using the photo-thermal model. Pakistan Journal of Botany 47: 1717-1720.</w:t>
      </w:r>
    </w:p>
    <w:p>
      <w:pPr>
        <w:spacing w:after="0" w:line="209" w:lineRule="exact"/>
        <w:rPr>
          <w:sz w:val="20"/>
          <w:szCs w:val="20"/>
          <w:color w:val="auto"/>
        </w:rPr>
      </w:pPr>
    </w:p>
    <w:p>
      <w:pPr>
        <w:jc w:val="both"/>
        <w:ind w:left="180" w:right="20" w:hanging="179"/>
        <w:spacing w:after="0" w:line="293" w:lineRule="auto"/>
        <w:rPr>
          <w:sz w:val="20"/>
          <w:szCs w:val="20"/>
          <w:color w:val="auto"/>
        </w:rPr>
      </w:pPr>
      <w:r>
        <w:rPr>
          <w:rFonts w:ascii="Times New Roman" w:cs="Times New Roman" w:eastAsia="Times New Roman" w:hAnsi="Times New Roman"/>
          <w:sz w:val="16"/>
          <w:szCs w:val="16"/>
          <w:color w:val="auto"/>
        </w:rPr>
        <w:t>Munir, M.; Jamil, M.; Baloch, J.-U.-D.; Khattak, K.R. 2004. Growth and flowering of Antirrhinum majus L. under varying temperatures. International Journal of Agriculture &amp; Biology 6: 173-178.</w:t>
      </w:r>
    </w:p>
    <w:p>
      <w:pPr>
        <w:spacing w:after="0" w:line="205" w:lineRule="exact"/>
        <w:rPr>
          <w:sz w:val="20"/>
          <w:szCs w:val="20"/>
          <w:color w:val="auto"/>
        </w:rPr>
      </w:pPr>
    </w:p>
    <w:p>
      <w:pPr>
        <w:jc w:val="both"/>
        <w:ind w:left="180" w:right="20" w:hanging="179"/>
        <w:spacing w:after="0" w:line="286" w:lineRule="auto"/>
        <w:rPr>
          <w:sz w:val="20"/>
          <w:szCs w:val="20"/>
          <w:color w:val="auto"/>
        </w:rPr>
      </w:pPr>
      <w:r>
        <w:rPr>
          <w:rFonts w:ascii="Times New Roman" w:cs="Times New Roman" w:eastAsia="Times New Roman" w:hAnsi="Times New Roman"/>
          <w:sz w:val="16"/>
          <w:szCs w:val="16"/>
          <w:color w:val="auto"/>
        </w:rPr>
        <w:t>Pramuk,</w:t>
      </w:r>
      <w:r>
        <w:rPr>
          <w:sz w:val="20"/>
          <w:szCs w:val="20"/>
          <w:color w:val="auto"/>
        </w:rPr>
        <w:t xml:space="preserve"> </w:t>
      </w:r>
      <w:r>
        <w:rPr>
          <w:rFonts w:ascii="Times New Roman" w:cs="Times New Roman" w:eastAsia="Times New Roman" w:hAnsi="Times New Roman"/>
          <w:sz w:val="16"/>
          <w:szCs w:val="16"/>
          <w:color w:val="auto"/>
        </w:rPr>
        <w:t>L.A.; Runkle, E.S. 2005. Modeling growth and development of celosia and impatiens in response to temperature and photosynthetic daily light integral. Journal of the American Society for Horticultural Science 130: 813-818.</w:t>
      </w:r>
    </w:p>
    <w:p>
      <w:pPr>
        <w:spacing w:after="0" w:line="2" w:lineRule="exact"/>
        <w:rPr>
          <w:sz w:val="20"/>
          <w:szCs w:val="20"/>
          <w:color w:val="auto"/>
        </w:rPr>
      </w:pPr>
    </w:p>
    <w:p>
      <w:pPr>
        <w:jc w:val="both"/>
        <w:ind w:left="180" w:right="20" w:hanging="179"/>
        <w:spacing w:after="0" w:line="286" w:lineRule="auto"/>
        <w:rPr>
          <w:sz w:val="20"/>
          <w:szCs w:val="20"/>
          <w:color w:val="auto"/>
        </w:rPr>
      </w:pPr>
      <w:r>
        <w:rPr>
          <w:rFonts w:ascii="Times New Roman" w:cs="Times New Roman" w:eastAsia="Times New Roman" w:hAnsi="Times New Roman"/>
          <w:sz w:val="16"/>
          <w:szCs w:val="16"/>
          <w:color w:val="auto"/>
        </w:rPr>
        <w:t>Ramirez-Villegas, J.; Thornton, P.K. 2015. Climate change impacts on African crop production. CGIAR Research Program on Climate Change, Agriculture and Food Security. Copenhagen, Denmark. (CCAFS Working Paper, 119). Available at: https:// ccafs.cgiar.org/publications/climate-change-impacts-african-crop-production#.XUQz8uhKiM8 [Accessed Aug 01, 2019]</w:t>
      </w:r>
    </w:p>
    <w:p>
      <w:pPr>
        <w:spacing w:after="0" w:line="2" w:lineRule="exact"/>
        <w:rPr>
          <w:sz w:val="20"/>
          <w:szCs w:val="20"/>
          <w:color w:val="auto"/>
        </w:rPr>
      </w:pPr>
    </w:p>
    <w:p>
      <w:pPr>
        <w:jc w:val="both"/>
        <w:ind w:left="180" w:right="20" w:hanging="179"/>
        <w:spacing w:after="0" w:line="286" w:lineRule="auto"/>
        <w:rPr>
          <w:sz w:val="20"/>
          <w:szCs w:val="20"/>
          <w:color w:val="auto"/>
        </w:rPr>
      </w:pPr>
      <w:r>
        <w:rPr>
          <w:rFonts w:ascii="Times New Roman" w:cs="Times New Roman" w:eastAsia="Times New Roman" w:hAnsi="Times New Roman"/>
          <w:sz w:val="16"/>
          <w:szCs w:val="16"/>
          <w:color w:val="auto"/>
        </w:rPr>
        <w:t>Rio, A.; Sentelhas, P.C.; Farias, J.R.B.; Sibaldelli, R.N.R.; Ferreira, R.C. 2015. Alternative sowing dates as a mitigation measure to reduce climate change impacts on soybean yields in southern Brazil. International Journal of Climatology 36: 3664-3672.</w:t>
      </w:r>
    </w:p>
    <w:p>
      <w:pPr>
        <w:spacing w:after="0" w:line="2" w:lineRule="exact"/>
        <w:rPr>
          <w:sz w:val="20"/>
          <w:szCs w:val="20"/>
          <w:color w:val="auto"/>
        </w:rPr>
      </w:pPr>
    </w:p>
    <w:p>
      <w:pPr>
        <w:jc w:val="both"/>
        <w:ind w:left="180" w:right="20" w:hanging="179"/>
        <w:spacing w:after="0" w:line="286" w:lineRule="auto"/>
        <w:rPr>
          <w:sz w:val="20"/>
          <w:szCs w:val="20"/>
          <w:color w:val="auto"/>
        </w:rPr>
      </w:pPr>
      <w:r>
        <w:rPr>
          <w:rFonts w:ascii="Times New Roman" w:cs="Times New Roman" w:eastAsia="Times New Roman" w:hAnsi="Times New Roman"/>
          <w:sz w:val="16"/>
          <w:szCs w:val="16"/>
          <w:color w:val="auto"/>
        </w:rPr>
        <w:t>Schwab, N.T.; Streck, N.A.; Becker, C.C.; Langner, J.A.; Uhlmann, L.O.; Ribeiro, B.S.M.R. 2015. A phenological scale for the development of Gladiolus. Annals of Applied Biology 166: 496-507.</w:t>
      </w:r>
    </w:p>
    <w:p>
      <w:pPr>
        <w:spacing w:after="0" w:line="2" w:lineRule="exact"/>
        <w:rPr>
          <w:sz w:val="20"/>
          <w:szCs w:val="20"/>
          <w:color w:val="auto"/>
        </w:rPr>
      </w:pPr>
    </w:p>
    <w:p>
      <w:pPr>
        <w:jc w:val="both"/>
        <w:ind w:left="180" w:right="20" w:hanging="179"/>
        <w:spacing w:after="0" w:line="287" w:lineRule="auto"/>
        <w:rPr>
          <w:sz w:val="20"/>
          <w:szCs w:val="20"/>
          <w:color w:val="auto"/>
        </w:rPr>
      </w:pPr>
      <w:r>
        <w:rPr>
          <w:rFonts w:ascii="Times New Roman" w:cs="Times New Roman" w:eastAsia="Times New Roman" w:hAnsi="Times New Roman"/>
          <w:sz w:val="16"/>
          <w:szCs w:val="16"/>
          <w:color w:val="auto"/>
        </w:rPr>
        <w:t>Srivastava,</w:t>
      </w:r>
      <w:r>
        <w:rPr>
          <w:sz w:val="20"/>
          <w:szCs w:val="20"/>
          <w:color w:val="auto"/>
        </w:rPr>
        <w:t xml:space="preserve"> </w:t>
      </w:r>
      <w:r>
        <w:rPr>
          <w:rFonts w:ascii="Times New Roman" w:cs="Times New Roman" w:eastAsia="Times New Roman" w:hAnsi="Times New Roman"/>
          <w:sz w:val="16"/>
          <w:szCs w:val="16"/>
          <w:color w:val="auto"/>
        </w:rPr>
        <w:t>A.; Naresh Kumar, S.; Aggarwal, P. K. 2010. Assessment on vulnerability of sorghum to climate change in India. Agriculture, Ecosystems &amp; Environment 138: 160-169.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3571875</wp:posOffset>
                </wp:positionV>
                <wp:extent cx="611695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6955" cy="4763"/>
                        </a:xfrm>
                        <a:prstGeom prst="line">
                          <a:avLst/>
                        </a:prstGeom>
                        <a:solidFill>
                          <a:srgbClr val="FFFFFF"/>
                        </a:solidFill>
                        <a:ln w="19050">
                          <a:solidFill>
                            <a:srgbClr val="BDE2D4"/>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81.25pt" to="481.8pt,281.25pt" o:allowincell="f" strokecolor="#BDE2D4" strokeweight="1.5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8"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Snipen, L.G.; Moe, R.; Soreng, J. 1999. Influence of potential growth factors in predicting time to flowering in poinsettia (Euphorbia pulcherrima). Scientia Horticulturae 81: 345-359.</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Thakur, T.; Dhatt, K.K.; Ahmed, S. 2015. Effect of planting time on growth and flowering of Gladiolus. International Journal of Current Research and Academic Review 3: 145-152.</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Uhlmann, L.O.; Streck, N.A.; Becker, C.C.; Schwab, N.T.; Benedetti, R.P.; Charão, A.S.; Ribeiro, B.S.M.R.; Silveira, W.B.; Backes, F.A.A.L.; Alberto, C.M.; Muttoni, M.; Paula, G.M.; Tomiozzo, R.; Bosco, L.C.; Becker, D. 2017. PhenoGlad: A model for simulating development in Gladiolus. European Journal of Agronomy 82: 33-49.</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Wallach, D. 2006. Evaluating crop models. p. 11-50. In: Wallach, D.; Makowski, D.; Jones, J.W., eds. Working with dynamic crop models: evaluation, analysis, parameterization, and applications. Elsevier, Amsterdam, The Netherlands.</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Wang, B.; Liu, D.L.; Asseng, S.; Macadam, I.; Yu, Q. 2015a. Impact of climate change on wheat flowering time in eastern Australia. Agricultural and Forest Meteorology 209-210: 11-21.</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Wang, C.-L.; Shen, S.-H.; Zhang, S.-Y.; Li, Q.-Z.; Yao, Y.B. 2015b. Adaptation of potato production to climate change by optimizing sowing date in the Loess Plateau of central Gansu, China. Journal of Integrative Agriculture 14: 398-409.</w:t>
      </w:r>
    </w:p>
    <w:p>
      <w:pPr>
        <w:spacing w:after="0" w:line="2"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Wang, E.; Engel, T. 1998. Simulation of phenological development of wheat crops. Agricultural Systems 58: 1-24.</w:t>
      </w:r>
    </w:p>
    <w:p>
      <w:pPr>
        <w:spacing w:after="0" w:line="1" w:lineRule="exact"/>
        <w:rPr>
          <w:sz w:val="20"/>
          <w:szCs w:val="20"/>
          <w:color w:val="auto"/>
        </w:rPr>
      </w:pPr>
    </w:p>
    <w:p>
      <w:pPr>
        <w:jc w:val="both"/>
        <w:ind w:hanging="179"/>
        <w:spacing w:after="0" w:line="286" w:lineRule="auto"/>
        <w:rPr>
          <w:sz w:val="20"/>
          <w:szCs w:val="20"/>
          <w:color w:val="auto"/>
        </w:rPr>
      </w:pPr>
      <w:r>
        <w:rPr>
          <w:rFonts w:ascii="Times New Roman" w:cs="Times New Roman" w:eastAsia="Times New Roman" w:hAnsi="Times New Roman"/>
          <w:sz w:val="16"/>
          <w:szCs w:val="16"/>
          <w:color w:val="auto"/>
        </w:rPr>
        <w:t>Willmott, C.J. 1981. On the validation of models. Physical Geography 2: 184-194.</w:t>
      </w:r>
    </w:p>
    <w:p>
      <w:pPr>
        <w:spacing w:after="0" w:line="1" w:lineRule="exact"/>
        <w:rPr>
          <w:sz w:val="20"/>
          <w:szCs w:val="20"/>
          <w:color w:val="auto"/>
        </w:rPr>
      </w:pPr>
    </w:p>
    <w:p>
      <w:pPr>
        <w:jc w:val="both"/>
        <w:ind w:hanging="179"/>
        <w:spacing w:after="0" w:line="287" w:lineRule="auto"/>
        <w:rPr>
          <w:sz w:val="20"/>
          <w:szCs w:val="20"/>
          <w:color w:val="auto"/>
        </w:rPr>
      </w:pPr>
      <w:r>
        <w:rPr>
          <w:rFonts w:ascii="Times New Roman" w:cs="Times New Roman" w:eastAsia="Times New Roman" w:hAnsi="Times New Roman"/>
          <w:sz w:val="16"/>
          <w:szCs w:val="16"/>
          <w:color w:val="auto"/>
        </w:rPr>
        <w:t>Vaid,</w:t>
      </w:r>
      <w:r>
        <w:rPr>
          <w:sz w:val="20"/>
          <w:szCs w:val="20"/>
          <w:color w:val="auto"/>
        </w:rPr>
        <w:t xml:space="preserve"> </w:t>
      </w:r>
      <w:r>
        <w:rPr>
          <w:rFonts w:ascii="Times New Roman" w:cs="Times New Roman" w:eastAsia="Times New Roman" w:hAnsi="Times New Roman"/>
          <w:sz w:val="16"/>
          <w:szCs w:val="16"/>
          <w:color w:val="auto"/>
        </w:rPr>
        <w:t>T.M.; Runkle, E.S.; Frantz, J.M. 2014. Mean daily temperature regulates plant quality attributes of annual ornamental plants. HortScience 49: 574-580.</w:t>
      </w:r>
    </w:p>
    <w:p>
      <w:pPr>
        <w:spacing w:after="0" w:line="1080" w:lineRule="exact"/>
        <w:rPr>
          <w:sz w:val="20"/>
          <w:szCs w:val="20"/>
          <w:color w:val="auto"/>
        </w:rPr>
      </w:pPr>
    </w:p>
    <w:p>
      <w:pPr>
        <w:sectPr>
          <w:pgSz w:w="12240" w:h="15840" w:orient="portrait"/>
          <w:cols w:equalWidth="0" w:num="2">
            <w:col w:w="4560" w:space="720"/>
            <w:col w:w="4360"/>
          </w:cols>
          <w:pgMar w:left="1300" w:top="996" w:right="1300" w:bottom="27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tabs>
          <w:tab w:leader="none" w:pos="9420" w:val="left"/>
        </w:tabs>
        <w:rPr>
          <w:sz w:val="20"/>
          <w:szCs w:val="20"/>
          <w:color w:val="auto"/>
        </w:rPr>
      </w:pPr>
      <w:r>
        <w:rPr>
          <w:rFonts w:ascii="Arial" w:cs="Arial" w:eastAsia="Arial" w:hAnsi="Arial"/>
          <w:sz w:val="14"/>
          <w:szCs w:val="14"/>
          <w:b w:val="1"/>
          <w:bCs w:val="1"/>
          <w:color w:val="auto"/>
        </w:rPr>
        <w:t>Sci. Agric. v.78, n.1, e20180275, 2021</w:t>
      </w:r>
      <w:r>
        <w:rPr>
          <w:sz w:val="20"/>
          <w:szCs w:val="20"/>
          <w:color w:val="auto"/>
        </w:rPr>
        <w:tab/>
      </w:r>
      <w:r>
        <w:rPr>
          <w:rFonts w:ascii="Arial" w:cs="Arial" w:eastAsia="Arial" w:hAnsi="Arial"/>
          <w:sz w:val="16"/>
          <w:szCs w:val="16"/>
          <w:b w:val="1"/>
          <w:bCs w:val="1"/>
          <w:color w:val="auto"/>
        </w:rPr>
        <w:t>11</w:t>
      </w:r>
    </w:p>
    <w:sectPr>
      <w:pgSz w:w="12240" w:h="15840" w:orient="portrait"/>
      <w:cols w:equalWidth="0" w:num="1">
        <w:col w:w="9640"/>
      </w:cols>
      <w:pgMar w:left="1300" w:top="996" w:right="1300" w:bottom="277"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6334873"/>
    <w:multiLevelType w:val="hybridMultilevel"/>
    <w:lvl w:ilvl="0">
      <w:lvlJc w:val="left"/>
      <w:lvlText w:val="&lt;"/>
      <w:numFmt w:val="bullet"/>
      <w:start w:val="1"/>
    </w:lvl>
  </w:abstractNum>
  <w:abstractNum w:abstractNumId="1">
    <w:nsid w:val="74B0DC51"/>
    <w:multiLevelType w:val="hybridMultilevel"/>
    <w:lvl w:ilvl="0">
      <w:lvlJc w:val="left"/>
      <w:lvlText w:val="-"/>
      <w:numFmt w:val="bullet"/>
      <w:start w:val="1"/>
    </w:lvl>
  </w:abstractNum>
  <w:abstractNum w:abstractNumId="2">
    <w:nsid w:val="19495CFF"/>
    <w:multiLevelType w:val="hybridMultilevel"/>
    <w:lvl w:ilvl="0">
      <w:lvlJc w:val="left"/>
      <w:lvlText w:val="="/>
      <w:numFmt w:val="bullet"/>
      <w:start w:val="1"/>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2"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5.png"/><Relationship Id="rId18" Type="http://schemas.openxmlformats.org/officeDocument/2006/relationships/image" Target="media/image6.png"/><Relationship Id="rId20" Type="http://schemas.openxmlformats.org/officeDocument/2006/relationships/image" Target="media/image7.png"/><Relationship Id="rId22"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jpeg"/><Relationship Id="rId10" Type="http://schemas.openxmlformats.org/officeDocument/2006/relationships/hyperlink" Target="https://orcid.org/0000-0001-6155-6457" TargetMode="External"/><Relationship Id="rId11" Type="http://schemas.openxmlformats.org/officeDocument/2006/relationships/hyperlink" Target="https://orcid.org/0000-0002-2495-0823" TargetMode="External"/><Relationship Id="rId13" Type="http://schemas.openxmlformats.org/officeDocument/2006/relationships/hyperlink" Target="https://orcid.org/0000-0001-9142-4201" TargetMode="External"/><Relationship Id="rId15" Type="http://schemas.openxmlformats.org/officeDocument/2006/relationships/hyperlink" Target="https://orcid.org/0000-0002-6517-8315" TargetMode="External"/><Relationship Id="rId17" Type="http://schemas.openxmlformats.org/officeDocument/2006/relationships/hyperlink" Target="https://orcid.org/0000-0002-9688-7480" TargetMode="External"/><Relationship Id="rId19" Type="http://schemas.openxmlformats.org/officeDocument/2006/relationships/hyperlink" Target="https://orcid.org/0000-0001-6425-6089" TargetMode="External"/><Relationship Id="rId21" Type="http://schemas.openxmlformats.org/officeDocument/2006/relationships/hyperlink" Target="https://orcid.org/0000-0003-4201-9829" TargetMode="External"/><Relationship Id="rId23" Type="http://schemas.openxmlformats.org/officeDocument/2006/relationships/hyperlink" Target="https://orcid.org/0000-0003-4128-117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2020-09-15T04:27:23Z</dcterms:created>
  <dcterms:modified xsi:type="dcterms:W3CDTF">2020-09-15T04:27:23Z</dcterms:modified>
</cp:coreProperties>
</file>