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35610" cy="100584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5610" cy="10058400"/>
                        </a:xfrm>
                        <a:prstGeom prst="rect">
                          <a:avLst/>
                        </a:prstGeom>
                        <a:solidFill>
                          <a:srgbClr val="BDE2D4"/>
                        </a:solidFill>
                      </wps:spPr>
                      <wps:bodyPr/>
                    </wps:wsp>
                  </a:graphicData>
                </a:graphic>
              </wp:anchor>
            </w:drawing>
          </mc:Choice>
          <mc:Fallback>
            <w:pict>
              <v:rect id="Shape 1" o:spid="_x0000_s1026" style="position:absolute;margin-left:0pt;margin-top:0pt;width:34.3pt;height:7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E2D4" stroked="f">
                <w10:wrap anchorx="page" anchory="page"/>
              </v:rect>
            </w:pict>
          </mc:Fallback>
        </mc:AlternateContent>
      </w:r>
    </w:p>
    <w:tbl>
      <w:tblPr>
        <w:tblLayout w:type="fixed"/>
        <w:tblInd w:w="0" w:type="dxa"/>
        <w:tblCellMar>
          <w:top w:w="0" w:type="dxa"/>
          <w:left w:w="0" w:type="dxa"/>
          <w:bottom w:w="0" w:type="dxa"/>
          <w:right w:w="0" w:type="dxa"/>
        </w:tblCellMar>
      </w:tblPr>
      <w:tr>
        <w:trPr>
          <w:trHeight w:val="3020"/>
        </w:trPr>
        <w:tc>
          <w:tcPr>
            <w:tcW w:w="310" w:type="dxa"/>
            <w:vAlign w:val="bottom"/>
            <w:textDirection w:val="btLr"/>
          </w:tcPr>
          <w:p>
            <w:pPr>
              <w:spacing w:after="0"/>
              <w:rPr>
                <w:sz w:val="20"/>
                <w:szCs w:val="20"/>
                <w:color w:val="auto"/>
              </w:rPr>
            </w:pPr>
            <w:r>
              <w:rPr>
                <w:rFonts w:ascii="Arial" w:cs="Arial" w:eastAsia="Arial" w:hAnsi="Arial"/>
                <w:sz w:val="27"/>
                <w:szCs w:val="27"/>
                <w:b w:val="1"/>
                <w:bCs w:val="1"/>
                <w:color w:val="6D6E71"/>
              </w:rPr>
              <w:t>Soil and Plant Nutrition</w:t>
            </w:r>
          </w:p>
        </w:tc>
      </w:tr>
    </w:tbl>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DOI: http://dx.doi.org/10.1590/1678-992X-2019-0020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-462915</wp:posOffset>
            </wp:positionV>
            <wp:extent cx="6132830" cy="527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132830" cy="527685"/>
                    </a:xfrm>
                    <a:prstGeom prst="rect">
                      <a:avLst/>
                    </a:prstGeom>
                    <a:noFill/>
                  </pic:spPr>
                </pic:pic>
              </a:graphicData>
            </a:graphic>
          </wp:anchor>
        </w:drawing>
      </w:r>
    </w:p>
    <w:p>
      <w:pPr>
        <w:spacing w:after="0" w:line="104" w:lineRule="exact"/>
        <w:rPr>
          <w:sz w:val="24"/>
          <w:szCs w:val="24"/>
          <w:color w:val="auto"/>
        </w:rPr>
      </w:pPr>
    </w:p>
    <w:p>
      <w:pPr>
        <w:spacing w:after="0"/>
        <w:tabs>
          <w:tab w:leader="none" w:pos="8300" w:val="left"/>
        </w:tabs>
        <w:rPr>
          <w:sz w:val="20"/>
          <w:szCs w:val="20"/>
          <w:color w:val="auto"/>
        </w:rPr>
      </w:pPr>
      <w:r>
        <w:rPr>
          <w:rFonts w:ascii="Arial" w:cs="Arial" w:eastAsia="Arial" w:hAnsi="Arial"/>
          <w:sz w:val="12"/>
          <w:szCs w:val="12"/>
          <w:color w:val="6D6E71"/>
        </w:rPr>
        <w:t>ISSN 1678-992X</w:t>
      </w:r>
      <w:r>
        <w:rPr>
          <w:sz w:val="20"/>
          <w:szCs w:val="20"/>
          <w:color w:val="auto"/>
        </w:rPr>
        <w:tab/>
      </w:r>
      <w:r>
        <w:rPr>
          <w:rFonts w:ascii="Arial" w:cs="Arial" w:eastAsia="Arial" w:hAnsi="Arial"/>
          <w:sz w:val="16"/>
          <w:szCs w:val="16"/>
          <w:b w:val="1"/>
          <w:bCs w:val="1"/>
          <w:color w:val="939598"/>
        </w:rPr>
        <w:t>Research Article</w:t>
      </w:r>
    </w:p>
    <w:p>
      <w:pPr>
        <w:spacing w:after="0" w:line="183" w:lineRule="exact"/>
        <w:rPr>
          <w:sz w:val="24"/>
          <w:szCs w:val="24"/>
          <w:color w:val="auto"/>
        </w:rPr>
      </w:pPr>
    </w:p>
    <w:p>
      <w:pPr>
        <w:spacing w:after="0"/>
        <w:rPr>
          <w:sz w:val="20"/>
          <w:szCs w:val="20"/>
          <w:color w:val="auto"/>
        </w:rPr>
      </w:pPr>
      <w:r>
        <w:rPr>
          <w:rFonts w:ascii="Arial" w:cs="Arial" w:eastAsia="Arial" w:hAnsi="Arial"/>
          <w:sz w:val="24"/>
          <w:szCs w:val="24"/>
          <w:b w:val="1"/>
          <w:bCs w:val="1"/>
          <w:color w:val="00B085"/>
        </w:rPr>
        <w:t>Sulfur modulates yield and storage proteins in soybean grains</w:t>
      </w:r>
    </w:p>
    <w:p>
      <w:pPr>
        <w:spacing w:after="0" w:line="240" w:lineRule="exact"/>
        <w:rPr>
          <w:sz w:val="24"/>
          <w:szCs w:val="24"/>
          <w:color w:val="auto"/>
        </w:rPr>
      </w:pPr>
    </w:p>
    <w:p>
      <w:pPr>
        <w:ind w:right="240"/>
        <w:spacing w:after="0" w:line="294" w:lineRule="auto"/>
        <w:rPr>
          <w:rFonts w:ascii="Arial" w:cs="Arial" w:eastAsia="Arial" w:hAnsi="Arial"/>
          <w:sz w:val="17"/>
          <w:szCs w:val="17"/>
          <w:color w:val="auto"/>
        </w:rPr>
      </w:pPr>
      <w:r>
        <w:rPr>
          <w:rFonts w:ascii="Arial" w:cs="Arial" w:eastAsia="Arial" w:hAnsi="Arial"/>
          <w:sz w:val="17"/>
          <w:szCs w:val="17"/>
          <w:color w:val="auto"/>
        </w:rPr>
        <w:t>Thiago Bergamini Ibañez</w:t>
      </w:r>
      <w:hyperlink r:id="rId9">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9">
        <w:r>
          <w:rPr>
            <w:rFonts w:ascii="Arial" w:cs="Arial" w:eastAsia="Arial" w:hAnsi="Arial"/>
            <w:sz w:val="17"/>
            <w:szCs w:val="17"/>
            <w:color w:val="auto"/>
          </w:rPr>
          <w:t xml:space="preserve">, </w:t>
        </w:r>
      </w:hyperlink>
      <w:r>
        <w:rPr>
          <w:rFonts w:ascii="Arial" w:cs="Arial" w:eastAsia="Arial" w:hAnsi="Arial"/>
          <w:sz w:val="17"/>
          <w:szCs w:val="17"/>
          <w:color w:val="auto"/>
        </w:rPr>
        <w:t>Luiz Felipe de Melo Santos</w:t>
      </w:r>
      <w:hyperlink r:id="rId11">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1">
        <w:r>
          <w:rPr>
            <w:rFonts w:ascii="Arial" w:cs="Arial" w:eastAsia="Arial" w:hAnsi="Arial"/>
            <w:sz w:val="17"/>
            <w:szCs w:val="17"/>
            <w:color w:val="auto"/>
          </w:rPr>
          <w:t xml:space="preserve">, </w:t>
        </w:r>
      </w:hyperlink>
      <w:r>
        <w:rPr>
          <w:rFonts w:ascii="Arial" w:cs="Arial" w:eastAsia="Arial" w:hAnsi="Arial"/>
          <w:sz w:val="17"/>
          <w:szCs w:val="17"/>
          <w:color w:val="auto"/>
        </w:rPr>
        <w:t>Allan de Marcos Lapaz</w:t>
      </w:r>
      <w:hyperlink r:id="rId13">
        <w:r>
          <w:rPr>
            <w:rFonts w:ascii="Arial" w:cs="Arial" w:eastAsia="Arial" w:hAnsi="Arial"/>
            <w:sz w:val="9"/>
            <w:szCs w:val="9"/>
            <w:color w:val="auto"/>
          </w:rPr>
          <w:t>2</w:t>
        </w:r>
      </w:hyperlink>
      <w:r>
        <w:rPr>
          <w:rFonts w:ascii="Arial" w:cs="Arial" w:eastAsia="Arial" w:hAnsi="Arial"/>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3">
        <w:r>
          <w:rPr>
            <w:rFonts w:ascii="Arial" w:cs="Arial" w:eastAsia="Arial" w:hAnsi="Arial"/>
            <w:sz w:val="17"/>
            <w:szCs w:val="17"/>
            <w:color w:val="auto"/>
          </w:rPr>
          <w:t xml:space="preserve">, </w:t>
        </w:r>
      </w:hyperlink>
      <w:r>
        <w:rPr>
          <w:rFonts w:ascii="Arial" w:cs="Arial" w:eastAsia="Arial" w:hAnsi="Arial"/>
          <w:sz w:val="17"/>
          <w:szCs w:val="17"/>
          <w:color w:val="auto"/>
        </w:rPr>
        <w:t>Igor Virgilio Ribeiro</w:t>
      </w:r>
      <w:hyperlink r:id="rId15">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5">
        <w:r>
          <w:rPr>
            <w:rFonts w:ascii="Arial" w:cs="Arial" w:eastAsia="Arial" w:hAnsi="Arial"/>
            <w:sz w:val="17"/>
            <w:szCs w:val="17"/>
            <w:color w:val="auto"/>
          </w:rPr>
          <w:t xml:space="preserve">, </w:t>
        </w:r>
      </w:hyperlink>
      <w:r>
        <w:rPr>
          <w:rFonts w:ascii="Arial" w:cs="Arial" w:eastAsia="Arial" w:hAnsi="Arial"/>
          <w:sz w:val="17"/>
          <w:szCs w:val="17"/>
          <w:color w:val="auto"/>
        </w:rPr>
        <w:t>Filipe Virgilio Ribeiro</w:t>
      </w:r>
      <w:hyperlink r:id="rId17">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7">
        <w:r>
          <w:rPr>
            <w:rFonts w:ascii="Arial" w:cs="Arial" w:eastAsia="Arial" w:hAnsi="Arial"/>
            <w:sz w:val="17"/>
            <w:szCs w:val="17"/>
            <w:color w:val="auto"/>
          </w:rPr>
          <w:t>,</w:t>
        </w:r>
      </w:hyperlink>
      <w:r>
        <w:rPr>
          <w:rFonts w:ascii="Arial" w:cs="Arial" w:eastAsia="Arial" w:hAnsi="Arial"/>
          <w:sz w:val="17"/>
          <w:szCs w:val="17"/>
          <w:color w:val="auto"/>
        </w:rPr>
        <w:t xml:space="preserve"> André Rodrigues dos Reis</w:t>
      </w:r>
      <w:hyperlink r:id="rId19">
        <w:r>
          <w:rPr>
            <w:rFonts w:ascii="Arial" w:cs="Arial" w:eastAsia="Arial" w:hAnsi="Arial"/>
            <w:sz w:val="9"/>
            <w:szCs w:val="9"/>
            <w:color w:val="auto"/>
          </w:rPr>
          <w:t>3</w:t>
        </w:r>
      </w:hyperlink>
      <w:r>
        <w:rPr>
          <w:rFonts w:ascii="Arial" w:cs="Arial" w:eastAsia="Arial" w:hAnsi="Arial"/>
          <w:sz w:val="1"/>
          <w:szCs w:val="1"/>
          <w:color w:val="auto"/>
        </w:rPr>
        <w:drawing>
          <wp:inline distT="0" distB="0" distL="0" distR="0">
            <wp:extent cx="86360" cy="8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9">
        <w:r>
          <w:rPr>
            <w:rFonts w:ascii="Arial" w:cs="Arial" w:eastAsia="Arial" w:hAnsi="Arial"/>
            <w:sz w:val="17"/>
            <w:szCs w:val="17"/>
            <w:color w:val="auto"/>
          </w:rPr>
          <w:t xml:space="preserve">, </w:t>
        </w:r>
      </w:hyperlink>
      <w:r>
        <w:rPr>
          <w:rFonts w:ascii="Arial" w:cs="Arial" w:eastAsia="Arial" w:hAnsi="Arial"/>
          <w:sz w:val="17"/>
          <w:szCs w:val="17"/>
          <w:color w:val="auto"/>
        </w:rPr>
        <w:t>Adônis Moreira</w:t>
      </w:r>
      <w:hyperlink r:id="rId21">
        <w:r>
          <w:rPr>
            <w:rFonts w:ascii="Arial" w:cs="Arial" w:eastAsia="Arial" w:hAnsi="Arial"/>
            <w:sz w:val="9"/>
            <w:szCs w:val="9"/>
            <w:color w:val="auto"/>
          </w:rPr>
          <w:t>4</w:t>
        </w:r>
      </w:hyperlink>
      <w:r>
        <w:rPr>
          <w:rFonts w:ascii="Arial" w:cs="Arial" w:eastAsia="Arial" w:hAnsi="Arial"/>
          <w:sz w:val="1"/>
          <w:szCs w:val="1"/>
          <w:color w:val="auto"/>
        </w:rPr>
        <w:drawing>
          <wp:inline distT="0" distB="0" distL="0" distR="0">
            <wp:extent cx="86360" cy="8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1">
        <w:r>
          <w:rPr>
            <w:rFonts w:ascii="Arial" w:cs="Arial" w:eastAsia="Arial" w:hAnsi="Arial"/>
            <w:sz w:val="17"/>
            <w:szCs w:val="17"/>
            <w:color w:val="auto"/>
          </w:rPr>
          <w:t xml:space="preserve">, </w:t>
        </w:r>
      </w:hyperlink>
      <w:r>
        <w:rPr>
          <w:rFonts w:ascii="Arial" w:cs="Arial" w:eastAsia="Arial" w:hAnsi="Arial"/>
          <w:sz w:val="17"/>
          <w:szCs w:val="17"/>
          <w:color w:val="auto"/>
        </w:rPr>
        <w:t>Reges Heinrichs</w:t>
      </w:r>
      <w:r>
        <w:rPr>
          <w:rFonts w:ascii="Arial" w:cs="Arial" w:eastAsia="Arial" w:hAnsi="Arial"/>
          <w:sz w:val="9"/>
          <w:szCs w:val="9"/>
          <w:color w:val="auto"/>
        </w:rPr>
        <w:t>1</w:t>
      </w:r>
      <w:r>
        <w:rPr>
          <w:rFonts w:ascii="Arial" w:cs="Arial" w:eastAsia="Arial" w:hAnsi="Arial"/>
          <w:sz w:val="17"/>
          <w:szCs w:val="17"/>
          <w:color w:val="auto"/>
        </w:rPr>
        <w:t>*</w:t>
      </w:r>
      <w:r>
        <w:rPr>
          <w:rFonts w:ascii="Arial" w:cs="Arial" w:eastAsia="Arial" w:hAnsi="Arial"/>
          <w:sz w:val="1"/>
          <w:szCs w:val="1"/>
          <w:color w:val="auto"/>
        </w:rPr>
        <w:drawing>
          <wp:inline distT="0" distB="0" distL="0" distR="0">
            <wp:extent cx="86360" cy="8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p>
    <w:p>
      <w:pPr>
        <w:spacing w:after="0" w:line="354" w:lineRule="exact"/>
        <w:rPr>
          <w:rFonts w:ascii="Arial" w:cs="Arial" w:eastAsia="Arial" w:hAnsi="Arial"/>
          <w:sz w:val="17"/>
          <w:szCs w:val="17"/>
          <w:color w:val="auto"/>
        </w:rPr>
      </w:pPr>
    </w:p>
    <w:tbl>
      <w:tblPr>
        <w:tblLayout w:type="fixed"/>
        <w:tblInd w:w="0" w:type="dxa"/>
        <w:tblCellMar>
          <w:top w:w="0" w:type="dxa"/>
          <w:left w:w="0" w:type="dxa"/>
          <w:bottom w:w="0" w:type="dxa"/>
          <w:right w:w="0" w:type="dxa"/>
        </w:tblCellMar>
      </w:tblPr>
      <w:tr>
        <w:trPr>
          <w:trHeight w:val="256"/>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1</w:t>
            </w:r>
            <w:r>
              <w:rPr>
                <w:rFonts w:ascii="Arial" w:cs="Arial" w:eastAsia="Arial" w:hAnsi="Arial"/>
                <w:sz w:val="14"/>
                <w:szCs w:val="14"/>
                <w:color w:val="auto"/>
              </w:rPr>
              <w:t>Universidade Estadual Paulista “Júlio de Mesquita Filho”</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89"/>
              </w:rPr>
              <w:t>ABSTRACT</w:t>
            </w:r>
            <w:r>
              <w:rPr>
                <w:rFonts w:ascii="Arial" w:cs="Arial" w:eastAsia="Arial" w:hAnsi="Arial"/>
                <w:sz w:val="15"/>
                <w:szCs w:val="15"/>
                <w:color w:val="auto"/>
                <w:w w:val="89"/>
              </w:rPr>
              <w:t>: This study evaluated the nutritional quality, yield, and storage protein modulation in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 FCAT – Depto. de Ciência do Solo, Rod. Comandante</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soybean grains in response to levels and sources of sulfur (S) in a dystrophic Ultisol. We used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João Ribeiro de Barros, km 651 – Campus de Dracena –</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five levels of S (0, 50, 100, 150 and 200 mg kg</w:t>
            </w:r>
            <w:r>
              <w:rPr>
                <w:rFonts w:ascii="Arial" w:cs="Arial" w:eastAsia="Arial" w:hAnsi="Arial"/>
                <w:sz w:val="8"/>
                <w:szCs w:val="8"/>
                <w:color w:val="auto"/>
                <w:w w:val="93"/>
              </w:rPr>
              <w:t>–1</w:t>
            </w:r>
            <w:r>
              <w:rPr>
                <w:rFonts w:ascii="Arial" w:cs="Arial" w:eastAsia="Arial" w:hAnsi="Arial"/>
                <w:sz w:val="15"/>
                <w:szCs w:val="15"/>
                <w:color w:val="auto"/>
                <w:w w:val="93"/>
              </w:rPr>
              <w:t>) and four sources of S (elemental S pastille -</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17900-000 – Dracena, SP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88"/>
              </w:rPr>
              <w:t>ESPA, gypsum - GY, gypsite - GI and elemental S powder - ESPO). Plants treated with 50 mg kg</w:t>
            </w:r>
            <w:r>
              <w:rPr>
                <w:rFonts w:ascii="Arial" w:cs="Arial" w:eastAsia="Arial" w:hAnsi="Arial"/>
                <w:sz w:val="8"/>
                <w:szCs w:val="8"/>
                <w:color w:val="auto"/>
                <w:w w:val="88"/>
              </w:rPr>
              <w:t>–1</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2</w:t>
            </w:r>
            <w:r>
              <w:rPr>
                <w:rFonts w:ascii="Arial" w:cs="Arial" w:eastAsia="Arial" w:hAnsi="Arial"/>
                <w:sz w:val="14"/>
                <w:szCs w:val="14"/>
                <w:color w:val="auto"/>
              </w:rPr>
              <w:t>Universidade Estadual Paulista “Júlio de Mesquita Filho” /</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of GY, GI, and ESPO and 200 mg kg</w:t>
            </w:r>
            <w:r>
              <w:rPr>
                <w:rFonts w:ascii="Arial" w:cs="Arial" w:eastAsia="Arial" w:hAnsi="Arial"/>
                <w:sz w:val="8"/>
                <w:szCs w:val="8"/>
                <w:color w:val="auto"/>
                <w:w w:val="90"/>
              </w:rPr>
              <w:t>–1</w:t>
            </w:r>
            <w:r>
              <w:rPr>
                <w:rFonts w:ascii="Arial" w:cs="Arial" w:eastAsia="Arial" w:hAnsi="Arial"/>
                <w:sz w:val="15"/>
                <w:szCs w:val="15"/>
                <w:color w:val="auto"/>
                <w:w w:val="90"/>
              </w:rPr>
              <w:t xml:space="preserve"> of ESPA had the largest grain yield values. Low S supply</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FEIS – Depto. de Biologia e Zootecnia, R. Monção, 226 –</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resulted in lower yields for all S sources tested. Sulfur deficiencies were observed at all levels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Zona Norte – 15385-000 – Ilha Solteira, SP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for ESPA, resulting in lower concentrations of globulin and higher concentration of glutelin and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3</w:t>
            </w:r>
            <w:r>
              <w:rPr>
                <w:rFonts w:ascii="Arial" w:cs="Arial" w:eastAsia="Arial" w:hAnsi="Arial"/>
                <w:sz w:val="14"/>
                <w:szCs w:val="14"/>
                <w:color w:val="auto"/>
              </w:rPr>
              <w:t>Universidade Estadual Paulista “Júlio de Mesquita Filho” /</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albumin in the grains, possibly because the S content in the leaf was below the range adequate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w w:val="99"/>
              </w:rPr>
              <w:t>FCE – Depto. de Produção Vegetal, R. Domingos da Costa</w:t>
            </w:r>
          </w:p>
        </w:tc>
        <w:tc>
          <w:tcPr>
            <w:tcW w:w="5940" w:type="dxa"/>
            <w:vAlign w:val="bottom"/>
          </w:tcPr>
          <w:p>
            <w:pPr>
              <w:ind w:left="160"/>
              <w:spacing w:after="0"/>
              <w:rPr>
                <w:sz w:val="20"/>
                <w:szCs w:val="20"/>
                <w:color w:val="auto"/>
              </w:rPr>
            </w:pPr>
            <w:r>
              <w:rPr>
                <w:rFonts w:ascii="Arial" w:cs="Arial" w:eastAsia="Arial" w:hAnsi="Arial"/>
                <w:sz w:val="15"/>
                <w:szCs w:val="15"/>
                <w:color w:val="auto"/>
                <w:w w:val="89"/>
              </w:rPr>
              <w:t>for soybean, leading to in lower yield values. In general, the application of S sources (GY, GI, and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Lopes, 780 – 17602-496 – Tupã, SP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ESPO) increased all protein fractions. The results show that proper application of S is essential</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4</w:t>
            </w:r>
            <w:r>
              <w:rPr>
                <w:rFonts w:ascii="Arial" w:cs="Arial" w:eastAsia="Arial" w:hAnsi="Arial"/>
                <w:sz w:val="14"/>
                <w:szCs w:val="14"/>
                <w:color w:val="auto"/>
              </w:rPr>
              <w:t>Embrapa Soja – Setor de Fertilidade do Solo, Rod. Carlos</w:t>
            </w:r>
          </w:p>
        </w:tc>
        <w:tc>
          <w:tcPr>
            <w:tcW w:w="5940" w:type="dxa"/>
            <w:vAlign w:val="bottom"/>
          </w:tcPr>
          <w:p>
            <w:pPr>
              <w:ind w:left="160"/>
              <w:spacing w:after="0"/>
              <w:rPr>
                <w:sz w:val="20"/>
                <w:szCs w:val="20"/>
                <w:color w:val="auto"/>
              </w:rPr>
            </w:pPr>
            <w:r>
              <w:rPr>
                <w:rFonts w:ascii="Arial" w:cs="Arial" w:eastAsia="Arial" w:hAnsi="Arial"/>
                <w:sz w:val="15"/>
                <w:szCs w:val="15"/>
                <w:color w:val="auto"/>
                <w:w w:val="96"/>
              </w:rPr>
              <w:t>to optimize soybean yield and increase storage proteins in the grains. The granulometry of</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João Strass, s/n – 86001-970 – Londrina, PR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89"/>
              </w:rPr>
              <w:t>ESPA and ESPO fertilizers was a key factor for the availability of S to soybean plants. This study</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*Corresponding author &lt;reges.0605@gmail.com&gt;</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presents relevant information on S fertilization of soybeans, which could provide better grain</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rPr>
              <w:t>nutritional quality and increased storage proteins with benefits to animal health.</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Edited by: Lincoln Zotarelli</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rPr>
              <w:t>Keywords</w:t>
            </w:r>
            <w:r>
              <w:rPr>
                <w:rFonts w:ascii="Arial" w:cs="Arial" w:eastAsia="Arial" w:hAnsi="Arial"/>
                <w:sz w:val="15"/>
                <w:szCs w:val="15"/>
                <w:color w:val="auto"/>
              </w:rPr>
              <w:t>:</w:t>
            </w:r>
            <w:r>
              <w:rPr>
                <w:rFonts w:ascii="Arial" w:cs="Arial" w:eastAsia="Arial" w:hAnsi="Arial"/>
                <w:sz w:val="15"/>
                <w:szCs w:val="15"/>
                <w:b w:val="1"/>
                <w:bCs w:val="1"/>
                <w:color w:val="auto"/>
              </w:rPr>
              <w:t xml:space="preserve"> </w:t>
            </w:r>
            <w:r>
              <w:rPr>
                <w:rFonts w:ascii="Arial" w:cs="Arial" w:eastAsia="Arial" w:hAnsi="Arial"/>
                <w:sz w:val="15"/>
                <w:szCs w:val="15"/>
                <w:i w:val="1"/>
                <w:iCs w:val="1"/>
                <w:color w:val="auto"/>
              </w:rPr>
              <w:t>Glycine max,</w:t>
            </w:r>
            <w:r>
              <w:rPr>
                <w:rFonts w:ascii="Arial" w:cs="Arial" w:eastAsia="Arial" w:hAnsi="Arial"/>
                <w:sz w:val="15"/>
                <w:szCs w:val="15"/>
                <w:b w:val="1"/>
                <w:bCs w:val="1"/>
                <w:color w:val="auto"/>
              </w:rPr>
              <w:t xml:space="preserve"> </w:t>
            </w:r>
            <w:r>
              <w:rPr>
                <w:rFonts w:ascii="Arial" w:cs="Arial" w:eastAsia="Arial" w:hAnsi="Arial"/>
                <w:sz w:val="15"/>
                <w:szCs w:val="15"/>
                <w:color w:val="auto"/>
              </w:rPr>
              <w:t>plant nutrition, elemental sulfur, sulfate</w:t>
            </w:r>
          </w:p>
        </w:tc>
      </w:tr>
      <w:tr>
        <w:trPr>
          <w:trHeight w:val="437"/>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Received January 25, 2019</w:t>
            </w:r>
          </w:p>
        </w:tc>
        <w:tc>
          <w:tcPr>
            <w:tcW w:w="5940" w:type="dxa"/>
            <w:vAlign w:val="bottom"/>
          </w:tcPr>
          <w:p>
            <w:pPr>
              <w:spacing w:after="0"/>
              <w:rPr>
                <w:sz w:val="24"/>
                <w:szCs w:val="24"/>
                <w:color w:val="auto"/>
              </w:rPr>
            </w:pP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Accepted June 26, 2019</w:t>
            </w:r>
          </w:p>
        </w:tc>
        <w:tc>
          <w:tcPr>
            <w:tcW w:w="5940" w:type="dxa"/>
            <w:vAlign w:val="bottom"/>
          </w:tcPr>
          <w:p>
            <w:pPr>
              <w:spacing w:after="0"/>
              <w:rPr>
                <w:sz w:val="19"/>
                <w:szCs w:val="19"/>
                <w:color w:val="auto"/>
              </w:rPr>
            </w:pPr>
          </w:p>
        </w:tc>
      </w:tr>
      <w:tr>
        <w:trPr>
          <w:trHeight w:val="63"/>
        </w:trPr>
        <w:tc>
          <w:tcPr>
            <w:tcW w:w="3700" w:type="dxa"/>
            <w:vAlign w:val="bottom"/>
            <w:tcBorders>
              <w:right w:val="single" w:sz="8" w:color="00B085"/>
            </w:tcBorders>
          </w:tcPr>
          <w:p>
            <w:pPr>
              <w:spacing w:after="0"/>
              <w:rPr>
                <w:sz w:val="5"/>
                <w:szCs w:val="5"/>
                <w:color w:val="auto"/>
              </w:rPr>
            </w:pPr>
          </w:p>
        </w:tc>
        <w:tc>
          <w:tcPr>
            <w:tcW w:w="5940" w:type="dxa"/>
            <w:vAlign w:val="bottom"/>
          </w:tcPr>
          <w:p>
            <w:pPr>
              <w:spacing w:after="0"/>
              <w:rPr>
                <w:sz w:val="5"/>
                <w:szCs w:val="5"/>
                <w:color w:val="auto"/>
              </w:rPr>
            </w:pPr>
          </w:p>
        </w:tc>
      </w:tr>
    </w:tbl>
    <w:p>
      <w:pPr>
        <w:spacing w:after="0" w:line="200" w:lineRule="exact"/>
        <w:rPr>
          <w:rFonts w:ascii="Arial" w:cs="Arial" w:eastAsia="Arial" w:hAnsi="Arial"/>
          <w:sz w:val="17"/>
          <w:szCs w:val="17"/>
          <w:color w:val="auto"/>
        </w:rPr>
      </w:pPr>
    </w:p>
    <w:p>
      <w:pPr>
        <w:sectPr>
          <w:pgSz w:w="12240" w:h="15840" w:orient="portrait"/>
          <w:cols w:equalWidth="0" w:num="2">
            <w:col w:w="775" w:space="720"/>
            <w:col w:w="9640"/>
          </w:cols>
          <w:pgMar w:left="145" w:top="906" w:right="960" w:bottom="272" w:gutter="0" w:footer="0" w:header="0"/>
        </w:sectPr>
      </w:pPr>
    </w:p>
    <w:p>
      <w:pPr>
        <w:spacing w:after="0" w:line="113"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24"/>
          <w:szCs w:val="24"/>
          <w:b w:val="1"/>
          <w:bCs w:val="1"/>
          <w:color w:val="00B085"/>
        </w:rPr>
        <w:t>Introduction</w:t>
      </w:r>
    </w:p>
    <w:p>
      <w:pPr>
        <w:spacing w:after="0" w:line="242" w:lineRule="exact"/>
        <w:rPr>
          <w:rFonts w:ascii="Arial" w:cs="Arial" w:eastAsia="Arial" w:hAnsi="Arial"/>
          <w:sz w:val="17"/>
          <w:szCs w:val="17"/>
          <w:color w:val="auto"/>
        </w:rPr>
      </w:pPr>
    </w:p>
    <w:p>
      <w:pPr>
        <w:jc w:val="both"/>
        <w:ind w:left="1495" w:firstLine="479"/>
        <w:spacing w:after="0" w:line="256" w:lineRule="auto"/>
        <w:rPr>
          <w:sz w:val="20"/>
          <w:szCs w:val="20"/>
          <w:color w:val="auto"/>
        </w:rPr>
      </w:pPr>
      <w:r>
        <w:rPr>
          <w:rFonts w:ascii="Times New Roman" w:cs="Times New Roman" w:eastAsia="Times New Roman" w:hAnsi="Times New Roman"/>
          <w:sz w:val="18"/>
          <w:szCs w:val="18"/>
          <w:color w:val="auto"/>
        </w:rPr>
        <w:t>Soybean (</w:t>
      </w:r>
      <w:r>
        <w:rPr>
          <w:rFonts w:ascii="Times New Roman" w:cs="Times New Roman" w:eastAsia="Times New Roman" w:hAnsi="Times New Roman"/>
          <w:sz w:val="18"/>
          <w:szCs w:val="18"/>
          <w:i w:val="1"/>
          <w:iCs w:val="1"/>
          <w:color w:val="auto"/>
        </w:rPr>
        <w:t>Glycine max</w:t>
      </w:r>
      <w:r>
        <w:rPr>
          <w:rFonts w:ascii="Times New Roman" w:cs="Times New Roman" w:eastAsia="Times New Roman" w:hAnsi="Times New Roman"/>
          <w:sz w:val="18"/>
          <w:szCs w:val="18"/>
          <w:color w:val="auto"/>
        </w:rPr>
        <w:t>) grains are the main source of vegetable protein worldwide and contain up to 45 % of protein (Liu et al., 2008). The high protein content in soybean grains is directly connected to their nutritional value, mainly due to the contents of sulfur (S) and nitrogen (N). Legumes have different fractions of storage proteins (albumin, globulin, prolamin, and glutelin) that can be influenced by S fertilization (Chandra and Pandey, 2016).</w:t>
      </w:r>
    </w:p>
    <w:p>
      <w:pPr>
        <w:spacing w:after="0" w:line="210" w:lineRule="exact"/>
        <w:rPr>
          <w:rFonts w:ascii="Arial" w:cs="Arial" w:eastAsia="Arial" w:hAnsi="Arial"/>
          <w:sz w:val="17"/>
          <w:szCs w:val="17"/>
          <w:color w:val="auto"/>
        </w:rPr>
      </w:pPr>
    </w:p>
    <w:p>
      <w:pPr>
        <w:jc w:val="both"/>
        <w:ind w:left="1495" w:firstLine="479"/>
        <w:spacing w:after="0" w:line="254" w:lineRule="auto"/>
        <w:rPr>
          <w:sz w:val="20"/>
          <w:szCs w:val="20"/>
          <w:color w:val="auto"/>
        </w:rPr>
      </w:pPr>
      <w:r>
        <w:rPr>
          <w:rFonts w:ascii="Times New Roman" w:cs="Times New Roman" w:eastAsia="Times New Roman" w:hAnsi="Times New Roman"/>
          <w:sz w:val="18"/>
          <w:szCs w:val="18"/>
          <w:color w:val="auto"/>
        </w:rPr>
        <w:t>Nitrogen acquisition in soybean plants occurs via biological N fixation (Cazzato et al., 2012; Habtemichial et al., 2007). The process of uptake and metabolism of N and S in the plant depends on a group of iron-sulfur proteins (Fe-S) (Balk and Pilon, 2011). Fe-S proteins are also related to other physiological processes fundamental for plant life, such as catalytic, regulatory, and structural activities (Balk and Pilon, 2011; Capaldi et al., 2015).</w:t>
      </w:r>
    </w:p>
    <w:p>
      <w:pPr>
        <w:spacing w:after="0" w:line="4" w:lineRule="exact"/>
        <w:rPr>
          <w:rFonts w:ascii="Arial" w:cs="Arial" w:eastAsia="Arial" w:hAnsi="Arial"/>
          <w:sz w:val="17"/>
          <w:szCs w:val="17"/>
          <w:color w:val="auto"/>
        </w:rPr>
      </w:pPr>
    </w:p>
    <w:p>
      <w:pPr>
        <w:jc w:val="both"/>
        <w:ind w:left="1495" w:firstLine="479"/>
        <w:spacing w:after="0" w:line="254" w:lineRule="auto"/>
        <w:rPr>
          <w:sz w:val="20"/>
          <w:szCs w:val="20"/>
          <w:color w:val="auto"/>
        </w:rPr>
      </w:pPr>
      <w:r>
        <w:rPr>
          <w:rFonts w:ascii="Times New Roman" w:cs="Times New Roman" w:eastAsia="Times New Roman" w:hAnsi="Times New Roman"/>
          <w:sz w:val="18"/>
          <w:szCs w:val="18"/>
          <w:color w:val="auto"/>
        </w:rPr>
        <w:t>Protein synthesis is highly dependent on N and S (Jamal et al., 2010). Specifically, S is integrated as an S radical into amino acids (methionine and cysteine), which are important for tertiary structure determination and protein synthesis. Therefore, application of fertilizers containing S to S-deficient soils is essential for an adequate N:S ratio in the plant, optimizing yield and grain quality (Jamal et al., 2010; Steinfurth et al., 2012).</w:t>
      </w:r>
    </w:p>
    <w:p>
      <w:pPr>
        <w:spacing w:after="0" w:line="4" w:lineRule="exact"/>
        <w:rPr>
          <w:rFonts w:ascii="Arial" w:cs="Arial" w:eastAsia="Arial" w:hAnsi="Arial"/>
          <w:sz w:val="17"/>
          <w:szCs w:val="17"/>
          <w:color w:val="auto"/>
        </w:rPr>
      </w:pPr>
    </w:p>
    <w:p>
      <w:pPr>
        <w:jc w:val="both"/>
        <w:ind w:left="1495" w:firstLine="479"/>
        <w:spacing w:after="0" w:line="257" w:lineRule="auto"/>
        <w:rPr>
          <w:sz w:val="20"/>
          <w:szCs w:val="20"/>
          <w:color w:val="auto"/>
        </w:rPr>
      </w:pPr>
      <w:r>
        <w:rPr>
          <w:rFonts w:ascii="Times New Roman" w:cs="Times New Roman" w:eastAsia="Times New Roman" w:hAnsi="Times New Roman"/>
          <w:sz w:val="18"/>
          <w:szCs w:val="18"/>
          <w:color w:val="auto"/>
        </w:rPr>
        <w:t>Recent studies show that in the main soybean producing countries, namely Brazil, the United States, and Argentina, S-deficient soil is a main concern for soybean crops (Salvagiotti et al., 2012; Divitoet al., 2015). This is due to increased soil use and the use of</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951865</wp:posOffset>
                </wp:positionH>
                <wp:positionV relativeFrom="paragraph">
                  <wp:posOffset>230505</wp:posOffset>
                </wp:positionV>
                <wp:extent cx="61201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25400">
                          <a:solidFill>
                            <a:srgbClr val="B0B7BB"/>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5pt,18.15pt" to="556.85pt,18.15pt" o:allowincell="f" strokecolor="#B0B7BB" strokeweight="2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171" w:lineRule="exact"/>
        <w:rPr>
          <w:rFonts w:ascii="Arial" w:cs="Arial" w:eastAsia="Arial" w:hAnsi="Arial"/>
          <w:sz w:val="17"/>
          <w:szCs w:val="17"/>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S-free fertilizers, which tend to augment S deficiencies in crops (Vermeiren et al., 2018).</w:t>
      </w:r>
    </w:p>
    <w:p>
      <w:pPr>
        <w:spacing w:after="0" w:line="1" w:lineRule="exact"/>
        <w:rPr>
          <w:rFonts w:ascii="Arial" w:cs="Arial" w:eastAsia="Arial" w:hAnsi="Arial"/>
          <w:sz w:val="17"/>
          <w:szCs w:val="17"/>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Because S is absorbed by roots as inorganic sulfate (Aziz et al., 2016), different S sources may interact with the soil and interfere with S uptake. Fertilizers that provide S in the form of sulfate can be readily absorbed. On the other hand, S is only absorbed after undergoing the oxidation process, which may be favorable for a balanced and continuous supply during the crop cycle (Degryse et al., 2016; Degryse et al., 2017). This study evaluated the nutritional quality, yield, and storage protein modulation in soybean grains in response to the S levels and sources in a dystrophic Ultisol.</w:t>
      </w:r>
    </w:p>
    <w:p>
      <w:pPr>
        <w:spacing w:after="0" w:line="359"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00B085"/>
        </w:rPr>
        <w:t>Material and Methods</w:t>
      </w:r>
    </w:p>
    <w:p>
      <w:pPr>
        <w:spacing w:after="0" w:line="242" w:lineRule="exact"/>
        <w:rPr>
          <w:rFonts w:ascii="Arial" w:cs="Arial" w:eastAsia="Arial" w:hAnsi="Arial"/>
          <w:sz w:val="17"/>
          <w:szCs w:val="17"/>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Experimental site</w:t>
      </w:r>
    </w:p>
    <w:p>
      <w:pPr>
        <w:spacing w:after="0" w:line="12" w:lineRule="exact"/>
        <w:rPr>
          <w:rFonts w:ascii="Arial" w:cs="Arial" w:eastAsia="Arial" w:hAnsi="Arial"/>
          <w:sz w:val="17"/>
          <w:szCs w:val="17"/>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 xml:space="preserve">The experiment was carried out under greenhouse conditions in the city of Dracena, São Paulo State, Brazil, (latitude 21°29’ S and longitude 51°2’ W; 396 m altitude), using soybean variety ‘Potência’ RR, </w:t>
      </w:r>
      <w:r>
        <w:rPr>
          <w:rFonts w:ascii="Times New Roman" w:cs="Times New Roman" w:eastAsia="Times New Roman" w:hAnsi="Times New Roman"/>
          <w:sz w:val="18"/>
          <w:szCs w:val="18"/>
          <w:i w:val="1"/>
          <w:iCs w:val="1"/>
          <w:color w:val="auto"/>
        </w:rPr>
        <w:t>Glycine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max </w:t>
      </w:r>
      <w:r>
        <w:rPr>
          <w:rFonts w:ascii="Times New Roman" w:cs="Times New Roman" w:eastAsia="Times New Roman" w:hAnsi="Times New Roman"/>
          <w:sz w:val="18"/>
          <w:szCs w:val="18"/>
          <w:color w:val="auto"/>
        </w:rPr>
        <w:t>(L.) Merril, as test crop from Sept 2016 to Feb 2017.</w:t>
      </w:r>
    </w:p>
    <w:p>
      <w:pPr>
        <w:spacing w:after="0" w:line="210" w:lineRule="exact"/>
        <w:rPr>
          <w:rFonts w:ascii="Arial" w:cs="Arial" w:eastAsia="Arial" w:hAnsi="Arial"/>
          <w:sz w:val="17"/>
          <w:szCs w:val="17"/>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Experimental design</w:t>
      </w:r>
    </w:p>
    <w:p>
      <w:pPr>
        <w:spacing w:after="0" w:line="12" w:lineRule="exact"/>
        <w:rPr>
          <w:rFonts w:ascii="Arial" w:cs="Arial" w:eastAsia="Arial" w:hAnsi="Arial"/>
          <w:sz w:val="17"/>
          <w:szCs w:val="17"/>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experimental design was completely randomized and arranged in a 5 × 4 factorial scheme, with five levels of S (0, 50, 100, 150 and 200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and four S sources. These sources were elemental S pastilles (ESPA, 90 % S), with size 1–4 mm, gypsum (GY) residue from the manufacture of phosphate fertilizers (24 % Ca; 17 % S), gypsite (GI), ground natural rock (24 % Ca; 17 % S), and elemental S powder (ESPO, 95 % S), with particles &lt; 0.1 mm.</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2417445</wp:posOffset>
            </wp:positionH>
            <wp:positionV relativeFrom="paragraph">
              <wp:posOffset>268605</wp:posOffset>
            </wp:positionV>
            <wp:extent cx="466090" cy="1644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466090" cy="164465"/>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ectPr>
          <w:pgSz w:w="12240" w:h="15840" w:orient="portrait"/>
          <w:cols w:equalWidth="0" w:num="2">
            <w:col w:w="6035" w:space="560"/>
            <w:col w:w="4540"/>
          </w:cols>
          <w:pgMar w:left="145" w:top="906" w:right="960" w:bottom="272" w:gutter="0" w:footer="0" w:header="0"/>
          <w:type w:val="continuous"/>
        </w:sectPr>
      </w:pPr>
    </w:p>
    <w:p>
      <w:pPr>
        <w:spacing w:after="0" w:line="257"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14"/>
          <w:szCs w:val="14"/>
          <w:b w:val="1"/>
          <w:bCs w:val="1"/>
          <w:color w:val="auto"/>
        </w:rPr>
        <w:t>Sci. Agric. v.78, n.1, e20190020, 2021</w:t>
      </w:r>
    </w:p>
    <w:p>
      <w:pPr>
        <w:sectPr>
          <w:pgSz w:w="12240" w:h="15840" w:orient="portrait"/>
          <w:cols w:equalWidth="0" w:num="1">
            <w:col w:w="11135"/>
          </w:cols>
          <w:pgMar w:left="145" w:top="906" w:right="960" w:bottom="272" w:gutter="0" w:footer="0" w:header="0"/>
          <w:type w:val="continuous"/>
        </w:sectPr>
      </w:pPr>
    </w:p>
    <w:bookmarkStart w:id="1" w:name="page2"/>
    <w:bookmarkEnd w:id="1"/>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Crop conditions</w:t>
      </w:r>
    </w:p>
    <w:p>
      <w:pPr>
        <w:spacing w:after="0" w:line="12" w:lineRule="exact"/>
        <w:rPr>
          <w:sz w:val="20"/>
          <w:szCs w:val="20"/>
          <w:color w:val="auto"/>
        </w:rPr>
      </w:pPr>
    </w:p>
    <w:p>
      <w:pPr>
        <w:jc w:val="both"/>
        <w:ind w:firstLine="479"/>
        <w:spacing w:after="0" w:line="244" w:lineRule="auto"/>
        <w:rPr>
          <w:sz w:val="20"/>
          <w:szCs w:val="20"/>
          <w:color w:val="auto"/>
        </w:rPr>
      </w:pPr>
      <w:r>
        <w:rPr>
          <w:rFonts w:ascii="Times New Roman" w:cs="Times New Roman" w:eastAsia="Times New Roman" w:hAnsi="Times New Roman"/>
          <w:sz w:val="18"/>
          <w:szCs w:val="18"/>
          <w:color w:val="auto"/>
        </w:rPr>
        <w:t>The soil was a dystrophic Ultisol, with the following chemical attributes: pH = 4.6, organic matter = 17.0 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P = 6.0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K = 1.2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Ca = 6.0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Mg = 3.0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S = 7.0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potential acidity 21.0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Al = 3.0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sum of bases 10.2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cation exchange capacity (</w:t>
      </w:r>
      <w:r>
        <w:rPr>
          <w:rFonts w:ascii="Arial" w:cs="Arial" w:eastAsia="Arial" w:hAnsi="Arial"/>
          <w:sz w:val="18"/>
          <w:szCs w:val="18"/>
          <w:color w:val="auto"/>
        </w:rPr>
        <w:t>Σ</w:t>
      </w:r>
      <w:r>
        <w:rPr>
          <w:rFonts w:ascii="Times New Roman" w:cs="Times New Roman" w:eastAsia="Times New Roman" w:hAnsi="Times New Roman"/>
          <w:sz w:val="18"/>
          <w:szCs w:val="18"/>
          <w:color w:val="auto"/>
        </w:rPr>
        <w:t>K, Ca, Mg, H + Al)= 31.2 mmol</w:t>
      </w:r>
      <w:r>
        <w:rPr>
          <w:rFonts w:ascii="Times New Roman" w:cs="Times New Roman" w:eastAsia="Times New Roman" w:hAnsi="Times New Roman"/>
          <w:sz w:val="20"/>
          <w:szCs w:val="20"/>
          <w:color w:val="auto"/>
          <w:vertAlign w:val="subscript"/>
        </w:rPr>
        <w:t>c</w:t>
      </w:r>
      <w:r>
        <w:rPr>
          <w:rFonts w:ascii="Times New Roman" w:cs="Times New Roman" w:eastAsia="Times New Roman" w:hAnsi="Times New Roman"/>
          <w:sz w:val="18"/>
          <w:szCs w:val="18"/>
          <w:color w:val="auto"/>
        </w:rPr>
        <w:t xml:space="preserve">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and base saturation [(</w:t>
      </w:r>
      <w:r>
        <w:rPr>
          <w:rFonts w:ascii="Arial" w:cs="Arial" w:eastAsia="Arial" w:hAnsi="Arial"/>
          <w:sz w:val="18"/>
          <w:szCs w:val="18"/>
          <w:color w:val="auto"/>
        </w:rPr>
        <w:t>Σ</w:t>
      </w:r>
      <w:r>
        <w:rPr>
          <w:rFonts w:ascii="Times New Roman" w:cs="Times New Roman" w:eastAsia="Times New Roman" w:hAnsi="Times New Roman"/>
          <w:sz w:val="18"/>
          <w:szCs w:val="18"/>
          <w:color w:val="auto"/>
        </w:rPr>
        <w:t>K, Ca, Mg)/(</w:t>
      </w:r>
      <w:r>
        <w:rPr>
          <w:rFonts w:ascii="Arial" w:cs="Arial" w:eastAsia="Arial" w:hAnsi="Arial"/>
          <w:sz w:val="18"/>
          <w:szCs w:val="18"/>
          <w:color w:val="auto"/>
        </w:rPr>
        <w:t>Σ</w:t>
      </w:r>
      <w:r>
        <w:rPr>
          <w:rFonts w:ascii="Times New Roman" w:cs="Times New Roman" w:eastAsia="Times New Roman" w:hAnsi="Times New Roman"/>
          <w:sz w:val="18"/>
          <w:szCs w:val="18"/>
          <w:color w:val="auto"/>
        </w:rPr>
        <w:t>K, Ca, Mg, H + Al)] × 100 (V) = 33 %. The determinations were as described by Raij et al. (2001): P, K, Ca and Mg determinations were performed using the ion exchange resin method, 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was determined by extraction with Ca(K</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PO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solution, pH was determined in CaCl</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organic matter (OM) was determined by colorimetry, potential acidity was determined with Shoemaker-McLean-Pratt (SMP) buffer (Shoemaker et al., 1961) and Al was determined by KCl. The Cu, Fe, Mn and Zn were determined by extracts in diethylenetriaminepentaacetic acid-triethanolamine (DTPA-TEA) at pH 7.3 and B was determined with hot water.</w:t>
      </w:r>
    </w:p>
    <w:p>
      <w:pPr>
        <w:spacing w:after="0" w:line="221" w:lineRule="exact"/>
        <w:rPr>
          <w:sz w:val="20"/>
          <w:szCs w:val="20"/>
          <w:color w:val="auto"/>
        </w:rPr>
      </w:pPr>
    </w:p>
    <w:p>
      <w:pPr>
        <w:jc w:val="both"/>
        <w:ind w:firstLine="479"/>
        <w:spacing w:after="0" w:line="252" w:lineRule="auto"/>
        <w:rPr>
          <w:sz w:val="20"/>
          <w:szCs w:val="20"/>
          <w:color w:val="auto"/>
        </w:rPr>
      </w:pPr>
      <w:r>
        <w:rPr>
          <w:rFonts w:ascii="Times New Roman" w:cs="Times New Roman" w:eastAsia="Times New Roman" w:hAnsi="Times New Roman"/>
          <w:sz w:val="18"/>
          <w:szCs w:val="18"/>
          <w:color w:val="auto"/>
        </w:rPr>
        <w:t>The soil was sampled from 0–0.20 m at depth for a composite sample. The soil was crumbled, air-dried, and sieved (4.0 mm). The base saturation of soil was increased to 70 % (Quaggio et al., 1985) by adding calcium carbonate (CaCO</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 and magnesium carbonate (MgCO</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 p.a. reagents at 3:1. The soil with carbonate salts was then incubated in the pots for 30 days awaiting reactions, while maintaining moisture at 80 % of field capacity. At the end of the incubation period, the soil was air-dried for seven days.</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Experimental procedures</w:t>
      </w:r>
    </w:p>
    <w:p>
      <w:pPr>
        <w:spacing w:after="0" w:line="1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quantity of S sources was calculated based on the total concentration in the fertilizer material. The S sources were mixed with 4 kg of soil per pot (21.5 cm in diameter and 17 cm in height). The treatments were evaluated in four replicates totalling 80 pots. The soil density was 1.3 g cm</w:t>
      </w:r>
      <w:r>
        <w:rPr>
          <w:rFonts w:ascii="Times New Roman" w:cs="Times New Roman" w:eastAsia="Times New Roman" w:hAnsi="Times New Roman"/>
          <w:sz w:val="10"/>
          <w:szCs w:val="10"/>
          <w:color w:val="auto"/>
        </w:rPr>
        <w:t>–3</w:t>
      </w:r>
      <w:r>
        <w:rPr>
          <w:rFonts w:ascii="Times New Roman" w:cs="Times New Roman" w:eastAsia="Times New Roman" w:hAnsi="Times New Roman"/>
          <w:sz w:val="18"/>
          <w:szCs w:val="18"/>
          <w:color w:val="auto"/>
        </w:rPr>
        <w:t>.</w:t>
      </w:r>
    </w:p>
    <w:p>
      <w:pPr>
        <w:spacing w:after="0" w:line="210" w:lineRule="exact"/>
        <w:rPr>
          <w:sz w:val="20"/>
          <w:szCs w:val="20"/>
          <w:color w:val="auto"/>
        </w:rPr>
      </w:pPr>
    </w:p>
    <w:p>
      <w:pPr>
        <w:jc w:val="both"/>
        <w:ind w:firstLine="479"/>
        <w:spacing w:after="0" w:line="235" w:lineRule="auto"/>
        <w:rPr>
          <w:sz w:val="20"/>
          <w:szCs w:val="20"/>
          <w:color w:val="auto"/>
        </w:rPr>
      </w:pPr>
      <w:r>
        <w:rPr>
          <w:rFonts w:ascii="Times New Roman" w:cs="Times New Roman" w:eastAsia="Times New Roman" w:hAnsi="Times New Roman"/>
          <w:sz w:val="18"/>
          <w:szCs w:val="18"/>
          <w:color w:val="auto"/>
        </w:rPr>
        <w:t>Fertilization was carried out with the following levels and sources: 10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N in the form of CO(NH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200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P in the form of Ca(H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PO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 xml:space="preserve"> 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O, 150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K in the form of KCl, 0.5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B in the form of H</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BO</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 0.05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Co in the form of CoCl</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 xml:space="preserve"> 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O, 1.0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Cu in the form of CuSO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 xml:space="preserve"> 5H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O, 0.05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Mo in the form of 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MoO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0.05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Ni in the form of NiSO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 xml:space="preserve"> 7H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O, 5.0 mg kg</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Mn in the form of MnSO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xml:space="preserve"> and 2.0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Zn in the form of ZnSO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The K application was split in three equal applications, applied at sowing, and at V2 and R1 phenological stages (Fehr et al., 1971).</w:t>
      </w:r>
    </w:p>
    <w:p>
      <w:pPr>
        <w:spacing w:after="0" w:line="7" w:lineRule="exact"/>
        <w:rPr>
          <w:sz w:val="20"/>
          <w:szCs w:val="20"/>
          <w:color w:val="auto"/>
        </w:rPr>
      </w:pPr>
    </w:p>
    <w:p>
      <w:pPr>
        <w:jc w:val="both"/>
        <w:ind w:firstLine="479"/>
        <w:spacing w:after="0" w:line="250" w:lineRule="auto"/>
        <w:rPr>
          <w:sz w:val="20"/>
          <w:szCs w:val="20"/>
          <w:color w:val="auto"/>
        </w:rPr>
      </w:pPr>
      <w:r>
        <w:rPr>
          <w:rFonts w:ascii="Times New Roman" w:cs="Times New Roman" w:eastAsia="Times New Roman" w:hAnsi="Times New Roman"/>
          <w:sz w:val="18"/>
          <w:szCs w:val="18"/>
          <w:color w:val="auto"/>
        </w:rPr>
        <w:t>After four days, 10 soybean seeds were sown, which had been previously inoculated with N</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-fixing bacteria (</w:t>
      </w:r>
      <w:r>
        <w:rPr>
          <w:rFonts w:ascii="Times New Roman" w:cs="Times New Roman" w:eastAsia="Times New Roman" w:hAnsi="Times New Roman"/>
          <w:sz w:val="18"/>
          <w:szCs w:val="18"/>
          <w:i w:val="1"/>
          <w:iCs w:val="1"/>
          <w:color w:val="auto"/>
        </w:rPr>
        <w:t>Bradyrhizobium japonicum</w:t>
      </w:r>
      <w:r>
        <w:rPr>
          <w:rFonts w:ascii="Times New Roman" w:cs="Times New Roman" w:eastAsia="Times New Roman" w:hAnsi="Times New Roman"/>
          <w:sz w:val="18"/>
          <w:szCs w:val="18"/>
          <w:color w:val="auto"/>
        </w:rPr>
        <w:t>), strains SEMIA 587 and 5019. The seeds were evenly covered with a thin soil layer. In phenological stage V1 (Fehr et al., 1971), the plants were thinned to three plants per pot.</w:t>
      </w:r>
    </w:p>
    <w:p>
      <w:pPr>
        <w:jc w:val="both"/>
        <w:ind w:firstLine="479"/>
        <w:spacing w:after="0" w:line="259" w:lineRule="auto"/>
        <w:rPr>
          <w:sz w:val="20"/>
          <w:szCs w:val="20"/>
          <w:color w:val="auto"/>
        </w:rPr>
      </w:pPr>
      <w:r>
        <w:rPr>
          <w:rFonts w:ascii="Times New Roman" w:cs="Times New Roman" w:eastAsia="Times New Roman" w:hAnsi="Times New Roman"/>
          <w:sz w:val="18"/>
          <w:szCs w:val="18"/>
          <w:color w:val="auto"/>
        </w:rPr>
        <w:t>To determine field capacity of the pots, five pots were placed in a water box with a volume of water equivalent to 2/3 of the height of the pots for 24 h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231775</wp:posOffset>
                </wp:positionV>
                <wp:extent cx="61169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25pt" to="481.8pt,18.2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order to complete saturation occurred. Subsequently, the pots were covered with plastic film to avoid evaporation, ensuring water drainage only by gravity. The pots were weighed at 0 h and after 24, 36, 48, 60 and 72 h. The irrigation of the experiment was carried out manually with deionized water, keeping humidity at 80 % of field capacity.</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Parameters analyzed</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Growth and grain yield</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determination of shoot dry mass was carried out through the collection of leaves in senescence during R6 and R7 phenological stages (Fehr et al., 1971), which were incorporated into the material remaining at phenological stage R8 (stalk and leaves) (Fehr et al., 1971). The number of pods per plant was counted at the same stage (R8).</w:t>
      </w:r>
    </w:p>
    <w:p>
      <w:pPr>
        <w:spacing w:after="0" w:line="3"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After grain harvest, the number of grains per plant was counted, excluding the empty pods. The weight of 100 grains was obtained from the quotient between the total weight of the grains and the total number of grains multiplied by 100. The grain yield per pot was estimated from the number of grains produced by each plant in the pot, divided by the number of plants per pot. Grain yield was converted to dry weight with a moisture correction of 13 %.</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Nutritional analysis</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At the R1 phenological stage, with the beginning of flowering according to Fehr et al. (1971), the first newly expanded trifoliate leaf (counting from the apex) was collected for foliar diagnosis. The leaves were ground in a Wiley mill and the total contents of N, P, K, Ca, Mg, and S were determined as described by Malavolta et al. (1997).</w:t>
      </w:r>
    </w:p>
    <w:p>
      <w:pPr>
        <w:spacing w:after="0" w:line="3" w:lineRule="exact"/>
        <w:rPr>
          <w:sz w:val="20"/>
          <w:szCs w:val="20"/>
          <w:color w:val="auto"/>
        </w:rPr>
      </w:pPr>
    </w:p>
    <w:p>
      <w:pPr>
        <w:jc w:val="both"/>
        <w:ind w:firstLine="479"/>
        <w:spacing w:after="0" w:line="247" w:lineRule="auto"/>
        <w:rPr>
          <w:sz w:val="20"/>
          <w:szCs w:val="20"/>
          <w:color w:val="auto"/>
        </w:rPr>
      </w:pPr>
      <w:r>
        <w:rPr>
          <w:rFonts w:ascii="Times New Roman" w:cs="Times New Roman" w:eastAsia="Times New Roman" w:hAnsi="Times New Roman"/>
          <w:sz w:val="18"/>
          <w:szCs w:val="18"/>
          <w:color w:val="auto"/>
        </w:rPr>
        <w:t>To determine N, the samples were digested in sulfuric acid (H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SO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followed by distillation and titration by the semimicro-Kjeldahl method. To determine the contents of P, K, Ca, Mg and S, the samples were digested in nitric-perchloric acid (65 % HNO</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8"/>
          <w:szCs w:val="18"/>
          <w:color w:val="auto"/>
        </w:rPr>
        <w:t xml:space="preserve"> and 70 % HClO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 Atomic absorption spectrophotometry was used to determine the contents of Ca and Mg, while the K content was determined by flame photometry. The P content was obtained by colorimetry and the S content was obtained by barium chloride (BaCl</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turbidimetry. The macronutrient concentration was expressed as 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p>
      <w:pPr>
        <w:spacing w:after="0" w:line="5" w:lineRule="exact"/>
        <w:rPr>
          <w:sz w:val="20"/>
          <w:szCs w:val="20"/>
          <w:color w:val="auto"/>
        </w:rPr>
      </w:pPr>
    </w:p>
    <w:p>
      <w:pPr>
        <w:jc w:val="both"/>
        <w:ind w:firstLine="479"/>
        <w:spacing w:after="0" w:line="264" w:lineRule="auto"/>
        <w:rPr>
          <w:sz w:val="20"/>
          <w:szCs w:val="20"/>
          <w:color w:val="auto"/>
        </w:rPr>
      </w:pPr>
      <w:r>
        <w:rPr>
          <w:rFonts w:ascii="Times New Roman" w:cs="Times New Roman" w:eastAsia="Times New Roman" w:hAnsi="Times New Roman"/>
          <w:sz w:val="18"/>
          <w:szCs w:val="18"/>
          <w:color w:val="auto"/>
        </w:rPr>
        <w:t>The relationship between the N and S leaf contents was also calculated in terms of S levels.</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Determination of storage protein</w:t>
      </w:r>
    </w:p>
    <w:p>
      <w:pPr>
        <w:spacing w:after="0" w:line="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To extract storage proteins, 0.25 g of dry and ground grain was weighed and subjected to sequential extraction with 5 mL of deionized water (for albumin fraction), 5 mL of 5 % NaCl (for globulin), 2.5 mL of 60 % ethanol (for prolamin), and 5 mL of 0.4 % NaOH (for glutelin extraction), according to the methodology described by Reis et al. (2018). Protein contents in the extracts were determined according to Bradford (1976), using BSA (bovine serum albumin) as standard.</w:t>
      </w:r>
    </w:p>
    <w:p>
      <w:pPr>
        <w:spacing w:after="0" w:line="421"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27"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2</w:t>
      </w:r>
    </w:p>
    <w:p>
      <w:pPr>
        <w:sectPr>
          <w:pgSz w:w="12240" w:h="15840" w:orient="portrait"/>
          <w:cols w:equalWidth="0" w:num="1">
            <w:col w:w="9640"/>
          </w:cols>
          <w:pgMar w:left="1300" w:top="996" w:right="1300" w:bottom="277" w:gutter="0" w:footer="0" w:header="0"/>
          <w:type w:val="continuous"/>
        </w:sectPr>
      </w:pPr>
    </w:p>
    <w:bookmarkStart w:id="2" w:name="page3"/>
    <w:bookmarkEnd w:id="2"/>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Soil analysis</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At the end of the experiment, soil samples were collected from each pot to determine inorganic S-sulfate and pH of soil, according to the methodology described by Raij et al. (2001).</w:t>
      </w:r>
    </w:p>
    <w:p>
      <w:pPr>
        <w:spacing w:after="0" w:line="2" w:lineRule="exact"/>
        <w:rPr>
          <w:sz w:val="20"/>
          <w:szCs w:val="20"/>
          <w:color w:val="auto"/>
        </w:rPr>
      </w:pPr>
    </w:p>
    <w:p>
      <w:pPr>
        <w:jc w:val="both"/>
        <w:ind w:firstLine="479"/>
        <w:spacing w:after="0" w:line="250" w:lineRule="auto"/>
        <w:rPr>
          <w:sz w:val="20"/>
          <w:szCs w:val="20"/>
          <w:color w:val="auto"/>
        </w:rPr>
      </w:pPr>
      <w:r>
        <w:rPr>
          <w:rFonts w:ascii="Times New Roman" w:cs="Times New Roman" w:eastAsia="Times New Roman" w:hAnsi="Times New Roman"/>
          <w:sz w:val="18"/>
          <w:szCs w:val="18"/>
          <w:color w:val="auto"/>
        </w:rPr>
        <w:t>Inorganic S-sulfate was determined by turbidimetry, using 0.01 mol L</w:t>
      </w: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8"/>
          <w:szCs w:val="18"/>
          <w:color w:val="auto"/>
        </w:rPr>
        <w:t xml:space="preserve"> calcium phosphate Ca(H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PO</w:t>
      </w:r>
      <w:r>
        <w:rPr>
          <w:rFonts w:ascii="Times New Roman" w:cs="Times New Roman" w:eastAsia="Times New Roman" w:hAnsi="Times New Roman"/>
          <w:sz w:val="20"/>
          <w:szCs w:val="20"/>
          <w:color w:val="auto"/>
          <w:vertAlign w:val="subscript"/>
        </w:rPr>
        <w:t>4</w:t>
      </w:r>
      <w:r>
        <w:rPr>
          <w:rFonts w:ascii="Times New Roman" w:cs="Times New Roman" w:eastAsia="Times New Roman" w:hAnsi="Times New Roman"/>
          <w:sz w:val="18"/>
          <w:szCs w:val="18"/>
          <w:color w:val="auto"/>
        </w:rPr>
        <w:t>)</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extracting solution. For that, 10 cm³ of soil was collected and transferred to plastic flasks, 25 mL of the extractive solution was added and then 0.25 g of activated charcoal. Then, flasks were transferred to a table orbital shaker for 30 min at 220 rpm followed by 30 min of rest.</w:t>
      </w:r>
    </w:p>
    <w:p>
      <w:pPr>
        <w:spacing w:after="0" w:line="5" w:lineRule="exact"/>
        <w:rPr>
          <w:sz w:val="20"/>
          <w:szCs w:val="20"/>
          <w:color w:val="auto"/>
        </w:rPr>
      </w:pPr>
    </w:p>
    <w:p>
      <w:pPr>
        <w:jc w:val="both"/>
        <w:ind w:firstLine="479"/>
        <w:spacing w:after="0" w:line="252" w:lineRule="auto"/>
        <w:rPr>
          <w:sz w:val="20"/>
          <w:szCs w:val="20"/>
          <w:color w:val="auto"/>
        </w:rPr>
      </w:pPr>
      <w:r>
        <w:rPr>
          <w:rFonts w:ascii="Times New Roman" w:cs="Times New Roman" w:eastAsia="Times New Roman" w:hAnsi="Times New Roman"/>
          <w:sz w:val="18"/>
          <w:szCs w:val="18"/>
          <w:color w:val="auto"/>
        </w:rPr>
        <w:t>After stirring, the sample was filtered with quantitative filter paper (Whatman Grade 42), 10 mL of the filtered solution and 1 mL of the acid “seed” solution (20 mg L</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of S) were pipetted into plastic flasks. Then, 0.5 g of barium chloride (BaCl</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 xml:space="preserve"> 2H</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O) was added and shaken manually for rea ding in a UV-VIS spectrophotometer (</w:t>
      </w:r>
      <w:r>
        <w:rPr>
          <w:rFonts w:ascii="Arial" w:cs="Arial" w:eastAsia="Arial" w:hAnsi="Arial"/>
          <w:sz w:val="18"/>
          <w:szCs w:val="18"/>
          <w:color w:val="auto"/>
        </w:rPr>
        <w:t>λ</w:t>
      </w:r>
      <w:r>
        <w:rPr>
          <w:rFonts w:ascii="Times New Roman" w:cs="Times New Roman" w:eastAsia="Times New Roman" w:hAnsi="Times New Roman"/>
          <w:sz w:val="18"/>
          <w:szCs w:val="18"/>
          <w:color w:val="auto"/>
        </w:rPr>
        <w:t xml:space="preserve"> = 420 nm). The inorganic S-sulfate was calculated based on a standard curve, and the results were expressed in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p>
      <w:pPr>
        <w:spacing w:after="0" w:line="214" w:lineRule="exact"/>
        <w:rPr>
          <w:sz w:val="20"/>
          <w:szCs w:val="20"/>
          <w:color w:val="auto"/>
        </w:rPr>
      </w:pPr>
    </w:p>
    <w:p>
      <w:pPr>
        <w:jc w:val="both"/>
        <w:ind w:firstLine="479"/>
        <w:spacing w:after="0" w:line="252" w:lineRule="auto"/>
        <w:rPr>
          <w:sz w:val="20"/>
          <w:szCs w:val="20"/>
          <w:color w:val="auto"/>
        </w:rPr>
      </w:pPr>
      <w:r>
        <w:rPr>
          <w:rFonts w:ascii="Times New Roman" w:cs="Times New Roman" w:eastAsia="Times New Roman" w:hAnsi="Times New Roman"/>
          <w:sz w:val="18"/>
          <w:szCs w:val="18"/>
          <w:color w:val="auto"/>
        </w:rPr>
        <w:t>To determine the soil pH, 10 cm³ of soil was collected and transferred to plastic flasks. Then, 25 mL of 0.01 mol L</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calcium chloride solution (CaCl</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was added and allowed to rest for 15 min. Subsequently, plastic flasks were transferred to a table orbital shaker for 10 min at 220 rpm followed by 30 min of rest. Lastly, the soil pH was measured through a potentiometer by immersing its electrodes into the sample suspension.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869315</wp:posOffset>
            </wp:positionH>
            <wp:positionV relativeFrom="paragraph">
              <wp:posOffset>353060</wp:posOffset>
            </wp:positionV>
            <wp:extent cx="4382770" cy="32397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4382770" cy="32397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Data analysis</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For all datasets, normality was tested using the Anderson-Darling test and homoscedasticity was tested using the Levene test. The analysis of variance (ANOVA) using the F test at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was used to compare the means of the data. When the ANOVA results were significant, the qualitative parameters were tested with the Tukey test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and the regression analysis was performed on the quantitative parameters, testing the linear, quadratic, inverse first order, and exponential models.</w:t>
      </w:r>
    </w:p>
    <w:p>
      <w:pPr>
        <w:spacing w:after="0" w:line="216"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All statistical data analysis was performed using routines developed in free R software (Team, 2018), using the package “ExpDes.pt”. Graphs were plotted using SigmaPlot (Systat Software Inc, the United States).</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Results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Crop development and yield</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number of pods per plant, number of grains per plant, and grain yield per pot parameters showed interactions between S levels and sources.</w:t>
      </w:r>
    </w:p>
    <w:p>
      <w:pPr>
        <w:spacing w:after="0" w:line="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GI, GY, and ESPO sources had an inverse first order positive response for the number of pods per plant, number of grains per plant (except ESPO), and grain yield per pot. On the other hand, ESPA had a positive linear response, with percentage increases of 66, 58, and 57 % for the parameters, respectively (Figures 1A, 1B and 1C).</w:t>
      </w:r>
    </w:p>
    <w:p>
      <w:pPr>
        <w:spacing w:after="0" w:line="418"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 Interaction effect for the number of soybean pods per plant (A), number of grains per plant (B), and grain yield per pot (C) in soybeans</w:t>
      </w:r>
      <w:r>
        <w:rPr>
          <w:rFonts w:ascii="Arial" w:cs="Arial" w:eastAsia="Arial" w:hAnsi="Arial"/>
          <w:sz w:val="16"/>
          <w:szCs w:val="16"/>
          <w:b w:val="1"/>
          <w:bCs w:val="1"/>
          <w:color w:val="auto"/>
        </w:rPr>
        <w:t xml:space="preserve"> </w:t>
      </w:r>
      <w:r>
        <w:rPr>
          <w:rFonts w:ascii="Arial" w:cs="Arial" w:eastAsia="Arial" w:hAnsi="Arial"/>
          <w:sz w:val="16"/>
          <w:szCs w:val="16"/>
          <w:color w:val="auto"/>
        </w:rPr>
        <w:t>with different S application levels and sources. Sources: elemental S pastille (ESPA), gypsum (GY), gypsite (GI) and elemental S powder (ESPO).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Vertical bars represent the standard deviation.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213995</wp:posOffset>
                </wp:positionV>
                <wp:extent cx="6116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6.85pt" to="481.8pt,16.85pt" o:allowincell="f" strokecolor="#BDE2D4" strokeweight="1.5pt"/>
            </w:pict>
          </mc:Fallback>
        </mc:AlternateContent>
      </w:r>
    </w:p>
    <w:p>
      <w:pPr>
        <w:sectPr>
          <w:pgSz w:w="12240" w:h="15840" w:orient="portrait"/>
          <w:cols w:equalWidth="0" w:num="1">
            <w:col w:w="9640"/>
          </w:cols>
          <w:pgMar w:left="1300" w:top="996" w:right="1300" w:bottom="277" w:gutter="0" w:footer="0" w:header="0"/>
          <w:type w:val="continuous"/>
        </w:sectPr>
      </w:pPr>
    </w:p>
    <w:p>
      <w:pPr>
        <w:spacing w:after="0" w:line="399"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3</w:t>
      </w:r>
    </w:p>
    <w:p>
      <w:pPr>
        <w:sectPr>
          <w:pgSz w:w="12240" w:h="15840" w:orient="portrait"/>
          <w:cols w:equalWidth="0" w:num="1">
            <w:col w:w="9640"/>
          </w:cols>
          <w:pgMar w:left="1300" w:top="996" w:right="1300" w:bottom="277" w:gutter="0" w:footer="0" w:header="0"/>
          <w:type w:val="continuous"/>
        </w:sectPr>
      </w:pPr>
    </w:p>
    <w:bookmarkStart w:id="3" w:name="page4"/>
    <w:bookmarkEnd w:id="3"/>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application of 50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of S was sufficient for the maximum yield of pods per plant, number of grains per plant, and yield of grains per pot for GY, GI, and ESPO, except for the number of grains per plant for ESPO, which reached the maximum yield at the level of 126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Grain yield was 64 % for ESPA, 100 % for GY and GI, and 89 % higher for ESPO compared to untreated soybean plants.</w:t>
      </w:r>
    </w:p>
    <w:p>
      <w:pPr>
        <w:spacing w:after="0" w:line="2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shoot DM showed an isolated effect for S levels and sources. The shoot DM responses to the S applications were inverse first order positive. The dose of 50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was sufficient for the maximum yield, and had a maximum yield of 17.7 g, and an increase of 13 % in relation to the control (Figure 2A). The S sources that obtained the best results were GY and GI, with yield at approximately 11 % greater than the ESPA source (Figure 2B).</w:t>
      </w:r>
    </w:p>
    <w:p>
      <w:pPr>
        <w:spacing w:after="0" w:line="211" w:lineRule="exact"/>
        <w:rPr>
          <w:sz w:val="20"/>
          <w:szCs w:val="20"/>
          <w:color w:val="auto"/>
        </w:rPr>
      </w:pPr>
    </w:p>
    <w:p>
      <w:pPr>
        <w:jc w:val="both"/>
        <w:ind w:firstLine="479"/>
        <w:spacing w:after="0" w:line="264" w:lineRule="auto"/>
        <w:rPr>
          <w:sz w:val="20"/>
          <w:szCs w:val="20"/>
          <w:color w:val="auto"/>
        </w:rPr>
      </w:pPr>
      <w:r>
        <w:rPr>
          <w:rFonts w:ascii="Times New Roman" w:cs="Times New Roman" w:eastAsia="Times New Roman" w:hAnsi="Times New Roman"/>
          <w:sz w:val="18"/>
          <w:szCs w:val="18"/>
          <w:color w:val="auto"/>
        </w:rPr>
        <w:t>The weight of 100 grains was not significantly affected by any factor with an average of 13.15 g.</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Nutritional status of soybeans</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leaf contents of P, Ca, S and the N:S ratio indicated interactions between S levels and sources.</w:t>
      </w:r>
    </w:p>
    <w:p>
      <w:pPr>
        <w:spacing w:after="0" w:line="1"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P content had different responses for S sources (Figure 3A). There was a positive linear response to ESPA and positive quadratic responses to ESPO, GY and GI. The maximum content was at the level of 115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while GY and GI reached their maximums contents at the dose of 142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w:t>
      </w:r>
    </w:p>
    <w:p>
      <w:pPr>
        <w:spacing w:after="0" w:line="211"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response of Ca content to the application of GI and ESPO and S levels was negatively quadratic and slightly lower than that of the control (Figure 3B), while GY and ESPA did not influence Ca. The S content was associated with positive quadratic response, with the maximums between 145–185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levels, except for ESPA, which was associated with a positive linear response (Figures 3C and 3D).</w:t>
      </w:r>
    </w:p>
    <w:p>
      <w:pPr>
        <w:spacing w:after="0" w:line="21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Regarding the N:S ratio, the ESPA source had a different response for the N:S ratio than the other sources (Figure 3E). This behavior is expected due to the values obtained for the contents (Figure 3C) and yield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210820</wp:posOffset>
            </wp:positionV>
            <wp:extent cx="4319270" cy="17068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319270" cy="17068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parameters (Figures 1 and 2). The maximum values obtained for the grain yield per pot revealed the best N:S ratio at stage R1, because there was a greater production of grains: 25.5:1 for ESPA, 26.9:1 for GY, 27.2:1 for GI, and 25:2 for the ESPO.</w:t>
      </w:r>
    </w:p>
    <w:p>
      <w:pPr>
        <w:spacing w:after="0" w:line="3"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N content was affected as an isolated effect for S levels and sources, whereas Mg was affected only by S sources. The N content tended to decrease with increasing levels of S (Figure 4A). ESPA showed the greatest contents of the sources, which differed from ESPO, with a greater content of 9 % (Figure 4B). ESPA and ESPO resulted in the greatest Mg contents, and differed from GI, with greater contents of 16 and 8 %, respectively (Figure 4C).</w:t>
      </w:r>
    </w:p>
    <w:p>
      <w:pPr>
        <w:spacing w:after="0" w:line="210" w:lineRule="exact"/>
        <w:rPr>
          <w:sz w:val="20"/>
          <w:szCs w:val="20"/>
          <w:color w:val="auto"/>
        </w:rPr>
      </w:pPr>
    </w:p>
    <w:p>
      <w:pPr>
        <w:jc w:val="both"/>
        <w:ind w:firstLine="479"/>
        <w:spacing w:after="0" w:line="266" w:lineRule="auto"/>
        <w:rPr>
          <w:sz w:val="20"/>
          <w:szCs w:val="20"/>
          <w:color w:val="auto"/>
        </w:rPr>
      </w:pPr>
      <w:r>
        <w:rPr>
          <w:rFonts w:ascii="Times New Roman" w:cs="Times New Roman" w:eastAsia="Times New Roman" w:hAnsi="Times New Roman"/>
          <w:sz w:val="18"/>
          <w:szCs w:val="18"/>
          <w:color w:val="auto"/>
        </w:rPr>
        <w:t>The average K content was 5.41 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and it was not significant for S levels and sources.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Storage protein profile</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contents of albumin, globulin, prolamin, and glutelin proteins showed interactions between S levels and sources.</w:t>
      </w:r>
    </w:p>
    <w:p>
      <w:pPr>
        <w:spacing w:after="0" w:line="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albumin and glutelin fractions had a positive quadratic response to all S sources, the maximum values were observed at levels 133 and 100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ESPA (297 % and 4 % increase over control, respectively), 129 and 95mg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for the GY (326 % and 7 % increase over control, respectively), 125 and 85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for the GI (49 % and 28 % increase over control, respectively), and 116 and 73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for the ESPO (113 % and 9 % increase over control, respectively) (Figures 5A and 5D).</w:t>
      </w:r>
    </w:p>
    <w:p>
      <w:pPr>
        <w:spacing w:after="0" w:line="6"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Globulin and prolamin had different responses to S application (Figures 5B and 5C). ESPA was related to a negative quadratic behavior for globulin, with a minimum value at 140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(21 % decrease over control), and did not significantly affect prolamin. GY was associated with positive quadratic behavior for both parameters; the maximum values were observed for levels 74 and 129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(17 % and 24 % increase over control, respectively). GI was also associated with positive linear behavior for both parameters, providing increases of 26 and 45 % in relation to the control. ESPO</w:t>
      </w:r>
    </w:p>
    <w:p>
      <w:pPr>
        <w:spacing w:after="0" w:line="425"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2 </w:t>
      </w:r>
      <w:r>
        <w:rPr>
          <w:rFonts w:ascii="Arial" w:cs="Arial" w:eastAsia="Arial" w:hAnsi="Arial"/>
          <w:sz w:val="16"/>
          <w:szCs w:val="16"/>
          <w:color w:val="auto"/>
        </w:rPr>
        <w:t>– Isolated effect on dry of soybean shoots in response to S levels (A) and S sources (B), respectively. Sources: elemental S pastille</w:t>
      </w:r>
      <w:r>
        <w:rPr>
          <w:rFonts w:ascii="Arial" w:cs="Arial" w:eastAsia="Arial" w:hAnsi="Arial"/>
          <w:sz w:val="16"/>
          <w:szCs w:val="16"/>
          <w:b w:val="1"/>
          <w:bCs w:val="1"/>
          <w:color w:val="auto"/>
        </w:rPr>
        <w:t xml:space="preserve"> </w:t>
      </w:r>
      <w:r>
        <w:rPr>
          <w:rFonts w:ascii="Arial" w:cs="Arial" w:eastAsia="Arial" w:hAnsi="Arial"/>
          <w:sz w:val="16"/>
          <w:szCs w:val="16"/>
          <w:color w:val="auto"/>
        </w:rPr>
        <w:t>(ESPA), gypsum (GY), gypsite (GI) and elemental S powder (ESPO).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Mean values followed by the same letter do not differ significantly by the Tukey test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Vertical bars represent the standard deviation.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213995</wp:posOffset>
                </wp:positionV>
                <wp:extent cx="61169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6.85pt" to="481.8pt,16.85pt" o:allowincell="f" strokecolor="#BDE2D4" strokeweight="1.5pt"/>
            </w:pict>
          </mc:Fallback>
        </mc:AlternateContent>
      </w:r>
    </w:p>
    <w:p>
      <w:pPr>
        <w:sectPr>
          <w:pgSz w:w="12240" w:h="15840" w:orient="portrait"/>
          <w:cols w:equalWidth="0" w:num="1">
            <w:col w:w="9640"/>
          </w:cols>
          <w:pgMar w:left="1300" w:top="996" w:right="1300" w:bottom="277" w:gutter="0" w:footer="0" w:header="0"/>
          <w:type w:val="continuous"/>
        </w:sectPr>
      </w:pPr>
    </w:p>
    <w:p>
      <w:pPr>
        <w:spacing w:after="0" w:line="399"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4</w:t>
      </w:r>
    </w:p>
    <w:p>
      <w:pPr>
        <w:sectPr>
          <w:pgSz w:w="12240" w:h="15840" w:orient="portrait"/>
          <w:cols w:equalWidth="0" w:num="1">
            <w:col w:w="9640"/>
          </w:cols>
          <w:pgMar w:left="1300" w:top="996" w:right="1300" w:bottom="277" w:gutter="0" w:footer="0" w:header="0"/>
          <w:type w:val="continuous"/>
        </w:sectPr>
      </w:pPr>
    </w:p>
    <w:bookmarkStart w:id="4" w:name="page5"/>
    <w:bookmarkEnd w:id="4"/>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100330</wp:posOffset>
            </wp:positionV>
            <wp:extent cx="6116320" cy="32829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6116320" cy="3282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3 </w:t>
      </w:r>
      <w:r>
        <w:rPr>
          <w:rFonts w:ascii="Arial" w:cs="Arial" w:eastAsia="Arial" w:hAnsi="Arial"/>
          <w:sz w:val="16"/>
          <w:szCs w:val="16"/>
          <w:color w:val="auto"/>
        </w:rPr>
        <w:t>– Interaction effects for phosphorus (A), calcium (B), magnesium (C), and the ratio of N:S (D) contents in soybean leaves in response</w:t>
      </w:r>
      <w:r>
        <w:rPr>
          <w:rFonts w:ascii="Arial" w:cs="Arial" w:eastAsia="Arial" w:hAnsi="Arial"/>
          <w:sz w:val="16"/>
          <w:szCs w:val="16"/>
          <w:b w:val="1"/>
          <w:bCs w:val="1"/>
          <w:color w:val="auto"/>
        </w:rPr>
        <w:t xml:space="preserve"> </w:t>
      </w:r>
      <w:r>
        <w:rPr>
          <w:rFonts w:ascii="Arial" w:cs="Arial" w:eastAsia="Arial" w:hAnsi="Arial"/>
          <w:sz w:val="16"/>
          <w:szCs w:val="16"/>
          <w:color w:val="auto"/>
        </w:rPr>
        <w:t>to S doses and sources. Sources: elemental S pastille (ESPA), gypsum (GY), gypsite (GI) and elemental S powder (ESPO). ns not significant;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Vertical bars represent the standard deviation.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318135</wp:posOffset>
            </wp:positionV>
            <wp:extent cx="4319270" cy="32702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4319270" cy="3270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140" w:hanging="141"/>
        <w:spacing w:after="0" w:line="296" w:lineRule="auto"/>
        <w:rPr>
          <w:sz w:val="20"/>
          <w:szCs w:val="20"/>
          <w:color w:val="auto"/>
        </w:rPr>
      </w:pPr>
      <w:r>
        <w:rPr>
          <w:rFonts w:ascii="Arial" w:cs="Arial" w:eastAsia="Arial" w:hAnsi="Arial"/>
          <w:sz w:val="16"/>
          <w:szCs w:val="16"/>
          <w:b w:val="1"/>
          <w:bCs w:val="1"/>
          <w:color w:val="auto"/>
        </w:rPr>
        <w:t xml:space="preserve">Figure 4 </w:t>
      </w:r>
      <w:r>
        <w:rPr>
          <w:rFonts w:ascii="Arial" w:cs="Arial" w:eastAsia="Arial" w:hAnsi="Arial"/>
          <w:sz w:val="16"/>
          <w:szCs w:val="16"/>
          <w:color w:val="auto"/>
        </w:rPr>
        <w:t>– Isolated effect on soybean leaf nitrogen contents in response to S levels (A) and S sources (B), respectively. Isolated effect on leaf</w:t>
      </w:r>
      <w:r>
        <w:rPr>
          <w:rFonts w:ascii="Arial" w:cs="Arial" w:eastAsia="Arial" w:hAnsi="Arial"/>
          <w:sz w:val="16"/>
          <w:szCs w:val="16"/>
          <w:b w:val="1"/>
          <w:bCs w:val="1"/>
          <w:color w:val="auto"/>
        </w:rPr>
        <w:t xml:space="preserve"> </w:t>
      </w:r>
      <w:r>
        <w:rPr>
          <w:rFonts w:ascii="Arial" w:cs="Arial" w:eastAsia="Arial" w:hAnsi="Arial"/>
          <w:sz w:val="16"/>
          <w:szCs w:val="16"/>
          <w:color w:val="auto"/>
        </w:rPr>
        <w:t>magnesium contents in response to sources of S (C). Sources: elemental S pastille (ESPA), gypsum (GY), gypsite (GI) and elemental S powder (ESPO).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Mean values followed by the same letter do not differ by the Tukey test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Vertical bars represent the standard deviation.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217170</wp:posOffset>
                </wp:positionV>
                <wp:extent cx="61169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7.1pt" to="481.8pt,17.1pt" o:allowincell="f" strokecolor="#BDE2D4"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5</w:t>
      </w:r>
    </w:p>
    <w:p>
      <w:pPr>
        <w:sectPr>
          <w:pgSz w:w="12240" w:h="15840" w:orient="portrait"/>
          <w:cols w:equalWidth="0" w:num="1">
            <w:col w:w="9640"/>
          </w:cols>
          <w:pgMar w:left="1300" w:top="996" w:right="1300" w:bottom="277" w:gutter="0" w:footer="0" w:header="0"/>
          <w:type w:val="continuous"/>
        </w:sectPr>
      </w:pPr>
    </w:p>
    <w:bookmarkStart w:id="5" w:name="page6"/>
    <w:bookmarkEnd w:id="5"/>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was correlated with positive quadratic behavior for globulin protein, with a maximum value at the dose 130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(16 % increase over control), and was linearly positive for the prolamin protein, providing increases of 42 % (Figures 5B and 5C).</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Soil</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inorganic S-sulfate and pH of soil showed interactions between S levels and sources.</w:t>
      </w:r>
    </w:p>
    <w:p>
      <w:pPr>
        <w:spacing w:after="0" w:line="1"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inorganic S-sulfate in the soil increased in response to S levels application. GY and ESPA were adjusted to a positive linear model, while the other sources were adjusted to the exponential model (Figure 6A). With the application of 200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the contents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242570</wp:posOffset>
            </wp:positionV>
            <wp:extent cx="4319270" cy="30175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4319270" cy="30175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were 29, 56, 80, and 70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for ESPA, GY, GI and ESPO, respectively.</w:t>
      </w:r>
    </w:p>
    <w:p>
      <w:pPr>
        <w:spacing w:after="0" w:line="1"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pH values had similar behaviors with the application of ESPA, GY and ESPO and were adjusted to the negative linear model, with reductions of 5.5 and 8 %, respectively. GI was adjusted to the negative quadratic model, with a reduction of 10 % in relation to the control for the application of 126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(Figure 6B).</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Discussion</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Crop development and yield</w:t>
      </w:r>
    </w:p>
    <w:p>
      <w:pPr>
        <w:spacing w:after="0" w:line="12" w:lineRule="exact"/>
        <w:rPr>
          <w:sz w:val="20"/>
          <w:szCs w:val="20"/>
          <w:color w:val="auto"/>
        </w:rPr>
      </w:pPr>
    </w:p>
    <w:p>
      <w:pPr>
        <w:jc w:val="both"/>
        <w:ind w:firstLine="479"/>
        <w:spacing w:after="0" w:line="264" w:lineRule="auto"/>
        <w:rPr>
          <w:sz w:val="20"/>
          <w:szCs w:val="20"/>
          <w:color w:val="auto"/>
        </w:rPr>
      </w:pPr>
      <w:r>
        <w:rPr>
          <w:rFonts w:ascii="Times New Roman" w:cs="Times New Roman" w:eastAsia="Times New Roman" w:hAnsi="Times New Roman"/>
          <w:sz w:val="18"/>
          <w:szCs w:val="18"/>
          <w:color w:val="auto"/>
        </w:rPr>
        <w:t>The results of this study reveal that the exogenous application of S in S-deficient soils provides greater plant</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5 </w:t>
      </w:r>
      <w:r>
        <w:rPr>
          <w:rFonts w:ascii="Arial" w:cs="Arial" w:eastAsia="Arial" w:hAnsi="Arial"/>
          <w:sz w:val="16"/>
          <w:szCs w:val="16"/>
          <w:color w:val="auto"/>
        </w:rPr>
        <w:t>– Interaction effects for soybean grain albumin (A), globulin (B), prolamin (C), and glutelin (D) contents in response to S levels and</w:t>
      </w:r>
      <w:r>
        <w:rPr>
          <w:rFonts w:ascii="Arial" w:cs="Arial" w:eastAsia="Arial" w:hAnsi="Arial"/>
          <w:sz w:val="16"/>
          <w:szCs w:val="16"/>
          <w:b w:val="1"/>
          <w:bCs w:val="1"/>
          <w:color w:val="auto"/>
        </w:rPr>
        <w:t xml:space="preserve"> </w:t>
      </w:r>
      <w:r>
        <w:rPr>
          <w:rFonts w:ascii="Arial" w:cs="Arial" w:eastAsia="Arial" w:hAnsi="Arial"/>
          <w:sz w:val="16"/>
          <w:szCs w:val="16"/>
          <w:color w:val="auto"/>
        </w:rPr>
        <w:t>sources. Sources: elemental S pastille (ESPA), gypsum (GY), gypsite (GI) and elemental S powder (ESPO).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Vertical bars represent the standard deviation.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258445</wp:posOffset>
            </wp:positionV>
            <wp:extent cx="4319270" cy="16395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extLst>
                    </a:blip>
                    <a:srcRect/>
                    <a:stretch>
                      <a:fillRect/>
                    </a:stretch>
                  </pic:blipFill>
                  <pic:spPr bwMode="auto">
                    <a:xfrm>
                      <a:off x="0" y="0"/>
                      <a:ext cx="4319270" cy="1639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6 </w:t>
      </w:r>
      <w:r>
        <w:rPr>
          <w:rFonts w:ascii="Arial" w:cs="Arial" w:eastAsia="Arial" w:hAnsi="Arial"/>
          <w:sz w:val="16"/>
          <w:szCs w:val="16"/>
          <w:color w:val="auto"/>
        </w:rPr>
        <w:t>– Interaction effects for inorganic S-sulfate (A) and pH (B) of soil in response to S levels and sources after soybean cultivation. Sources:</w:t>
      </w:r>
      <w:r>
        <w:rPr>
          <w:rFonts w:ascii="Arial" w:cs="Arial" w:eastAsia="Arial" w:hAnsi="Arial"/>
          <w:sz w:val="16"/>
          <w:szCs w:val="16"/>
          <w:b w:val="1"/>
          <w:bCs w:val="1"/>
          <w:color w:val="auto"/>
        </w:rPr>
        <w:t xml:space="preserve"> </w:t>
      </w:r>
      <w:r>
        <w:rPr>
          <w:rFonts w:ascii="Arial" w:cs="Arial" w:eastAsia="Arial" w:hAnsi="Arial"/>
          <w:sz w:val="16"/>
          <w:szCs w:val="16"/>
          <w:color w:val="auto"/>
        </w:rPr>
        <w:t>elemental S pastille (ESPA), gypsum (GY), gypsite (GI) and elemental S powder (ESPO).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Vertical bars represent the standard deviation.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213995</wp:posOffset>
                </wp:positionV>
                <wp:extent cx="61169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6.85pt" to="481.8pt,16.85pt" o:allowincell="f" strokecolor="#BDE2D4" strokeweight="1.5pt"/>
            </w:pict>
          </mc:Fallback>
        </mc:AlternateContent>
      </w:r>
    </w:p>
    <w:p>
      <w:pPr>
        <w:sectPr>
          <w:pgSz w:w="12240" w:h="15840" w:orient="portrait"/>
          <w:cols w:equalWidth="0" w:num="1">
            <w:col w:w="9640"/>
          </w:cols>
          <w:pgMar w:left="1300" w:top="996" w:right="1300" w:bottom="277" w:gutter="0" w:footer="0" w:header="0"/>
          <w:type w:val="continuous"/>
        </w:sectPr>
      </w:pPr>
    </w:p>
    <w:p>
      <w:pPr>
        <w:spacing w:after="0" w:line="399"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6</w:t>
      </w:r>
    </w:p>
    <w:p>
      <w:pPr>
        <w:sectPr>
          <w:pgSz w:w="12240" w:h="15840" w:orient="portrait"/>
          <w:cols w:equalWidth="0" w:num="1">
            <w:col w:w="9640"/>
          </w:cols>
          <w:pgMar w:left="1300" w:top="996" w:right="1300" w:bottom="277" w:gutter="0" w:footer="0" w:header="0"/>
          <w:type w:val="continuous"/>
        </w:sectPr>
      </w:pPr>
    </w:p>
    <w:bookmarkStart w:id="6" w:name="page7"/>
    <w:bookmarkEnd w:id="6"/>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growth and grain yield (Figures 1 and 2). These increases are related to S functions inherent to the catalytic, regulatory, and structural uses by the plant (Capaldi et al., 2015) and can also be related to the fact that S maximizes the nitrogenase enzyme activity in S-deficient soils (Devi et al., 2012).</w:t>
      </w:r>
    </w:p>
    <w:p>
      <w:pPr>
        <w:spacing w:after="0" w:line="209"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Previous studies on soybeans in a greenhouse support our study results. Zhao et al. (2008) observed that the S supply significantly increased soybean crop yield, including the weight of 100 grains. Chandra and Pandey (2016) applied sulfate levels to the soil and found that S was essential for development and yield at ideal levels at 26 and 50 days, while lower and higher levels were either insufficient or harmful to soybean plants, respectively. Broch et al. (2011) also found similar results for soybean yield in response to S supplied under field conditions.</w:t>
      </w:r>
    </w:p>
    <w:p>
      <w:pPr>
        <w:spacing w:after="0" w:line="5"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Another key factor identified in this study was the differential responses of increase in the number of pods per plant, number of grains per plant, and grain yield per pot in term of the different forms of S provided (elemental S and sulfate) and their respective particle size (Figures 1 and 2). Although all S sources increased the aforementioned parameters, responses varied between the sources, especially with the application of ESPA, which provided smaller values for these parameters than the other sources did.</w:t>
      </w:r>
    </w:p>
    <w:p>
      <w:pPr>
        <w:spacing w:after="0" w:line="217"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Based on these results, we suggest that the differential response was associated to particle size of ESPA, since the ESPA fertilizer is granular and ESPO is powder; however, this factor does not change the availability of S with GY and GI, because they are sulfates. This hypothesis is supported by ESPA and ESPO, as they are composed of the same S form (elemental S) and have still differed statistically from each other (Figure 1). These results corroborate with those of Karamanos and Janzen (1991) and Wen et al. (2001).</w:t>
      </w:r>
    </w:p>
    <w:p>
      <w:pPr>
        <w:spacing w:after="0" w:line="217"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According to Degryse et al. (2016), a smaller particle size provides a larger contact surface, resulting in a greater possibility of reacting with the soil solution, thereby favoring elemental S oxidation uptake and, consequently, plant development. In addition, elemental S sources are subordinate to abiotic and biotic factors that affect the microbial activity, which influences supply to the plant during its life cycle (Brahim et al., 2017; Degryse et al., 2017).</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Nutritional status of soybeans</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negative quadratic response observed in the N concentration was probably due to a dilution effect (Figure 3A), because S promoted an increase in the shoot DM (Figure 2A).</w:t>
      </w:r>
    </w:p>
    <w:p>
      <w:pPr>
        <w:spacing w:after="0" w:line="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increase in P concentration could possibly be related to greater root production, which favors soil exploration, especially for P, through which infiltration into the root occurs, mainly by diffusion (Fageria and Moreira, 2011). In addition, fertilization with elemental S increases the number of soil microorganisms and phosphatase enzyme activity, promoting organic 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236220</wp:posOffset>
                </wp:positionV>
                <wp:extent cx="61169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6pt" to="481.8pt,18.6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mineralization during the middle and late stages of the soybean growth (Zhao et al., 2008), which explains the positive linear behavior in response to ESPO.</w:t>
      </w:r>
    </w:p>
    <w:p>
      <w:pPr>
        <w:spacing w:after="0" w:line="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According to Malavolta et al. (1997), although the contents of N, P, Ca, S and Mg varied (Figures 3A, 3B, 3C, 4A, 4B, and 4C), all values remained within the established range adequate for soybean, except for the S content in the leaf with ESPA (Figure 3C), which was reflected in a minor increment in yield values in relation to the other sources (Figures 1 and 3). Therefore, these results show the need to meet the nutritional requirement of S to achieve greater yields.</w:t>
      </w:r>
    </w:p>
    <w:p>
      <w:pPr>
        <w:spacing w:after="0" w:line="210"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For our study, the greatest N:S ratio was observed in the control, with 33.7:1, which could be related to S deficiency in the soil, because high N:S ratios cause the accumulation of amines, amides, and amino acids soluble in the plant due to the non-conversion of N into protein (Bona et al., 2013; Fageria, 2001). As the S levels increased, there was a decrease in the N:S ratio and soybean yield (Figures 1 and 2). These effects observed in the N:S ratios were in agreement with the findings of Steinfurth et al. (2012) for wheat. According to Jamal et al. (2010), the N:S ratio was more sensitive to the variation in S supply than to N application and plant age. The authors also concluded that the ideal N:S ratio is 14 to 16:1, and this value was lower than that observed in this study.</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Storage proteins</w:t>
      </w:r>
    </w:p>
    <w:p>
      <w:pPr>
        <w:spacing w:after="0" w:line="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Increases in the albumin, globulin, prolamin, and glutelin fractions in the soybean grain were observed with all S sources tested (Figure 6), except for ESPA for globulin and prolamin. This result was expected because S regulates the seed protein storage metabolism (Chandra and Pandey, 2016), as well as because S acts in synergy with N (Jamal et al., 2010), which is the main nutrient used in protein synthesis.</w:t>
      </w:r>
    </w:p>
    <w:p>
      <w:pPr>
        <w:spacing w:after="0" w:line="211"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lowest contents of globulin, prolamin, and glutelin proteins were observed with ESPA. This effect is probably related to S content in the leaf (Figure 3C), because this S source was below the adequate interpretation range. In particular, the content of globulin protein decreased with the application of ESPA, which can be attributed to the lack of S for cysteine synthesis, as amino acid is a major component of the globulin protein (Chandra and Pandey, 2016).</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Soil</w:t>
      </w:r>
    </w:p>
    <w:p>
      <w:pPr>
        <w:spacing w:after="0" w:line="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In the control treatment, before soybean cultivation, contents of sulfate in the soil were below the required level for the soybean crop (7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(Reuter and Robinson, 1997), which is attributed to the low clay contents in the soil and organic matter. After the crop cycle, in all sources, a short cultivation time of reduced inorganic S-sulfate contents, with decreases ranging from 51–77 % (1.6–3.4 mg kg</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which could even lead to S deficiency in less demanding crops (Figure 6A). On the other hand, with the application of S, the inorganic S-sulfate was above the level considered sufficient for</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34"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7</w:t>
      </w:r>
    </w:p>
    <w:p>
      <w:pPr>
        <w:sectPr>
          <w:pgSz w:w="12240" w:h="15840" w:orient="portrait"/>
          <w:cols w:equalWidth="0" w:num="1">
            <w:col w:w="9640"/>
          </w:cols>
          <w:pgMar w:left="1300" w:top="996" w:right="1300" w:bottom="277" w:gutter="0" w:footer="0" w:header="0"/>
          <w:type w:val="continuous"/>
        </w:sectPr>
      </w:pPr>
    </w:p>
    <w:bookmarkStart w:id="7" w:name="page8"/>
    <w:bookmarkEnd w:id="7"/>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ind w:right="20"/>
        <w:spacing w:after="0" w:line="254" w:lineRule="auto"/>
        <w:rPr>
          <w:sz w:val="20"/>
          <w:szCs w:val="20"/>
          <w:color w:val="auto"/>
        </w:rPr>
      </w:pPr>
      <w:r>
        <w:rPr>
          <w:rFonts w:ascii="Times New Roman" w:cs="Times New Roman" w:eastAsia="Times New Roman" w:hAnsi="Times New Roman"/>
          <w:sz w:val="18"/>
          <w:szCs w:val="18"/>
          <w:color w:val="auto"/>
        </w:rPr>
        <w:t>demanding crops with all sources (Figure 6A). Kopittke et al. (2016) reported that the continuous mineralization of organic S is insufficient to meet the needs of crops, especially in soils with low OM content. Therefore, the application of S fertilizers is necessary to remedy their scarcity in the soil to provide proper crop nutrition.</w:t>
      </w:r>
    </w:p>
    <w:p>
      <w:pPr>
        <w:spacing w:after="0" w:line="3" w:lineRule="exact"/>
        <w:rPr>
          <w:sz w:val="20"/>
          <w:szCs w:val="20"/>
          <w:color w:val="auto"/>
        </w:rPr>
      </w:pPr>
    </w:p>
    <w:p>
      <w:pPr>
        <w:jc w:val="both"/>
        <w:ind w:right="20" w:firstLine="479"/>
        <w:spacing w:after="0" w:line="258" w:lineRule="auto"/>
        <w:rPr>
          <w:sz w:val="20"/>
          <w:szCs w:val="20"/>
          <w:color w:val="auto"/>
        </w:rPr>
      </w:pPr>
      <w:r>
        <w:rPr>
          <w:rFonts w:ascii="Times New Roman" w:cs="Times New Roman" w:eastAsia="Times New Roman" w:hAnsi="Times New Roman"/>
          <w:sz w:val="18"/>
          <w:szCs w:val="18"/>
          <w:color w:val="auto"/>
        </w:rPr>
        <w:t>The lower sulfate availability detected with the application of ESPA when compared to ESPO can be explained by the particle size. The larger the particle size, the slower the oxidation rate and less S is available to the plant.</w:t>
      </w:r>
    </w:p>
    <w:p>
      <w:pPr>
        <w:spacing w:after="0" w:line="208" w:lineRule="exact"/>
        <w:rPr>
          <w:sz w:val="20"/>
          <w:szCs w:val="20"/>
          <w:color w:val="auto"/>
        </w:rPr>
      </w:pPr>
    </w:p>
    <w:p>
      <w:pPr>
        <w:jc w:val="both"/>
        <w:ind w:right="20" w:firstLine="479"/>
        <w:spacing w:after="0" w:line="256" w:lineRule="auto"/>
        <w:rPr>
          <w:sz w:val="20"/>
          <w:szCs w:val="20"/>
          <w:color w:val="auto"/>
        </w:rPr>
      </w:pPr>
      <w:r>
        <w:rPr>
          <w:rFonts w:ascii="Times New Roman" w:cs="Times New Roman" w:eastAsia="Times New Roman" w:hAnsi="Times New Roman"/>
          <w:sz w:val="18"/>
          <w:szCs w:val="18"/>
          <w:color w:val="auto"/>
        </w:rPr>
        <w:t>A soil pH reduction was observed after the harvesting experiment, which can be attributed to the higher base extraction, especially as yield increased (Ahmed, et al., 2017). ESPO was related to a marked reduction of pH due to its physical and particle size properties, which were related to S oxidation that released sulfate and hydrogen protons into the soil (Boaro et al., 2014).</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Conclusion</w:t>
      </w:r>
    </w:p>
    <w:p>
      <w:pPr>
        <w:spacing w:after="0" w:line="242" w:lineRule="exact"/>
        <w:rPr>
          <w:sz w:val="20"/>
          <w:szCs w:val="20"/>
          <w:color w:val="auto"/>
        </w:rPr>
      </w:pPr>
    </w:p>
    <w:p>
      <w:pPr>
        <w:jc w:val="both"/>
        <w:ind w:right="20" w:firstLine="479"/>
        <w:spacing w:after="0" w:line="254" w:lineRule="auto"/>
        <w:rPr>
          <w:sz w:val="20"/>
          <w:szCs w:val="20"/>
          <w:color w:val="auto"/>
        </w:rPr>
      </w:pPr>
      <w:r>
        <w:rPr>
          <w:rFonts w:ascii="Times New Roman" w:cs="Times New Roman" w:eastAsia="Times New Roman" w:hAnsi="Times New Roman"/>
          <w:sz w:val="18"/>
          <w:szCs w:val="18"/>
          <w:color w:val="auto"/>
        </w:rPr>
        <w:t>The results show that the ideal application of S is essential to optimize soybean yield. The low supply of S resulted in lower yield for all tested S sources.</w:t>
      </w:r>
    </w:p>
    <w:p>
      <w:pPr>
        <w:spacing w:after="0" w:line="2" w:lineRule="exact"/>
        <w:rPr>
          <w:sz w:val="20"/>
          <w:szCs w:val="20"/>
          <w:color w:val="auto"/>
        </w:rPr>
      </w:pPr>
    </w:p>
    <w:p>
      <w:pPr>
        <w:jc w:val="both"/>
        <w:ind w:right="20" w:firstLine="479"/>
        <w:spacing w:after="0" w:line="254" w:lineRule="auto"/>
        <w:rPr>
          <w:sz w:val="20"/>
          <w:szCs w:val="20"/>
          <w:color w:val="auto"/>
        </w:rPr>
      </w:pPr>
      <w:r>
        <w:rPr>
          <w:rFonts w:ascii="Times New Roman" w:cs="Times New Roman" w:eastAsia="Times New Roman" w:hAnsi="Times New Roman"/>
          <w:sz w:val="18"/>
          <w:szCs w:val="18"/>
          <w:color w:val="auto"/>
        </w:rPr>
        <w:t>ESPA is not recommended as S source because the S content in the leaf was below the adequate range for soybean plants, resulting in lower yield values.</w:t>
      </w:r>
    </w:p>
    <w:p>
      <w:pPr>
        <w:spacing w:after="0" w:line="2" w:lineRule="exact"/>
        <w:rPr>
          <w:sz w:val="20"/>
          <w:szCs w:val="20"/>
          <w:color w:val="auto"/>
        </w:rPr>
      </w:pPr>
    </w:p>
    <w:p>
      <w:pPr>
        <w:jc w:val="both"/>
        <w:ind w:right="20" w:firstLine="479"/>
        <w:spacing w:after="0" w:line="254" w:lineRule="auto"/>
        <w:rPr>
          <w:sz w:val="20"/>
          <w:szCs w:val="20"/>
          <w:color w:val="auto"/>
        </w:rPr>
      </w:pPr>
      <w:r>
        <w:rPr>
          <w:rFonts w:ascii="Times New Roman" w:cs="Times New Roman" w:eastAsia="Times New Roman" w:hAnsi="Times New Roman"/>
          <w:sz w:val="18"/>
          <w:szCs w:val="18"/>
          <w:color w:val="auto"/>
        </w:rPr>
        <w:t>The particle size of ESPA and ESPO fertilizers was a key factor for the availability of S to soybeans.</w:t>
      </w:r>
    </w:p>
    <w:p>
      <w:pPr>
        <w:spacing w:after="0" w:line="1" w:lineRule="exact"/>
        <w:rPr>
          <w:sz w:val="20"/>
          <w:szCs w:val="20"/>
          <w:color w:val="auto"/>
        </w:rPr>
      </w:pPr>
    </w:p>
    <w:p>
      <w:pPr>
        <w:jc w:val="both"/>
        <w:ind w:right="20" w:firstLine="479"/>
        <w:spacing w:after="0" w:line="257" w:lineRule="auto"/>
        <w:rPr>
          <w:sz w:val="20"/>
          <w:szCs w:val="20"/>
          <w:color w:val="auto"/>
        </w:rPr>
      </w:pPr>
      <w:r>
        <w:rPr>
          <w:rFonts w:ascii="Times New Roman" w:cs="Times New Roman" w:eastAsia="Times New Roman" w:hAnsi="Times New Roman"/>
          <w:sz w:val="18"/>
          <w:szCs w:val="18"/>
          <w:color w:val="auto"/>
        </w:rPr>
        <w:t>Sulfur deficiency was observed at all levels of ESPA, which resulted in lower globulin protein synthesis and an increased albumin fraction. The application of the other sources (GY, GI, and ESPO), in general, increased all storage protein fractions analyzed.</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Authors’ Contributions</w:t>
      </w:r>
    </w:p>
    <w:p>
      <w:pPr>
        <w:spacing w:after="0" w:line="242" w:lineRule="exact"/>
        <w:rPr>
          <w:sz w:val="20"/>
          <w:szCs w:val="20"/>
          <w:color w:val="auto"/>
        </w:rPr>
      </w:pPr>
    </w:p>
    <w:p>
      <w:pPr>
        <w:jc w:val="both"/>
        <w:ind w:right="20" w:firstLine="479"/>
        <w:spacing w:after="0" w:line="255" w:lineRule="auto"/>
        <w:rPr>
          <w:sz w:val="20"/>
          <w:szCs w:val="20"/>
          <w:color w:val="auto"/>
        </w:rPr>
      </w:pPr>
      <w:r>
        <w:rPr>
          <w:rFonts w:ascii="Times New Roman" w:cs="Times New Roman" w:eastAsia="Times New Roman" w:hAnsi="Times New Roman"/>
          <w:sz w:val="18"/>
          <w:szCs w:val="18"/>
          <w:b w:val="1"/>
          <w:bCs w:val="1"/>
          <w:color w:val="auto"/>
        </w:rPr>
        <w:t>Conceptualization</w:t>
      </w:r>
      <w:r>
        <w:rPr>
          <w:rFonts w:ascii="Times New Roman" w:cs="Times New Roman" w:eastAsia="Times New Roman" w:hAnsi="Times New Roman"/>
          <w:sz w:val="18"/>
          <w:szCs w:val="18"/>
          <w:color w:val="auto"/>
        </w:rPr>
        <w:t>: Santos, L.F.M.; Lapaz, A.M.;</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Reis, A.R; Moreira, A.; Heinrichs, R. </w:t>
      </w:r>
      <w:r>
        <w:rPr>
          <w:rFonts w:ascii="Times New Roman" w:cs="Times New Roman" w:eastAsia="Times New Roman" w:hAnsi="Times New Roman"/>
          <w:sz w:val="18"/>
          <w:szCs w:val="18"/>
          <w:b w:val="1"/>
          <w:bCs w:val="1"/>
          <w:color w:val="auto"/>
        </w:rPr>
        <w:t>Data acquisition</w:t>
      </w:r>
      <w:r>
        <w:rPr>
          <w:rFonts w:ascii="Times New Roman" w:cs="Times New Roman" w:eastAsia="Times New Roman" w:hAnsi="Times New Roman"/>
          <w:sz w:val="18"/>
          <w:szCs w:val="18"/>
          <w:color w:val="auto"/>
        </w:rPr>
        <w:t xml:space="preserve">: Ibañez, T.B.; Santos, L.F.M.; Virgilio, I.R.; Virgilio, F.R.; Heinrichs, R. </w:t>
      </w:r>
      <w:r>
        <w:rPr>
          <w:rFonts w:ascii="Times New Roman" w:cs="Times New Roman" w:eastAsia="Times New Roman" w:hAnsi="Times New Roman"/>
          <w:sz w:val="18"/>
          <w:szCs w:val="18"/>
          <w:b w:val="1"/>
          <w:bCs w:val="1"/>
          <w:color w:val="auto"/>
        </w:rPr>
        <w:t>Design of methodology</w:t>
      </w:r>
      <w:r>
        <w:rPr>
          <w:rFonts w:ascii="Times New Roman" w:cs="Times New Roman" w:eastAsia="Times New Roman" w:hAnsi="Times New Roman"/>
          <w:sz w:val="18"/>
          <w:szCs w:val="18"/>
          <w:color w:val="auto"/>
        </w:rPr>
        <w:t xml:space="preserve">: Ibañez, T.B.; Santos, L.F.M.; Lapaz, A.M.; Virgilio, I.R.; Reis, A.R; Moreira, A.; Heinrichs, R. </w:t>
      </w:r>
      <w:r>
        <w:rPr>
          <w:rFonts w:ascii="Times New Roman" w:cs="Times New Roman" w:eastAsia="Times New Roman" w:hAnsi="Times New Roman"/>
          <w:sz w:val="18"/>
          <w:szCs w:val="18"/>
          <w:b w:val="1"/>
          <w:bCs w:val="1"/>
          <w:color w:val="auto"/>
        </w:rPr>
        <w:t>Software development</w:t>
      </w:r>
      <w:r>
        <w:rPr>
          <w:rFonts w:ascii="Times New Roman" w:cs="Times New Roman" w:eastAsia="Times New Roman" w:hAnsi="Times New Roman"/>
          <w:sz w:val="18"/>
          <w:szCs w:val="18"/>
          <w:color w:val="auto"/>
        </w:rPr>
        <w:t xml:space="preserve">: Ibañez, T.B.; Santos, L.F.M.; Lapaz, A.M.; Virgilio, F.R.; Heinrichs, R. </w:t>
      </w:r>
      <w:r>
        <w:rPr>
          <w:rFonts w:ascii="Times New Roman" w:cs="Times New Roman" w:eastAsia="Times New Roman" w:hAnsi="Times New Roman"/>
          <w:sz w:val="18"/>
          <w:szCs w:val="18"/>
          <w:b w:val="1"/>
          <w:bCs w:val="1"/>
          <w:color w:val="auto"/>
        </w:rPr>
        <w:t>Writing and editing</w:t>
      </w:r>
      <w:r>
        <w:rPr>
          <w:rFonts w:ascii="Times New Roman" w:cs="Times New Roman" w:eastAsia="Times New Roman" w:hAnsi="Times New Roman"/>
          <w:sz w:val="18"/>
          <w:szCs w:val="18"/>
          <w:color w:val="auto"/>
        </w:rPr>
        <w:t>: Ibañez, T.B.; Santos, L.F.M.; Lapaz, A.M.; Virgilio, I.R.; Virgilio, F.R.; Reis, A.R; Moreira, A.; Heinrichs, R.</w:t>
      </w:r>
    </w:p>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References</w:t>
      </w:r>
    </w:p>
    <w:p>
      <w:pPr>
        <w:spacing w:after="0" w:line="265"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Ahmed, H.P.; Schoenau, J.J.; King T.; Kar, G. 2017. Effects of seed-placed sulfur fertilizers on canola, wheat, and pea yield; sulfur uptake; and soil sulfate concentrations over time in three prairie soils. Journal of Plant Nutrition 40: 543–557.</w:t>
      </w:r>
    </w:p>
    <w:p>
      <w:pPr>
        <w:spacing w:after="0" w:line="2" w:lineRule="exact"/>
        <w:rPr>
          <w:sz w:val="20"/>
          <w:szCs w:val="20"/>
          <w:color w:val="auto"/>
        </w:rPr>
      </w:pPr>
    </w:p>
    <w:p>
      <w:pPr>
        <w:jc w:val="both"/>
        <w:ind w:left="180" w:right="20" w:hanging="179"/>
        <w:spacing w:after="0" w:line="287" w:lineRule="auto"/>
        <w:rPr>
          <w:sz w:val="20"/>
          <w:szCs w:val="20"/>
          <w:color w:val="auto"/>
        </w:rPr>
      </w:pPr>
      <w:r>
        <w:rPr>
          <w:rFonts w:ascii="Times New Roman" w:cs="Times New Roman" w:eastAsia="Times New Roman" w:hAnsi="Times New Roman"/>
          <w:sz w:val="16"/>
          <w:szCs w:val="16"/>
          <w:color w:val="auto"/>
        </w:rPr>
        <w:t>Aziz, M.; Nadipalli, R.K.; Xie, X.; Sun, Y.; Surowiec, K.; Zhang, J.L.; Paré, P.W. 2016. Augmenting sulfur metabolism and herbivore defense in Arabidopsis by bacterial volatile signaling. Frontiers in Plant Science 7: 458.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222885</wp:posOffset>
                </wp:positionV>
                <wp:extent cx="611695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7.55pt" to="481.8pt,17.5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9" w:lineRule="exact"/>
        <w:rPr>
          <w:sz w:val="20"/>
          <w:szCs w:val="20"/>
          <w:color w:val="auto"/>
        </w:rPr>
      </w:pPr>
    </w:p>
    <w:p>
      <w:pPr>
        <w:jc w:val="both"/>
        <w:ind w:hanging="179"/>
        <w:spacing w:after="0" w:line="303" w:lineRule="auto"/>
        <w:rPr>
          <w:sz w:val="20"/>
          <w:szCs w:val="20"/>
          <w:color w:val="auto"/>
        </w:rPr>
      </w:pPr>
      <w:r>
        <w:rPr>
          <w:rFonts w:ascii="Times New Roman" w:cs="Times New Roman" w:eastAsia="Times New Roman" w:hAnsi="Times New Roman"/>
          <w:sz w:val="16"/>
          <w:szCs w:val="16"/>
          <w:color w:val="auto"/>
        </w:rPr>
        <w:t>Balk, J.; Pilon, M. 2011. Ancient and essential: the assembly of iron–sulfur clusters in plants. Trends in Plant Science 16: 218–226.</w:t>
      </w:r>
    </w:p>
    <w:p>
      <w:pPr>
        <w:spacing w:after="0" w:line="194"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Boaro, V.; Schwarz, S.F.; Souza, P.V.D.D.; Soares, W.; Lourosa, G.V. 2014. Elemental sulfur for pH management of alcaline organic substrates. Ciência Rural 44: 2111–2117 (in Portuguese, with abstract in English).</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 xml:space="preserve">Bona, F.D.; Schmidt, F.; Monteiro, F.A. 2013. Importance of the nitrogen source in the grass species </w:t>
      </w:r>
      <w:r>
        <w:rPr>
          <w:rFonts w:ascii="Times New Roman" w:cs="Times New Roman" w:eastAsia="Times New Roman" w:hAnsi="Times New Roman"/>
          <w:sz w:val="16"/>
          <w:szCs w:val="16"/>
          <w:i w:val="1"/>
          <w:iCs w:val="1"/>
          <w:color w:val="auto"/>
        </w:rPr>
        <w:t>Brachiaria brizantha</w:t>
      </w:r>
      <w:r>
        <w:rPr>
          <w:rFonts w:ascii="Times New Roman" w:cs="Times New Roman" w:eastAsia="Times New Roman" w:hAnsi="Times New Roman"/>
          <w:sz w:val="16"/>
          <w:szCs w:val="16"/>
          <w:color w:val="auto"/>
        </w:rPr>
        <w:t xml:space="preserve"> responses to sulfur limitation. Plant and Soil 373: 201–216.</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Bradford, M.M. 1976. A rapid and sensitive method for the quantitation of microgram quantities of protein utilizing the principle of protein-dye binding. Analytical Biochemistry 72: 248–254.</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Brahim, S.; Niess, A.; Pflipsen, M.; Neuhoff, D.; Scherer, H. 2017. Effect of combined fertilization with rock phosphate and elemental sulphur on yield and nutrient uptake of soybean. Plant, Soil and Environment 63: 89-95.</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Broch, D.L.; Pavinato, P.S.; Possentti, J.C.; Martin TN, Quiqui, E.M.D. 2011. Soybean grain yield in cerrado region influenced by sulphur sources. Revista Ciência Agronômica 42: 791-796 (in Portuguese, with abstract in English).</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Capaldi, F.R.; Gratão, P.L.; Reis, A.R.; Lima, L.W.; Azevedo, R.A. 2015. Sulfur metabolism and stress defense responses in plants. Tropical Plant Biology 8: 60–73.</w:t>
      </w:r>
    </w:p>
    <w:p>
      <w:pPr>
        <w:spacing w:after="0" w:line="1" w:lineRule="exact"/>
        <w:rPr>
          <w:sz w:val="20"/>
          <w:szCs w:val="20"/>
          <w:color w:val="auto"/>
        </w:rPr>
      </w:pPr>
    </w:p>
    <w:p>
      <w:pPr>
        <w:jc w:val="both"/>
        <w:ind w:hanging="179"/>
        <w:spacing w:after="0" w:line="290" w:lineRule="auto"/>
        <w:rPr>
          <w:sz w:val="20"/>
          <w:szCs w:val="20"/>
          <w:color w:val="auto"/>
        </w:rPr>
      </w:pPr>
      <w:r>
        <w:rPr>
          <w:rFonts w:ascii="Times New Roman" w:cs="Times New Roman" w:eastAsia="Times New Roman" w:hAnsi="Times New Roman"/>
          <w:sz w:val="16"/>
          <w:szCs w:val="16"/>
          <w:color w:val="auto"/>
        </w:rPr>
        <w:t>Cazzato, E.; Laudadio, V.; Stellacci, A.M.; A.M.; Ceci, E.; Tufarelli, V. 2012. Influence of sulphur application on protein quality, fatty acid composition and nitrogen fixation of white lupin (</w:t>
      </w:r>
      <w:r>
        <w:rPr>
          <w:rFonts w:ascii="Times New Roman" w:cs="Times New Roman" w:eastAsia="Times New Roman" w:hAnsi="Times New Roman"/>
          <w:sz w:val="16"/>
          <w:szCs w:val="16"/>
          <w:i w:val="1"/>
          <w:iCs w:val="1"/>
          <w:color w:val="auto"/>
        </w:rPr>
        <w:t>Lupinus albus</w:t>
      </w:r>
      <w:r>
        <w:rPr>
          <w:rFonts w:ascii="Times New Roman" w:cs="Times New Roman" w:eastAsia="Times New Roman" w:hAnsi="Times New Roman"/>
          <w:sz w:val="16"/>
          <w:szCs w:val="16"/>
          <w:color w:val="auto"/>
        </w:rPr>
        <w:t xml:space="preserve"> L.). European Food Research and Technology 235: 963–969.</w:t>
      </w:r>
    </w:p>
    <w:p>
      <w:pPr>
        <w:spacing w:after="0" w:line="209"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 xml:space="preserve">Chandra, N.; Pandey, N. 2016. Role of sulfur nutrition in plant and seed metabolism of </w:t>
      </w:r>
      <w:r>
        <w:rPr>
          <w:rFonts w:ascii="Times New Roman" w:cs="Times New Roman" w:eastAsia="Times New Roman" w:hAnsi="Times New Roman"/>
          <w:sz w:val="16"/>
          <w:szCs w:val="16"/>
          <w:i w:val="1"/>
          <w:iCs w:val="1"/>
          <w:color w:val="auto"/>
        </w:rPr>
        <w:t>Glycine max</w:t>
      </w:r>
      <w:r>
        <w:rPr>
          <w:rFonts w:ascii="Times New Roman" w:cs="Times New Roman" w:eastAsia="Times New Roman" w:hAnsi="Times New Roman"/>
          <w:sz w:val="16"/>
          <w:szCs w:val="16"/>
          <w:color w:val="auto"/>
        </w:rPr>
        <w:t xml:space="preserve"> L. Journal of Plant Nutrition 39: 1103–1111.</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Degryse, F.; Ajiboye, B.; Baird, R.; Silva, R.C.; McLaughlin, M.J. 2016. Oxidation of elemental sulfur in granular fertilizers depends on the soil-exposed surface area. Soil Science Society of America Journal 80: 294–305.</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Degryse, F.; Silva, R.C.; Baird, R.; Beyrer, T.; Below, F.; McLaughlin, M.J. 2017. Uptake of elemental or sulfate-S from fall- or spring-applied co-granulated fertilizer by corn: a stable isotope and modeling study. Field Crops Research 221: 322–332.</w:t>
      </w:r>
    </w:p>
    <w:p>
      <w:pPr>
        <w:spacing w:after="0" w:line="2" w:lineRule="exact"/>
        <w:rPr>
          <w:sz w:val="20"/>
          <w:szCs w:val="20"/>
          <w:color w:val="auto"/>
        </w:rPr>
      </w:pPr>
    </w:p>
    <w:p>
      <w:pPr>
        <w:jc w:val="both"/>
        <w:ind w:hanging="179"/>
        <w:spacing w:after="0" w:line="290" w:lineRule="auto"/>
        <w:rPr>
          <w:sz w:val="20"/>
          <w:szCs w:val="20"/>
          <w:color w:val="auto"/>
        </w:rPr>
      </w:pPr>
      <w:r>
        <w:rPr>
          <w:rFonts w:ascii="Times New Roman" w:cs="Times New Roman" w:eastAsia="Times New Roman" w:hAnsi="Times New Roman"/>
          <w:sz w:val="16"/>
          <w:szCs w:val="16"/>
          <w:color w:val="auto"/>
        </w:rPr>
        <w:t>Devi, K.N.; Singh, L.N.K.; Singh, S.M.; Singh, S.B.; Singh, K.K. 2012. Influence of sulphur and boron fertilization on yield, quality, nutrient uptake and economics of soybean (</w:t>
      </w:r>
      <w:r>
        <w:rPr>
          <w:rFonts w:ascii="Times New Roman" w:cs="Times New Roman" w:eastAsia="Times New Roman" w:hAnsi="Times New Roman"/>
          <w:sz w:val="16"/>
          <w:szCs w:val="16"/>
          <w:i w:val="1"/>
          <w:iCs w:val="1"/>
          <w:color w:val="auto"/>
        </w:rPr>
        <w:t>Glycine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max</w:t>
      </w:r>
      <w:r>
        <w:rPr>
          <w:rFonts w:ascii="Times New Roman" w:cs="Times New Roman" w:eastAsia="Times New Roman" w:hAnsi="Times New Roman"/>
          <w:sz w:val="16"/>
          <w:szCs w:val="16"/>
          <w:color w:val="auto"/>
        </w:rPr>
        <w:t>) under upland conditions. Journal of Agricultural Science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4: 1-10.</w:t>
      </w:r>
    </w:p>
    <w:p>
      <w:pPr>
        <w:spacing w:after="0" w:line="209"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Divito, G.A.; Echeverría, H.E.; Andrade, F.H.; Sadras, V.O. 2015. Diagnosis of S deficiency in soybean crops: Performance of S and N: S determinations in leaf, shoot and seed. Field Crops Research 180: 167–175.</w:t>
      </w:r>
    </w:p>
    <w:p>
      <w:pPr>
        <w:spacing w:after="0" w:line="2" w:lineRule="exact"/>
        <w:rPr>
          <w:sz w:val="20"/>
          <w:szCs w:val="20"/>
          <w:color w:val="auto"/>
        </w:rPr>
      </w:pPr>
    </w:p>
    <w:p>
      <w:pPr>
        <w:jc w:val="both"/>
        <w:ind w:hanging="179"/>
        <w:spacing w:after="0" w:line="303" w:lineRule="auto"/>
        <w:rPr>
          <w:sz w:val="20"/>
          <w:szCs w:val="20"/>
          <w:color w:val="auto"/>
        </w:rPr>
      </w:pPr>
      <w:r>
        <w:rPr>
          <w:rFonts w:ascii="Times New Roman" w:cs="Times New Roman" w:eastAsia="Times New Roman" w:hAnsi="Times New Roman"/>
          <w:sz w:val="16"/>
          <w:szCs w:val="16"/>
          <w:color w:val="auto"/>
        </w:rPr>
        <w:t>Fageria, N.K.; Moreira, A. 2011. The role of mineral nutrition on root growth of crop plants. Advances in Agronomy 100: 251–331.</w:t>
      </w:r>
    </w:p>
    <w:p>
      <w:pPr>
        <w:spacing w:after="0" w:line="194"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Fageria, V.D. 2001. Nutrient interactions in crop plants. Journal of Plant Nutrition 24: 1269–1290.</w:t>
      </w:r>
    </w:p>
    <w:p>
      <w:pPr>
        <w:spacing w:after="0" w:line="1" w:lineRule="exact"/>
        <w:rPr>
          <w:sz w:val="20"/>
          <w:szCs w:val="20"/>
          <w:color w:val="auto"/>
        </w:rPr>
      </w:pPr>
    </w:p>
    <w:p>
      <w:pPr>
        <w:jc w:val="both"/>
        <w:ind w:hanging="179"/>
        <w:spacing w:after="0" w:line="287" w:lineRule="auto"/>
        <w:rPr>
          <w:sz w:val="20"/>
          <w:szCs w:val="20"/>
          <w:color w:val="auto"/>
        </w:rPr>
      </w:pPr>
      <w:r>
        <w:rPr>
          <w:rFonts w:ascii="Times New Roman" w:cs="Times New Roman" w:eastAsia="Times New Roman" w:hAnsi="Times New Roman"/>
          <w:sz w:val="16"/>
          <w:szCs w:val="16"/>
          <w:color w:val="auto"/>
        </w:rPr>
        <w:t xml:space="preserve">Fehr, W.R.; Caviness, C.E.; Burmood, D.T.; Pennington, J.S. 1971. Stage of development descriptions for soybeans, </w:t>
      </w:r>
      <w:r>
        <w:rPr>
          <w:rFonts w:ascii="Times New Roman" w:cs="Times New Roman" w:eastAsia="Times New Roman" w:hAnsi="Times New Roman"/>
          <w:sz w:val="16"/>
          <w:szCs w:val="16"/>
          <w:i w:val="1"/>
          <w:iCs w:val="1"/>
          <w:color w:val="auto"/>
        </w:rPr>
        <w:t>Glycine Max</w:t>
      </w:r>
      <w:r>
        <w:rPr>
          <w:rFonts w:ascii="Times New Roman" w:cs="Times New Roman" w:eastAsia="Times New Roman" w:hAnsi="Times New Roman"/>
          <w:sz w:val="16"/>
          <w:szCs w:val="16"/>
          <w:color w:val="auto"/>
        </w:rPr>
        <w:t xml:space="preserve"> (L.) Merrill. Crop Science 11: 929–931.</w:t>
      </w:r>
    </w:p>
    <w:p>
      <w:pPr>
        <w:spacing w:after="0" w:line="203" w:lineRule="exact"/>
        <w:rPr>
          <w:sz w:val="20"/>
          <w:szCs w:val="20"/>
          <w:color w:val="auto"/>
        </w:rPr>
      </w:pPr>
    </w:p>
    <w:p>
      <w:pPr>
        <w:sectPr>
          <w:pgSz w:w="12240" w:h="15840" w:orient="portrait"/>
          <w:cols w:equalWidth="0" w:num="2">
            <w:col w:w="4560" w:space="720"/>
            <w:col w:w="4360"/>
          </w:cols>
          <w:pgMar w:left="1300" w:top="996" w:right="1300" w:bottom="277" w:gutter="0" w:footer="0" w:header="0"/>
          <w:type w:val="continuous"/>
        </w:sectPr>
      </w:pPr>
    </w:p>
    <w:p>
      <w:pPr>
        <w:spacing w:after="0" w:line="212"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8</w:t>
      </w:r>
    </w:p>
    <w:p>
      <w:pPr>
        <w:sectPr>
          <w:pgSz w:w="12240" w:h="15840" w:orient="portrait"/>
          <w:cols w:equalWidth="0" w:num="1">
            <w:col w:w="9640"/>
          </w:cols>
          <w:pgMar w:left="1300" w:top="996" w:right="1300" w:bottom="277" w:gutter="0" w:footer="0" w:header="0"/>
          <w:type w:val="continuous"/>
        </w:sectPr>
      </w:pPr>
    </w:p>
    <w:bookmarkStart w:id="8" w:name="page9"/>
    <w:bookmarkEnd w:id="8"/>
    <w:p>
      <w:pPr>
        <w:spacing w:after="0"/>
        <w:tabs>
          <w:tab w:leader="none" w:pos="6740" w:val="left"/>
        </w:tabs>
        <w:rPr>
          <w:sz w:val="20"/>
          <w:szCs w:val="20"/>
          <w:color w:val="auto"/>
        </w:rPr>
      </w:pPr>
      <w:r>
        <w:rPr>
          <w:rFonts w:ascii="Times New Roman" w:cs="Times New Roman" w:eastAsia="Times New Roman" w:hAnsi="Times New Roman"/>
          <w:sz w:val="16"/>
          <w:szCs w:val="16"/>
          <w:b w:val="1"/>
          <w:bCs w:val="1"/>
          <w:color w:val="auto"/>
        </w:rPr>
        <w:t>Ibañez et al.</w:t>
      </w:r>
      <w:r>
        <w:rPr>
          <w:sz w:val="20"/>
          <w:szCs w:val="20"/>
          <w:color w:val="auto"/>
        </w:rPr>
        <w:tab/>
      </w:r>
      <w:r>
        <w:rPr>
          <w:rFonts w:ascii="Times New Roman" w:cs="Times New Roman" w:eastAsia="Times New Roman" w:hAnsi="Times New Roman"/>
          <w:sz w:val="16"/>
          <w:szCs w:val="16"/>
          <w:b w:val="1"/>
          <w:bCs w:val="1"/>
          <w:color w:val="auto"/>
        </w:rPr>
        <w:t>Sulfur modulates yield and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180" w:right="20" w:hanging="179"/>
        <w:spacing w:after="0" w:line="278" w:lineRule="auto"/>
        <w:rPr>
          <w:sz w:val="20"/>
          <w:szCs w:val="20"/>
          <w:color w:val="auto"/>
        </w:rPr>
      </w:pPr>
      <w:r>
        <w:rPr>
          <w:rFonts w:ascii="Times New Roman" w:cs="Times New Roman" w:eastAsia="Times New Roman" w:hAnsi="Times New Roman"/>
          <w:sz w:val="16"/>
          <w:szCs w:val="16"/>
          <w:color w:val="auto"/>
        </w:rPr>
        <w:t>Habtemichial, K.H.; Ram Singh, B.; Aune, J.B. 2007. Wheat response to N</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6"/>
          <w:szCs w:val="16"/>
          <w:color w:val="auto"/>
        </w:rPr>
        <w:t xml:space="preserve"> fixed by faba bean (</w:t>
      </w:r>
      <w:r>
        <w:rPr>
          <w:rFonts w:ascii="Times New Roman" w:cs="Times New Roman" w:eastAsia="Times New Roman" w:hAnsi="Times New Roman"/>
          <w:sz w:val="16"/>
          <w:szCs w:val="16"/>
          <w:i w:val="1"/>
          <w:iCs w:val="1"/>
          <w:color w:val="auto"/>
        </w:rPr>
        <w:t>Vicia faba</w:t>
      </w:r>
      <w:r>
        <w:rPr>
          <w:rFonts w:ascii="Times New Roman" w:cs="Times New Roman" w:eastAsia="Times New Roman" w:hAnsi="Times New Roman"/>
          <w:sz w:val="16"/>
          <w:szCs w:val="16"/>
          <w:color w:val="auto"/>
        </w:rPr>
        <w:t xml:space="preserve"> L.) as affected by sulfur fertilization and rhizobial inoculation in semi-arid Northern Ethiopia. Journal of Plant Nutrition and Soil Science 170: 412–418.</w:t>
      </w:r>
    </w:p>
    <w:p>
      <w:pPr>
        <w:spacing w:after="0" w:line="219"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Jamal, A.; Moon, Y.S., Zainul Abdin, M. 2010. Sulphur: a general overview and interaction with nitrogen. Australian Journal of Crop Science 4: 523–529.</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Karamanos, R.E.; Janzen, H.H. 1991. Crop response to elemental sulfur fertilizers in central Alberta. Canadian Journal of Soil Science 71: 213–225.</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Kopittke, P.M.; Dalal, R.C.; Menzies, N.W. 2016. Sulfur dynamics in sub-tropical soils of Australia as influenced by long-term cultivation. Plant and Soil 402: 211–219.</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Malavolta, E.; Vitti, G.C.; Oliveira, S.A. 1997. Evaluation of the Nutritional State of Plants: Principles and Applications</w:t>
      </w:r>
    </w:p>
    <w:p>
      <w:pPr>
        <w:spacing w:after="0" w:line="1" w:lineRule="exact"/>
        <w:rPr>
          <w:sz w:val="20"/>
          <w:szCs w:val="20"/>
          <w:color w:val="auto"/>
        </w:rPr>
      </w:pPr>
    </w:p>
    <w:p>
      <w:pPr>
        <w:jc w:val="both"/>
        <w:ind w:left="180" w:right="20" w:firstLine="4"/>
        <w:spacing w:after="0" w:line="286" w:lineRule="auto"/>
        <w:tabs>
          <w:tab w:leader="none" w:pos="396"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Avaliação do Estado Nutricional de Plantas: Princípios e Aplicações. 2ed. Potafos, Piracicaba, SP, Brazil (in Portuguese).</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Liu, C.; Wang, X.; Ma, H.; Zhang, Z.; Gao, W.; Xiao, L. 2008. Functional properties of protein isolates from soybeans stored under various conditions. Food Chemistry 111: 29–37.</w:t>
      </w:r>
    </w:p>
    <w:p>
      <w:pPr>
        <w:spacing w:after="0" w:line="1" w:lineRule="exact"/>
        <w:rPr>
          <w:sz w:val="20"/>
          <w:szCs w:val="20"/>
          <w:color w:val="auto"/>
        </w:rPr>
      </w:pPr>
    </w:p>
    <w:p>
      <w:pPr>
        <w:jc w:val="both"/>
        <w:ind w:left="180" w:right="20" w:hanging="179"/>
        <w:spacing w:after="0" w:line="293" w:lineRule="auto"/>
        <w:rPr>
          <w:sz w:val="20"/>
          <w:szCs w:val="20"/>
          <w:color w:val="auto"/>
        </w:rPr>
      </w:pPr>
      <w:r>
        <w:rPr>
          <w:rFonts w:ascii="Times New Roman" w:cs="Times New Roman" w:eastAsia="Times New Roman" w:hAnsi="Times New Roman"/>
          <w:sz w:val="16"/>
          <w:szCs w:val="16"/>
          <w:color w:val="auto"/>
        </w:rPr>
        <w:t>Quaggio, J.A.; Raij, B.van.; Malavolta, E. 1985. Alternative use of the SPM: buffer solution to determine lime requirement of soil. Communications in Soil Science and Plant Analysis 16: 245-260.</w:t>
      </w:r>
    </w:p>
    <w:p>
      <w:pPr>
        <w:spacing w:after="0" w:line="205"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Raij, B. van.; Andrade J.C.; Cantarela H, Quaggio, J.A. 2001. Chemical Analysis for Tropical Soil Fertility = Análise Química para Fertilidade de Solos Tropicais. Instituto Agronômico, Campinas, SP, Brazil (in Portuguese).</w:t>
      </w:r>
    </w:p>
    <w:p>
      <w:pPr>
        <w:spacing w:after="0" w:line="2" w:lineRule="exact"/>
        <w:rPr>
          <w:sz w:val="20"/>
          <w:szCs w:val="20"/>
          <w:color w:val="auto"/>
        </w:rPr>
      </w:pPr>
    </w:p>
    <w:p>
      <w:pPr>
        <w:jc w:val="both"/>
        <w:ind w:left="180" w:right="20" w:hanging="179"/>
        <w:spacing w:after="0" w:line="290" w:lineRule="auto"/>
        <w:rPr>
          <w:sz w:val="20"/>
          <w:szCs w:val="20"/>
          <w:color w:val="auto"/>
        </w:rPr>
      </w:pPr>
      <w:r>
        <w:rPr>
          <w:rFonts w:ascii="Times New Roman" w:cs="Times New Roman" w:eastAsia="Times New Roman" w:hAnsi="Times New Roman"/>
          <w:sz w:val="16"/>
          <w:szCs w:val="16"/>
          <w:color w:val="auto"/>
        </w:rPr>
        <w:t>Reis, H.P.G.; Barcelos, J.P.Q.; Furlani Junior, E.; Santos, E.F.; Silva, V.M.; Moraes, M.F.; Putti, F.F.; Reis, A.R. 2018. Agronomic biofortification of upland rice with selenium and nitrogen and its relation to grain quality. Journal of Cereal Science 79: 508-515.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3705225</wp:posOffset>
                </wp:positionV>
                <wp:extent cx="61169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1.75pt" to="481.8pt,291.7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8"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Reuter, D.; Robinson, J.B. 1997. Plant Analysis: An Interpretation Manual. 2ed. CSIRO, Melbourne, Australia.</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Salvagiotti, F.; Ferraris, G.; Quiroga, A.; Barraco, M.; Vivas, H.; Prystupa, P.; Echeverría, H.; Boem, F.H.G. 2012. Identifying sulfur deficient fields by using sulfur content; N: S ratio and nutrient stoichiometric relationships in soybean seeds. Field Crops Research 135: 107–115.</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Shoemaker,</w:t>
      </w:r>
      <w:r>
        <w:rPr>
          <w:sz w:val="20"/>
          <w:szCs w:val="20"/>
          <w:color w:val="auto"/>
        </w:rPr>
        <w:t xml:space="preserve"> </w:t>
      </w:r>
      <w:r>
        <w:rPr>
          <w:rFonts w:ascii="Times New Roman" w:cs="Times New Roman" w:eastAsia="Times New Roman" w:hAnsi="Times New Roman"/>
          <w:sz w:val="16"/>
          <w:szCs w:val="16"/>
          <w:color w:val="auto"/>
        </w:rPr>
        <w:t>H.E.; McLean, E.O.; Pratt, P.F. 1961. Buffer methods for determination of lime requirements of soils with appreciable amount of exchangeable aluminum. Soil Science Society of America Journal 25: 274–277.</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Steinfurth, D.; Zörb, C.; Braukmann, F.; Mühling, K.H. 2012. Time-dependent distribution of sulphur, sulphate and glutathione in wheat tissues and grain as affected by three sulphur fertilization levels and late S fertilization. Journal of Plant Physiology 169: 72–77.</w:t>
      </w:r>
    </w:p>
    <w:p>
      <w:pPr>
        <w:spacing w:after="0" w:line="2" w:lineRule="exact"/>
        <w:rPr>
          <w:sz w:val="20"/>
          <w:szCs w:val="20"/>
          <w:color w:val="auto"/>
        </w:rPr>
      </w:pPr>
    </w:p>
    <w:p>
      <w:pPr>
        <w:jc w:val="both"/>
        <w:ind w:hanging="179"/>
        <w:spacing w:after="0" w:line="293" w:lineRule="auto"/>
        <w:rPr>
          <w:sz w:val="20"/>
          <w:szCs w:val="20"/>
          <w:color w:val="auto"/>
        </w:rPr>
      </w:pPr>
      <w:r>
        <w:rPr>
          <w:rFonts w:ascii="Times New Roman" w:cs="Times New Roman" w:eastAsia="Times New Roman" w:hAnsi="Times New Roman"/>
          <w:sz w:val="16"/>
          <w:szCs w:val="16"/>
          <w:color w:val="auto"/>
        </w:rPr>
        <w:t>Vermeiren, C.; Smolders, E.; McLaughlin, M.J.; Degryse, F. 2018. Model-based rationalization of sulphur mineralization in soils using 35 S isotope dilution. Soil Biology and Biochemistry 120: 1–11.</w:t>
      </w:r>
    </w:p>
    <w:p>
      <w:pPr>
        <w:spacing w:after="0" w:line="205"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Wen, G.; Schoenau, J.J.; Yamamoto, T.; Inoue, M. 2001. A model of oxidation of an elemental sulfur fertilizer in soils. Soil Science 166: 607–613</w:t>
      </w:r>
    </w:p>
    <w:p>
      <w:pPr>
        <w:spacing w:after="0" w:line="1" w:lineRule="exact"/>
        <w:rPr>
          <w:sz w:val="20"/>
          <w:szCs w:val="20"/>
          <w:color w:val="auto"/>
        </w:rPr>
      </w:pPr>
    </w:p>
    <w:p>
      <w:pPr>
        <w:jc w:val="both"/>
        <w:ind w:hanging="179"/>
        <w:spacing w:after="0" w:line="287" w:lineRule="auto"/>
        <w:rPr>
          <w:sz w:val="20"/>
          <w:szCs w:val="20"/>
          <w:color w:val="auto"/>
        </w:rPr>
      </w:pPr>
      <w:r>
        <w:rPr>
          <w:rFonts w:ascii="Times New Roman" w:cs="Times New Roman" w:eastAsia="Times New Roman" w:hAnsi="Times New Roman"/>
          <w:sz w:val="16"/>
          <w:szCs w:val="16"/>
          <w:color w:val="auto"/>
        </w:rPr>
        <w:t>Zhao, Y.; Xiao, X.; Bi, D.; Hu, F. 2008. Effects of sulfur fertilization on soybean root and leaf traits, and soil microbial activity. Journal of Plant Nutrition 31: 473–483.</w:t>
      </w:r>
    </w:p>
    <w:p>
      <w:pPr>
        <w:spacing w:after="0" w:line="1748" w:lineRule="exact"/>
        <w:rPr>
          <w:sz w:val="20"/>
          <w:szCs w:val="20"/>
          <w:color w:val="auto"/>
        </w:rPr>
      </w:pPr>
    </w:p>
    <w:p>
      <w:pPr>
        <w:sectPr>
          <w:pgSz w:w="12240" w:h="15840" w:orient="portrait"/>
          <w:cols w:equalWidth="0" w:num="2">
            <w:col w:w="4560" w:space="720"/>
            <w:col w:w="436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e20190020, 2021</w:t>
      </w:r>
      <w:r>
        <w:rPr>
          <w:sz w:val="20"/>
          <w:szCs w:val="20"/>
          <w:color w:val="auto"/>
        </w:rPr>
        <w:tab/>
      </w:r>
      <w:r>
        <w:rPr>
          <w:rFonts w:ascii="Arial" w:cs="Arial" w:eastAsia="Arial" w:hAnsi="Arial"/>
          <w:sz w:val="16"/>
          <w:szCs w:val="16"/>
          <w:b w:val="1"/>
          <w:bCs w:val="1"/>
          <w:color w:val="auto"/>
        </w:rPr>
        <w:t>9</w:t>
      </w:r>
    </w:p>
    <w:sectPr>
      <w:pgSz w:w="12240" w:h="15840" w:orient="portrait"/>
      <w:cols w:equalWidth="0" w:num="1">
        <w:col w:w="9640"/>
      </w:cols>
      <w:pgMar w:left="1300" w:top="996" w:right="1300" w:bottom="2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20"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9" Type="http://schemas.openxmlformats.org/officeDocument/2006/relationships/hyperlink" Target="https://orcid.org/0000-0002-4539-4264" TargetMode="External"/><Relationship Id="rId11" Type="http://schemas.openxmlformats.org/officeDocument/2006/relationships/hyperlink" Target="https://orcid.org/0000-0002-1395-8889" TargetMode="External"/><Relationship Id="rId13" Type="http://schemas.openxmlformats.org/officeDocument/2006/relationships/hyperlink" Target="https://orcid.org/0000-0003-4798-3713" TargetMode="External"/><Relationship Id="rId15" Type="http://schemas.openxmlformats.org/officeDocument/2006/relationships/hyperlink" Target="https://orcid.org/0000-0002-9904-5617" TargetMode="External"/><Relationship Id="rId17" Type="http://schemas.openxmlformats.org/officeDocument/2006/relationships/hyperlink" Target="https://orcid.org/0000-0002-1091-6624" TargetMode="External"/><Relationship Id="rId19" Type="http://schemas.openxmlformats.org/officeDocument/2006/relationships/hyperlink" Target="https://orcid.org/0000-0002-6527-2520" TargetMode="External"/><Relationship Id="rId21" Type="http://schemas.openxmlformats.org/officeDocument/2006/relationships/hyperlink" Target="https://orcid.org/0000-0003-4023-599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2020-09-15T04:21:14Z</dcterms:created>
  <dcterms:modified xsi:type="dcterms:W3CDTF">2020-09-15T04:21:14Z</dcterms:modified>
</cp:coreProperties>
</file>