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right="8"/>
        <w:spacing w:after="0"/>
        <w:rPr>
          <w:sz w:val="20"/>
          <w:szCs w:val="20"/>
          <w:color w:val="auto"/>
        </w:rPr>
      </w:pPr>
      <w:r>
        <w:rPr>
          <w:rFonts w:ascii="Times New Roman" w:cs="Times New Roman" w:eastAsia="Times New Roman" w:hAnsi="Times New Roman"/>
          <w:sz w:val="20"/>
          <w:szCs w:val="20"/>
          <w:i w:val="1"/>
          <w:iCs w:val="1"/>
          <w:color w:val="auto"/>
        </w:rPr>
        <w:drawing>
          <wp:anchor simplePos="0" relativeHeight="251657728" behindDoc="1" locked="0" layoutInCell="0" allowOverlap="1">
            <wp:simplePos x="0" y="0"/>
            <wp:positionH relativeFrom="page">
              <wp:posOffset>914400</wp:posOffset>
            </wp:positionH>
            <wp:positionV relativeFrom="page">
              <wp:posOffset>511175</wp:posOffset>
            </wp:positionV>
            <wp:extent cx="2679065" cy="3416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2679065" cy="341630"/>
                    </a:xfrm>
                    <a:prstGeom prst="rect">
                      <a:avLst/>
                    </a:prstGeom>
                    <a:noFill/>
                  </pic:spPr>
                </pic:pic>
              </a:graphicData>
            </a:graphic>
          </wp:anchor>
        </w:drawing>
        <w:t>Article</w:t>
      </w:r>
    </w:p>
    <w:p>
      <w:pPr>
        <w:spacing w:after="0" w:line="34" w:lineRule="exact"/>
        <w:rPr>
          <w:sz w:val="24"/>
          <w:szCs w:val="24"/>
          <w:color w:val="auto"/>
        </w:rPr>
      </w:pPr>
    </w:p>
    <w:p>
      <w:pPr>
        <w:jc w:val="right"/>
        <w:ind w:right="8"/>
        <w:spacing w:after="0"/>
        <w:rPr>
          <w:sz w:val="20"/>
          <w:szCs w:val="20"/>
          <w:color w:val="auto"/>
        </w:rPr>
      </w:pPr>
      <w:r>
        <w:rPr>
          <w:rFonts w:ascii="Times New Roman" w:cs="Times New Roman" w:eastAsia="Times New Roman" w:hAnsi="Times New Roman"/>
          <w:sz w:val="20"/>
          <w:szCs w:val="20"/>
          <w:b w:val="1"/>
          <w:bCs w:val="1"/>
          <w:color w:val="auto"/>
        </w:rPr>
        <w:t>Volume 10, Issue 5, 2020, 6436 - 6443</w:t>
      </w:r>
    </w:p>
    <w:p>
      <w:pPr>
        <w:spacing w:after="0" w:line="44" w:lineRule="exact"/>
        <w:rPr>
          <w:sz w:val="24"/>
          <w:szCs w:val="24"/>
          <w:color w:val="auto"/>
        </w:rPr>
      </w:pPr>
    </w:p>
    <w:p>
      <w:pPr>
        <w:ind w:left="5280"/>
        <w:spacing w:after="0"/>
        <w:rPr>
          <w:rFonts w:ascii="Times New Roman" w:cs="Times New Roman" w:eastAsia="Times New Roman" w:hAnsi="Times New Roman"/>
          <w:sz w:val="19"/>
          <w:szCs w:val="19"/>
          <w:color w:val="808080"/>
        </w:rPr>
      </w:pPr>
      <w:hyperlink r:id="rId9">
        <w:r>
          <w:rPr>
            <w:rFonts w:ascii="Times New Roman" w:cs="Times New Roman" w:eastAsia="Times New Roman" w:hAnsi="Times New Roman"/>
            <w:sz w:val="19"/>
            <w:szCs w:val="19"/>
            <w:color w:val="808080"/>
          </w:rPr>
          <w:t>https://doi.org/10.33263/BRIAC105.64366443</w:t>
        </w:r>
      </w:hyperlink>
    </w:p>
    <w:p>
      <w:pPr>
        <w:spacing w:after="0" w:line="273" w:lineRule="exact"/>
        <w:rPr>
          <w:sz w:val="24"/>
          <w:szCs w:val="24"/>
          <w:color w:val="auto"/>
        </w:rPr>
      </w:pPr>
    </w:p>
    <w:p>
      <w:pPr>
        <w:ind w:right="708"/>
        <w:spacing w:after="0" w:line="265" w:lineRule="auto"/>
        <w:rPr>
          <w:sz w:val="20"/>
          <w:szCs w:val="20"/>
          <w:color w:val="auto"/>
        </w:rPr>
      </w:pPr>
      <w:r>
        <w:rPr>
          <w:rFonts w:ascii="Times New Roman" w:cs="Times New Roman" w:eastAsia="Times New Roman" w:hAnsi="Times New Roman"/>
          <w:sz w:val="36"/>
          <w:szCs w:val="36"/>
          <w:b w:val="1"/>
          <w:bCs w:val="1"/>
          <w:color w:val="808080"/>
        </w:rPr>
        <w:t>Molecular Identification of Endophytic Fungi Isolated from Medicinal Plant</w:t>
      </w:r>
    </w:p>
    <w:p>
      <w:pPr>
        <w:spacing w:after="0" w:line="231"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 xml:space="preserve">Pooja Singh </w:t>
      </w:r>
      <w:r>
        <w:rPr>
          <w:rFonts w:ascii="Times New Roman" w:cs="Times New Roman" w:eastAsia="Times New Roman" w:hAnsi="Times New Roman"/>
          <w:sz w:val="25"/>
          <w:szCs w:val="25"/>
          <w:b w:val="1"/>
          <w:bCs w:val="1"/>
          <w:color w:val="auto"/>
          <w:vertAlign w:val="superscript"/>
        </w:rPr>
        <w:t>1</w:t>
      </w:r>
      <w:r>
        <w:rPr>
          <w:sz w:val="1"/>
          <w:szCs w:val="1"/>
          <w:color w:val="auto"/>
        </w:rPr>
        <w:drawing>
          <wp:inline distT="0" distB="0" distL="0" distR="0">
            <wp:extent cx="147320" cy="14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r>
        <w:rPr>
          <w:rFonts w:ascii="Times New Roman" w:cs="Times New Roman" w:eastAsia="Times New Roman" w:hAnsi="Times New Roman"/>
          <w:sz w:val="20"/>
          <w:szCs w:val="20"/>
          <w:b w:val="1"/>
          <w:bCs w:val="1"/>
          <w:color w:val="auto"/>
        </w:rPr>
        <w:t xml:space="preserve">, Angkita Sharma </w:t>
      </w:r>
      <w:r>
        <w:rPr>
          <w:rFonts w:ascii="Times New Roman" w:cs="Times New Roman" w:eastAsia="Times New Roman" w:hAnsi="Times New Roman"/>
          <w:sz w:val="25"/>
          <w:szCs w:val="25"/>
          <w:b w:val="1"/>
          <w:bCs w:val="1"/>
          <w:color w:val="auto"/>
          <w:vertAlign w:val="superscript"/>
        </w:rPr>
        <w:t>1</w:t>
      </w:r>
      <w:r>
        <w:rPr>
          <w:sz w:val="1"/>
          <w:szCs w:val="1"/>
          <w:color w:val="auto"/>
        </w:rPr>
        <w:drawing>
          <wp:inline distT="0" distB="0" distL="0" distR="0">
            <wp:extent cx="147320" cy="14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r>
        <w:rPr>
          <w:rFonts w:ascii="Times New Roman" w:cs="Times New Roman" w:eastAsia="Times New Roman" w:hAnsi="Times New Roman"/>
          <w:sz w:val="20"/>
          <w:szCs w:val="20"/>
          <w:b w:val="1"/>
          <w:bCs w:val="1"/>
          <w:color w:val="auto"/>
        </w:rPr>
        <w:t xml:space="preserve">, Manobjyoti Bordoloi </w:t>
      </w:r>
      <w:r>
        <w:rPr>
          <w:rFonts w:ascii="Times New Roman" w:cs="Times New Roman" w:eastAsia="Times New Roman" w:hAnsi="Times New Roman"/>
          <w:sz w:val="25"/>
          <w:szCs w:val="25"/>
          <w:b w:val="1"/>
          <w:bCs w:val="1"/>
          <w:color w:val="auto"/>
          <w:vertAlign w:val="superscript"/>
        </w:rPr>
        <w:t>2</w:t>
      </w:r>
      <w:r>
        <w:rPr>
          <w:sz w:val="1"/>
          <w:szCs w:val="1"/>
          <w:color w:val="auto"/>
        </w:rPr>
        <w:drawing>
          <wp:inline distT="0" distB="0" distL="0" distR="0">
            <wp:extent cx="147320" cy="147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r>
        <w:rPr>
          <w:rFonts w:ascii="Times New Roman" w:cs="Times New Roman" w:eastAsia="Times New Roman" w:hAnsi="Times New Roman"/>
          <w:sz w:val="20"/>
          <w:szCs w:val="20"/>
          <w:b w:val="1"/>
          <w:bCs w:val="1"/>
          <w:color w:val="auto"/>
        </w:rPr>
        <w:t xml:space="preserve">, Shoma Paul Nandi </w:t>
      </w:r>
      <w:r>
        <w:rPr>
          <w:rFonts w:ascii="Times New Roman" w:cs="Times New Roman" w:eastAsia="Times New Roman" w:hAnsi="Times New Roman"/>
          <w:sz w:val="25"/>
          <w:szCs w:val="25"/>
          <w:b w:val="1"/>
          <w:bCs w:val="1"/>
          <w:color w:val="auto"/>
          <w:vertAlign w:val="superscript"/>
        </w:rPr>
        <w:t>1,*</w:t>
      </w:r>
      <w:r>
        <w:rPr>
          <w:sz w:val="1"/>
          <w:szCs w:val="1"/>
          <w:color w:val="auto"/>
        </w:rPr>
        <w:drawing>
          <wp:inline distT="0" distB="0" distL="0" distR="0">
            <wp:extent cx="147320" cy="147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p>
    <w:p>
      <w:pPr>
        <w:spacing w:after="0" w:line="170" w:lineRule="exact"/>
        <w:rPr>
          <w:sz w:val="24"/>
          <w:szCs w:val="24"/>
          <w:color w:val="auto"/>
        </w:rPr>
      </w:pPr>
    </w:p>
    <w:p>
      <w:pPr>
        <w:ind w:left="280" w:hanging="280"/>
        <w:spacing w:after="0"/>
        <w:tabs>
          <w:tab w:leader="none" w:pos="280"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Amity Institute of Biotechnology, Amity University, Noida-201313, Uttar Pradesh</w:t>
      </w:r>
    </w:p>
    <w:p>
      <w:pPr>
        <w:spacing w:after="0" w:line="46" w:lineRule="exact"/>
        <w:rPr>
          <w:rFonts w:ascii="Times New Roman" w:cs="Times New Roman" w:eastAsia="Times New Roman" w:hAnsi="Times New Roman"/>
          <w:sz w:val="24"/>
          <w:szCs w:val="24"/>
          <w:color w:val="auto"/>
          <w:vertAlign w:val="superscript"/>
        </w:rPr>
      </w:pPr>
    </w:p>
    <w:p>
      <w:pPr>
        <w:ind w:left="280" w:hanging="280"/>
        <w:spacing w:after="0" w:line="181" w:lineRule="auto"/>
        <w:tabs>
          <w:tab w:leader="none" w:pos="280" w:val="left"/>
        </w:tabs>
        <w:numPr>
          <w:ilvl w:val="0"/>
          <w:numId w:val="1"/>
        </w:numPr>
        <w:rPr>
          <w:rFonts w:ascii="Times New Roman" w:cs="Times New Roman" w:eastAsia="Times New Roman" w:hAnsi="Times New Roman"/>
          <w:sz w:val="22"/>
          <w:szCs w:val="22"/>
          <w:color w:val="auto"/>
          <w:vertAlign w:val="superscript"/>
        </w:rPr>
      </w:pPr>
      <w:r>
        <w:rPr>
          <w:rFonts w:ascii="Times New Roman" w:cs="Times New Roman" w:eastAsia="Times New Roman" w:hAnsi="Times New Roman"/>
          <w:sz w:val="17"/>
          <w:szCs w:val="17"/>
          <w:color w:val="auto"/>
        </w:rPr>
        <w:t>Natural Products Chemistry Division, CSIR-North East Institute of Science and Technology (NEIST); Jorhat-785013,</w:t>
      </w:r>
    </w:p>
    <w:p>
      <w:pPr>
        <w:spacing w:after="0" w:line="269" w:lineRule="exact"/>
        <w:rPr>
          <w:sz w:val="24"/>
          <w:szCs w:val="24"/>
          <w:color w:val="auto"/>
        </w:rPr>
      </w:pPr>
    </w:p>
    <w:p>
      <w:pPr>
        <w:ind w:left="280" w:hanging="280"/>
        <w:spacing w:after="0"/>
        <w:tabs>
          <w:tab w:leader="none" w:pos="280"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Correspondence: spaul@amity.edu;</w:t>
      </w:r>
    </w:p>
    <w:p>
      <w:pPr>
        <w:spacing w:after="0" w:line="31" w:lineRule="exact"/>
        <w:rPr>
          <w:sz w:val="24"/>
          <w:szCs w:val="24"/>
          <w:color w:val="auto"/>
        </w:rPr>
      </w:pPr>
    </w:p>
    <w:p>
      <w:pPr>
        <w:jc w:val="right"/>
        <w:ind w:right="8"/>
        <w:spacing w:after="0"/>
        <w:rPr>
          <w:rFonts w:ascii="Times New Roman" w:cs="Times New Roman" w:eastAsia="Times New Roman" w:hAnsi="Times New Roman"/>
          <w:sz w:val="18"/>
          <w:szCs w:val="18"/>
          <w:color w:val="808080"/>
        </w:rPr>
      </w:pPr>
      <w:r>
        <w:rPr>
          <w:rFonts w:ascii="Times New Roman" w:cs="Times New Roman" w:eastAsia="Times New Roman" w:hAnsi="Times New Roman"/>
          <w:sz w:val="18"/>
          <w:szCs w:val="18"/>
          <w:color w:val="808080"/>
        </w:rPr>
        <w:t xml:space="preserve">Scopus Author ID </w:t>
      </w:r>
      <w:hyperlink r:id="rId14">
        <w:r>
          <w:rPr>
            <w:rFonts w:ascii="Times New Roman" w:cs="Times New Roman" w:eastAsia="Times New Roman" w:hAnsi="Times New Roman"/>
            <w:sz w:val="18"/>
            <w:szCs w:val="18"/>
            <w:color w:val="808080"/>
          </w:rPr>
          <w:t>36731454500</w:t>
        </w:r>
      </w:hyperlink>
    </w:p>
    <w:p>
      <w:pPr>
        <w:spacing w:after="0" w:line="32" w:lineRule="exact"/>
        <w:rPr>
          <w:sz w:val="24"/>
          <w:szCs w:val="24"/>
          <w:color w:val="auto"/>
        </w:rPr>
      </w:pPr>
    </w:p>
    <w:p>
      <w:pPr>
        <w:jc w:val="right"/>
        <w:ind w:right="8"/>
        <w:spacing w:after="0"/>
        <w:rPr>
          <w:sz w:val="20"/>
          <w:szCs w:val="20"/>
          <w:color w:val="auto"/>
        </w:rPr>
      </w:pPr>
      <w:r>
        <w:rPr>
          <w:rFonts w:ascii="Times New Roman" w:cs="Times New Roman" w:eastAsia="Times New Roman" w:hAnsi="Times New Roman"/>
          <w:sz w:val="18"/>
          <w:szCs w:val="18"/>
          <w:b w:val="1"/>
          <w:bCs w:val="1"/>
          <w:color w:val="auto"/>
        </w:rPr>
        <w:t>Received: 10.04.2020; Revised: 5.05.2020; Accepted: 8.05.2020; Published: 13.05.2020</w:t>
      </w:r>
    </w:p>
    <w:p>
      <w:pPr>
        <w:spacing w:after="0" w:line="243" w:lineRule="exact"/>
        <w:rPr>
          <w:sz w:val="24"/>
          <w:szCs w:val="24"/>
          <w:color w:val="auto"/>
        </w:rPr>
      </w:pPr>
    </w:p>
    <w:p>
      <w:pPr>
        <w:jc w:val="both"/>
        <w:ind w:right="8"/>
        <w:spacing w:after="0" w:line="289" w:lineRule="auto"/>
        <w:rPr>
          <w:sz w:val="20"/>
          <w:szCs w:val="20"/>
          <w:color w:val="auto"/>
        </w:rPr>
      </w:pPr>
      <w:r>
        <w:rPr>
          <w:rFonts w:ascii="Times New Roman" w:cs="Times New Roman" w:eastAsia="Times New Roman" w:hAnsi="Times New Roman"/>
          <w:sz w:val="21"/>
          <w:szCs w:val="21"/>
          <w:b w:val="1"/>
          <w:bCs w:val="1"/>
          <w:color w:val="808080"/>
        </w:rPr>
        <w:t xml:space="preserve">Abstract: </w:t>
      </w:r>
      <w:r>
        <w:rPr>
          <w:rFonts w:ascii="Times New Roman" w:cs="Times New Roman" w:eastAsia="Times New Roman" w:hAnsi="Times New Roman"/>
          <w:sz w:val="21"/>
          <w:szCs w:val="21"/>
          <w:color w:val="808080"/>
        </w:rPr>
        <w:t>Endophytes are microorganisms that colonize the tissues of live host plants usually showing</w:t>
      </w:r>
      <w:r>
        <w:rPr>
          <w:rFonts w:ascii="Times New Roman" w:cs="Times New Roman" w:eastAsia="Times New Roman" w:hAnsi="Times New Roman"/>
          <w:sz w:val="21"/>
          <w:szCs w:val="21"/>
          <w:b w:val="1"/>
          <w:bCs w:val="1"/>
          <w:color w:val="808080"/>
        </w:rPr>
        <w:t xml:space="preserve"> </w:t>
      </w:r>
      <w:r>
        <w:rPr>
          <w:rFonts w:ascii="Times New Roman" w:cs="Times New Roman" w:eastAsia="Times New Roman" w:hAnsi="Times New Roman"/>
          <w:sz w:val="21"/>
          <w:szCs w:val="21"/>
          <w:color w:val="808080"/>
        </w:rPr>
        <w:t xml:space="preserve">no apparent symptoms. These endophytes, both bacteria and fungus, can produce a variety of secondary metabolites having a wide range of essential properties. Thus, they can be used for various medicinal, environmental and agronomic purposes. </w:t>
      </w:r>
      <w:r>
        <w:rPr>
          <w:rFonts w:ascii="Times New Roman" w:cs="Times New Roman" w:eastAsia="Times New Roman" w:hAnsi="Times New Roman"/>
          <w:sz w:val="21"/>
          <w:szCs w:val="21"/>
          <w:i w:val="1"/>
          <w:iCs w:val="1"/>
          <w:color w:val="808080"/>
        </w:rPr>
        <w:t>Argemone mexicana</w:t>
      </w:r>
      <w:r>
        <w:rPr>
          <w:rFonts w:ascii="Times New Roman" w:cs="Times New Roman" w:eastAsia="Times New Roman" w:hAnsi="Times New Roman"/>
          <w:sz w:val="21"/>
          <w:szCs w:val="21"/>
          <w:color w:val="808080"/>
        </w:rPr>
        <w:t xml:space="preserve">, a plant of the family </w:t>
      </w:r>
      <w:r>
        <w:rPr>
          <w:rFonts w:ascii="Times New Roman" w:cs="Times New Roman" w:eastAsia="Times New Roman" w:hAnsi="Times New Roman"/>
          <w:sz w:val="21"/>
          <w:szCs w:val="21"/>
          <w:i w:val="1"/>
          <w:iCs w:val="1"/>
          <w:color w:val="808080"/>
        </w:rPr>
        <w:t>Papaveraceae</w:t>
      </w:r>
      <w:r>
        <w:rPr>
          <w:rFonts w:ascii="Times New Roman" w:cs="Times New Roman" w:eastAsia="Times New Roman" w:hAnsi="Times New Roman"/>
          <w:sz w:val="21"/>
          <w:szCs w:val="21"/>
          <w:color w:val="808080"/>
        </w:rPr>
        <w:t xml:space="preserve"> is widespread across India, and blooms in the month of March. The study was carried out to isolate endophytic fungus living in the shoot and root areas of </w:t>
      </w:r>
      <w:r>
        <w:rPr>
          <w:rFonts w:ascii="Times New Roman" w:cs="Times New Roman" w:eastAsia="Times New Roman" w:hAnsi="Times New Roman"/>
          <w:sz w:val="21"/>
          <w:szCs w:val="21"/>
          <w:i w:val="1"/>
          <w:iCs w:val="1"/>
          <w:color w:val="808080"/>
        </w:rPr>
        <w:t>A. mexicana</w:t>
      </w:r>
      <w:r>
        <w:rPr>
          <w:rFonts w:ascii="Times New Roman" w:cs="Times New Roman" w:eastAsia="Times New Roman" w:hAnsi="Times New Roman"/>
          <w:sz w:val="21"/>
          <w:szCs w:val="21"/>
          <w:color w:val="808080"/>
        </w:rPr>
        <w:t xml:space="preserve"> from Northeast India, and to identify and characterize these endophytes. A total of 20 types of fungal species were isolated from both the root and shoot parts of the plant. Endophytes were identified by 18SrDNA sequencing using ITS1 and ITS4 primers. Genomic DNA was isolated using Cetyl trimethyl ammonium bromide method of the endophytes. The endophytic fungi were identified as belonging to </w:t>
      </w:r>
      <w:r>
        <w:rPr>
          <w:rFonts w:ascii="Times New Roman" w:cs="Times New Roman" w:eastAsia="Times New Roman" w:hAnsi="Times New Roman"/>
          <w:sz w:val="21"/>
          <w:szCs w:val="21"/>
          <w:i w:val="1"/>
          <w:iCs w:val="1"/>
          <w:color w:val="808080"/>
        </w:rPr>
        <w:t>Aspergillus</w:t>
      </w:r>
      <w:r>
        <w:rPr>
          <w:rFonts w:ascii="Times New Roman" w:cs="Times New Roman" w:eastAsia="Times New Roman" w:hAnsi="Times New Roman"/>
          <w:sz w:val="21"/>
          <w:szCs w:val="21"/>
          <w:color w:val="808080"/>
        </w:rPr>
        <w:t xml:space="preserve"> and </w:t>
      </w:r>
      <w:r>
        <w:rPr>
          <w:rFonts w:ascii="Times New Roman" w:cs="Times New Roman" w:eastAsia="Times New Roman" w:hAnsi="Times New Roman"/>
          <w:sz w:val="21"/>
          <w:szCs w:val="21"/>
          <w:i w:val="1"/>
          <w:iCs w:val="1"/>
          <w:color w:val="808080"/>
        </w:rPr>
        <w:t>Penicillium</w:t>
      </w:r>
      <w:r>
        <w:rPr>
          <w:rFonts w:ascii="Times New Roman" w:cs="Times New Roman" w:eastAsia="Times New Roman" w:hAnsi="Times New Roman"/>
          <w:sz w:val="21"/>
          <w:szCs w:val="21"/>
          <w:color w:val="808080"/>
        </w:rPr>
        <w:t xml:space="preserve"> sps by using sequence analysis of the internal transcribed spacer region and Basic local alignment search tool. </w:t>
      </w:r>
      <w:r>
        <w:rPr>
          <w:rFonts w:ascii="Times New Roman" w:cs="Times New Roman" w:eastAsia="Times New Roman" w:hAnsi="Times New Roman"/>
          <w:sz w:val="21"/>
          <w:szCs w:val="21"/>
          <w:i w:val="1"/>
          <w:iCs w:val="1"/>
          <w:color w:val="808080"/>
        </w:rPr>
        <w:t xml:space="preserve">Aspergillus oryzaem A. niger, </w:t>
      </w:r>
      <w:r>
        <w:rPr>
          <w:rFonts w:ascii="Times New Roman" w:cs="Times New Roman" w:eastAsia="Times New Roman" w:hAnsi="Times New Roman"/>
          <w:sz w:val="21"/>
          <w:szCs w:val="21"/>
          <w:color w:val="808080"/>
        </w:rPr>
        <w:t>and</w:t>
      </w:r>
      <w:r>
        <w:rPr>
          <w:rFonts w:ascii="Times New Roman" w:cs="Times New Roman" w:eastAsia="Times New Roman" w:hAnsi="Times New Roman"/>
          <w:sz w:val="21"/>
          <w:szCs w:val="21"/>
          <w:i w:val="1"/>
          <w:iCs w:val="1"/>
          <w:color w:val="808080"/>
        </w:rPr>
        <w:t xml:space="preserve"> A. flavus </w:t>
      </w:r>
      <w:r>
        <w:rPr>
          <w:rFonts w:ascii="Times New Roman" w:cs="Times New Roman" w:eastAsia="Times New Roman" w:hAnsi="Times New Roman"/>
          <w:sz w:val="21"/>
          <w:szCs w:val="21"/>
          <w:color w:val="808080"/>
        </w:rPr>
        <w:t>showed 100% relative abundance in root and shoot. A.</w:t>
      </w:r>
      <w:r>
        <w:rPr>
          <w:rFonts w:ascii="Times New Roman" w:cs="Times New Roman" w:eastAsia="Times New Roman" w:hAnsi="Times New Roman"/>
          <w:sz w:val="21"/>
          <w:szCs w:val="21"/>
          <w:i w:val="1"/>
          <w:iCs w:val="1"/>
          <w:color w:val="808080"/>
        </w:rPr>
        <w:t xml:space="preserve"> </w:t>
      </w:r>
      <w:r>
        <w:rPr>
          <w:rFonts w:ascii="Times New Roman" w:cs="Times New Roman" w:eastAsia="Times New Roman" w:hAnsi="Times New Roman"/>
          <w:sz w:val="21"/>
          <w:szCs w:val="21"/>
          <w:color w:val="808080"/>
        </w:rPr>
        <w:t xml:space="preserve">versicolor, A. </w:t>
      </w:r>
      <w:r>
        <w:rPr>
          <w:rFonts w:ascii="Times New Roman" w:cs="Times New Roman" w:eastAsia="Times New Roman" w:hAnsi="Times New Roman"/>
          <w:sz w:val="21"/>
          <w:szCs w:val="21"/>
          <w:i w:val="1"/>
          <w:iCs w:val="1"/>
          <w:color w:val="808080"/>
        </w:rPr>
        <w:t>sydowii, Penicillium chrysogenum</w:t>
      </w:r>
      <w:r>
        <w:rPr>
          <w:rFonts w:ascii="Times New Roman" w:cs="Times New Roman" w:eastAsia="Times New Roman" w:hAnsi="Times New Roman"/>
          <w:sz w:val="21"/>
          <w:szCs w:val="21"/>
          <w:color w:val="808080"/>
        </w:rPr>
        <w:t xml:space="preserve"> were found in root only and </w:t>
      </w:r>
      <w:r>
        <w:rPr>
          <w:rFonts w:ascii="Times New Roman" w:cs="Times New Roman" w:eastAsia="Times New Roman" w:hAnsi="Times New Roman"/>
          <w:sz w:val="21"/>
          <w:szCs w:val="21"/>
          <w:i w:val="1"/>
          <w:iCs w:val="1"/>
          <w:color w:val="808080"/>
        </w:rPr>
        <w:t>A. striatus, A. tubingensis,</w:t>
      </w:r>
      <w:r>
        <w:rPr>
          <w:rFonts w:ascii="Times New Roman" w:cs="Times New Roman" w:eastAsia="Times New Roman" w:hAnsi="Times New Roman"/>
          <w:sz w:val="21"/>
          <w:szCs w:val="21"/>
          <w:color w:val="808080"/>
        </w:rPr>
        <w:t xml:space="preserve"> </w:t>
      </w:r>
      <w:r>
        <w:rPr>
          <w:rFonts w:ascii="Times New Roman" w:cs="Times New Roman" w:eastAsia="Times New Roman" w:hAnsi="Times New Roman"/>
          <w:sz w:val="21"/>
          <w:szCs w:val="21"/>
          <w:i w:val="1"/>
          <w:iCs w:val="1"/>
          <w:color w:val="808080"/>
        </w:rPr>
        <w:t xml:space="preserve">Emericella qinqixianii and E. striata </w:t>
      </w:r>
      <w:r>
        <w:rPr>
          <w:rFonts w:ascii="Times New Roman" w:cs="Times New Roman" w:eastAsia="Times New Roman" w:hAnsi="Times New Roman"/>
          <w:sz w:val="21"/>
          <w:szCs w:val="21"/>
          <w:color w:val="808080"/>
        </w:rPr>
        <w:t>were found in the shoot of</w:t>
      </w:r>
      <w:r>
        <w:rPr>
          <w:rFonts w:ascii="Times New Roman" w:cs="Times New Roman" w:eastAsia="Times New Roman" w:hAnsi="Times New Roman"/>
          <w:sz w:val="21"/>
          <w:szCs w:val="21"/>
          <w:i w:val="1"/>
          <w:iCs w:val="1"/>
          <w:color w:val="808080"/>
        </w:rPr>
        <w:t xml:space="preserve"> A. mexicana.</w:t>
      </w:r>
    </w:p>
    <w:p>
      <w:pPr>
        <w:spacing w:after="0" w:line="201" w:lineRule="exact"/>
        <w:rPr>
          <w:sz w:val="24"/>
          <w:szCs w:val="24"/>
          <w:color w:val="auto"/>
        </w:rPr>
      </w:pPr>
    </w:p>
    <w:p>
      <w:pPr>
        <w:ind w:right="68"/>
        <w:spacing w:after="0" w:line="264" w:lineRule="auto"/>
        <w:rPr>
          <w:sz w:val="20"/>
          <w:szCs w:val="20"/>
          <w:color w:val="auto"/>
        </w:rPr>
      </w:pPr>
      <w:r>
        <w:rPr>
          <w:rFonts w:ascii="Times New Roman" w:cs="Times New Roman" w:eastAsia="Times New Roman" w:hAnsi="Times New Roman"/>
          <w:sz w:val="22"/>
          <w:szCs w:val="22"/>
          <w:b w:val="1"/>
          <w:bCs w:val="1"/>
          <w:color w:val="auto"/>
        </w:rPr>
        <w:t xml:space="preserve">Keywords: </w:t>
      </w:r>
      <w:r>
        <w:rPr>
          <w:rFonts w:ascii="Times New Roman" w:cs="Times New Roman" w:eastAsia="Times New Roman" w:hAnsi="Times New Roman"/>
          <w:sz w:val="22"/>
          <w:szCs w:val="22"/>
          <w:color w:val="auto"/>
        </w:rPr>
        <w:t>Medicinal plant; fungal endophytes; molecular characterization;</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i w:val="1"/>
          <w:iCs w:val="1"/>
          <w:color w:val="auto"/>
        </w:rPr>
        <w:t>Aspergillus</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i w:val="1"/>
          <w:iCs w:val="1"/>
          <w:color w:val="auto"/>
        </w:rPr>
        <w:t>Penicillium</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18SrDNA; Rose Bengal Base Agar.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-18415</wp:posOffset>
            </wp:positionH>
            <wp:positionV relativeFrom="paragraph">
              <wp:posOffset>22225</wp:posOffset>
            </wp:positionV>
            <wp:extent cx="5770880" cy="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34" w:lineRule="exact"/>
        <w:rPr>
          <w:sz w:val="24"/>
          <w:szCs w:val="24"/>
          <w:color w:val="auto"/>
        </w:rPr>
      </w:pPr>
    </w:p>
    <w:p>
      <w:pPr>
        <w:jc w:val="both"/>
        <w:ind w:right="8"/>
        <w:spacing w:after="0" w:line="265" w:lineRule="auto"/>
        <w:rPr>
          <w:rFonts w:ascii="Times New Roman" w:cs="Times New Roman" w:eastAsia="Times New Roman" w:hAnsi="Times New Roman"/>
          <w:sz w:val="18"/>
          <w:szCs w:val="18"/>
          <w:color w:val="808080"/>
        </w:rPr>
      </w:pPr>
      <w:r>
        <w:rPr>
          <w:rFonts w:ascii="Times New Roman" w:cs="Times New Roman" w:eastAsia="Times New Roman" w:hAnsi="Times New Roman"/>
          <w:sz w:val="18"/>
          <w:szCs w:val="18"/>
          <w:color w:val="808080"/>
        </w:rPr>
        <w:t xml:space="preserve">© 2020 by the authors. This article is an open access article distributed under the terms and conditions of the Creative Commons Attribution (CC BY) license </w:t>
      </w:r>
      <w:hyperlink r:id="rId16">
        <w:r>
          <w:rPr>
            <w:rFonts w:ascii="Times New Roman" w:cs="Times New Roman" w:eastAsia="Times New Roman" w:hAnsi="Times New Roman"/>
            <w:sz w:val="18"/>
            <w:szCs w:val="18"/>
            <w:color w:val="808080"/>
          </w:rPr>
          <w:t>(https://creativecommons.org/licenses/by/4.0/)</w:t>
        </w:r>
      </w:hyperlink>
      <w:r>
        <w:rPr>
          <w:rFonts w:ascii="Times New Roman" w:cs="Times New Roman" w:eastAsia="Times New Roman" w:hAnsi="Times New Roman"/>
          <w:sz w:val="18"/>
          <w:szCs w:val="18"/>
          <w:color w:val="808080"/>
        </w:rPr>
        <w:t>.</w:t>
      </w:r>
    </w:p>
    <w:p>
      <w:pPr>
        <w:spacing w:after="0" w:line="24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Introduction</w:t>
      </w:r>
    </w:p>
    <w:p>
      <w:pPr>
        <w:spacing w:after="0" w:line="253" w:lineRule="exact"/>
        <w:rPr>
          <w:sz w:val="24"/>
          <w:szCs w:val="24"/>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Endophytes (fungal and bacterial) thrive in the intercellular spaces, cortex, epidermis, endodermis and vascular bundles of the host plant tissues and also inside the cells (symplasts) which causes no visible damage [1]. Thus, an association between endophytes and their host plants is considered as a symbiosis. Plants having endophytes have advantages such as defenses against pathogens and herbivores, plant growth promotion by helping in the production of growth hormones and production of secondary metabolites [2-3]. Moreover, the endophyte increases to improved resource availability [4].</w:t>
      </w:r>
    </w:p>
    <w:p>
      <w:pPr>
        <w:spacing w:after="0" w:line="17" w:lineRule="exact"/>
        <w:rPr>
          <w:sz w:val="24"/>
          <w:szCs w:val="24"/>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 xml:space="preserve">The </w:t>
      </w:r>
      <w:r>
        <w:rPr>
          <w:rFonts w:ascii="Times New Roman" w:cs="Times New Roman" w:eastAsia="Times New Roman" w:hAnsi="Times New Roman"/>
          <w:sz w:val="23"/>
          <w:szCs w:val="23"/>
          <w:i w:val="1"/>
          <w:iCs w:val="1"/>
          <w:color w:val="auto"/>
        </w:rPr>
        <w:t>Papaveraceae</w:t>
      </w:r>
      <w:r>
        <w:rPr>
          <w:rFonts w:ascii="Times New Roman" w:cs="Times New Roman" w:eastAsia="Times New Roman" w:hAnsi="Times New Roman"/>
          <w:sz w:val="23"/>
          <w:szCs w:val="23"/>
          <w:color w:val="auto"/>
        </w:rPr>
        <w:t xml:space="preserve"> family of the plant kingdom includes consists around 775 species in 42 genera. </w:t>
      </w:r>
      <w:r>
        <w:rPr>
          <w:rFonts w:ascii="Times New Roman" w:cs="Times New Roman" w:eastAsia="Times New Roman" w:hAnsi="Times New Roman"/>
          <w:sz w:val="23"/>
          <w:szCs w:val="23"/>
          <w:i w:val="1"/>
          <w:iCs w:val="1"/>
          <w:color w:val="auto"/>
        </w:rPr>
        <w:t>Argemone Mexicana</w:t>
      </w:r>
      <w:r>
        <w:rPr>
          <w:rFonts w:ascii="Times New Roman" w:cs="Times New Roman" w:eastAsia="Times New Roman" w:hAnsi="Times New Roman"/>
          <w:sz w:val="23"/>
          <w:szCs w:val="23"/>
          <w:color w:val="auto"/>
        </w:rPr>
        <w:t xml:space="preserve"> is considered an important commercial property, which mainly concerns medical applications including rheumatism, tumors, inflammations, skin diseases, leprosy, jaundice microbial infections, etc [5]. It is commonly known as ‘Mexican prickly poppy’ or ‘Satyanashi’. It is an herb with yellow flower. The height differs between 0.3 to</w:t>
      </w:r>
    </w:p>
    <w:p>
      <w:pPr>
        <w:spacing w:after="0" w:line="177" w:lineRule="exact"/>
        <w:rPr>
          <w:sz w:val="24"/>
          <w:szCs w:val="24"/>
          <w:color w:val="auto"/>
        </w:rPr>
      </w:pPr>
    </w:p>
    <w:tbl>
      <w:tblPr>
        <w:tblLayout w:type="fixed"/>
        <w:tblInd w:w="60" w:type="dxa"/>
        <w:tblCellMar>
          <w:top w:w="0" w:type="dxa"/>
          <w:left w:w="0" w:type="dxa"/>
          <w:bottom w:w="0" w:type="dxa"/>
          <w:right w:w="0" w:type="dxa"/>
        </w:tblCellMar>
      </w:tblPr>
      <w:tr>
        <w:trPr>
          <w:trHeight w:val="271"/>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7">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6436</w:t>
            </w:r>
          </w:p>
        </w:tc>
      </w:tr>
    </w:tbl>
    <w:p>
      <w:pPr>
        <w:sectPr>
          <w:pgSz w:w="11900" w:h="16840" w:orient="portrait"/>
          <w:cols w:equalWidth="0" w:num="1">
            <w:col w:w="9028"/>
          </w:cols>
          <w:pgMar w:left="1440" w:top="1439" w:right="1440" w:bottom="105" w:gutter="0" w:footer="0" w:header="0"/>
        </w:sectPr>
      </w:pPr>
    </w:p>
    <w:bookmarkStart w:id="1" w:name="page2"/>
    <w:bookmarkEnd w:id="1"/>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https://doi.org/10.33263/BRIAC105.64366443</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13335</wp:posOffset>
            </wp:positionV>
            <wp:extent cx="5770880" cy="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253" w:lineRule="exact"/>
        <w:rPr>
          <w:sz w:val="20"/>
          <w:szCs w:val="20"/>
          <w:color w:val="auto"/>
        </w:rPr>
      </w:pPr>
    </w:p>
    <w:p>
      <w:pPr>
        <w:jc w:val="both"/>
        <w:ind w:right="8"/>
        <w:spacing w:after="0" w:line="274" w:lineRule="auto"/>
        <w:rPr>
          <w:sz w:val="20"/>
          <w:szCs w:val="20"/>
          <w:color w:val="auto"/>
        </w:rPr>
      </w:pPr>
      <w:r>
        <w:rPr>
          <w:rFonts w:ascii="Times New Roman" w:cs="Times New Roman" w:eastAsia="Times New Roman" w:hAnsi="Times New Roman"/>
          <w:sz w:val="24"/>
          <w:szCs w:val="24"/>
          <w:color w:val="auto"/>
        </w:rPr>
        <w:t xml:space="preserve">0.12m long. Its leaves are sessile, sinuately, semi-amplexicaul, spiny on margins and pinnatified. Various plant parts of </w:t>
      </w:r>
      <w:r>
        <w:rPr>
          <w:rFonts w:ascii="Times New Roman" w:cs="Times New Roman" w:eastAsia="Times New Roman" w:hAnsi="Times New Roman"/>
          <w:sz w:val="24"/>
          <w:szCs w:val="24"/>
          <w:i w:val="1"/>
          <w:iCs w:val="1"/>
          <w:color w:val="auto"/>
        </w:rPr>
        <w:t>A. mexicana</w:t>
      </w:r>
      <w:r>
        <w:rPr>
          <w:rFonts w:ascii="Times New Roman" w:cs="Times New Roman" w:eastAsia="Times New Roman" w:hAnsi="Times New Roman"/>
          <w:sz w:val="24"/>
          <w:szCs w:val="24"/>
          <w:color w:val="auto"/>
        </w:rPr>
        <w:t xml:space="preserve"> have medicinal properties and also reported to have potent narcotic and emetic abilities. One of the added advantages of using this plant for the study is its easy availability, along with its tolerance to drought and poor soil. This plant, originally from Mexico, is now naturalized in many places over the globe; it is found by roadsides and fi</w:t>
      </w:r>
      <w:r>
        <w:rPr>
          <w:rFonts w:ascii="Times New Roman" w:cs="Times New Roman" w:eastAsia="Times New Roman" w:hAnsi="Times New Roman"/>
          <w:sz w:val="24"/>
          <w:szCs w:val="24"/>
          <w:color w:val="auto"/>
        </w:rPr>
        <w:t>elds across India and many parts of the USA. Plant’s metabolism, colonizing</w:t>
      </w:r>
      <w:r>
        <w:rPr>
          <w:rFonts w:ascii="Times New Roman" w:cs="Times New Roman" w:eastAsia="Times New Roman" w:hAnsi="Times New Roman"/>
          <w:sz w:val="24"/>
          <w:szCs w:val="24"/>
          <w:color w:val="auto"/>
        </w:rPr>
        <w:t xml:space="preserve"> symbiotic, or even parasitic microbes contribute significantly to secondary metabolite production and thus aid to medicinal, agronomic and environmental properties of these plants. Most of the important terpenoids, tannins, sterols, alkaloids, etc are found in it [6].</w:t>
      </w:r>
    </w:p>
    <w:p>
      <w:pPr>
        <w:spacing w:after="0" w:line="21" w:lineRule="exact"/>
        <w:rPr>
          <w:sz w:val="20"/>
          <w:szCs w:val="20"/>
          <w:color w:val="auto"/>
        </w:rPr>
      </w:pPr>
    </w:p>
    <w:p>
      <w:pPr>
        <w:jc w:val="both"/>
        <w:ind w:right="8" w:firstLine="720"/>
        <w:spacing w:after="0" w:line="288" w:lineRule="auto"/>
        <w:rPr>
          <w:sz w:val="20"/>
          <w:szCs w:val="20"/>
          <w:color w:val="auto"/>
        </w:rPr>
      </w:pPr>
      <w:r>
        <w:rPr>
          <w:rFonts w:ascii="Times New Roman" w:cs="Times New Roman" w:eastAsia="Times New Roman" w:hAnsi="Times New Roman"/>
          <w:sz w:val="23"/>
          <w:szCs w:val="23"/>
          <w:color w:val="auto"/>
        </w:rPr>
        <w:t>Endophytic fungi are found mostly in terrestrial habitats that have vital economical and ecological roles in their host plant communities. They have complex relations with their host plants and also talk with other endophytes that live in the same plant [7]. Endophytes have been known as a rich source for producing secondary metabolites. Certain endophytes have evolved to mimic plant defense compounds and secondary metabolites [7]. Such secondary metabolites have great chemical variability and uncountable pharmaceutical and biotechnological properties. They have antibacterial, antiviral and antifungal properties. Apart from its antimicrobial properties, certain secondary metabolite is immune-stimulating compounds including phomoxanthone A, a compound known to increase the quantity macrophages, activated murine T lymphocytes, Jurkat T lymphocytes and Natural Killer (NK) cells</w:t>
      </w:r>
    </w:p>
    <w:p>
      <w:pPr>
        <w:ind w:right="8"/>
        <w:spacing w:after="0" w:line="288" w:lineRule="auto"/>
        <w:tabs>
          <w:tab w:leader="none" w:pos="401" w:val="left"/>
        </w:tabs>
        <w:numPr>
          <w:ilvl w:val="0"/>
          <w:numId w:val="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Additionally, endophytic fungal secondary metabolites showed the presence of glucosides, tannins, and flavonoids that increases neutrophil phagocytic activity in human beings.</w:t>
      </w:r>
    </w:p>
    <w:p>
      <w:pPr>
        <w:jc w:val="both"/>
        <w:ind w:right="8" w:firstLine="720"/>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The aim of this research was to perform an identification of the taxonomy and to determine the phylogenetic relatedness and ecological parameters of the endophytic fungal communities, which colonize the root and shoot of </w:t>
      </w:r>
      <w:r>
        <w:rPr>
          <w:rFonts w:ascii="Times New Roman" w:cs="Times New Roman" w:eastAsia="Times New Roman" w:hAnsi="Times New Roman"/>
          <w:sz w:val="24"/>
          <w:szCs w:val="24"/>
          <w:i w:val="1"/>
          <w:iCs w:val="1"/>
          <w:color w:val="auto"/>
        </w:rPr>
        <w:t>A. Mexicana</w:t>
      </w:r>
      <w:r>
        <w:rPr>
          <w:rFonts w:ascii="Times New Roman" w:cs="Times New Roman" w:eastAsia="Times New Roman" w:hAnsi="Times New Roman"/>
          <w:sz w:val="24"/>
          <w:szCs w:val="24"/>
          <w:color w:val="auto"/>
        </w:rPr>
        <w:t xml:space="preserve"> plant.</w:t>
      </w: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Materials and Methods</w:t>
      </w:r>
    </w:p>
    <w:p>
      <w:pPr>
        <w:spacing w:after="0" w:line="24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2.1. Sample collection site.</w:t>
      </w:r>
    </w:p>
    <w:p>
      <w:pPr>
        <w:spacing w:after="0" w:line="250" w:lineRule="exact"/>
        <w:rPr>
          <w:sz w:val="20"/>
          <w:szCs w:val="20"/>
          <w:color w:val="auto"/>
        </w:rPr>
      </w:pPr>
    </w:p>
    <w:p>
      <w:pPr>
        <w:jc w:val="both"/>
        <w:ind w:right="8" w:firstLine="720"/>
        <w:spacing w:after="0" w:line="272" w:lineRule="auto"/>
        <w:rPr>
          <w:sz w:val="20"/>
          <w:szCs w:val="20"/>
          <w:color w:val="auto"/>
        </w:rPr>
      </w:pPr>
      <w:r>
        <w:rPr>
          <w:rFonts w:ascii="Times New Roman" w:cs="Times New Roman" w:eastAsia="Times New Roman" w:hAnsi="Times New Roman"/>
          <w:sz w:val="24"/>
          <w:szCs w:val="24"/>
          <w:i w:val="1"/>
          <w:iCs w:val="1"/>
          <w:color w:val="auto"/>
        </w:rPr>
        <w:t xml:space="preserve">A. mexicana </w:t>
      </w:r>
      <w:r>
        <w:rPr>
          <w:rFonts w:ascii="Times New Roman" w:cs="Times New Roman" w:eastAsia="Times New Roman" w:hAnsi="Times New Roman"/>
          <w:sz w:val="24"/>
          <w:szCs w:val="24"/>
          <w:color w:val="auto"/>
        </w:rPr>
        <w:t>plants were collected from Brahmaputra bank, Assam, India. Samples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were aseptically transferred into separate zipped sterile polythene bags and brought back to the laboratory at room temperature [9]. The samples were then washed using tap water to remove debris and kept at 4°C before use.</w:t>
      </w:r>
    </w:p>
    <w:p>
      <w:pPr>
        <w:spacing w:after="0" w:line="24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2.2. Isolation of endophytes.</w:t>
      </w:r>
    </w:p>
    <w:p>
      <w:pPr>
        <w:spacing w:after="0" w:line="250"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 xml:space="preserve">Endophytes were isolated from </w:t>
      </w:r>
      <w:r>
        <w:rPr>
          <w:rFonts w:ascii="Times New Roman" w:cs="Times New Roman" w:eastAsia="Times New Roman" w:hAnsi="Times New Roman"/>
          <w:sz w:val="24"/>
          <w:szCs w:val="24"/>
          <w:i w:val="1"/>
          <w:iCs w:val="1"/>
          <w:color w:val="auto"/>
        </w:rPr>
        <w:t>A. mexicana</w:t>
      </w:r>
      <w:r>
        <w:rPr>
          <w:rFonts w:ascii="Times New Roman" w:cs="Times New Roman" w:eastAsia="Times New Roman" w:hAnsi="Times New Roman"/>
          <w:sz w:val="24"/>
          <w:szCs w:val="24"/>
          <w:color w:val="auto"/>
        </w:rPr>
        <w:t xml:space="preserve"> plant using standard protocol. Surface sterilization was done with 70% ethanol, sterile water and 4% sodium hypochlorite solution. The plant roots were chopped into segments of 1-2 cm in length. This whole procedure was carried out in laminar air flow. Plant segments were rinsed with 75% ethanol for 1 min and then with 4% sodium hypochlorite solution for 10 min. This was followed by immersing the segments in 75% ethanol for 1 min. Finally, all the plant segments were rinsed thrice with sterilized distilled water and were allowed to air dry. The roots were then crushed by sterile mortar &amp; pestle in 1ml sterile distilled water and the 100µl of the plant extract was added on </w:t>
      </w:r>
      <w:r>
        <w:rPr>
          <w:rFonts w:ascii="Times New Roman" w:cs="Times New Roman" w:eastAsia="Times New Roman" w:hAnsi="Times New Roman"/>
          <w:sz w:val="24"/>
          <w:szCs w:val="24"/>
          <w:color w:val="auto"/>
        </w:rPr>
        <w:t xml:space="preserve">the Rose Bengal Base Agar (RBBA) media plates (containing 100 μg/mL streptomycin). The </w:t>
      </w:r>
      <w:r>
        <w:rPr>
          <w:rFonts w:ascii="Times New Roman" w:cs="Times New Roman" w:eastAsia="Times New Roman" w:hAnsi="Times New Roman"/>
          <w:sz w:val="24"/>
          <w:szCs w:val="24"/>
          <w:color w:val="auto"/>
        </w:rPr>
        <w:t>plates were incubated at 28ºC for one week [10].</w:t>
      </w:r>
    </w:p>
    <w:p>
      <w:pPr>
        <w:spacing w:after="0" w:line="396" w:lineRule="exact"/>
        <w:rPr>
          <w:sz w:val="20"/>
          <w:szCs w:val="20"/>
          <w:color w:val="auto"/>
        </w:rPr>
      </w:pPr>
    </w:p>
    <w:tbl>
      <w:tblPr>
        <w:tblLayout w:type="fixed"/>
        <w:tblInd w:w="60" w:type="dxa"/>
        <w:tblCellMar>
          <w:top w:w="0" w:type="dxa"/>
          <w:left w:w="0" w:type="dxa"/>
          <w:bottom w:w="0" w:type="dxa"/>
          <w:right w:w="0" w:type="dxa"/>
        </w:tblCellMar>
      </w:tblPr>
      <w:tr>
        <w:trPr>
          <w:trHeight w:val="274"/>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7">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6437</w:t>
            </w:r>
          </w:p>
        </w:tc>
      </w:tr>
    </w:tbl>
    <w:p>
      <w:pPr>
        <w:sectPr>
          <w:pgSz w:w="11900" w:h="16840" w:orient="portrait"/>
          <w:cols w:equalWidth="0" w:num="1">
            <w:col w:w="9028"/>
          </w:cols>
          <w:pgMar w:left="1440" w:top="959" w:right="1440" w:bottom="117" w:gutter="0" w:footer="0" w:header="0"/>
        </w:sectPr>
      </w:pPr>
    </w:p>
    <w:bookmarkStart w:id="2" w:name="page3"/>
    <w:bookmarkEnd w:id="2"/>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https://doi.org/10.33263/BRIAC105.64366443</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13335</wp:posOffset>
            </wp:positionV>
            <wp:extent cx="5770880" cy="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253" w:lineRule="exact"/>
        <w:rPr>
          <w:sz w:val="20"/>
          <w:szCs w:val="20"/>
          <w:color w:val="auto"/>
        </w:rPr>
      </w:pPr>
    </w:p>
    <w:p>
      <w:pPr>
        <w:jc w:val="both"/>
        <w:ind w:right="8" w:firstLine="720"/>
        <w:spacing w:after="0" w:line="270" w:lineRule="auto"/>
        <w:rPr>
          <w:sz w:val="20"/>
          <w:szCs w:val="20"/>
          <w:color w:val="auto"/>
        </w:rPr>
      </w:pPr>
      <w:r>
        <w:rPr>
          <w:rFonts w:ascii="Times New Roman" w:cs="Times New Roman" w:eastAsia="Times New Roman" w:hAnsi="Times New Roman"/>
          <w:sz w:val="24"/>
          <w:szCs w:val="24"/>
          <w:color w:val="auto"/>
        </w:rPr>
        <w:t>After visualization of fungus colonies on the mother culture plate, the hyphal tip of the fungus was collected and transferred on separate RBBA media plate and incubated at 28°C, and this process was repeated till the culture is pure obtain a pure culture.</w:t>
      </w:r>
    </w:p>
    <w:p>
      <w:pPr>
        <w:spacing w:after="0" w:line="24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2.3. DNA isolation.</w:t>
      </w:r>
    </w:p>
    <w:p>
      <w:pPr>
        <w:spacing w:after="0" w:line="251" w:lineRule="exact"/>
        <w:rPr>
          <w:sz w:val="20"/>
          <w:szCs w:val="20"/>
          <w:color w:val="auto"/>
        </w:rPr>
      </w:pPr>
    </w:p>
    <w:p>
      <w:pPr>
        <w:jc w:val="both"/>
        <w:ind w:right="8" w:firstLine="720"/>
        <w:spacing w:after="0" w:line="272" w:lineRule="auto"/>
        <w:rPr>
          <w:sz w:val="20"/>
          <w:szCs w:val="20"/>
          <w:color w:val="auto"/>
        </w:rPr>
      </w:pPr>
      <w:r>
        <w:rPr>
          <w:rFonts w:ascii="Times New Roman" w:cs="Times New Roman" w:eastAsia="Times New Roman" w:hAnsi="Times New Roman"/>
          <w:sz w:val="24"/>
          <w:szCs w:val="24"/>
          <w:color w:val="auto"/>
        </w:rPr>
        <w:t>DNA isolation of the fungal isolates was done using the Cetyl trimethyl ammonium bromide (CTAB) method. After DNA pellet obtained was washed with ethanol (75%) and was centrifuged at 10,000 rpm for 10 min at 4°C, The DNA pellet was dried and dissolved in 200 µl of distilled water.</w:t>
      </w:r>
    </w:p>
    <w:p>
      <w:pPr>
        <w:spacing w:after="0" w:line="17" w:lineRule="exact"/>
        <w:rPr>
          <w:sz w:val="20"/>
          <w:szCs w:val="20"/>
          <w:color w:val="auto"/>
        </w:rPr>
      </w:pPr>
    </w:p>
    <w:p>
      <w:pPr>
        <w:jc w:val="both"/>
        <w:ind w:right="8" w:firstLine="720"/>
        <w:spacing w:after="0" w:line="288" w:lineRule="auto"/>
        <w:rPr>
          <w:sz w:val="20"/>
          <w:szCs w:val="20"/>
          <w:color w:val="auto"/>
        </w:rPr>
      </w:pPr>
      <w:r>
        <w:rPr>
          <w:rFonts w:ascii="Times New Roman" w:cs="Times New Roman" w:eastAsia="Times New Roman" w:hAnsi="Times New Roman"/>
          <w:sz w:val="23"/>
          <w:szCs w:val="23"/>
          <w:color w:val="auto"/>
        </w:rPr>
        <w:t>DNA isolation of the fungal isolates was done using the Cetyl trimethyl ammonium bromide (CTAB) method of DNA isolation. Pestle and mortars were pre-cooled at 4°C and 1gm of sample was submerged in alcohol (absolute) for 30minute. After that alcohol was allowed to evaporate. The 5gm mycelium was ground to a fine powder with sterile mortar &amp; pestle and transfer to a plastic sterile tube. The pre-warmed isolation buffer (10 ml) was added to fine powder and mixed properly then it was incubated for 60 min at 65°C with occasional stirring. After incubation, tubes were left at room temperature for a few mins for cooling. Ten ml of chloroform: isoamyl alcohol (24: 1) was added to mixture and mixed properly. Centrifuge was done at 10,000 rpm for 20 mins at room temperature (24°C). After centrifugation, the supernatant was transferred to fresh tube. Ice- cold isopropanol (0.6 volume) and 3M sodium acetate (0.1 volume) were added to the aqueous phase and incubated at -20°C for 30 mins. Reaction mixture was centrifuged at 10,000 rpm for 10 min at 4°C after incubation, and then the aqueous phase was discarded. DNA pellet was obtained and was washed with ethanol (75%) and was centrifuged at 10,000 rpm for 10 min at 4°C, the aqueous phase was discarded. The DNA pellet was dried and dissolved in 200 µl of distilled water.</w:t>
      </w:r>
    </w:p>
    <w:p>
      <w:pPr>
        <w:spacing w:after="0" w:line="22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2.4. PCR amplification.</w:t>
      </w:r>
    </w:p>
    <w:p>
      <w:pPr>
        <w:spacing w:after="0" w:line="250" w:lineRule="exact"/>
        <w:rPr>
          <w:sz w:val="20"/>
          <w:szCs w:val="20"/>
          <w:color w:val="auto"/>
        </w:rPr>
      </w:pPr>
    </w:p>
    <w:p>
      <w:pPr>
        <w:jc w:val="both"/>
        <w:ind w:right="8" w:firstLine="720"/>
        <w:spacing w:after="0" w:line="273" w:lineRule="auto"/>
        <w:rPr>
          <w:sz w:val="20"/>
          <w:szCs w:val="20"/>
          <w:color w:val="auto"/>
        </w:rPr>
      </w:pPr>
      <w:r>
        <w:rPr>
          <w:rFonts w:ascii="Times New Roman" w:cs="Times New Roman" w:eastAsia="Times New Roman" w:hAnsi="Times New Roman"/>
          <w:sz w:val="24"/>
          <w:szCs w:val="24"/>
          <w:color w:val="auto"/>
        </w:rPr>
        <w:t>Fungal DNA was multiplied using 18s rRNA gene primers [11]. ITS1F (5′-TCCGTAGGTGAACCTGCGG) primer and ITS4R (5′-TCCTCCGCTTATTGATATGC) primer [11]. The amplified genes were sequenced by a commercial company with a Chromous Biotech Pvt. Ltd., Bangalore, India. The obtained sequence data were aligned by using the BLAST software (http://blast.ncbi.nlm.nih.gov) algorithm at NCBI.</w:t>
      </w:r>
    </w:p>
    <w:p>
      <w:pPr>
        <w:spacing w:after="0" w:line="24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Results and Discussion</w:t>
      </w:r>
    </w:p>
    <w:p>
      <w:pPr>
        <w:spacing w:after="0" w:line="253" w:lineRule="exact"/>
        <w:rPr>
          <w:sz w:val="20"/>
          <w:szCs w:val="20"/>
          <w:color w:val="auto"/>
        </w:rPr>
      </w:pPr>
    </w:p>
    <w:p>
      <w:pPr>
        <w:ind w:right="108" w:firstLine="720"/>
        <w:spacing w:after="0" w:line="273" w:lineRule="auto"/>
        <w:rPr>
          <w:sz w:val="20"/>
          <w:szCs w:val="20"/>
          <w:color w:val="auto"/>
        </w:rPr>
      </w:pPr>
      <w:r>
        <w:rPr>
          <w:rFonts w:ascii="Times New Roman" w:cs="Times New Roman" w:eastAsia="Times New Roman" w:hAnsi="Times New Roman"/>
          <w:sz w:val="24"/>
          <w:szCs w:val="24"/>
          <w:color w:val="auto"/>
        </w:rPr>
        <w:t xml:space="preserve">The total 8 types of endophytic fungi from the root and 12 types from the shoot were isolated from </w:t>
      </w:r>
      <w:r>
        <w:rPr>
          <w:rFonts w:ascii="Times New Roman" w:cs="Times New Roman" w:eastAsia="Times New Roman" w:hAnsi="Times New Roman"/>
          <w:sz w:val="24"/>
          <w:szCs w:val="24"/>
          <w:i w:val="1"/>
          <w:iCs w:val="1"/>
          <w:color w:val="auto"/>
        </w:rPr>
        <w:t>A. mexicana Aspergillus</w:t>
      </w:r>
      <w:r>
        <w:rPr>
          <w:rFonts w:ascii="Times New Roman" w:cs="Times New Roman" w:eastAsia="Times New Roman" w:hAnsi="Times New Roman"/>
          <w:sz w:val="24"/>
          <w:szCs w:val="24"/>
          <w:color w:val="auto"/>
        </w:rPr>
        <w:t xml:space="preserve"> sp., </w:t>
      </w:r>
      <w:r>
        <w:rPr>
          <w:rFonts w:ascii="Times New Roman" w:cs="Times New Roman" w:eastAsia="Times New Roman" w:hAnsi="Times New Roman"/>
          <w:sz w:val="24"/>
          <w:szCs w:val="24"/>
          <w:i w:val="1"/>
          <w:iCs w:val="1"/>
          <w:color w:val="auto"/>
        </w:rPr>
        <w:t>Penicillium</w:t>
      </w:r>
      <w:r>
        <w:rPr>
          <w:rFonts w:ascii="Times New Roman" w:cs="Times New Roman" w:eastAsia="Times New Roman" w:hAnsi="Times New Roman"/>
          <w:sz w:val="24"/>
          <w:szCs w:val="24"/>
          <w:color w:val="auto"/>
        </w:rPr>
        <w:t xml:space="preserve"> sp. (Fig.1) and </w:t>
      </w:r>
      <w:r>
        <w:rPr>
          <w:rFonts w:ascii="Times New Roman" w:cs="Times New Roman" w:eastAsia="Times New Roman" w:hAnsi="Times New Roman"/>
          <w:sz w:val="24"/>
          <w:szCs w:val="24"/>
          <w:i w:val="1"/>
          <w:iCs w:val="1"/>
          <w:color w:val="auto"/>
        </w:rPr>
        <w:t>Emericella sp.</w:t>
      </w:r>
      <w:r>
        <w:rPr>
          <w:rFonts w:ascii="Times New Roman" w:cs="Times New Roman" w:eastAsia="Times New Roman" w:hAnsi="Times New Roman"/>
          <w:sz w:val="24"/>
          <w:szCs w:val="24"/>
          <w:color w:val="auto"/>
        </w:rPr>
        <w:t xml:space="preserve"> were identified (Fig. 1). The strains of fungal isolates found in </w:t>
      </w:r>
      <w:r>
        <w:rPr>
          <w:rFonts w:ascii="Times New Roman" w:cs="Times New Roman" w:eastAsia="Times New Roman" w:hAnsi="Times New Roman"/>
          <w:sz w:val="24"/>
          <w:szCs w:val="24"/>
          <w:i w:val="1"/>
          <w:iCs w:val="1"/>
          <w:color w:val="auto"/>
        </w:rPr>
        <w:t>A. mexicana</w:t>
      </w:r>
      <w:r>
        <w:rPr>
          <w:rFonts w:ascii="Times New Roman" w:cs="Times New Roman" w:eastAsia="Times New Roman" w:hAnsi="Times New Roman"/>
          <w:sz w:val="24"/>
          <w:szCs w:val="24"/>
          <w:color w:val="auto"/>
        </w:rPr>
        <w:t xml:space="preserve"> plant roots and shoots are given in Table 1. The relative abundance of the fungal strains in both the root and shoot parts of the plant are shown in Fig. 2 and Fig. 3.</w:t>
      </w:r>
    </w:p>
    <w:p>
      <w:pPr>
        <w:spacing w:after="0" w:line="18" w:lineRule="exact"/>
        <w:rPr>
          <w:sz w:val="20"/>
          <w:szCs w:val="20"/>
          <w:color w:val="auto"/>
        </w:rPr>
      </w:pPr>
    </w:p>
    <w:p>
      <w:pPr>
        <w:jc w:val="both"/>
        <w:ind w:right="8" w:firstLine="720"/>
        <w:spacing w:after="0" w:line="273" w:lineRule="auto"/>
        <w:rPr>
          <w:sz w:val="20"/>
          <w:szCs w:val="20"/>
          <w:color w:val="auto"/>
        </w:rPr>
      </w:pPr>
      <w:r>
        <w:rPr>
          <w:rFonts w:ascii="Times New Roman" w:cs="Times New Roman" w:eastAsia="Times New Roman" w:hAnsi="Times New Roman"/>
          <w:sz w:val="24"/>
          <w:szCs w:val="24"/>
          <w:color w:val="auto"/>
        </w:rPr>
        <w:t>Neighbor-Joining method was used to check the evolutionary history [12]. The bootstrap tree was inferred from a 1000 replicates [13]. Those branches that correspond to partitions that are repeated in less than 50% replicates are collapsed. Maximum Composite Likelihood method was used to check the evolutionary distances [14]. This analysis involved as many as nine nucleotide sequences. The evolutionary analyses were conducted in MEGA X [15], are shown in Fig. 4 and Fig. 5.</w:t>
      </w:r>
    </w:p>
    <w:p>
      <w:pPr>
        <w:spacing w:after="0" w:line="153" w:lineRule="exact"/>
        <w:rPr>
          <w:sz w:val="20"/>
          <w:szCs w:val="20"/>
          <w:color w:val="auto"/>
        </w:rPr>
      </w:pPr>
    </w:p>
    <w:tbl>
      <w:tblPr>
        <w:tblLayout w:type="fixed"/>
        <w:tblInd w:w="60" w:type="dxa"/>
        <w:tblCellMar>
          <w:top w:w="0" w:type="dxa"/>
          <w:left w:w="0" w:type="dxa"/>
          <w:bottom w:w="0" w:type="dxa"/>
          <w:right w:w="0" w:type="dxa"/>
        </w:tblCellMar>
      </w:tblPr>
      <w:tr>
        <w:trPr>
          <w:trHeight w:val="274"/>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7">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6438</w:t>
            </w:r>
          </w:p>
        </w:tc>
      </w:tr>
    </w:tbl>
    <w:p>
      <w:pPr>
        <w:sectPr>
          <w:pgSz w:w="11900" w:h="16840" w:orient="portrait"/>
          <w:cols w:equalWidth="0" w:num="1">
            <w:col w:w="9028"/>
          </w:cols>
          <w:pgMar w:left="1440" w:top="959" w:right="1440" w:bottom="117" w:gutter="0" w:footer="0" w:header="0"/>
        </w:sectPr>
      </w:pPr>
    </w:p>
    <w:bookmarkStart w:id="3" w:name="page4"/>
    <w:bookmarkEnd w:id="3"/>
    <w:p>
      <w:pPr>
        <w:ind w:left="5440"/>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https://doi.org/10.33263/BRIAC105.64366443</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12065</wp:posOffset>
            </wp:positionV>
            <wp:extent cx="5770880" cy="22320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5770880" cy="22320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1300"/>
        <w:spacing w:after="0"/>
        <w:rPr>
          <w:sz w:val="20"/>
          <w:szCs w:val="20"/>
          <w:color w:val="auto"/>
        </w:rPr>
      </w:pPr>
      <w:r>
        <w:rPr>
          <w:rFonts w:ascii="Times New Roman" w:cs="Times New Roman" w:eastAsia="Times New Roman" w:hAnsi="Times New Roman"/>
          <w:sz w:val="20"/>
          <w:szCs w:val="20"/>
          <w:b w:val="1"/>
          <w:bCs w:val="1"/>
          <w:color w:val="auto"/>
        </w:rPr>
        <w:t>Figure 1</w:t>
      </w:r>
      <w:r>
        <w:rPr>
          <w:rFonts w:ascii="Times New Roman" w:cs="Times New Roman" w:eastAsia="Times New Roman" w:hAnsi="Times New Roman"/>
          <w:sz w:val="20"/>
          <w:szCs w:val="20"/>
          <w:color w:val="auto"/>
        </w:rPr>
        <w:t>. Pure endophytic fungus from root. 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Aspergillus niger</w:t>
      </w:r>
      <w:r>
        <w:rPr>
          <w:rFonts w:ascii="Times New Roman" w:cs="Times New Roman" w:eastAsia="Times New Roman" w:hAnsi="Times New Roman"/>
          <w:sz w:val="20"/>
          <w:szCs w:val="20"/>
          <w:color w:val="auto"/>
        </w:rPr>
        <w:t>, B.</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Aspergillus flavus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were</w:t>
      </w:r>
    </w:p>
    <w:p>
      <w:pPr>
        <w:spacing w:after="0" w:line="35"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86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2260" w:type="dxa"/>
            <w:vAlign w:val="bottom"/>
          </w:tcPr>
          <w:p>
            <w:pPr>
              <w:spacing w:after="0"/>
              <w:rPr>
                <w:sz w:val="19"/>
                <w:szCs w:val="19"/>
                <w:color w:val="auto"/>
              </w:rPr>
            </w:pPr>
          </w:p>
        </w:tc>
        <w:tc>
          <w:tcPr>
            <w:tcW w:w="2300" w:type="dxa"/>
            <w:vAlign w:val="bottom"/>
            <w:gridSpan w:val="5"/>
          </w:tcPr>
          <w:p>
            <w:pPr>
              <w:ind w:left="20"/>
              <w:spacing w:after="0"/>
              <w:rPr>
                <w:sz w:val="20"/>
                <w:szCs w:val="20"/>
                <w:color w:val="auto"/>
              </w:rPr>
            </w:pPr>
            <w:r>
              <w:rPr>
                <w:rFonts w:ascii="Times New Roman" w:cs="Times New Roman" w:eastAsia="Times New Roman" w:hAnsi="Times New Roman"/>
                <w:sz w:val="20"/>
                <w:szCs w:val="20"/>
                <w:color w:val="auto"/>
              </w:rPr>
              <w:t xml:space="preserve">Isolated from </w:t>
            </w:r>
            <w:r>
              <w:rPr>
                <w:rFonts w:ascii="Times New Roman" w:cs="Times New Roman" w:eastAsia="Times New Roman" w:hAnsi="Times New Roman"/>
                <w:sz w:val="20"/>
                <w:szCs w:val="20"/>
                <w:i w:val="1"/>
                <w:iCs w:val="1"/>
                <w:color w:val="auto"/>
              </w:rPr>
              <w:t>A.mexicana</w:t>
            </w:r>
          </w:p>
        </w:tc>
        <w:tc>
          <w:tcPr>
            <w:tcW w:w="260" w:type="dxa"/>
            <w:vAlign w:val="bottom"/>
          </w:tcPr>
          <w:p>
            <w:pPr>
              <w:spacing w:after="0"/>
              <w:rPr>
                <w:sz w:val="19"/>
                <w:szCs w:val="19"/>
                <w:color w:val="auto"/>
              </w:rPr>
            </w:pPr>
          </w:p>
        </w:tc>
        <w:tc>
          <w:tcPr>
            <w:tcW w:w="1260" w:type="dxa"/>
            <w:vAlign w:val="bottom"/>
          </w:tcPr>
          <w:p>
            <w:pPr>
              <w:spacing w:after="0"/>
              <w:rPr>
                <w:sz w:val="19"/>
                <w:szCs w:val="19"/>
                <w:color w:val="auto"/>
              </w:rPr>
            </w:pPr>
          </w:p>
        </w:tc>
        <w:tc>
          <w:tcPr>
            <w:tcW w:w="1560" w:type="dxa"/>
            <w:vAlign w:val="bottom"/>
          </w:tcPr>
          <w:p>
            <w:pPr>
              <w:spacing w:after="0"/>
              <w:rPr>
                <w:sz w:val="19"/>
                <w:szCs w:val="19"/>
                <w:color w:val="auto"/>
              </w:rPr>
            </w:pPr>
          </w:p>
        </w:tc>
      </w:tr>
      <w:tr>
        <w:trPr>
          <w:trHeight w:val="464"/>
        </w:trPr>
        <w:tc>
          <w:tcPr>
            <w:tcW w:w="860" w:type="dxa"/>
            <w:vAlign w:val="bottom"/>
          </w:tcPr>
          <w:p>
            <w:pPr>
              <w:spacing w:after="0"/>
              <w:rPr>
                <w:sz w:val="24"/>
                <w:szCs w:val="24"/>
                <w:color w:val="auto"/>
              </w:rPr>
            </w:pPr>
          </w:p>
        </w:tc>
        <w:tc>
          <w:tcPr>
            <w:tcW w:w="8500" w:type="dxa"/>
            <w:vAlign w:val="bottom"/>
            <w:gridSpan w:val="10"/>
          </w:tcPr>
          <w:p>
            <w:pPr>
              <w:ind w:left="380"/>
              <w:spacing w:after="0"/>
              <w:rPr>
                <w:sz w:val="20"/>
                <w:szCs w:val="20"/>
                <w:color w:val="auto"/>
              </w:rPr>
            </w:pPr>
            <w:r>
              <w:rPr>
                <w:rFonts w:ascii="Times New Roman" w:cs="Times New Roman" w:eastAsia="Times New Roman" w:hAnsi="Times New Roman"/>
                <w:sz w:val="20"/>
                <w:szCs w:val="20"/>
                <w:b w:val="1"/>
                <w:bCs w:val="1"/>
                <w:color w:val="auto"/>
              </w:rPr>
              <w:t xml:space="preserve">Table 1. </w:t>
            </w:r>
            <w:r>
              <w:rPr>
                <w:rFonts w:ascii="Times New Roman" w:cs="Times New Roman" w:eastAsia="Times New Roman" w:hAnsi="Times New Roman"/>
                <w:sz w:val="20"/>
                <w:szCs w:val="20"/>
                <w:color w:val="auto"/>
              </w:rPr>
              <w:t>Following are the endophytic fungi isolated from root and shoot of</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A.mexicana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plant.</w:t>
            </w:r>
          </w:p>
        </w:tc>
      </w:tr>
      <w:tr>
        <w:trPr>
          <w:trHeight w:val="229"/>
        </w:trPr>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 No.</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Culture</w:t>
            </w:r>
          </w:p>
        </w:tc>
        <w:tc>
          <w:tcPr>
            <w:tcW w:w="22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Fungal species with</w:t>
            </w: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Tissue</w:t>
            </w:r>
          </w:p>
        </w:tc>
        <w:tc>
          <w:tcPr>
            <w:tcW w:w="80" w:type="dxa"/>
            <w:vAlign w:val="bottom"/>
          </w:tcPr>
          <w:p>
            <w:pPr>
              <w:spacing w:after="0"/>
              <w:rPr>
                <w:sz w:val="19"/>
                <w:szCs w:val="19"/>
                <w:color w:val="auto"/>
              </w:rPr>
            </w:pPr>
          </w:p>
        </w:tc>
        <w:tc>
          <w:tcPr>
            <w:tcW w:w="108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Accession</w:t>
            </w:r>
          </w:p>
        </w:tc>
        <w:tc>
          <w:tcPr>
            <w:tcW w:w="260" w:type="dxa"/>
            <w:vAlign w:val="bottom"/>
            <w:tcBorders>
              <w:right w:val="single" w:sz="8" w:color="auto"/>
            </w:tcBorders>
          </w:tcPr>
          <w:p>
            <w:pPr>
              <w:spacing w:after="0"/>
              <w:rPr>
                <w:sz w:val="19"/>
                <w:szCs w:val="19"/>
                <w:color w:val="auto"/>
              </w:rPr>
            </w:pPr>
          </w:p>
        </w:tc>
        <w:tc>
          <w:tcPr>
            <w:tcW w:w="12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Maximum</w:t>
            </w:r>
          </w:p>
        </w:tc>
        <w:tc>
          <w:tcPr>
            <w:tcW w:w="15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New Accession</w:t>
            </w:r>
          </w:p>
        </w:tc>
      </w:tr>
      <w:tr>
        <w:trPr>
          <w:trHeight w:val="230"/>
        </w:trPr>
        <w:tc>
          <w:tcPr>
            <w:tcW w:w="860" w:type="dxa"/>
            <w:vAlign w:val="bottom"/>
            <w:tcBorders>
              <w:right w:val="single" w:sz="8" w:color="auto"/>
            </w:tcBorders>
          </w:tcPr>
          <w:p>
            <w:pPr>
              <w:spacing w:after="0"/>
              <w:rPr>
                <w:sz w:val="20"/>
                <w:szCs w:val="20"/>
                <w:color w:val="auto"/>
              </w:rPr>
            </w:pP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ID</w:t>
            </w:r>
          </w:p>
        </w:tc>
        <w:tc>
          <w:tcPr>
            <w:tcW w:w="22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Greatest similarity</w:t>
            </w: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Plant part</w:t>
            </w:r>
          </w:p>
        </w:tc>
        <w:tc>
          <w:tcPr>
            <w:tcW w:w="80" w:type="dxa"/>
            <w:vAlign w:val="bottom"/>
          </w:tcPr>
          <w:p>
            <w:pPr>
              <w:spacing w:after="0"/>
              <w:rPr>
                <w:sz w:val="20"/>
                <w:szCs w:val="20"/>
                <w:color w:val="auto"/>
              </w:rPr>
            </w:pPr>
          </w:p>
        </w:tc>
        <w:tc>
          <w:tcPr>
            <w:tcW w:w="1080" w:type="dxa"/>
            <w:vAlign w:val="bottom"/>
            <w:gridSpan w:val="3"/>
          </w:tcPr>
          <w:p>
            <w:pPr>
              <w:spacing w:after="0"/>
              <w:rPr>
                <w:sz w:val="20"/>
                <w:szCs w:val="20"/>
                <w:color w:val="auto"/>
              </w:rPr>
            </w:pPr>
            <w:r>
              <w:rPr>
                <w:rFonts w:ascii="Times New Roman" w:cs="Times New Roman" w:eastAsia="Times New Roman" w:hAnsi="Times New Roman"/>
                <w:sz w:val="20"/>
                <w:szCs w:val="20"/>
                <w:color w:val="auto"/>
                <w:w w:val="99"/>
              </w:rPr>
              <w:t>Number with</w:t>
            </w:r>
          </w:p>
        </w:tc>
        <w:tc>
          <w:tcPr>
            <w:tcW w:w="260" w:type="dxa"/>
            <w:vAlign w:val="bottom"/>
            <w:tcBorders>
              <w:right w:val="single" w:sz="8" w:color="auto"/>
            </w:tcBorders>
          </w:tcPr>
          <w:p>
            <w:pPr>
              <w:spacing w:after="0"/>
              <w:rPr>
                <w:sz w:val="20"/>
                <w:szCs w:val="20"/>
                <w:color w:val="auto"/>
              </w:rPr>
            </w:pPr>
          </w:p>
        </w:tc>
        <w:tc>
          <w:tcPr>
            <w:tcW w:w="12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Identity (%)</w:t>
            </w:r>
          </w:p>
        </w:tc>
        <w:tc>
          <w:tcPr>
            <w:tcW w:w="15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number</w:t>
            </w:r>
          </w:p>
        </w:tc>
      </w:tr>
      <w:tr>
        <w:trPr>
          <w:trHeight w:val="230"/>
        </w:trPr>
        <w:tc>
          <w:tcPr>
            <w:tcW w:w="860" w:type="dxa"/>
            <w:vAlign w:val="bottom"/>
            <w:tcBorders>
              <w:right w:val="single" w:sz="8" w:color="auto"/>
            </w:tcBorders>
          </w:tcPr>
          <w:p>
            <w:pPr>
              <w:spacing w:after="0"/>
              <w:rPr>
                <w:sz w:val="20"/>
                <w:szCs w:val="20"/>
                <w:color w:val="auto"/>
              </w:rPr>
            </w:pPr>
          </w:p>
        </w:tc>
        <w:tc>
          <w:tcPr>
            <w:tcW w:w="860" w:type="dxa"/>
            <w:vAlign w:val="bottom"/>
            <w:tcBorders>
              <w:right w:val="single" w:sz="8" w:color="auto"/>
            </w:tcBorders>
          </w:tcPr>
          <w:p>
            <w:pPr>
              <w:spacing w:after="0"/>
              <w:rPr>
                <w:sz w:val="20"/>
                <w:szCs w:val="20"/>
                <w:color w:val="auto"/>
              </w:rPr>
            </w:pPr>
          </w:p>
        </w:tc>
        <w:tc>
          <w:tcPr>
            <w:tcW w:w="2260" w:type="dxa"/>
            <w:vAlign w:val="bottom"/>
            <w:tcBorders>
              <w:right w:val="single" w:sz="8" w:color="auto"/>
            </w:tcBorders>
          </w:tcPr>
          <w:p>
            <w:pPr>
              <w:spacing w:after="0"/>
              <w:rPr>
                <w:sz w:val="20"/>
                <w:szCs w:val="20"/>
                <w:color w:val="auto"/>
              </w:rPr>
            </w:pPr>
          </w:p>
        </w:tc>
        <w:tc>
          <w:tcPr>
            <w:tcW w:w="114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108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greatest</w:t>
            </w:r>
          </w:p>
        </w:tc>
        <w:tc>
          <w:tcPr>
            <w:tcW w:w="260" w:type="dxa"/>
            <w:vAlign w:val="bottom"/>
            <w:tcBorders>
              <w:right w:val="single" w:sz="8" w:color="auto"/>
            </w:tcBorders>
          </w:tcPr>
          <w:p>
            <w:pPr>
              <w:spacing w:after="0"/>
              <w:rPr>
                <w:sz w:val="20"/>
                <w:szCs w:val="20"/>
                <w:color w:val="auto"/>
              </w:rPr>
            </w:pPr>
          </w:p>
        </w:tc>
        <w:tc>
          <w:tcPr>
            <w:tcW w:w="1260" w:type="dxa"/>
            <w:vAlign w:val="bottom"/>
            <w:tcBorders>
              <w:right w:val="single" w:sz="8" w:color="auto"/>
            </w:tcBorders>
          </w:tcPr>
          <w:p>
            <w:pPr>
              <w:spacing w:after="0"/>
              <w:rPr>
                <w:sz w:val="20"/>
                <w:szCs w:val="20"/>
                <w:color w:val="auto"/>
              </w:rPr>
            </w:pPr>
          </w:p>
        </w:tc>
        <w:tc>
          <w:tcPr>
            <w:tcW w:w="15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obtained from</w:t>
            </w:r>
          </w:p>
        </w:tc>
      </w:tr>
      <w:tr>
        <w:trPr>
          <w:trHeight w:val="230"/>
        </w:trPr>
        <w:tc>
          <w:tcPr>
            <w:tcW w:w="860" w:type="dxa"/>
            <w:vAlign w:val="bottom"/>
            <w:tcBorders>
              <w:bottom w:val="single" w:sz="8" w:color="auto"/>
              <w:right w:val="single" w:sz="8" w:color="auto"/>
            </w:tcBorders>
          </w:tcPr>
          <w:p>
            <w:pPr>
              <w:spacing w:after="0"/>
              <w:rPr>
                <w:sz w:val="19"/>
                <w:szCs w:val="19"/>
                <w:color w:val="auto"/>
              </w:rPr>
            </w:pPr>
          </w:p>
        </w:tc>
        <w:tc>
          <w:tcPr>
            <w:tcW w:w="860" w:type="dxa"/>
            <w:vAlign w:val="bottom"/>
            <w:tcBorders>
              <w:bottom w:val="single" w:sz="8" w:color="auto"/>
              <w:right w:val="single" w:sz="8" w:color="auto"/>
            </w:tcBorders>
          </w:tcPr>
          <w:p>
            <w:pPr>
              <w:spacing w:after="0"/>
              <w:rPr>
                <w:sz w:val="19"/>
                <w:szCs w:val="19"/>
                <w:color w:val="auto"/>
              </w:rPr>
            </w:pPr>
          </w:p>
        </w:tc>
        <w:tc>
          <w:tcPr>
            <w:tcW w:w="2260" w:type="dxa"/>
            <w:vAlign w:val="bottom"/>
            <w:tcBorders>
              <w:bottom w:val="single" w:sz="8" w:color="auto"/>
              <w:right w:val="single" w:sz="8" w:color="auto"/>
            </w:tcBorders>
          </w:tcPr>
          <w:p>
            <w:pPr>
              <w:spacing w:after="0"/>
              <w:rPr>
                <w:sz w:val="19"/>
                <w:szCs w:val="19"/>
                <w:color w:val="auto"/>
              </w:rPr>
            </w:pPr>
          </w:p>
        </w:tc>
        <w:tc>
          <w:tcPr>
            <w:tcW w:w="1140" w:type="dxa"/>
            <w:vAlign w:val="bottom"/>
            <w:tcBorders>
              <w:bottom w:val="single" w:sz="8" w:color="auto"/>
              <w:right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1080" w:type="dxa"/>
            <w:vAlign w:val="bottom"/>
            <w:tcBorders>
              <w:bottom w:val="single" w:sz="8" w:color="auto"/>
            </w:tcBorders>
            <w:gridSpan w:val="3"/>
          </w:tcPr>
          <w:p>
            <w:pPr>
              <w:spacing w:after="0"/>
              <w:rPr>
                <w:sz w:val="20"/>
                <w:szCs w:val="20"/>
                <w:color w:val="auto"/>
              </w:rPr>
            </w:pPr>
            <w:r>
              <w:rPr>
                <w:rFonts w:ascii="Times New Roman" w:cs="Times New Roman" w:eastAsia="Times New Roman" w:hAnsi="Times New Roman"/>
                <w:sz w:val="20"/>
                <w:szCs w:val="20"/>
                <w:color w:val="auto"/>
              </w:rPr>
              <w:t>similarity</w:t>
            </w:r>
          </w:p>
        </w:tc>
        <w:tc>
          <w:tcPr>
            <w:tcW w:w="260" w:type="dxa"/>
            <w:vAlign w:val="bottom"/>
            <w:tcBorders>
              <w:bottom w:val="single" w:sz="8" w:color="auto"/>
              <w:right w:val="single" w:sz="8" w:color="auto"/>
            </w:tcBorders>
          </w:tcPr>
          <w:p>
            <w:pPr>
              <w:spacing w:after="0"/>
              <w:rPr>
                <w:sz w:val="19"/>
                <w:szCs w:val="19"/>
                <w:color w:val="auto"/>
              </w:rPr>
            </w:pPr>
          </w:p>
        </w:tc>
        <w:tc>
          <w:tcPr>
            <w:tcW w:w="1260" w:type="dxa"/>
            <w:vAlign w:val="bottom"/>
            <w:tcBorders>
              <w:bottom w:val="single" w:sz="8" w:color="auto"/>
              <w:right w:val="single" w:sz="8" w:color="auto"/>
            </w:tcBorders>
          </w:tcPr>
          <w:p>
            <w:pPr>
              <w:spacing w:after="0"/>
              <w:rPr>
                <w:sz w:val="19"/>
                <w:szCs w:val="19"/>
                <w:color w:val="auto"/>
              </w:rPr>
            </w:pPr>
          </w:p>
        </w:tc>
        <w:tc>
          <w:tcPr>
            <w:tcW w:w="156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NCBI</w:t>
            </w:r>
          </w:p>
        </w:tc>
      </w:tr>
      <w:tr>
        <w:trPr>
          <w:trHeight w:val="199"/>
        </w:trPr>
        <w:tc>
          <w:tcPr>
            <w:tcW w:w="860" w:type="dxa"/>
            <w:vAlign w:val="bottom"/>
            <w:tcBorders>
              <w:right w:val="single" w:sz="8" w:color="auto"/>
            </w:tcBorders>
          </w:tcPr>
          <w:p>
            <w:pPr>
              <w:ind w:left="460"/>
              <w:spacing w:after="0" w:line="199" w:lineRule="exact"/>
              <w:rPr>
                <w:sz w:val="20"/>
                <w:szCs w:val="20"/>
                <w:color w:val="auto"/>
              </w:rPr>
            </w:pPr>
            <w:r>
              <w:rPr>
                <w:rFonts w:ascii="Times New Roman" w:cs="Times New Roman" w:eastAsia="Times New Roman" w:hAnsi="Times New Roman"/>
                <w:sz w:val="20"/>
                <w:szCs w:val="20"/>
                <w:color w:val="auto"/>
              </w:rPr>
              <w:t>1.</w:t>
            </w:r>
          </w:p>
        </w:tc>
        <w:tc>
          <w:tcPr>
            <w:tcW w:w="860" w:type="dxa"/>
            <w:vAlign w:val="bottom"/>
            <w:tcBorders>
              <w:right w:val="single" w:sz="8" w:color="auto"/>
            </w:tcBorders>
          </w:tcPr>
          <w:p>
            <w:pPr>
              <w:ind w:left="100"/>
              <w:spacing w:after="0" w:line="199" w:lineRule="exact"/>
              <w:rPr>
                <w:sz w:val="20"/>
                <w:szCs w:val="20"/>
                <w:color w:val="auto"/>
              </w:rPr>
            </w:pPr>
            <w:r>
              <w:rPr>
                <w:rFonts w:ascii="Times New Roman" w:cs="Times New Roman" w:eastAsia="Times New Roman" w:hAnsi="Times New Roman"/>
                <w:sz w:val="20"/>
                <w:szCs w:val="20"/>
                <w:color w:val="auto"/>
              </w:rPr>
              <w:t>ARF1</w:t>
            </w:r>
          </w:p>
        </w:tc>
        <w:tc>
          <w:tcPr>
            <w:tcW w:w="2260" w:type="dxa"/>
            <w:vAlign w:val="bottom"/>
            <w:tcBorders>
              <w:right w:val="single" w:sz="8" w:color="auto"/>
            </w:tcBorders>
          </w:tcPr>
          <w:p>
            <w:pPr>
              <w:ind w:left="80"/>
              <w:spacing w:after="0" w:line="199" w:lineRule="exact"/>
              <w:rPr>
                <w:sz w:val="20"/>
                <w:szCs w:val="20"/>
                <w:color w:val="auto"/>
              </w:rPr>
            </w:pPr>
            <w:r>
              <w:rPr>
                <w:rFonts w:ascii="Times New Roman" w:cs="Times New Roman" w:eastAsia="Times New Roman" w:hAnsi="Times New Roman"/>
                <w:sz w:val="20"/>
                <w:szCs w:val="20"/>
                <w:i w:val="1"/>
                <w:iCs w:val="1"/>
                <w:color w:val="auto"/>
              </w:rPr>
              <w:t>Aspergillus niger</w:t>
            </w:r>
          </w:p>
        </w:tc>
        <w:tc>
          <w:tcPr>
            <w:tcW w:w="1140" w:type="dxa"/>
            <w:vAlign w:val="bottom"/>
            <w:tcBorders>
              <w:right w:val="single" w:sz="8" w:color="auto"/>
            </w:tcBorders>
          </w:tcPr>
          <w:p>
            <w:pPr>
              <w:ind w:left="100"/>
              <w:spacing w:after="0" w:line="199" w:lineRule="exact"/>
              <w:rPr>
                <w:sz w:val="20"/>
                <w:szCs w:val="20"/>
                <w:color w:val="auto"/>
              </w:rPr>
            </w:pPr>
            <w:r>
              <w:rPr>
                <w:rFonts w:ascii="Times New Roman" w:cs="Times New Roman" w:eastAsia="Times New Roman" w:hAnsi="Times New Roman"/>
                <w:sz w:val="20"/>
                <w:szCs w:val="20"/>
                <w:color w:val="auto"/>
              </w:rPr>
              <w:t>Root</w:t>
            </w:r>
          </w:p>
        </w:tc>
        <w:tc>
          <w:tcPr>
            <w:tcW w:w="80" w:type="dxa"/>
            <w:vAlign w:val="bottom"/>
          </w:tcPr>
          <w:p>
            <w:pPr>
              <w:spacing w:after="0"/>
              <w:rPr>
                <w:sz w:val="17"/>
                <w:szCs w:val="17"/>
                <w:color w:val="auto"/>
              </w:rPr>
            </w:pPr>
          </w:p>
        </w:tc>
        <w:tc>
          <w:tcPr>
            <w:tcW w:w="1080" w:type="dxa"/>
            <w:vAlign w:val="bottom"/>
            <w:tcBorders>
              <w:bottom w:val="single" w:sz="8" w:color="auto"/>
            </w:tcBorders>
            <w:gridSpan w:val="3"/>
          </w:tcPr>
          <w:p>
            <w:pPr>
              <w:spacing w:after="0" w:line="199" w:lineRule="exact"/>
              <w:rPr>
                <w:rFonts w:ascii="Times New Roman" w:cs="Times New Roman" w:eastAsia="Times New Roman" w:hAnsi="Times New Roman"/>
                <w:sz w:val="20"/>
                <w:szCs w:val="20"/>
                <w:color w:val="auto"/>
                <w:w w:val="98"/>
              </w:rPr>
            </w:pPr>
            <w:hyperlink r:id="rId21">
              <w:r>
                <w:rPr>
                  <w:rFonts w:ascii="Times New Roman" w:cs="Times New Roman" w:eastAsia="Times New Roman" w:hAnsi="Times New Roman"/>
                  <w:sz w:val="20"/>
                  <w:szCs w:val="20"/>
                  <w:color w:val="auto"/>
                  <w:w w:val="98"/>
                </w:rPr>
                <w:t>MN704696.1</w:t>
              </w:r>
            </w:hyperlink>
          </w:p>
        </w:tc>
        <w:tc>
          <w:tcPr>
            <w:tcW w:w="260" w:type="dxa"/>
            <w:vAlign w:val="bottom"/>
            <w:tcBorders>
              <w:right w:val="single" w:sz="8" w:color="auto"/>
            </w:tcBorders>
          </w:tcPr>
          <w:p>
            <w:pPr>
              <w:spacing w:after="0"/>
              <w:rPr>
                <w:sz w:val="17"/>
                <w:szCs w:val="17"/>
                <w:color w:val="auto"/>
              </w:rPr>
            </w:pPr>
          </w:p>
        </w:tc>
        <w:tc>
          <w:tcPr>
            <w:tcW w:w="1260" w:type="dxa"/>
            <w:vAlign w:val="bottom"/>
            <w:tcBorders>
              <w:right w:val="single" w:sz="8" w:color="auto"/>
            </w:tcBorders>
          </w:tcPr>
          <w:p>
            <w:pPr>
              <w:jc w:val="center"/>
              <w:spacing w:after="0" w:line="199" w:lineRule="exact"/>
              <w:rPr>
                <w:sz w:val="20"/>
                <w:szCs w:val="20"/>
                <w:color w:val="auto"/>
              </w:rPr>
            </w:pPr>
            <w:r>
              <w:rPr>
                <w:rFonts w:ascii="Times New Roman" w:cs="Times New Roman" w:eastAsia="Times New Roman" w:hAnsi="Times New Roman"/>
                <w:sz w:val="20"/>
                <w:szCs w:val="20"/>
                <w:color w:val="auto"/>
              </w:rPr>
              <w:t>98.82%</w:t>
            </w:r>
          </w:p>
        </w:tc>
        <w:tc>
          <w:tcPr>
            <w:tcW w:w="1560" w:type="dxa"/>
            <w:vAlign w:val="bottom"/>
          </w:tcPr>
          <w:p>
            <w:pPr>
              <w:jc w:val="center"/>
              <w:spacing w:after="0" w:line="199" w:lineRule="exact"/>
              <w:rPr>
                <w:sz w:val="20"/>
                <w:szCs w:val="20"/>
                <w:color w:val="auto"/>
              </w:rPr>
            </w:pPr>
            <w:r>
              <w:rPr>
                <w:rFonts w:ascii="Times New Roman" w:cs="Times New Roman" w:eastAsia="Times New Roman" w:hAnsi="Times New Roman"/>
                <w:sz w:val="20"/>
                <w:szCs w:val="20"/>
                <w:color w:val="auto"/>
                <w:w w:val="99"/>
              </w:rPr>
              <w:t>MT322425</w:t>
            </w:r>
          </w:p>
        </w:tc>
      </w:tr>
      <w:tr>
        <w:trPr>
          <w:trHeight w:val="20"/>
        </w:trPr>
        <w:tc>
          <w:tcPr>
            <w:tcW w:w="86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226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r>
        <w:trPr>
          <w:trHeight w:val="180"/>
        </w:trPr>
        <w:tc>
          <w:tcPr>
            <w:tcW w:w="860" w:type="dxa"/>
            <w:vAlign w:val="bottom"/>
            <w:tcBorders>
              <w:right w:val="single" w:sz="8" w:color="auto"/>
            </w:tcBorders>
          </w:tcPr>
          <w:p>
            <w:pPr>
              <w:ind w:left="460"/>
              <w:spacing w:after="0" w:line="180" w:lineRule="exact"/>
              <w:rPr>
                <w:sz w:val="20"/>
                <w:szCs w:val="20"/>
                <w:color w:val="auto"/>
              </w:rPr>
            </w:pPr>
            <w:r>
              <w:rPr>
                <w:rFonts w:ascii="Times New Roman" w:cs="Times New Roman" w:eastAsia="Times New Roman" w:hAnsi="Times New Roman"/>
                <w:sz w:val="20"/>
                <w:szCs w:val="20"/>
                <w:color w:val="auto"/>
              </w:rPr>
              <w:t>2.</w:t>
            </w:r>
          </w:p>
        </w:tc>
        <w:tc>
          <w:tcPr>
            <w:tcW w:w="86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ARF2</w:t>
            </w:r>
          </w:p>
        </w:tc>
        <w:tc>
          <w:tcPr>
            <w:tcW w:w="2260" w:type="dxa"/>
            <w:vAlign w:val="bottom"/>
            <w:tcBorders>
              <w:right w:val="single" w:sz="8" w:color="auto"/>
            </w:tcBorders>
          </w:tcPr>
          <w:p>
            <w:pPr>
              <w:ind w:left="80"/>
              <w:spacing w:after="0" w:line="180" w:lineRule="exact"/>
              <w:rPr>
                <w:sz w:val="20"/>
                <w:szCs w:val="20"/>
                <w:color w:val="auto"/>
              </w:rPr>
            </w:pPr>
            <w:r>
              <w:rPr>
                <w:rFonts w:ascii="Times New Roman" w:cs="Times New Roman" w:eastAsia="Times New Roman" w:hAnsi="Times New Roman"/>
                <w:sz w:val="20"/>
                <w:szCs w:val="20"/>
                <w:i w:val="1"/>
                <w:iCs w:val="1"/>
                <w:color w:val="auto"/>
              </w:rPr>
              <w:t>Aspergillus flavus</w:t>
            </w:r>
          </w:p>
        </w:tc>
        <w:tc>
          <w:tcPr>
            <w:tcW w:w="114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Root</w:t>
            </w:r>
          </w:p>
        </w:tc>
        <w:tc>
          <w:tcPr>
            <w:tcW w:w="80" w:type="dxa"/>
            <w:vAlign w:val="bottom"/>
          </w:tcPr>
          <w:p>
            <w:pPr>
              <w:spacing w:after="0"/>
              <w:rPr>
                <w:sz w:val="15"/>
                <w:szCs w:val="15"/>
                <w:color w:val="auto"/>
              </w:rPr>
            </w:pPr>
          </w:p>
        </w:tc>
        <w:tc>
          <w:tcPr>
            <w:tcW w:w="1080" w:type="dxa"/>
            <w:vAlign w:val="bottom"/>
            <w:gridSpan w:val="3"/>
          </w:tcPr>
          <w:p>
            <w:pPr>
              <w:spacing w:after="0" w:line="180" w:lineRule="exact"/>
              <w:rPr>
                <w:rFonts w:ascii="Times New Roman" w:cs="Times New Roman" w:eastAsia="Times New Roman" w:hAnsi="Times New Roman"/>
                <w:sz w:val="20"/>
                <w:szCs w:val="20"/>
                <w:color w:val="auto"/>
              </w:rPr>
            </w:pPr>
            <w:hyperlink r:id="rId22">
              <w:r>
                <w:rPr>
                  <w:rFonts w:ascii="Times New Roman" w:cs="Times New Roman" w:eastAsia="Times New Roman" w:hAnsi="Times New Roman"/>
                  <w:sz w:val="20"/>
                  <w:szCs w:val="20"/>
                  <w:color w:val="auto"/>
                </w:rPr>
                <w:t>KY022753.1</w:t>
              </w:r>
            </w:hyperlink>
          </w:p>
        </w:tc>
        <w:tc>
          <w:tcPr>
            <w:tcW w:w="260" w:type="dxa"/>
            <w:vAlign w:val="bottom"/>
            <w:tcBorders>
              <w:right w:val="single" w:sz="8" w:color="auto"/>
            </w:tcBorders>
          </w:tcPr>
          <w:p>
            <w:pPr>
              <w:spacing w:after="0"/>
              <w:rPr>
                <w:sz w:val="15"/>
                <w:szCs w:val="15"/>
                <w:color w:val="auto"/>
              </w:rPr>
            </w:pPr>
          </w:p>
        </w:tc>
        <w:tc>
          <w:tcPr>
            <w:tcW w:w="1260" w:type="dxa"/>
            <w:vAlign w:val="bottom"/>
            <w:tcBorders>
              <w:right w:val="single" w:sz="8" w:color="auto"/>
            </w:tcBorders>
          </w:tcPr>
          <w:p>
            <w:pPr>
              <w:jc w:val="center"/>
              <w:spacing w:after="0" w:line="180" w:lineRule="exact"/>
              <w:rPr>
                <w:sz w:val="20"/>
                <w:szCs w:val="20"/>
                <w:color w:val="auto"/>
              </w:rPr>
            </w:pPr>
            <w:r>
              <w:rPr>
                <w:rFonts w:ascii="Times New Roman" w:cs="Times New Roman" w:eastAsia="Times New Roman" w:hAnsi="Times New Roman"/>
                <w:sz w:val="20"/>
                <w:szCs w:val="20"/>
                <w:color w:val="auto"/>
              </w:rPr>
              <w:t>100.00%</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20"/>
                <w:szCs w:val="20"/>
                <w:color w:val="auto"/>
                <w:w w:val="89"/>
              </w:rPr>
              <w:t>-</w:t>
            </w:r>
          </w:p>
        </w:tc>
      </w:tr>
      <w:tr>
        <w:trPr>
          <w:trHeight w:val="20"/>
        </w:trPr>
        <w:tc>
          <w:tcPr>
            <w:tcW w:w="86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226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040" w:type="dxa"/>
            <w:vAlign w:val="bottom"/>
            <w:tcBorders>
              <w:top w:val="single" w:sz="8" w:color="auto"/>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r>
        <w:trPr>
          <w:trHeight w:val="180"/>
        </w:trPr>
        <w:tc>
          <w:tcPr>
            <w:tcW w:w="860" w:type="dxa"/>
            <w:vAlign w:val="bottom"/>
            <w:tcBorders>
              <w:right w:val="single" w:sz="8" w:color="auto"/>
            </w:tcBorders>
          </w:tcPr>
          <w:p>
            <w:pPr>
              <w:ind w:left="460"/>
              <w:spacing w:after="0" w:line="180" w:lineRule="exact"/>
              <w:rPr>
                <w:sz w:val="20"/>
                <w:szCs w:val="20"/>
                <w:color w:val="auto"/>
              </w:rPr>
            </w:pPr>
            <w:r>
              <w:rPr>
                <w:rFonts w:ascii="Times New Roman" w:cs="Times New Roman" w:eastAsia="Times New Roman" w:hAnsi="Times New Roman"/>
                <w:sz w:val="20"/>
                <w:szCs w:val="20"/>
                <w:color w:val="auto"/>
              </w:rPr>
              <w:t>3.</w:t>
            </w:r>
          </w:p>
        </w:tc>
        <w:tc>
          <w:tcPr>
            <w:tcW w:w="86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ARF3</w:t>
            </w:r>
          </w:p>
        </w:tc>
        <w:tc>
          <w:tcPr>
            <w:tcW w:w="2260" w:type="dxa"/>
            <w:vAlign w:val="bottom"/>
            <w:tcBorders>
              <w:right w:val="single" w:sz="8" w:color="auto"/>
            </w:tcBorders>
          </w:tcPr>
          <w:p>
            <w:pPr>
              <w:ind w:left="80"/>
              <w:spacing w:after="0" w:line="180" w:lineRule="exact"/>
              <w:rPr>
                <w:sz w:val="20"/>
                <w:szCs w:val="20"/>
                <w:color w:val="auto"/>
              </w:rPr>
            </w:pPr>
            <w:r>
              <w:rPr>
                <w:rFonts w:ascii="Times New Roman" w:cs="Times New Roman" w:eastAsia="Times New Roman" w:hAnsi="Times New Roman"/>
                <w:sz w:val="20"/>
                <w:szCs w:val="20"/>
                <w:i w:val="1"/>
                <w:iCs w:val="1"/>
                <w:color w:val="auto"/>
              </w:rPr>
              <w:t>Aspergillus versicolor</w:t>
            </w:r>
          </w:p>
        </w:tc>
        <w:tc>
          <w:tcPr>
            <w:tcW w:w="114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Root</w:t>
            </w:r>
          </w:p>
        </w:tc>
        <w:tc>
          <w:tcPr>
            <w:tcW w:w="80" w:type="dxa"/>
            <w:vAlign w:val="bottom"/>
          </w:tcPr>
          <w:p>
            <w:pPr>
              <w:spacing w:after="0"/>
              <w:rPr>
                <w:sz w:val="15"/>
                <w:szCs w:val="15"/>
                <w:color w:val="auto"/>
              </w:rPr>
            </w:pPr>
          </w:p>
        </w:tc>
        <w:tc>
          <w:tcPr>
            <w:tcW w:w="1080" w:type="dxa"/>
            <w:vAlign w:val="bottom"/>
            <w:gridSpan w:val="3"/>
          </w:tcPr>
          <w:p>
            <w:pPr>
              <w:spacing w:after="0" w:line="180" w:lineRule="exact"/>
              <w:rPr>
                <w:rFonts w:ascii="Times New Roman" w:cs="Times New Roman" w:eastAsia="Times New Roman" w:hAnsi="Times New Roman"/>
                <w:sz w:val="20"/>
                <w:szCs w:val="20"/>
                <w:color w:val="auto"/>
              </w:rPr>
            </w:pPr>
            <w:hyperlink r:id="rId23">
              <w:r>
                <w:rPr>
                  <w:rFonts w:ascii="Times New Roman" w:cs="Times New Roman" w:eastAsia="Times New Roman" w:hAnsi="Times New Roman"/>
                  <w:sz w:val="20"/>
                  <w:szCs w:val="20"/>
                  <w:color w:val="auto"/>
                </w:rPr>
                <w:t>MF576084.1</w:t>
              </w:r>
            </w:hyperlink>
          </w:p>
        </w:tc>
        <w:tc>
          <w:tcPr>
            <w:tcW w:w="260" w:type="dxa"/>
            <w:vAlign w:val="bottom"/>
            <w:tcBorders>
              <w:right w:val="single" w:sz="8" w:color="auto"/>
            </w:tcBorders>
          </w:tcPr>
          <w:p>
            <w:pPr>
              <w:spacing w:after="0"/>
              <w:rPr>
                <w:sz w:val="15"/>
                <w:szCs w:val="15"/>
                <w:color w:val="auto"/>
              </w:rPr>
            </w:pPr>
          </w:p>
        </w:tc>
        <w:tc>
          <w:tcPr>
            <w:tcW w:w="1260" w:type="dxa"/>
            <w:vAlign w:val="bottom"/>
            <w:tcBorders>
              <w:right w:val="single" w:sz="8" w:color="auto"/>
            </w:tcBorders>
          </w:tcPr>
          <w:p>
            <w:pPr>
              <w:jc w:val="center"/>
              <w:spacing w:after="0" w:line="180" w:lineRule="exact"/>
              <w:rPr>
                <w:sz w:val="20"/>
                <w:szCs w:val="20"/>
                <w:color w:val="auto"/>
              </w:rPr>
            </w:pPr>
            <w:r>
              <w:rPr>
                <w:rFonts w:ascii="Times New Roman" w:cs="Times New Roman" w:eastAsia="Times New Roman" w:hAnsi="Times New Roman"/>
                <w:sz w:val="20"/>
                <w:szCs w:val="20"/>
                <w:color w:val="auto"/>
              </w:rPr>
              <w:t>100.00%</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20"/>
                <w:szCs w:val="20"/>
                <w:color w:val="auto"/>
                <w:w w:val="89"/>
              </w:rPr>
              <w:t>-</w:t>
            </w:r>
          </w:p>
        </w:tc>
      </w:tr>
      <w:tr>
        <w:trPr>
          <w:trHeight w:val="20"/>
        </w:trPr>
        <w:tc>
          <w:tcPr>
            <w:tcW w:w="86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226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040" w:type="dxa"/>
            <w:vAlign w:val="bottom"/>
            <w:tcBorders>
              <w:top w:val="single" w:sz="8" w:color="auto"/>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r>
        <w:trPr>
          <w:trHeight w:val="180"/>
        </w:trPr>
        <w:tc>
          <w:tcPr>
            <w:tcW w:w="860" w:type="dxa"/>
            <w:vAlign w:val="bottom"/>
            <w:tcBorders>
              <w:right w:val="single" w:sz="8" w:color="auto"/>
            </w:tcBorders>
          </w:tcPr>
          <w:p>
            <w:pPr>
              <w:ind w:left="460"/>
              <w:spacing w:after="0" w:line="180" w:lineRule="exact"/>
              <w:rPr>
                <w:sz w:val="20"/>
                <w:szCs w:val="20"/>
                <w:color w:val="auto"/>
              </w:rPr>
            </w:pPr>
            <w:r>
              <w:rPr>
                <w:rFonts w:ascii="Times New Roman" w:cs="Times New Roman" w:eastAsia="Times New Roman" w:hAnsi="Times New Roman"/>
                <w:sz w:val="20"/>
                <w:szCs w:val="20"/>
                <w:color w:val="auto"/>
              </w:rPr>
              <w:t>4.</w:t>
            </w:r>
          </w:p>
        </w:tc>
        <w:tc>
          <w:tcPr>
            <w:tcW w:w="86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ARF4</w:t>
            </w:r>
          </w:p>
        </w:tc>
        <w:tc>
          <w:tcPr>
            <w:tcW w:w="2260" w:type="dxa"/>
            <w:vAlign w:val="bottom"/>
            <w:tcBorders>
              <w:right w:val="single" w:sz="8" w:color="auto"/>
            </w:tcBorders>
          </w:tcPr>
          <w:p>
            <w:pPr>
              <w:ind w:left="80"/>
              <w:spacing w:after="0" w:line="180" w:lineRule="exact"/>
              <w:rPr>
                <w:sz w:val="20"/>
                <w:szCs w:val="20"/>
                <w:color w:val="auto"/>
              </w:rPr>
            </w:pPr>
            <w:r>
              <w:rPr>
                <w:rFonts w:ascii="Times New Roman" w:cs="Times New Roman" w:eastAsia="Times New Roman" w:hAnsi="Times New Roman"/>
                <w:sz w:val="20"/>
                <w:szCs w:val="20"/>
                <w:i w:val="1"/>
                <w:iCs w:val="1"/>
                <w:color w:val="auto"/>
              </w:rPr>
              <w:t>Aspergillus sydowii</w:t>
            </w:r>
          </w:p>
        </w:tc>
        <w:tc>
          <w:tcPr>
            <w:tcW w:w="114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Root</w:t>
            </w:r>
          </w:p>
        </w:tc>
        <w:tc>
          <w:tcPr>
            <w:tcW w:w="80" w:type="dxa"/>
            <w:vAlign w:val="bottom"/>
          </w:tcPr>
          <w:p>
            <w:pPr>
              <w:spacing w:after="0"/>
              <w:rPr>
                <w:sz w:val="15"/>
                <w:szCs w:val="15"/>
                <w:color w:val="auto"/>
              </w:rPr>
            </w:pPr>
          </w:p>
        </w:tc>
        <w:tc>
          <w:tcPr>
            <w:tcW w:w="1080" w:type="dxa"/>
            <w:vAlign w:val="bottom"/>
            <w:tcBorders>
              <w:bottom w:val="single" w:sz="8" w:color="auto"/>
            </w:tcBorders>
            <w:gridSpan w:val="3"/>
          </w:tcPr>
          <w:p>
            <w:pPr>
              <w:spacing w:after="0" w:line="180" w:lineRule="exact"/>
              <w:rPr>
                <w:rFonts w:ascii="Times New Roman" w:cs="Times New Roman" w:eastAsia="Times New Roman" w:hAnsi="Times New Roman"/>
                <w:sz w:val="20"/>
                <w:szCs w:val="20"/>
                <w:color w:val="auto"/>
                <w:w w:val="98"/>
              </w:rPr>
            </w:pPr>
            <w:hyperlink r:id="rId24">
              <w:r>
                <w:rPr>
                  <w:rFonts w:ascii="Times New Roman" w:cs="Times New Roman" w:eastAsia="Times New Roman" w:hAnsi="Times New Roman"/>
                  <w:sz w:val="20"/>
                  <w:szCs w:val="20"/>
                  <w:color w:val="auto"/>
                  <w:w w:val="98"/>
                </w:rPr>
                <w:t>MG799216.1</w:t>
              </w:r>
            </w:hyperlink>
          </w:p>
        </w:tc>
        <w:tc>
          <w:tcPr>
            <w:tcW w:w="260" w:type="dxa"/>
            <w:vAlign w:val="bottom"/>
            <w:tcBorders>
              <w:right w:val="single" w:sz="8" w:color="auto"/>
            </w:tcBorders>
          </w:tcPr>
          <w:p>
            <w:pPr>
              <w:spacing w:after="0"/>
              <w:rPr>
                <w:sz w:val="15"/>
                <w:szCs w:val="15"/>
                <w:color w:val="auto"/>
              </w:rPr>
            </w:pPr>
          </w:p>
        </w:tc>
        <w:tc>
          <w:tcPr>
            <w:tcW w:w="1260" w:type="dxa"/>
            <w:vAlign w:val="bottom"/>
            <w:tcBorders>
              <w:right w:val="single" w:sz="8" w:color="auto"/>
            </w:tcBorders>
          </w:tcPr>
          <w:p>
            <w:pPr>
              <w:jc w:val="center"/>
              <w:spacing w:after="0" w:line="180" w:lineRule="exact"/>
              <w:rPr>
                <w:sz w:val="20"/>
                <w:szCs w:val="20"/>
                <w:color w:val="auto"/>
              </w:rPr>
            </w:pPr>
            <w:r>
              <w:rPr>
                <w:rFonts w:ascii="Times New Roman" w:cs="Times New Roman" w:eastAsia="Times New Roman" w:hAnsi="Times New Roman"/>
                <w:sz w:val="20"/>
                <w:szCs w:val="20"/>
                <w:color w:val="auto"/>
              </w:rPr>
              <w:t>100.00%</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20"/>
                <w:szCs w:val="20"/>
                <w:color w:val="auto"/>
                <w:w w:val="89"/>
              </w:rPr>
              <w:t>-</w:t>
            </w:r>
          </w:p>
        </w:tc>
      </w:tr>
      <w:tr>
        <w:trPr>
          <w:trHeight w:val="20"/>
        </w:trPr>
        <w:tc>
          <w:tcPr>
            <w:tcW w:w="86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226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r>
        <w:trPr>
          <w:trHeight w:val="180"/>
        </w:trPr>
        <w:tc>
          <w:tcPr>
            <w:tcW w:w="860" w:type="dxa"/>
            <w:vAlign w:val="bottom"/>
            <w:tcBorders>
              <w:right w:val="single" w:sz="8" w:color="auto"/>
            </w:tcBorders>
          </w:tcPr>
          <w:p>
            <w:pPr>
              <w:ind w:left="460"/>
              <w:spacing w:after="0" w:line="181" w:lineRule="exact"/>
              <w:rPr>
                <w:sz w:val="20"/>
                <w:szCs w:val="20"/>
                <w:color w:val="auto"/>
              </w:rPr>
            </w:pPr>
            <w:r>
              <w:rPr>
                <w:rFonts w:ascii="Times New Roman" w:cs="Times New Roman" w:eastAsia="Times New Roman" w:hAnsi="Times New Roman"/>
                <w:sz w:val="20"/>
                <w:szCs w:val="20"/>
                <w:color w:val="auto"/>
              </w:rPr>
              <w:t>5.</w:t>
            </w:r>
          </w:p>
        </w:tc>
        <w:tc>
          <w:tcPr>
            <w:tcW w:w="860" w:type="dxa"/>
            <w:vAlign w:val="bottom"/>
            <w:tcBorders>
              <w:right w:val="single" w:sz="8" w:color="auto"/>
            </w:tcBorders>
          </w:tcPr>
          <w:p>
            <w:pPr>
              <w:ind w:left="100"/>
              <w:spacing w:after="0" w:line="181" w:lineRule="exact"/>
              <w:rPr>
                <w:sz w:val="20"/>
                <w:szCs w:val="20"/>
                <w:color w:val="auto"/>
              </w:rPr>
            </w:pPr>
            <w:r>
              <w:rPr>
                <w:rFonts w:ascii="Times New Roman" w:cs="Times New Roman" w:eastAsia="Times New Roman" w:hAnsi="Times New Roman"/>
                <w:sz w:val="20"/>
                <w:szCs w:val="20"/>
                <w:color w:val="auto"/>
              </w:rPr>
              <w:t>ARF5</w:t>
            </w:r>
          </w:p>
        </w:tc>
        <w:tc>
          <w:tcPr>
            <w:tcW w:w="2260" w:type="dxa"/>
            <w:vAlign w:val="bottom"/>
            <w:tcBorders>
              <w:right w:val="single" w:sz="8" w:color="auto"/>
            </w:tcBorders>
          </w:tcPr>
          <w:p>
            <w:pPr>
              <w:ind w:left="80"/>
              <w:spacing w:after="0" w:line="181" w:lineRule="exact"/>
              <w:rPr>
                <w:sz w:val="20"/>
                <w:szCs w:val="20"/>
                <w:color w:val="auto"/>
              </w:rPr>
            </w:pPr>
            <w:r>
              <w:rPr>
                <w:rFonts w:ascii="Times New Roman" w:cs="Times New Roman" w:eastAsia="Times New Roman" w:hAnsi="Times New Roman"/>
                <w:sz w:val="20"/>
                <w:szCs w:val="20"/>
                <w:i w:val="1"/>
                <w:iCs w:val="1"/>
                <w:color w:val="auto"/>
              </w:rPr>
              <w:t>Aspergillus sydowii</w:t>
            </w:r>
          </w:p>
        </w:tc>
        <w:tc>
          <w:tcPr>
            <w:tcW w:w="1140" w:type="dxa"/>
            <w:vAlign w:val="bottom"/>
            <w:tcBorders>
              <w:right w:val="single" w:sz="8" w:color="auto"/>
            </w:tcBorders>
          </w:tcPr>
          <w:p>
            <w:pPr>
              <w:ind w:left="100"/>
              <w:spacing w:after="0" w:line="181" w:lineRule="exact"/>
              <w:rPr>
                <w:sz w:val="20"/>
                <w:szCs w:val="20"/>
                <w:color w:val="auto"/>
              </w:rPr>
            </w:pPr>
            <w:r>
              <w:rPr>
                <w:rFonts w:ascii="Times New Roman" w:cs="Times New Roman" w:eastAsia="Times New Roman" w:hAnsi="Times New Roman"/>
                <w:sz w:val="20"/>
                <w:szCs w:val="20"/>
                <w:color w:val="auto"/>
              </w:rPr>
              <w:t>Root</w:t>
            </w:r>
          </w:p>
        </w:tc>
        <w:tc>
          <w:tcPr>
            <w:tcW w:w="80" w:type="dxa"/>
            <w:vAlign w:val="bottom"/>
          </w:tcPr>
          <w:p>
            <w:pPr>
              <w:spacing w:after="0"/>
              <w:rPr>
                <w:sz w:val="15"/>
                <w:szCs w:val="15"/>
                <w:color w:val="auto"/>
              </w:rPr>
            </w:pPr>
          </w:p>
        </w:tc>
        <w:tc>
          <w:tcPr>
            <w:tcW w:w="1080" w:type="dxa"/>
            <w:vAlign w:val="bottom"/>
            <w:tcBorders>
              <w:bottom w:val="single" w:sz="8" w:color="auto"/>
            </w:tcBorders>
            <w:gridSpan w:val="3"/>
          </w:tcPr>
          <w:p>
            <w:pPr>
              <w:spacing w:after="0" w:line="181" w:lineRule="exact"/>
              <w:rPr>
                <w:rFonts w:ascii="Times New Roman" w:cs="Times New Roman" w:eastAsia="Times New Roman" w:hAnsi="Times New Roman"/>
                <w:sz w:val="20"/>
                <w:szCs w:val="20"/>
                <w:color w:val="auto"/>
                <w:w w:val="98"/>
              </w:rPr>
            </w:pPr>
            <w:hyperlink r:id="rId25">
              <w:r>
                <w:rPr>
                  <w:rFonts w:ascii="Times New Roman" w:cs="Times New Roman" w:eastAsia="Times New Roman" w:hAnsi="Times New Roman"/>
                  <w:sz w:val="20"/>
                  <w:szCs w:val="20"/>
                  <w:color w:val="auto"/>
                  <w:w w:val="98"/>
                </w:rPr>
                <w:t>MN658458.1</w:t>
              </w:r>
            </w:hyperlink>
          </w:p>
        </w:tc>
        <w:tc>
          <w:tcPr>
            <w:tcW w:w="260" w:type="dxa"/>
            <w:vAlign w:val="bottom"/>
            <w:tcBorders>
              <w:right w:val="single" w:sz="8" w:color="auto"/>
            </w:tcBorders>
          </w:tcPr>
          <w:p>
            <w:pPr>
              <w:spacing w:after="0"/>
              <w:rPr>
                <w:sz w:val="15"/>
                <w:szCs w:val="15"/>
                <w:color w:val="auto"/>
              </w:rPr>
            </w:pPr>
          </w:p>
        </w:tc>
        <w:tc>
          <w:tcPr>
            <w:tcW w:w="1260" w:type="dxa"/>
            <w:vAlign w:val="bottom"/>
            <w:tcBorders>
              <w:right w:val="single" w:sz="8" w:color="auto"/>
            </w:tcBorders>
          </w:tcPr>
          <w:p>
            <w:pPr>
              <w:jc w:val="center"/>
              <w:spacing w:after="0" w:line="181" w:lineRule="exact"/>
              <w:rPr>
                <w:sz w:val="20"/>
                <w:szCs w:val="20"/>
                <w:color w:val="auto"/>
              </w:rPr>
            </w:pPr>
            <w:r>
              <w:rPr>
                <w:rFonts w:ascii="Times New Roman" w:cs="Times New Roman" w:eastAsia="Times New Roman" w:hAnsi="Times New Roman"/>
                <w:sz w:val="20"/>
                <w:szCs w:val="20"/>
                <w:color w:val="auto"/>
              </w:rPr>
              <w:t>100.00%</w:t>
            </w:r>
          </w:p>
        </w:tc>
        <w:tc>
          <w:tcPr>
            <w:tcW w:w="1560" w:type="dxa"/>
            <w:vAlign w:val="bottom"/>
          </w:tcPr>
          <w:p>
            <w:pPr>
              <w:jc w:val="center"/>
              <w:spacing w:after="0" w:line="181" w:lineRule="exact"/>
              <w:rPr>
                <w:sz w:val="20"/>
                <w:szCs w:val="20"/>
                <w:color w:val="auto"/>
              </w:rPr>
            </w:pPr>
            <w:r>
              <w:rPr>
                <w:rFonts w:ascii="Times New Roman" w:cs="Times New Roman" w:eastAsia="Times New Roman" w:hAnsi="Times New Roman"/>
                <w:sz w:val="20"/>
                <w:szCs w:val="20"/>
                <w:color w:val="auto"/>
                <w:w w:val="89"/>
              </w:rPr>
              <w:t>-</w:t>
            </w:r>
          </w:p>
        </w:tc>
      </w:tr>
      <w:tr>
        <w:trPr>
          <w:trHeight w:val="20"/>
        </w:trPr>
        <w:tc>
          <w:tcPr>
            <w:tcW w:w="86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226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r>
        <w:trPr>
          <w:trHeight w:val="180"/>
        </w:trPr>
        <w:tc>
          <w:tcPr>
            <w:tcW w:w="860" w:type="dxa"/>
            <w:vAlign w:val="bottom"/>
            <w:tcBorders>
              <w:right w:val="single" w:sz="8" w:color="auto"/>
            </w:tcBorders>
          </w:tcPr>
          <w:p>
            <w:pPr>
              <w:ind w:left="460"/>
              <w:spacing w:after="0" w:line="180" w:lineRule="exact"/>
              <w:rPr>
                <w:sz w:val="20"/>
                <w:szCs w:val="20"/>
                <w:color w:val="auto"/>
              </w:rPr>
            </w:pPr>
            <w:r>
              <w:rPr>
                <w:rFonts w:ascii="Times New Roman" w:cs="Times New Roman" w:eastAsia="Times New Roman" w:hAnsi="Times New Roman"/>
                <w:sz w:val="20"/>
                <w:szCs w:val="20"/>
                <w:color w:val="auto"/>
              </w:rPr>
              <w:t>6.</w:t>
            </w:r>
          </w:p>
        </w:tc>
        <w:tc>
          <w:tcPr>
            <w:tcW w:w="86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ARF6</w:t>
            </w:r>
          </w:p>
        </w:tc>
        <w:tc>
          <w:tcPr>
            <w:tcW w:w="2260" w:type="dxa"/>
            <w:vAlign w:val="bottom"/>
            <w:tcBorders>
              <w:right w:val="single" w:sz="8" w:color="auto"/>
            </w:tcBorders>
          </w:tcPr>
          <w:p>
            <w:pPr>
              <w:ind w:left="80"/>
              <w:spacing w:after="0" w:line="180" w:lineRule="exact"/>
              <w:rPr>
                <w:sz w:val="20"/>
                <w:szCs w:val="20"/>
                <w:color w:val="auto"/>
              </w:rPr>
            </w:pPr>
            <w:r>
              <w:rPr>
                <w:rFonts w:ascii="Times New Roman" w:cs="Times New Roman" w:eastAsia="Times New Roman" w:hAnsi="Times New Roman"/>
                <w:sz w:val="20"/>
                <w:szCs w:val="20"/>
                <w:i w:val="1"/>
                <w:iCs w:val="1"/>
                <w:color w:val="auto"/>
              </w:rPr>
              <w:t>Aspergillus oryzae</w:t>
            </w:r>
          </w:p>
        </w:tc>
        <w:tc>
          <w:tcPr>
            <w:tcW w:w="114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Root</w:t>
            </w:r>
          </w:p>
        </w:tc>
        <w:tc>
          <w:tcPr>
            <w:tcW w:w="80" w:type="dxa"/>
            <w:vAlign w:val="bottom"/>
          </w:tcPr>
          <w:p>
            <w:pPr>
              <w:spacing w:after="0"/>
              <w:rPr>
                <w:sz w:val="15"/>
                <w:szCs w:val="15"/>
                <w:color w:val="auto"/>
              </w:rPr>
            </w:pPr>
          </w:p>
        </w:tc>
        <w:tc>
          <w:tcPr>
            <w:tcW w:w="1080" w:type="dxa"/>
            <w:vAlign w:val="bottom"/>
            <w:tcBorders>
              <w:bottom w:val="single" w:sz="8" w:color="auto"/>
            </w:tcBorders>
            <w:gridSpan w:val="3"/>
          </w:tcPr>
          <w:p>
            <w:pPr>
              <w:spacing w:after="0" w:line="180" w:lineRule="exact"/>
              <w:rPr>
                <w:rFonts w:ascii="Times New Roman" w:cs="Times New Roman" w:eastAsia="Times New Roman" w:hAnsi="Times New Roman"/>
                <w:sz w:val="20"/>
                <w:szCs w:val="20"/>
                <w:color w:val="auto"/>
                <w:w w:val="98"/>
              </w:rPr>
            </w:pPr>
            <w:hyperlink r:id="rId26">
              <w:r>
                <w:rPr>
                  <w:rFonts w:ascii="Times New Roman" w:cs="Times New Roman" w:eastAsia="Times New Roman" w:hAnsi="Times New Roman"/>
                  <w:sz w:val="20"/>
                  <w:szCs w:val="20"/>
                  <w:color w:val="auto"/>
                  <w:w w:val="98"/>
                </w:rPr>
                <w:t>MH345954.1</w:t>
              </w:r>
            </w:hyperlink>
          </w:p>
        </w:tc>
        <w:tc>
          <w:tcPr>
            <w:tcW w:w="260" w:type="dxa"/>
            <w:vAlign w:val="bottom"/>
            <w:tcBorders>
              <w:right w:val="single" w:sz="8" w:color="auto"/>
            </w:tcBorders>
          </w:tcPr>
          <w:p>
            <w:pPr>
              <w:spacing w:after="0"/>
              <w:rPr>
                <w:sz w:val="15"/>
                <w:szCs w:val="15"/>
                <w:color w:val="auto"/>
              </w:rPr>
            </w:pPr>
          </w:p>
        </w:tc>
        <w:tc>
          <w:tcPr>
            <w:tcW w:w="1260" w:type="dxa"/>
            <w:vAlign w:val="bottom"/>
            <w:tcBorders>
              <w:right w:val="single" w:sz="8" w:color="auto"/>
            </w:tcBorders>
          </w:tcPr>
          <w:p>
            <w:pPr>
              <w:jc w:val="center"/>
              <w:spacing w:after="0" w:line="180" w:lineRule="exact"/>
              <w:rPr>
                <w:sz w:val="20"/>
                <w:szCs w:val="20"/>
                <w:color w:val="auto"/>
              </w:rPr>
            </w:pPr>
            <w:r>
              <w:rPr>
                <w:rFonts w:ascii="Times New Roman" w:cs="Times New Roman" w:eastAsia="Times New Roman" w:hAnsi="Times New Roman"/>
                <w:sz w:val="20"/>
                <w:szCs w:val="20"/>
                <w:color w:val="auto"/>
              </w:rPr>
              <w:t>100.00%</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20"/>
                <w:szCs w:val="20"/>
                <w:color w:val="auto"/>
                <w:w w:val="89"/>
              </w:rPr>
              <w:t>-</w:t>
            </w:r>
          </w:p>
        </w:tc>
      </w:tr>
      <w:tr>
        <w:trPr>
          <w:trHeight w:val="20"/>
        </w:trPr>
        <w:tc>
          <w:tcPr>
            <w:tcW w:w="86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226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r>
        <w:trPr>
          <w:trHeight w:val="180"/>
        </w:trPr>
        <w:tc>
          <w:tcPr>
            <w:tcW w:w="860" w:type="dxa"/>
            <w:vAlign w:val="bottom"/>
            <w:tcBorders>
              <w:right w:val="single" w:sz="8" w:color="auto"/>
            </w:tcBorders>
          </w:tcPr>
          <w:p>
            <w:pPr>
              <w:ind w:left="460"/>
              <w:spacing w:after="0" w:line="180" w:lineRule="exact"/>
              <w:rPr>
                <w:sz w:val="20"/>
                <w:szCs w:val="20"/>
                <w:color w:val="auto"/>
              </w:rPr>
            </w:pPr>
            <w:r>
              <w:rPr>
                <w:rFonts w:ascii="Times New Roman" w:cs="Times New Roman" w:eastAsia="Times New Roman" w:hAnsi="Times New Roman"/>
                <w:sz w:val="20"/>
                <w:szCs w:val="20"/>
                <w:color w:val="auto"/>
              </w:rPr>
              <w:t>7.</w:t>
            </w:r>
          </w:p>
        </w:tc>
        <w:tc>
          <w:tcPr>
            <w:tcW w:w="86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ARF7</w:t>
            </w:r>
          </w:p>
        </w:tc>
        <w:tc>
          <w:tcPr>
            <w:tcW w:w="2260" w:type="dxa"/>
            <w:vAlign w:val="bottom"/>
            <w:tcBorders>
              <w:right w:val="single" w:sz="8" w:color="auto"/>
            </w:tcBorders>
          </w:tcPr>
          <w:p>
            <w:pPr>
              <w:ind w:left="80"/>
              <w:spacing w:after="0" w:line="180" w:lineRule="exact"/>
              <w:rPr>
                <w:sz w:val="20"/>
                <w:szCs w:val="20"/>
                <w:color w:val="auto"/>
              </w:rPr>
            </w:pPr>
            <w:r>
              <w:rPr>
                <w:rFonts w:ascii="Times New Roman" w:cs="Times New Roman" w:eastAsia="Times New Roman" w:hAnsi="Times New Roman"/>
                <w:sz w:val="20"/>
                <w:szCs w:val="20"/>
                <w:i w:val="1"/>
                <w:iCs w:val="1"/>
                <w:color w:val="auto"/>
              </w:rPr>
              <w:t>Penicillium chrysogenum</w:t>
            </w:r>
          </w:p>
        </w:tc>
        <w:tc>
          <w:tcPr>
            <w:tcW w:w="114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Root</w:t>
            </w:r>
          </w:p>
        </w:tc>
        <w:tc>
          <w:tcPr>
            <w:tcW w:w="80" w:type="dxa"/>
            <w:vAlign w:val="bottom"/>
          </w:tcPr>
          <w:p>
            <w:pPr>
              <w:spacing w:after="0"/>
              <w:rPr>
                <w:sz w:val="15"/>
                <w:szCs w:val="15"/>
                <w:color w:val="auto"/>
              </w:rPr>
            </w:pPr>
          </w:p>
        </w:tc>
        <w:tc>
          <w:tcPr>
            <w:tcW w:w="1080" w:type="dxa"/>
            <w:vAlign w:val="bottom"/>
            <w:tcBorders>
              <w:bottom w:val="single" w:sz="8" w:color="auto"/>
            </w:tcBorders>
            <w:gridSpan w:val="3"/>
          </w:tcPr>
          <w:p>
            <w:pPr>
              <w:spacing w:after="0" w:line="180" w:lineRule="exact"/>
              <w:rPr>
                <w:rFonts w:ascii="Times New Roman" w:cs="Times New Roman" w:eastAsia="Times New Roman" w:hAnsi="Times New Roman"/>
                <w:sz w:val="20"/>
                <w:szCs w:val="20"/>
                <w:color w:val="auto"/>
                <w:w w:val="98"/>
              </w:rPr>
            </w:pPr>
            <w:hyperlink r:id="rId27">
              <w:r>
                <w:rPr>
                  <w:rFonts w:ascii="Times New Roman" w:cs="Times New Roman" w:eastAsia="Times New Roman" w:hAnsi="Times New Roman"/>
                  <w:sz w:val="20"/>
                  <w:szCs w:val="20"/>
                  <w:color w:val="auto"/>
                  <w:w w:val="98"/>
                </w:rPr>
                <w:t>MK841451.1</w:t>
              </w:r>
            </w:hyperlink>
          </w:p>
        </w:tc>
        <w:tc>
          <w:tcPr>
            <w:tcW w:w="260" w:type="dxa"/>
            <w:vAlign w:val="bottom"/>
            <w:tcBorders>
              <w:right w:val="single" w:sz="8" w:color="auto"/>
            </w:tcBorders>
          </w:tcPr>
          <w:p>
            <w:pPr>
              <w:spacing w:after="0"/>
              <w:rPr>
                <w:sz w:val="15"/>
                <w:szCs w:val="15"/>
                <w:color w:val="auto"/>
              </w:rPr>
            </w:pPr>
          </w:p>
        </w:tc>
        <w:tc>
          <w:tcPr>
            <w:tcW w:w="1260" w:type="dxa"/>
            <w:vAlign w:val="bottom"/>
            <w:tcBorders>
              <w:right w:val="single" w:sz="8" w:color="auto"/>
            </w:tcBorders>
          </w:tcPr>
          <w:p>
            <w:pPr>
              <w:jc w:val="center"/>
              <w:spacing w:after="0" w:line="180" w:lineRule="exact"/>
              <w:rPr>
                <w:sz w:val="20"/>
                <w:szCs w:val="20"/>
                <w:color w:val="auto"/>
              </w:rPr>
            </w:pPr>
            <w:r>
              <w:rPr>
                <w:rFonts w:ascii="Times New Roman" w:cs="Times New Roman" w:eastAsia="Times New Roman" w:hAnsi="Times New Roman"/>
                <w:sz w:val="20"/>
                <w:szCs w:val="20"/>
                <w:color w:val="auto"/>
              </w:rPr>
              <w:t>100.00%</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20"/>
                <w:szCs w:val="20"/>
                <w:color w:val="auto"/>
                <w:w w:val="89"/>
              </w:rPr>
              <w:t>-</w:t>
            </w:r>
          </w:p>
        </w:tc>
      </w:tr>
      <w:tr>
        <w:trPr>
          <w:trHeight w:val="20"/>
        </w:trPr>
        <w:tc>
          <w:tcPr>
            <w:tcW w:w="86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226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r>
        <w:trPr>
          <w:trHeight w:val="201"/>
        </w:trPr>
        <w:tc>
          <w:tcPr>
            <w:tcW w:w="860" w:type="dxa"/>
            <w:vAlign w:val="bottom"/>
            <w:tcBorders>
              <w:bottom w:val="single" w:sz="8" w:color="auto"/>
              <w:right w:val="single" w:sz="8" w:color="auto"/>
            </w:tcBorders>
          </w:tcPr>
          <w:p>
            <w:pPr>
              <w:ind w:left="460"/>
              <w:spacing w:after="0" w:line="201" w:lineRule="exact"/>
              <w:rPr>
                <w:sz w:val="20"/>
                <w:szCs w:val="20"/>
                <w:color w:val="auto"/>
              </w:rPr>
            </w:pPr>
            <w:r>
              <w:rPr>
                <w:rFonts w:ascii="Times New Roman" w:cs="Times New Roman" w:eastAsia="Times New Roman" w:hAnsi="Times New Roman"/>
                <w:sz w:val="20"/>
                <w:szCs w:val="20"/>
                <w:color w:val="auto"/>
              </w:rPr>
              <w:t>8.</w:t>
            </w:r>
          </w:p>
        </w:tc>
        <w:tc>
          <w:tcPr>
            <w:tcW w:w="860" w:type="dxa"/>
            <w:vAlign w:val="bottom"/>
            <w:tcBorders>
              <w:bottom w:val="single" w:sz="8" w:color="auto"/>
              <w:right w:val="single" w:sz="8" w:color="auto"/>
            </w:tcBorders>
          </w:tcPr>
          <w:p>
            <w:pPr>
              <w:ind w:left="100"/>
              <w:spacing w:after="0" w:line="201" w:lineRule="exact"/>
              <w:rPr>
                <w:sz w:val="20"/>
                <w:szCs w:val="20"/>
                <w:color w:val="auto"/>
              </w:rPr>
            </w:pPr>
            <w:r>
              <w:rPr>
                <w:rFonts w:ascii="Times New Roman" w:cs="Times New Roman" w:eastAsia="Times New Roman" w:hAnsi="Times New Roman"/>
                <w:sz w:val="20"/>
                <w:szCs w:val="20"/>
                <w:color w:val="auto"/>
              </w:rPr>
              <w:t>ARF8</w:t>
            </w:r>
          </w:p>
        </w:tc>
        <w:tc>
          <w:tcPr>
            <w:tcW w:w="2260" w:type="dxa"/>
            <w:vAlign w:val="bottom"/>
            <w:tcBorders>
              <w:bottom w:val="single" w:sz="8" w:color="auto"/>
              <w:right w:val="single" w:sz="8" w:color="auto"/>
            </w:tcBorders>
          </w:tcPr>
          <w:p>
            <w:pPr>
              <w:ind w:left="80"/>
              <w:spacing w:after="0" w:line="201" w:lineRule="exact"/>
              <w:rPr>
                <w:sz w:val="20"/>
                <w:szCs w:val="20"/>
                <w:color w:val="auto"/>
              </w:rPr>
            </w:pPr>
            <w:r>
              <w:rPr>
                <w:rFonts w:ascii="Times New Roman" w:cs="Times New Roman" w:eastAsia="Times New Roman" w:hAnsi="Times New Roman"/>
                <w:sz w:val="20"/>
                <w:szCs w:val="20"/>
                <w:i w:val="1"/>
                <w:iCs w:val="1"/>
                <w:color w:val="auto"/>
              </w:rPr>
              <w:t>Penicillium chrysogenum</w:t>
            </w:r>
          </w:p>
        </w:tc>
        <w:tc>
          <w:tcPr>
            <w:tcW w:w="1140" w:type="dxa"/>
            <w:vAlign w:val="bottom"/>
            <w:tcBorders>
              <w:bottom w:val="single" w:sz="8" w:color="auto"/>
              <w:right w:val="single" w:sz="8" w:color="auto"/>
            </w:tcBorders>
          </w:tcPr>
          <w:p>
            <w:pPr>
              <w:ind w:left="100"/>
              <w:spacing w:after="0" w:line="201" w:lineRule="exact"/>
              <w:rPr>
                <w:sz w:val="20"/>
                <w:szCs w:val="20"/>
                <w:color w:val="auto"/>
              </w:rPr>
            </w:pPr>
            <w:r>
              <w:rPr>
                <w:rFonts w:ascii="Times New Roman" w:cs="Times New Roman" w:eastAsia="Times New Roman" w:hAnsi="Times New Roman"/>
                <w:sz w:val="20"/>
                <w:szCs w:val="20"/>
                <w:color w:val="auto"/>
              </w:rPr>
              <w:t>Root</w:t>
            </w:r>
          </w:p>
        </w:tc>
        <w:tc>
          <w:tcPr>
            <w:tcW w:w="80" w:type="dxa"/>
            <w:vAlign w:val="bottom"/>
            <w:tcBorders>
              <w:bottom w:val="single" w:sz="8" w:color="auto"/>
            </w:tcBorders>
          </w:tcPr>
          <w:p>
            <w:pPr>
              <w:spacing w:after="0"/>
              <w:rPr>
                <w:sz w:val="17"/>
                <w:szCs w:val="17"/>
                <w:color w:val="auto"/>
              </w:rPr>
            </w:pPr>
          </w:p>
        </w:tc>
        <w:tc>
          <w:tcPr>
            <w:tcW w:w="1080" w:type="dxa"/>
            <w:vAlign w:val="bottom"/>
            <w:tcBorders>
              <w:bottom w:val="single" w:sz="8" w:color="auto"/>
            </w:tcBorders>
            <w:gridSpan w:val="3"/>
          </w:tcPr>
          <w:p>
            <w:pPr>
              <w:spacing w:after="0" w:line="201" w:lineRule="exact"/>
              <w:rPr>
                <w:sz w:val="20"/>
                <w:szCs w:val="20"/>
                <w:color w:val="auto"/>
              </w:rPr>
            </w:pPr>
            <w:r>
              <w:rPr>
                <w:rFonts w:ascii="Times New Roman" w:cs="Times New Roman" w:eastAsia="Times New Roman" w:hAnsi="Times New Roman"/>
                <w:sz w:val="20"/>
                <w:szCs w:val="20"/>
                <w:color w:val="auto"/>
              </w:rPr>
              <w:t>KR233468.1</w:t>
            </w:r>
          </w:p>
        </w:tc>
        <w:tc>
          <w:tcPr>
            <w:tcW w:w="260" w:type="dxa"/>
            <w:vAlign w:val="bottom"/>
            <w:tcBorders>
              <w:bottom w:val="single" w:sz="8" w:color="auto"/>
              <w:right w:val="single" w:sz="8" w:color="auto"/>
            </w:tcBorders>
          </w:tcPr>
          <w:p>
            <w:pPr>
              <w:spacing w:after="0"/>
              <w:rPr>
                <w:sz w:val="17"/>
                <w:szCs w:val="17"/>
                <w:color w:val="auto"/>
              </w:rPr>
            </w:pPr>
          </w:p>
        </w:tc>
        <w:tc>
          <w:tcPr>
            <w:tcW w:w="1260" w:type="dxa"/>
            <w:vAlign w:val="bottom"/>
            <w:tcBorders>
              <w:bottom w:val="single" w:sz="8" w:color="auto"/>
              <w:right w:val="single" w:sz="8" w:color="auto"/>
            </w:tcBorders>
          </w:tcPr>
          <w:p>
            <w:pPr>
              <w:jc w:val="center"/>
              <w:spacing w:after="0" w:line="201" w:lineRule="exact"/>
              <w:rPr>
                <w:sz w:val="20"/>
                <w:szCs w:val="20"/>
                <w:color w:val="auto"/>
              </w:rPr>
            </w:pPr>
            <w:r>
              <w:rPr>
                <w:rFonts w:ascii="Times New Roman" w:cs="Times New Roman" w:eastAsia="Times New Roman" w:hAnsi="Times New Roman"/>
                <w:sz w:val="20"/>
                <w:szCs w:val="20"/>
                <w:color w:val="auto"/>
              </w:rPr>
              <w:t>99.82%</w:t>
            </w:r>
          </w:p>
        </w:tc>
        <w:tc>
          <w:tcPr>
            <w:tcW w:w="1560" w:type="dxa"/>
            <w:vAlign w:val="bottom"/>
            <w:tcBorders>
              <w:bottom w:val="single" w:sz="8" w:color="auto"/>
            </w:tcBorders>
          </w:tcPr>
          <w:p>
            <w:pPr>
              <w:jc w:val="center"/>
              <w:spacing w:after="0" w:line="201" w:lineRule="exact"/>
              <w:rPr>
                <w:sz w:val="20"/>
                <w:szCs w:val="20"/>
                <w:color w:val="auto"/>
              </w:rPr>
            </w:pPr>
            <w:r>
              <w:rPr>
                <w:rFonts w:ascii="Times New Roman" w:cs="Times New Roman" w:eastAsia="Times New Roman" w:hAnsi="Times New Roman"/>
                <w:sz w:val="20"/>
                <w:szCs w:val="20"/>
                <w:color w:val="auto"/>
                <w:w w:val="99"/>
              </w:rPr>
              <w:t>MT322426</w:t>
            </w:r>
          </w:p>
        </w:tc>
      </w:tr>
      <w:tr>
        <w:trPr>
          <w:trHeight w:val="199"/>
        </w:trPr>
        <w:tc>
          <w:tcPr>
            <w:tcW w:w="860" w:type="dxa"/>
            <w:vAlign w:val="bottom"/>
            <w:tcBorders>
              <w:right w:val="single" w:sz="8" w:color="auto"/>
            </w:tcBorders>
          </w:tcPr>
          <w:p>
            <w:pPr>
              <w:ind w:left="460"/>
              <w:spacing w:after="0" w:line="199" w:lineRule="exact"/>
              <w:rPr>
                <w:sz w:val="20"/>
                <w:szCs w:val="20"/>
                <w:color w:val="auto"/>
              </w:rPr>
            </w:pPr>
            <w:r>
              <w:rPr>
                <w:rFonts w:ascii="Times New Roman" w:cs="Times New Roman" w:eastAsia="Times New Roman" w:hAnsi="Times New Roman"/>
                <w:sz w:val="20"/>
                <w:szCs w:val="20"/>
                <w:color w:val="auto"/>
              </w:rPr>
              <w:t>9.</w:t>
            </w:r>
          </w:p>
        </w:tc>
        <w:tc>
          <w:tcPr>
            <w:tcW w:w="860" w:type="dxa"/>
            <w:vAlign w:val="bottom"/>
            <w:tcBorders>
              <w:right w:val="single" w:sz="8" w:color="auto"/>
            </w:tcBorders>
          </w:tcPr>
          <w:p>
            <w:pPr>
              <w:ind w:left="100"/>
              <w:spacing w:after="0" w:line="199" w:lineRule="exact"/>
              <w:rPr>
                <w:sz w:val="20"/>
                <w:szCs w:val="20"/>
                <w:color w:val="auto"/>
              </w:rPr>
            </w:pPr>
            <w:r>
              <w:rPr>
                <w:rFonts w:ascii="Times New Roman" w:cs="Times New Roman" w:eastAsia="Times New Roman" w:hAnsi="Times New Roman"/>
                <w:sz w:val="20"/>
                <w:szCs w:val="20"/>
                <w:color w:val="auto"/>
              </w:rPr>
              <w:t>ASF1</w:t>
            </w:r>
          </w:p>
        </w:tc>
        <w:tc>
          <w:tcPr>
            <w:tcW w:w="2260" w:type="dxa"/>
            <w:vAlign w:val="bottom"/>
            <w:tcBorders>
              <w:right w:val="single" w:sz="8" w:color="auto"/>
            </w:tcBorders>
          </w:tcPr>
          <w:p>
            <w:pPr>
              <w:ind w:left="80"/>
              <w:spacing w:after="0" w:line="199" w:lineRule="exact"/>
              <w:rPr>
                <w:sz w:val="20"/>
                <w:szCs w:val="20"/>
                <w:color w:val="auto"/>
              </w:rPr>
            </w:pPr>
            <w:r>
              <w:rPr>
                <w:rFonts w:ascii="Times New Roman" w:cs="Times New Roman" w:eastAsia="Times New Roman" w:hAnsi="Times New Roman"/>
                <w:sz w:val="20"/>
                <w:szCs w:val="20"/>
                <w:i w:val="1"/>
                <w:iCs w:val="1"/>
                <w:color w:val="auto"/>
              </w:rPr>
              <w:t>Aspergillus niger</w:t>
            </w:r>
          </w:p>
        </w:tc>
        <w:tc>
          <w:tcPr>
            <w:tcW w:w="1140" w:type="dxa"/>
            <w:vAlign w:val="bottom"/>
            <w:tcBorders>
              <w:right w:val="single" w:sz="8" w:color="auto"/>
            </w:tcBorders>
          </w:tcPr>
          <w:p>
            <w:pPr>
              <w:ind w:left="100"/>
              <w:spacing w:after="0" w:line="199" w:lineRule="exact"/>
              <w:rPr>
                <w:sz w:val="20"/>
                <w:szCs w:val="20"/>
                <w:color w:val="auto"/>
              </w:rPr>
            </w:pPr>
            <w:r>
              <w:rPr>
                <w:rFonts w:ascii="Times New Roman" w:cs="Times New Roman" w:eastAsia="Times New Roman" w:hAnsi="Times New Roman"/>
                <w:sz w:val="20"/>
                <w:szCs w:val="20"/>
                <w:color w:val="auto"/>
              </w:rPr>
              <w:t>Shoot</w:t>
            </w:r>
          </w:p>
        </w:tc>
        <w:tc>
          <w:tcPr>
            <w:tcW w:w="80" w:type="dxa"/>
            <w:vAlign w:val="bottom"/>
          </w:tcPr>
          <w:p>
            <w:pPr>
              <w:spacing w:after="0"/>
              <w:rPr>
                <w:sz w:val="17"/>
                <w:szCs w:val="17"/>
                <w:color w:val="auto"/>
              </w:rPr>
            </w:pPr>
          </w:p>
        </w:tc>
        <w:tc>
          <w:tcPr>
            <w:tcW w:w="1080" w:type="dxa"/>
            <w:vAlign w:val="bottom"/>
            <w:tcBorders>
              <w:bottom w:val="single" w:sz="8" w:color="auto"/>
            </w:tcBorders>
            <w:gridSpan w:val="3"/>
          </w:tcPr>
          <w:p>
            <w:pPr>
              <w:spacing w:after="0" w:line="199" w:lineRule="exact"/>
              <w:rPr>
                <w:rFonts w:ascii="Times New Roman" w:cs="Times New Roman" w:eastAsia="Times New Roman" w:hAnsi="Times New Roman"/>
                <w:sz w:val="20"/>
                <w:szCs w:val="20"/>
                <w:color w:val="auto"/>
                <w:w w:val="98"/>
              </w:rPr>
            </w:pPr>
            <w:hyperlink r:id="rId28">
              <w:r>
                <w:rPr>
                  <w:rFonts w:ascii="Times New Roman" w:cs="Times New Roman" w:eastAsia="Times New Roman" w:hAnsi="Times New Roman"/>
                  <w:sz w:val="20"/>
                  <w:szCs w:val="20"/>
                  <w:color w:val="auto"/>
                  <w:w w:val="98"/>
                </w:rPr>
                <w:t>MN704691.1</w:t>
              </w:r>
            </w:hyperlink>
          </w:p>
        </w:tc>
        <w:tc>
          <w:tcPr>
            <w:tcW w:w="260" w:type="dxa"/>
            <w:vAlign w:val="bottom"/>
            <w:tcBorders>
              <w:right w:val="single" w:sz="8" w:color="auto"/>
            </w:tcBorders>
          </w:tcPr>
          <w:p>
            <w:pPr>
              <w:spacing w:after="0"/>
              <w:rPr>
                <w:sz w:val="17"/>
                <w:szCs w:val="17"/>
                <w:color w:val="auto"/>
              </w:rPr>
            </w:pPr>
          </w:p>
        </w:tc>
        <w:tc>
          <w:tcPr>
            <w:tcW w:w="1260" w:type="dxa"/>
            <w:vAlign w:val="bottom"/>
            <w:tcBorders>
              <w:right w:val="single" w:sz="8" w:color="auto"/>
            </w:tcBorders>
          </w:tcPr>
          <w:p>
            <w:pPr>
              <w:jc w:val="center"/>
              <w:spacing w:after="0" w:line="199" w:lineRule="exact"/>
              <w:rPr>
                <w:sz w:val="20"/>
                <w:szCs w:val="20"/>
                <w:color w:val="auto"/>
              </w:rPr>
            </w:pPr>
            <w:r>
              <w:rPr>
                <w:rFonts w:ascii="Times New Roman" w:cs="Times New Roman" w:eastAsia="Times New Roman" w:hAnsi="Times New Roman"/>
                <w:sz w:val="20"/>
                <w:szCs w:val="20"/>
                <w:color w:val="auto"/>
              </w:rPr>
              <w:t>100.00%</w:t>
            </w:r>
          </w:p>
        </w:tc>
        <w:tc>
          <w:tcPr>
            <w:tcW w:w="1560" w:type="dxa"/>
            <w:vAlign w:val="bottom"/>
          </w:tcPr>
          <w:p>
            <w:pPr>
              <w:jc w:val="center"/>
              <w:spacing w:after="0" w:line="199" w:lineRule="exact"/>
              <w:rPr>
                <w:sz w:val="20"/>
                <w:szCs w:val="20"/>
                <w:color w:val="auto"/>
              </w:rPr>
            </w:pPr>
            <w:r>
              <w:rPr>
                <w:rFonts w:ascii="Times New Roman" w:cs="Times New Roman" w:eastAsia="Times New Roman" w:hAnsi="Times New Roman"/>
                <w:sz w:val="20"/>
                <w:szCs w:val="20"/>
                <w:color w:val="auto"/>
                <w:w w:val="89"/>
              </w:rPr>
              <w:t>-</w:t>
            </w:r>
          </w:p>
        </w:tc>
      </w:tr>
      <w:tr>
        <w:trPr>
          <w:trHeight w:val="20"/>
        </w:trPr>
        <w:tc>
          <w:tcPr>
            <w:tcW w:w="86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226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r>
        <w:trPr>
          <w:trHeight w:val="180"/>
        </w:trPr>
        <w:tc>
          <w:tcPr>
            <w:tcW w:w="860" w:type="dxa"/>
            <w:vAlign w:val="bottom"/>
            <w:tcBorders>
              <w:right w:val="single" w:sz="8" w:color="auto"/>
            </w:tcBorders>
          </w:tcPr>
          <w:p>
            <w:pPr>
              <w:ind w:left="460"/>
              <w:spacing w:after="0" w:line="180" w:lineRule="exact"/>
              <w:rPr>
                <w:sz w:val="20"/>
                <w:szCs w:val="20"/>
                <w:color w:val="auto"/>
              </w:rPr>
            </w:pPr>
            <w:r>
              <w:rPr>
                <w:rFonts w:ascii="Times New Roman" w:cs="Times New Roman" w:eastAsia="Times New Roman" w:hAnsi="Times New Roman"/>
                <w:sz w:val="20"/>
                <w:szCs w:val="20"/>
                <w:color w:val="auto"/>
              </w:rPr>
              <w:t>10.</w:t>
            </w:r>
          </w:p>
        </w:tc>
        <w:tc>
          <w:tcPr>
            <w:tcW w:w="86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ASF2</w:t>
            </w:r>
          </w:p>
        </w:tc>
        <w:tc>
          <w:tcPr>
            <w:tcW w:w="2260" w:type="dxa"/>
            <w:vAlign w:val="bottom"/>
            <w:tcBorders>
              <w:right w:val="single" w:sz="8" w:color="auto"/>
            </w:tcBorders>
          </w:tcPr>
          <w:p>
            <w:pPr>
              <w:ind w:left="80"/>
              <w:spacing w:after="0" w:line="180" w:lineRule="exact"/>
              <w:rPr>
                <w:sz w:val="20"/>
                <w:szCs w:val="20"/>
                <w:color w:val="auto"/>
              </w:rPr>
            </w:pPr>
            <w:r>
              <w:rPr>
                <w:rFonts w:ascii="Times New Roman" w:cs="Times New Roman" w:eastAsia="Times New Roman" w:hAnsi="Times New Roman"/>
                <w:sz w:val="20"/>
                <w:szCs w:val="20"/>
                <w:i w:val="1"/>
                <w:iCs w:val="1"/>
                <w:color w:val="auto"/>
              </w:rPr>
              <w:t>Aspergillus niger</w:t>
            </w:r>
          </w:p>
        </w:tc>
        <w:tc>
          <w:tcPr>
            <w:tcW w:w="114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Shoot</w:t>
            </w:r>
          </w:p>
        </w:tc>
        <w:tc>
          <w:tcPr>
            <w:tcW w:w="80" w:type="dxa"/>
            <w:vAlign w:val="bottom"/>
          </w:tcPr>
          <w:p>
            <w:pPr>
              <w:spacing w:after="0"/>
              <w:rPr>
                <w:sz w:val="15"/>
                <w:szCs w:val="15"/>
                <w:color w:val="auto"/>
              </w:rPr>
            </w:pPr>
          </w:p>
        </w:tc>
        <w:tc>
          <w:tcPr>
            <w:tcW w:w="1080" w:type="dxa"/>
            <w:vAlign w:val="bottom"/>
            <w:gridSpan w:val="3"/>
          </w:tcPr>
          <w:p>
            <w:pPr>
              <w:spacing w:after="0" w:line="180" w:lineRule="exact"/>
              <w:rPr>
                <w:rFonts w:ascii="Times New Roman" w:cs="Times New Roman" w:eastAsia="Times New Roman" w:hAnsi="Times New Roman"/>
                <w:sz w:val="20"/>
                <w:szCs w:val="20"/>
                <w:color w:val="auto"/>
              </w:rPr>
            </w:pPr>
            <w:hyperlink r:id="rId29">
              <w:r>
                <w:rPr>
                  <w:rFonts w:ascii="Times New Roman" w:cs="Times New Roman" w:eastAsia="Times New Roman" w:hAnsi="Times New Roman"/>
                  <w:sz w:val="20"/>
                  <w:szCs w:val="20"/>
                  <w:color w:val="auto"/>
                </w:rPr>
                <w:t>MF379661.1</w:t>
              </w:r>
            </w:hyperlink>
          </w:p>
        </w:tc>
        <w:tc>
          <w:tcPr>
            <w:tcW w:w="260" w:type="dxa"/>
            <w:vAlign w:val="bottom"/>
            <w:tcBorders>
              <w:right w:val="single" w:sz="8" w:color="auto"/>
            </w:tcBorders>
          </w:tcPr>
          <w:p>
            <w:pPr>
              <w:spacing w:after="0"/>
              <w:rPr>
                <w:sz w:val="15"/>
                <w:szCs w:val="15"/>
                <w:color w:val="auto"/>
              </w:rPr>
            </w:pPr>
          </w:p>
        </w:tc>
        <w:tc>
          <w:tcPr>
            <w:tcW w:w="1260" w:type="dxa"/>
            <w:vAlign w:val="bottom"/>
            <w:tcBorders>
              <w:right w:val="single" w:sz="8" w:color="auto"/>
            </w:tcBorders>
          </w:tcPr>
          <w:p>
            <w:pPr>
              <w:jc w:val="center"/>
              <w:spacing w:after="0" w:line="180" w:lineRule="exact"/>
              <w:rPr>
                <w:sz w:val="20"/>
                <w:szCs w:val="20"/>
                <w:color w:val="auto"/>
              </w:rPr>
            </w:pPr>
            <w:r>
              <w:rPr>
                <w:rFonts w:ascii="Times New Roman" w:cs="Times New Roman" w:eastAsia="Times New Roman" w:hAnsi="Times New Roman"/>
                <w:sz w:val="20"/>
                <w:szCs w:val="20"/>
                <w:color w:val="auto"/>
              </w:rPr>
              <w:t>100.00%</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20"/>
                <w:szCs w:val="20"/>
                <w:color w:val="auto"/>
                <w:w w:val="89"/>
              </w:rPr>
              <w:t>-</w:t>
            </w:r>
          </w:p>
        </w:tc>
      </w:tr>
      <w:tr>
        <w:trPr>
          <w:trHeight w:val="20"/>
        </w:trPr>
        <w:tc>
          <w:tcPr>
            <w:tcW w:w="86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226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040" w:type="dxa"/>
            <w:vAlign w:val="bottom"/>
            <w:tcBorders>
              <w:top w:val="single" w:sz="8" w:color="auto"/>
              <w:bottom w:val="single" w:sz="8" w:color="auto"/>
            </w:tcBorders>
          </w:tcPr>
          <w:p>
            <w:pPr>
              <w:spacing w:after="0" w:line="20" w:lineRule="exact"/>
              <w:rPr>
                <w:sz w:val="1"/>
                <w:szCs w:val="1"/>
                <w:color w:val="auto"/>
              </w:rPr>
            </w:pPr>
          </w:p>
        </w:tc>
        <w:tc>
          <w:tcPr>
            <w:tcW w:w="40" w:type="dxa"/>
            <w:vAlign w:val="bottom"/>
            <w:tcBorders>
              <w:bottom w:val="single" w:sz="8" w:color="auto"/>
            </w:tcBorders>
            <w:gridSpan w:val="2"/>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r>
        <w:trPr>
          <w:trHeight w:val="180"/>
        </w:trPr>
        <w:tc>
          <w:tcPr>
            <w:tcW w:w="860" w:type="dxa"/>
            <w:vAlign w:val="bottom"/>
            <w:tcBorders>
              <w:right w:val="single" w:sz="8" w:color="auto"/>
            </w:tcBorders>
          </w:tcPr>
          <w:p>
            <w:pPr>
              <w:ind w:left="460"/>
              <w:spacing w:after="0" w:line="180" w:lineRule="exact"/>
              <w:rPr>
                <w:sz w:val="20"/>
                <w:szCs w:val="20"/>
                <w:color w:val="auto"/>
              </w:rPr>
            </w:pPr>
            <w:r>
              <w:rPr>
                <w:rFonts w:ascii="Times New Roman" w:cs="Times New Roman" w:eastAsia="Times New Roman" w:hAnsi="Times New Roman"/>
                <w:sz w:val="20"/>
                <w:szCs w:val="20"/>
                <w:color w:val="auto"/>
              </w:rPr>
              <w:t>11.</w:t>
            </w:r>
          </w:p>
        </w:tc>
        <w:tc>
          <w:tcPr>
            <w:tcW w:w="86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ASF3</w:t>
            </w:r>
          </w:p>
        </w:tc>
        <w:tc>
          <w:tcPr>
            <w:tcW w:w="2260" w:type="dxa"/>
            <w:vAlign w:val="bottom"/>
            <w:tcBorders>
              <w:right w:val="single" w:sz="8" w:color="auto"/>
            </w:tcBorders>
          </w:tcPr>
          <w:p>
            <w:pPr>
              <w:ind w:left="80"/>
              <w:spacing w:after="0" w:line="180" w:lineRule="exact"/>
              <w:rPr>
                <w:sz w:val="20"/>
                <w:szCs w:val="20"/>
                <w:color w:val="auto"/>
              </w:rPr>
            </w:pPr>
            <w:r>
              <w:rPr>
                <w:rFonts w:ascii="Times New Roman" w:cs="Times New Roman" w:eastAsia="Times New Roman" w:hAnsi="Times New Roman"/>
                <w:sz w:val="20"/>
                <w:szCs w:val="20"/>
                <w:i w:val="1"/>
                <w:iCs w:val="1"/>
                <w:color w:val="auto"/>
              </w:rPr>
              <w:t>Aspergillus oryzae</w:t>
            </w:r>
          </w:p>
        </w:tc>
        <w:tc>
          <w:tcPr>
            <w:tcW w:w="114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Shoot</w:t>
            </w:r>
          </w:p>
        </w:tc>
        <w:tc>
          <w:tcPr>
            <w:tcW w:w="80" w:type="dxa"/>
            <w:vAlign w:val="bottom"/>
          </w:tcPr>
          <w:p>
            <w:pPr>
              <w:spacing w:after="0"/>
              <w:rPr>
                <w:sz w:val="15"/>
                <w:szCs w:val="15"/>
                <w:color w:val="auto"/>
              </w:rPr>
            </w:pPr>
          </w:p>
        </w:tc>
        <w:tc>
          <w:tcPr>
            <w:tcW w:w="1060" w:type="dxa"/>
            <w:vAlign w:val="bottom"/>
            <w:tcBorders>
              <w:bottom w:val="single" w:sz="8" w:color="auto"/>
            </w:tcBorders>
            <w:gridSpan w:val="2"/>
          </w:tcPr>
          <w:p>
            <w:pPr>
              <w:spacing w:after="0" w:line="180" w:lineRule="exact"/>
              <w:rPr>
                <w:rFonts w:ascii="Times New Roman" w:cs="Times New Roman" w:eastAsia="Times New Roman" w:hAnsi="Times New Roman"/>
                <w:sz w:val="20"/>
                <w:szCs w:val="20"/>
                <w:color w:val="auto"/>
                <w:w w:val="98"/>
              </w:rPr>
            </w:pPr>
            <w:hyperlink r:id="rId30">
              <w:r>
                <w:rPr>
                  <w:rFonts w:ascii="Times New Roman" w:cs="Times New Roman" w:eastAsia="Times New Roman" w:hAnsi="Times New Roman"/>
                  <w:sz w:val="20"/>
                  <w:szCs w:val="20"/>
                  <w:color w:val="auto"/>
                  <w:w w:val="98"/>
                </w:rPr>
                <w:t>MT071405.1</w:t>
              </w:r>
            </w:hyperlink>
          </w:p>
        </w:tc>
        <w:tc>
          <w:tcPr>
            <w:tcW w:w="20" w:type="dxa"/>
            <w:vAlign w:val="bottom"/>
          </w:tcPr>
          <w:p>
            <w:pPr>
              <w:spacing w:after="0"/>
              <w:rPr>
                <w:sz w:val="15"/>
                <w:szCs w:val="15"/>
                <w:color w:val="auto"/>
              </w:rPr>
            </w:pPr>
          </w:p>
        </w:tc>
        <w:tc>
          <w:tcPr>
            <w:tcW w:w="260" w:type="dxa"/>
            <w:vAlign w:val="bottom"/>
            <w:tcBorders>
              <w:right w:val="single" w:sz="8" w:color="auto"/>
            </w:tcBorders>
          </w:tcPr>
          <w:p>
            <w:pPr>
              <w:spacing w:after="0"/>
              <w:rPr>
                <w:sz w:val="15"/>
                <w:szCs w:val="15"/>
                <w:color w:val="auto"/>
              </w:rPr>
            </w:pPr>
          </w:p>
        </w:tc>
        <w:tc>
          <w:tcPr>
            <w:tcW w:w="1260" w:type="dxa"/>
            <w:vAlign w:val="bottom"/>
            <w:tcBorders>
              <w:right w:val="single" w:sz="8" w:color="auto"/>
            </w:tcBorders>
          </w:tcPr>
          <w:p>
            <w:pPr>
              <w:jc w:val="center"/>
              <w:spacing w:after="0" w:line="180" w:lineRule="exact"/>
              <w:rPr>
                <w:sz w:val="20"/>
                <w:szCs w:val="20"/>
                <w:color w:val="auto"/>
              </w:rPr>
            </w:pPr>
            <w:r>
              <w:rPr>
                <w:rFonts w:ascii="Times New Roman" w:cs="Times New Roman" w:eastAsia="Times New Roman" w:hAnsi="Times New Roman"/>
                <w:sz w:val="20"/>
                <w:szCs w:val="20"/>
                <w:color w:val="auto"/>
              </w:rPr>
              <w:t>100.00%</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20"/>
                <w:szCs w:val="20"/>
                <w:color w:val="auto"/>
                <w:w w:val="89"/>
              </w:rPr>
              <w:t>-</w:t>
            </w:r>
          </w:p>
        </w:tc>
      </w:tr>
      <w:tr>
        <w:trPr>
          <w:trHeight w:val="20"/>
        </w:trPr>
        <w:tc>
          <w:tcPr>
            <w:tcW w:w="86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226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gridSpan w:val="2"/>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r>
        <w:trPr>
          <w:trHeight w:val="180"/>
        </w:trPr>
        <w:tc>
          <w:tcPr>
            <w:tcW w:w="860" w:type="dxa"/>
            <w:vAlign w:val="bottom"/>
            <w:tcBorders>
              <w:right w:val="single" w:sz="8" w:color="auto"/>
            </w:tcBorders>
          </w:tcPr>
          <w:p>
            <w:pPr>
              <w:ind w:left="460"/>
              <w:spacing w:after="0" w:line="180" w:lineRule="exact"/>
              <w:rPr>
                <w:sz w:val="20"/>
                <w:szCs w:val="20"/>
                <w:color w:val="auto"/>
              </w:rPr>
            </w:pPr>
            <w:r>
              <w:rPr>
                <w:rFonts w:ascii="Times New Roman" w:cs="Times New Roman" w:eastAsia="Times New Roman" w:hAnsi="Times New Roman"/>
                <w:sz w:val="20"/>
                <w:szCs w:val="20"/>
                <w:color w:val="auto"/>
              </w:rPr>
              <w:t>12.</w:t>
            </w:r>
          </w:p>
        </w:tc>
        <w:tc>
          <w:tcPr>
            <w:tcW w:w="86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ASF4</w:t>
            </w:r>
          </w:p>
        </w:tc>
        <w:tc>
          <w:tcPr>
            <w:tcW w:w="2260" w:type="dxa"/>
            <w:vAlign w:val="bottom"/>
            <w:tcBorders>
              <w:right w:val="single" w:sz="8" w:color="auto"/>
            </w:tcBorders>
          </w:tcPr>
          <w:p>
            <w:pPr>
              <w:ind w:left="80"/>
              <w:spacing w:after="0" w:line="180" w:lineRule="exact"/>
              <w:rPr>
                <w:sz w:val="20"/>
                <w:szCs w:val="20"/>
                <w:color w:val="auto"/>
              </w:rPr>
            </w:pPr>
            <w:r>
              <w:rPr>
                <w:rFonts w:ascii="Times New Roman" w:cs="Times New Roman" w:eastAsia="Times New Roman" w:hAnsi="Times New Roman"/>
                <w:sz w:val="20"/>
                <w:szCs w:val="20"/>
                <w:i w:val="1"/>
                <w:iCs w:val="1"/>
                <w:color w:val="auto"/>
              </w:rPr>
              <w:t>Aspergillus flavus</w:t>
            </w:r>
          </w:p>
        </w:tc>
        <w:tc>
          <w:tcPr>
            <w:tcW w:w="114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Shoot</w:t>
            </w:r>
          </w:p>
        </w:tc>
        <w:tc>
          <w:tcPr>
            <w:tcW w:w="80" w:type="dxa"/>
            <w:vAlign w:val="bottom"/>
          </w:tcPr>
          <w:p>
            <w:pPr>
              <w:spacing w:after="0"/>
              <w:rPr>
                <w:sz w:val="15"/>
                <w:szCs w:val="15"/>
                <w:color w:val="auto"/>
              </w:rPr>
            </w:pPr>
          </w:p>
        </w:tc>
        <w:tc>
          <w:tcPr>
            <w:tcW w:w="1080" w:type="dxa"/>
            <w:vAlign w:val="bottom"/>
            <w:tcBorders>
              <w:bottom w:val="single" w:sz="8" w:color="auto"/>
            </w:tcBorders>
            <w:gridSpan w:val="3"/>
          </w:tcPr>
          <w:p>
            <w:pPr>
              <w:spacing w:after="0" w:line="180" w:lineRule="exact"/>
              <w:rPr>
                <w:rFonts w:ascii="Times New Roman" w:cs="Times New Roman" w:eastAsia="Times New Roman" w:hAnsi="Times New Roman"/>
                <w:sz w:val="20"/>
                <w:szCs w:val="20"/>
                <w:color w:val="auto"/>
                <w:w w:val="98"/>
              </w:rPr>
            </w:pPr>
            <w:hyperlink r:id="rId31">
              <w:r>
                <w:rPr>
                  <w:rFonts w:ascii="Times New Roman" w:cs="Times New Roman" w:eastAsia="Times New Roman" w:hAnsi="Times New Roman"/>
                  <w:sz w:val="20"/>
                  <w:szCs w:val="20"/>
                  <w:color w:val="auto"/>
                  <w:w w:val="98"/>
                </w:rPr>
                <w:t>MN565937.1</w:t>
              </w:r>
            </w:hyperlink>
          </w:p>
        </w:tc>
        <w:tc>
          <w:tcPr>
            <w:tcW w:w="260" w:type="dxa"/>
            <w:vAlign w:val="bottom"/>
            <w:tcBorders>
              <w:right w:val="single" w:sz="8" w:color="auto"/>
            </w:tcBorders>
          </w:tcPr>
          <w:p>
            <w:pPr>
              <w:spacing w:after="0"/>
              <w:rPr>
                <w:sz w:val="15"/>
                <w:szCs w:val="15"/>
                <w:color w:val="auto"/>
              </w:rPr>
            </w:pPr>
          </w:p>
        </w:tc>
        <w:tc>
          <w:tcPr>
            <w:tcW w:w="1260" w:type="dxa"/>
            <w:vAlign w:val="bottom"/>
            <w:tcBorders>
              <w:right w:val="single" w:sz="8" w:color="auto"/>
            </w:tcBorders>
          </w:tcPr>
          <w:p>
            <w:pPr>
              <w:jc w:val="center"/>
              <w:spacing w:after="0" w:line="180" w:lineRule="exact"/>
              <w:rPr>
                <w:sz w:val="20"/>
                <w:szCs w:val="20"/>
                <w:color w:val="auto"/>
              </w:rPr>
            </w:pPr>
            <w:r>
              <w:rPr>
                <w:rFonts w:ascii="Times New Roman" w:cs="Times New Roman" w:eastAsia="Times New Roman" w:hAnsi="Times New Roman"/>
                <w:sz w:val="20"/>
                <w:szCs w:val="20"/>
                <w:color w:val="auto"/>
              </w:rPr>
              <w:t>93.33%</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20"/>
                <w:szCs w:val="20"/>
                <w:color w:val="auto"/>
                <w:w w:val="99"/>
              </w:rPr>
              <w:t>MT322245</w:t>
            </w:r>
          </w:p>
        </w:tc>
      </w:tr>
      <w:tr>
        <w:trPr>
          <w:trHeight w:val="20"/>
        </w:trPr>
        <w:tc>
          <w:tcPr>
            <w:tcW w:w="86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226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gridSpan w:val="2"/>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r>
        <w:trPr>
          <w:trHeight w:val="180"/>
        </w:trPr>
        <w:tc>
          <w:tcPr>
            <w:tcW w:w="860" w:type="dxa"/>
            <w:vAlign w:val="bottom"/>
            <w:tcBorders>
              <w:right w:val="single" w:sz="8" w:color="auto"/>
            </w:tcBorders>
          </w:tcPr>
          <w:p>
            <w:pPr>
              <w:ind w:left="460"/>
              <w:spacing w:after="0" w:line="180" w:lineRule="exact"/>
              <w:rPr>
                <w:sz w:val="20"/>
                <w:szCs w:val="20"/>
                <w:color w:val="auto"/>
              </w:rPr>
            </w:pPr>
            <w:r>
              <w:rPr>
                <w:rFonts w:ascii="Times New Roman" w:cs="Times New Roman" w:eastAsia="Times New Roman" w:hAnsi="Times New Roman"/>
                <w:sz w:val="20"/>
                <w:szCs w:val="20"/>
                <w:color w:val="auto"/>
              </w:rPr>
              <w:t>13.</w:t>
            </w:r>
          </w:p>
        </w:tc>
        <w:tc>
          <w:tcPr>
            <w:tcW w:w="86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ASF5</w:t>
            </w:r>
          </w:p>
        </w:tc>
        <w:tc>
          <w:tcPr>
            <w:tcW w:w="2260" w:type="dxa"/>
            <w:vAlign w:val="bottom"/>
            <w:tcBorders>
              <w:right w:val="single" w:sz="8" w:color="auto"/>
            </w:tcBorders>
          </w:tcPr>
          <w:p>
            <w:pPr>
              <w:ind w:left="80"/>
              <w:spacing w:after="0" w:line="180" w:lineRule="exact"/>
              <w:rPr>
                <w:sz w:val="20"/>
                <w:szCs w:val="20"/>
                <w:color w:val="auto"/>
              </w:rPr>
            </w:pPr>
            <w:r>
              <w:rPr>
                <w:rFonts w:ascii="Times New Roman" w:cs="Times New Roman" w:eastAsia="Times New Roman" w:hAnsi="Times New Roman"/>
                <w:sz w:val="20"/>
                <w:szCs w:val="20"/>
                <w:i w:val="1"/>
                <w:iCs w:val="1"/>
                <w:color w:val="auto"/>
              </w:rPr>
              <w:t>Aspergillus flavus</w:t>
            </w:r>
          </w:p>
        </w:tc>
        <w:tc>
          <w:tcPr>
            <w:tcW w:w="114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Shoot</w:t>
            </w:r>
          </w:p>
        </w:tc>
        <w:tc>
          <w:tcPr>
            <w:tcW w:w="80" w:type="dxa"/>
            <w:vAlign w:val="bottom"/>
          </w:tcPr>
          <w:p>
            <w:pPr>
              <w:spacing w:after="0"/>
              <w:rPr>
                <w:sz w:val="15"/>
                <w:szCs w:val="15"/>
                <w:color w:val="auto"/>
              </w:rPr>
            </w:pPr>
          </w:p>
        </w:tc>
        <w:tc>
          <w:tcPr>
            <w:tcW w:w="1080" w:type="dxa"/>
            <w:vAlign w:val="bottom"/>
            <w:tcBorders>
              <w:bottom w:val="single" w:sz="8" w:color="auto"/>
            </w:tcBorders>
            <w:gridSpan w:val="3"/>
          </w:tcPr>
          <w:p>
            <w:pPr>
              <w:spacing w:after="0" w:line="180" w:lineRule="exact"/>
              <w:rPr>
                <w:rFonts w:ascii="Times New Roman" w:cs="Times New Roman" w:eastAsia="Times New Roman" w:hAnsi="Times New Roman"/>
                <w:sz w:val="20"/>
                <w:szCs w:val="20"/>
                <w:color w:val="auto"/>
                <w:w w:val="98"/>
              </w:rPr>
            </w:pPr>
            <w:hyperlink r:id="rId32">
              <w:r>
                <w:rPr>
                  <w:rFonts w:ascii="Times New Roman" w:cs="Times New Roman" w:eastAsia="Times New Roman" w:hAnsi="Times New Roman"/>
                  <w:sz w:val="20"/>
                  <w:szCs w:val="20"/>
                  <w:color w:val="auto"/>
                  <w:w w:val="98"/>
                </w:rPr>
                <w:t>MN238861.1</w:t>
              </w:r>
            </w:hyperlink>
          </w:p>
        </w:tc>
        <w:tc>
          <w:tcPr>
            <w:tcW w:w="260" w:type="dxa"/>
            <w:vAlign w:val="bottom"/>
            <w:tcBorders>
              <w:right w:val="single" w:sz="8" w:color="auto"/>
            </w:tcBorders>
          </w:tcPr>
          <w:p>
            <w:pPr>
              <w:spacing w:after="0"/>
              <w:rPr>
                <w:sz w:val="15"/>
                <w:szCs w:val="15"/>
                <w:color w:val="auto"/>
              </w:rPr>
            </w:pPr>
          </w:p>
        </w:tc>
        <w:tc>
          <w:tcPr>
            <w:tcW w:w="1260" w:type="dxa"/>
            <w:vAlign w:val="bottom"/>
            <w:tcBorders>
              <w:right w:val="single" w:sz="8" w:color="auto"/>
            </w:tcBorders>
          </w:tcPr>
          <w:p>
            <w:pPr>
              <w:jc w:val="center"/>
              <w:spacing w:after="0" w:line="180" w:lineRule="exact"/>
              <w:rPr>
                <w:sz w:val="20"/>
                <w:szCs w:val="20"/>
                <w:color w:val="auto"/>
              </w:rPr>
            </w:pPr>
            <w:r>
              <w:rPr>
                <w:rFonts w:ascii="Times New Roman" w:cs="Times New Roman" w:eastAsia="Times New Roman" w:hAnsi="Times New Roman"/>
                <w:sz w:val="20"/>
                <w:szCs w:val="20"/>
                <w:color w:val="auto"/>
              </w:rPr>
              <w:t>100.00%</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20"/>
                <w:szCs w:val="20"/>
                <w:color w:val="auto"/>
                <w:w w:val="89"/>
              </w:rPr>
              <w:t>-</w:t>
            </w:r>
          </w:p>
        </w:tc>
      </w:tr>
      <w:tr>
        <w:trPr>
          <w:trHeight w:val="20"/>
        </w:trPr>
        <w:tc>
          <w:tcPr>
            <w:tcW w:w="86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226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gridSpan w:val="2"/>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r>
        <w:trPr>
          <w:trHeight w:val="180"/>
        </w:trPr>
        <w:tc>
          <w:tcPr>
            <w:tcW w:w="860" w:type="dxa"/>
            <w:vAlign w:val="bottom"/>
            <w:tcBorders>
              <w:right w:val="single" w:sz="8" w:color="auto"/>
            </w:tcBorders>
          </w:tcPr>
          <w:p>
            <w:pPr>
              <w:ind w:left="460"/>
              <w:spacing w:after="0" w:line="180" w:lineRule="exact"/>
              <w:rPr>
                <w:sz w:val="20"/>
                <w:szCs w:val="20"/>
                <w:color w:val="auto"/>
              </w:rPr>
            </w:pPr>
            <w:r>
              <w:rPr>
                <w:rFonts w:ascii="Times New Roman" w:cs="Times New Roman" w:eastAsia="Times New Roman" w:hAnsi="Times New Roman"/>
                <w:sz w:val="20"/>
                <w:szCs w:val="20"/>
                <w:color w:val="auto"/>
              </w:rPr>
              <w:t>14.</w:t>
            </w:r>
          </w:p>
        </w:tc>
        <w:tc>
          <w:tcPr>
            <w:tcW w:w="86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ASF6</w:t>
            </w:r>
          </w:p>
        </w:tc>
        <w:tc>
          <w:tcPr>
            <w:tcW w:w="2260" w:type="dxa"/>
            <w:vAlign w:val="bottom"/>
            <w:tcBorders>
              <w:right w:val="single" w:sz="8" w:color="auto"/>
            </w:tcBorders>
          </w:tcPr>
          <w:p>
            <w:pPr>
              <w:ind w:left="80"/>
              <w:spacing w:after="0" w:line="180" w:lineRule="exact"/>
              <w:rPr>
                <w:sz w:val="20"/>
                <w:szCs w:val="20"/>
                <w:color w:val="auto"/>
              </w:rPr>
            </w:pPr>
            <w:r>
              <w:rPr>
                <w:rFonts w:ascii="Times New Roman" w:cs="Times New Roman" w:eastAsia="Times New Roman" w:hAnsi="Times New Roman"/>
                <w:sz w:val="20"/>
                <w:szCs w:val="20"/>
                <w:i w:val="1"/>
                <w:iCs w:val="1"/>
                <w:color w:val="auto"/>
              </w:rPr>
              <w:t>Aspergillus flavus</w:t>
            </w:r>
          </w:p>
        </w:tc>
        <w:tc>
          <w:tcPr>
            <w:tcW w:w="114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Shoot</w:t>
            </w:r>
          </w:p>
        </w:tc>
        <w:tc>
          <w:tcPr>
            <w:tcW w:w="80" w:type="dxa"/>
            <w:vAlign w:val="bottom"/>
          </w:tcPr>
          <w:p>
            <w:pPr>
              <w:spacing w:after="0"/>
              <w:rPr>
                <w:sz w:val="15"/>
                <w:szCs w:val="15"/>
                <w:color w:val="auto"/>
              </w:rPr>
            </w:pPr>
          </w:p>
        </w:tc>
        <w:tc>
          <w:tcPr>
            <w:tcW w:w="1080" w:type="dxa"/>
            <w:vAlign w:val="bottom"/>
            <w:tcBorders>
              <w:bottom w:val="single" w:sz="8" w:color="auto"/>
            </w:tcBorders>
            <w:gridSpan w:val="3"/>
          </w:tcPr>
          <w:p>
            <w:pPr>
              <w:spacing w:after="0" w:line="180" w:lineRule="exact"/>
              <w:rPr>
                <w:rFonts w:ascii="Times New Roman" w:cs="Times New Roman" w:eastAsia="Times New Roman" w:hAnsi="Times New Roman"/>
                <w:sz w:val="20"/>
                <w:szCs w:val="20"/>
                <w:color w:val="auto"/>
                <w:w w:val="98"/>
              </w:rPr>
            </w:pPr>
            <w:hyperlink r:id="rId33">
              <w:r>
                <w:rPr>
                  <w:rFonts w:ascii="Times New Roman" w:cs="Times New Roman" w:eastAsia="Times New Roman" w:hAnsi="Times New Roman"/>
                  <w:sz w:val="20"/>
                  <w:szCs w:val="20"/>
                  <w:color w:val="auto"/>
                  <w:w w:val="98"/>
                </w:rPr>
                <w:t>MN031603.1</w:t>
              </w:r>
            </w:hyperlink>
          </w:p>
        </w:tc>
        <w:tc>
          <w:tcPr>
            <w:tcW w:w="260" w:type="dxa"/>
            <w:vAlign w:val="bottom"/>
            <w:tcBorders>
              <w:right w:val="single" w:sz="8" w:color="auto"/>
            </w:tcBorders>
          </w:tcPr>
          <w:p>
            <w:pPr>
              <w:spacing w:after="0"/>
              <w:rPr>
                <w:sz w:val="15"/>
                <w:szCs w:val="15"/>
                <w:color w:val="auto"/>
              </w:rPr>
            </w:pPr>
          </w:p>
        </w:tc>
        <w:tc>
          <w:tcPr>
            <w:tcW w:w="1260" w:type="dxa"/>
            <w:vAlign w:val="bottom"/>
            <w:tcBorders>
              <w:right w:val="single" w:sz="8" w:color="auto"/>
            </w:tcBorders>
          </w:tcPr>
          <w:p>
            <w:pPr>
              <w:jc w:val="center"/>
              <w:spacing w:after="0" w:line="180" w:lineRule="exact"/>
              <w:rPr>
                <w:sz w:val="20"/>
                <w:szCs w:val="20"/>
                <w:color w:val="auto"/>
              </w:rPr>
            </w:pPr>
            <w:r>
              <w:rPr>
                <w:rFonts w:ascii="Times New Roman" w:cs="Times New Roman" w:eastAsia="Times New Roman" w:hAnsi="Times New Roman"/>
                <w:sz w:val="20"/>
                <w:szCs w:val="20"/>
                <w:color w:val="auto"/>
              </w:rPr>
              <w:t>99.46%</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20"/>
                <w:szCs w:val="20"/>
                <w:color w:val="auto"/>
                <w:w w:val="99"/>
              </w:rPr>
              <w:t>MT322246</w:t>
            </w:r>
          </w:p>
        </w:tc>
      </w:tr>
      <w:tr>
        <w:trPr>
          <w:trHeight w:val="20"/>
        </w:trPr>
        <w:tc>
          <w:tcPr>
            <w:tcW w:w="86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226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gridSpan w:val="2"/>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r>
        <w:trPr>
          <w:trHeight w:val="180"/>
        </w:trPr>
        <w:tc>
          <w:tcPr>
            <w:tcW w:w="860" w:type="dxa"/>
            <w:vAlign w:val="bottom"/>
            <w:tcBorders>
              <w:right w:val="single" w:sz="8" w:color="auto"/>
            </w:tcBorders>
          </w:tcPr>
          <w:p>
            <w:pPr>
              <w:ind w:left="460"/>
              <w:spacing w:after="0" w:line="180" w:lineRule="exact"/>
              <w:rPr>
                <w:sz w:val="20"/>
                <w:szCs w:val="20"/>
                <w:color w:val="auto"/>
              </w:rPr>
            </w:pPr>
            <w:r>
              <w:rPr>
                <w:rFonts w:ascii="Times New Roman" w:cs="Times New Roman" w:eastAsia="Times New Roman" w:hAnsi="Times New Roman"/>
                <w:sz w:val="20"/>
                <w:szCs w:val="20"/>
                <w:color w:val="auto"/>
              </w:rPr>
              <w:t>15.</w:t>
            </w:r>
          </w:p>
        </w:tc>
        <w:tc>
          <w:tcPr>
            <w:tcW w:w="86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ASF7</w:t>
            </w:r>
          </w:p>
        </w:tc>
        <w:tc>
          <w:tcPr>
            <w:tcW w:w="2260" w:type="dxa"/>
            <w:vAlign w:val="bottom"/>
            <w:tcBorders>
              <w:right w:val="single" w:sz="8" w:color="auto"/>
            </w:tcBorders>
          </w:tcPr>
          <w:p>
            <w:pPr>
              <w:ind w:left="80"/>
              <w:spacing w:after="0" w:line="180" w:lineRule="exact"/>
              <w:rPr>
                <w:sz w:val="20"/>
                <w:szCs w:val="20"/>
                <w:color w:val="auto"/>
              </w:rPr>
            </w:pPr>
            <w:r>
              <w:rPr>
                <w:rFonts w:ascii="Times New Roman" w:cs="Times New Roman" w:eastAsia="Times New Roman" w:hAnsi="Times New Roman"/>
                <w:sz w:val="20"/>
                <w:szCs w:val="20"/>
                <w:i w:val="1"/>
                <w:iCs w:val="1"/>
                <w:color w:val="auto"/>
              </w:rPr>
              <w:t>Aspergillus oryzae</w:t>
            </w:r>
          </w:p>
        </w:tc>
        <w:tc>
          <w:tcPr>
            <w:tcW w:w="114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Shoot</w:t>
            </w:r>
          </w:p>
        </w:tc>
        <w:tc>
          <w:tcPr>
            <w:tcW w:w="80" w:type="dxa"/>
            <w:vAlign w:val="bottom"/>
          </w:tcPr>
          <w:p>
            <w:pPr>
              <w:spacing w:after="0"/>
              <w:rPr>
                <w:sz w:val="15"/>
                <w:szCs w:val="15"/>
                <w:color w:val="auto"/>
              </w:rPr>
            </w:pPr>
          </w:p>
        </w:tc>
        <w:tc>
          <w:tcPr>
            <w:tcW w:w="1080" w:type="dxa"/>
            <w:vAlign w:val="bottom"/>
            <w:tcBorders>
              <w:bottom w:val="single" w:sz="8" w:color="auto"/>
            </w:tcBorders>
            <w:gridSpan w:val="3"/>
          </w:tcPr>
          <w:p>
            <w:pPr>
              <w:spacing w:after="0" w:line="180" w:lineRule="exact"/>
              <w:rPr>
                <w:rFonts w:ascii="Times New Roman" w:cs="Times New Roman" w:eastAsia="Times New Roman" w:hAnsi="Times New Roman"/>
                <w:sz w:val="20"/>
                <w:szCs w:val="20"/>
                <w:color w:val="auto"/>
                <w:w w:val="98"/>
              </w:rPr>
            </w:pPr>
            <w:hyperlink r:id="rId26">
              <w:r>
                <w:rPr>
                  <w:rFonts w:ascii="Times New Roman" w:cs="Times New Roman" w:eastAsia="Times New Roman" w:hAnsi="Times New Roman"/>
                  <w:sz w:val="20"/>
                  <w:szCs w:val="20"/>
                  <w:color w:val="auto"/>
                  <w:w w:val="98"/>
                </w:rPr>
                <w:t>MH345954.1</w:t>
              </w:r>
            </w:hyperlink>
          </w:p>
        </w:tc>
        <w:tc>
          <w:tcPr>
            <w:tcW w:w="260" w:type="dxa"/>
            <w:vAlign w:val="bottom"/>
            <w:tcBorders>
              <w:right w:val="single" w:sz="8" w:color="auto"/>
            </w:tcBorders>
          </w:tcPr>
          <w:p>
            <w:pPr>
              <w:spacing w:after="0"/>
              <w:rPr>
                <w:sz w:val="15"/>
                <w:szCs w:val="15"/>
                <w:color w:val="auto"/>
              </w:rPr>
            </w:pPr>
          </w:p>
        </w:tc>
        <w:tc>
          <w:tcPr>
            <w:tcW w:w="1260" w:type="dxa"/>
            <w:vAlign w:val="bottom"/>
            <w:tcBorders>
              <w:right w:val="single" w:sz="8" w:color="auto"/>
            </w:tcBorders>
          </w:tcPr>
          <w:p>
            <w:pPr>
              <w:jc w:val="center"/>
              <w:spacing w:after="0" w:line="180" w:lineRule="exact"/>
              <w:rPr>
                <w:sz w:val="20"/>
                <w:szCs w:val="20"/>
                <w:color w:val="auto"/>
              </w:rPr>
            </w:pPr>
            <w:r>
              <w:rPr>
                <w:rFonts w:ascii="Times New Roman" w:cs="Times New Roman" w:eastAsia="Times New Roman" w:hAnsi="Times New Roman"/>
                <w:sz w:val="20"/>
                <w:szCs w:val="20"/>
                <w:color w:val="auto"/>
              </w:rPr>
              <w:t>99.46%</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20"/>
                <w:szCs w:val="20"/>
                <w:color w:val="auto"/>
                <w:w w:val="99"/>
              </w:rPr>
              <w:t>MT322247</w:t>
            </w:r>
          </w:p>
        </w:tc>
      </w:tr>
      <w:tr>
        <w:trPr>
          <w:trHeight w:val="20"/>
        </w:trPr>
        <w:tc>
          <w:tcPr>
            <w:tcW w:w="86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226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gridSpan w:val="2"/>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r>
        <w:trPr>
          <w:trHeight w:val="180"/>
        </w:trPr>
        <w:tc>
          <w:tcPr>
            <w:tcW w:w="860" w:type="dxa"/>
            <w:vAlign w:val="bottom"/>
            <w:tcBorders>
              <w:right w:val="single" w:sz="8" w:color="auto"/>
            </w:tcBorders>
          </w:tcPr>
          <w:p>
            <w:pPr>
              <w:ind w:left="460"/>
              <w:spacing w:after="0" w:line="180" w:lineRule="exact"/>
              <w:rPr>
                <w:sz w:val="20"/>
                <w:szCs w:val="20"/>
                <w:color w:val="auto"/>
              </w:rPr>
            </w:pPr>
            <w:r>
              <w:rPr>
                <w:rFonts w:ascii="Times New Roman" w:cs="Times New Roman" w:eastAsia="Times New Roman" w:hAnsi="Times New Roman"/>
                <w:sz w:val="20"/>
                <w:szCs w:val="20"/>
                <w:color w:val="auto"/>
              </w:rPr>
              <w:t>16.</w:t>
            </w:r>
          </w:p>
        </w:tc>
        <w:tc>
          <w:tcPr>
            <w:tcW w:w="86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ASF8</w:t>
            </w:r>
          </w:p>
        </w:tc>
        <w:tc>
          <w:tcPr>
            <w:tcW w:w="2260" w:type="dxa"/>
            <w:vAlign w:val="bottom"/>
            <w:tcBorders>
              <w:right w:val="single" w:sz="8" w:color="auto"/>
            </w:tcBorders>
          </w:tcPr>
          <w:p>
            <w:pPr>
              <w:ind w:left="80"/>
              <w:spacing w:after="0" w:line="180" w:lineRule="exact"/>
              <w:rPr>
                <w:sz w:val="20"/>
                <w:szCs w:val="20"/>
                <w:color w:val="auto"/>
              </w:rPr>
            </w:pPr>
            <w:r>
              <w:rPr>
                <w:rFonts w:ascii="Times New Roman" w:cs="Times New Roman" w:eastAsia="Times New Roman" w:hAnsi="Times New Roman"/>
                <w:sz w:val="20"/>
                <w:szCs w:val="20"/>
                <w:i w:val="1"/>
                <w:iCs w:val="1"/>
                <w:color w:val="auto"/>
              </w:rPr>
              <w:t>Aspergillus striatus</w:t>
            </w:r>
          </w:p>
        </w:tc>
        <w:tc>
          <w:tcPr>
            <w:tcW w:w="114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Shoot</w:t>
            </w:r>
          </w:p>
        </w:tc>
        <w:tc>
          <w:tcPr>
            <w:tcW w:w="80" w:type="dxa"/>
            <w:vAlign w:val="bottom"/>
          </w:tcPr>
          <w:p>
            <w:pPr>
              <w:spacing w:after="0"/>
              <w:rPr>
                <w:sz w:val="15"/>
                <w:szCs w:val="15"/>
                <w:color w:val="auto"/>
              </w:rPr>
            </w:pPr>
          </w:p>
        </w:tc>
        <w:tc>
          <w:tcPr>
            <w:tcW w:w="1080" w:type="dxa"/>
            <w:vAlign w:val="bottom"/>
            <w:gridSpan w:val="3"/>
          </w:tcPr>
          <w:p>
            <w:pPr>
              <w:spacing w:after="0" w:line="180" w:lineRule="exact"/>
              <w:rPr>
                <w:rFonts w:ascii="Times New Roman" w:cs="Times New Roman" w:eastAsia="Times New Roman" w:hAnsi="Times New Roman"/>
                <w:sz w:val="20"/>
                <w:szCs w:val="20"/>
                <w:color w:val="auto"/>
              </w:rPr>
            </w:pPr>
            <w:hyperlink r:id="rId34">
              <w:r>
                <w:rPr>
                  <w:rFonts w:ascii="Times New Roman" w:cs="Times New Roman" w:eastAsia="Times New Roman" w:hAnsi="Times New Roman"/>
                  <w:sz w:val="20"/>
                  <w:szCs w:val="20"/>
                  <w:color w:val="auto"/>
                </w:rPr>
                <w:t>KU866614.1</w:t>
              </w:r>
            </w:hyperlink>
          </w:p>
        </w:tc>
        <w:tc>
          <w:tcPr>
            <w:tcW w:w="260" w:type="dxa"/>
            <w:vAlign w:val="bottom"/>
            <w:tcBorders>
              <w:right w:val="single" w:sz="8" w:color="auto"/>
            </w:tcBorders>
          </w:tcPr>
          <w:p>
            <w:pPr>
              <w:spacing w:after="0"/>
              <w:rPr>
                <w:sz w:val="15"/>
                <w:szCs w:val="15"/>
                <w:color w:val="auto"/>
              </w:rPr>
            </w:pPr>
          </w:p>
        </w:tc>
        <w:tc>
          <w:tcPr>
            <w:tcW w:w="1260" w:type="dxa"/>
            <w:vAlign w:val="bottom"/>
            <w:tcBorders>
              <w:right w:val="single" w:sz="8" w:color="auto"/>
            </w:tcBorders>
          </w:tcPr>
          <w:p>
            <w:pPr>
              <w:jc w:val="center"/>
              <w:spacing w:after="0" w:line="180" w:lineRule="exact"/>
              <w:rPr>
                <w:sz w:val="20"/>
                <w:szCs w:val="20"/>
                <w:color w:val="auto"/>
              </w:rPr>
            </w:pPr>
            <w:r>
              <w:rPr>
                <w:rFonts w:ascii="Times New Roman" w:cs="Times New Roman" w:eastAsia="Times New Roman" w:hAnsi="Times New Roman"/>
                <w:sz w:val="20"/>
                <w:szCs w:val="20"/>
                <w:color w:val="auto"/>
              </w:rPr>
              <w:t>99.62%</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20"/>
                <w:szCs w:val="20"/>
                <w:color w:val="auto"/>
                <w:w w:val="99"/>
              </w:rPr>
              <w:t>MT322248</w:t>
            </w:r>
          </w:p>
        </w:tc>
      </w:tr>
      <w:tr>
        <w:trPr>
          <w:trHeight w:val="20"/>
        </w:trPr>
        <w:tc>
          <w:tcPr>
            <w:tcW w:w="86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226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040" w:type="dxa"/>
            <w:vAlign w:val="bottom"/>
            <w:tcBorders>
              <w:top w:val="single" w:sz="8" w:color="auto"/>
              <w:bottom w:val="single" w:sz="8" w:color="auto"/>
            </w:tcBorders>
          </w:tcPr>
          <w:p>
            <w:pPr>
              <w:spacing w:after="0" w:line="20" w:lineRule="exact"/>
              <w:rPr>
                <w:sz w:val="1"/>
                <w:szCs w:val="1"/>
                <w:color w:val="auto"/>
              </w:rPr>
            </w:pPr>
          </w:p>
        </w:tc>
        <w:tc>
          <w:tcPr>
            <w:tcW w:w="40" w:type="dxa"/>
            <w:vAlign w:val="bottom"/>
            <w:tcBorders>
              <w:bottom w:val="single" w:sz="8" w:color="auto"/>
            </w:tcBorders>
            <w:gridSpan w:val="2"/>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r>
        <w:trPr>
          <w:trHeight w:val="180"/>
        </w:trPr>
        <w:tc>
          <w:tcPr>
            <w:tcW w:w="860" w:type="dxa"/>
            <w:vAlign w:val="bottom"/>
            <w:tcBorders>
              <w:right w:val="single" w:sz="8" w:color="auto"/>
            </w:tcBorders>
          </w:tcPr>
          <w:p>
            <w:pPr>
              <w:ind w:left="460"/>
              <w:spacing w:after="0" w:line="180" w:lineRule="exact"/>
              <w:rPr>
                <w:sz w:val="20"/>
                <w:szCs w:val="20"/>
                <w:color w:val="auto"/>
              </w:rPr>
            </w:pPr>
            <w:r>
              <w:rPr>
                <w:rFonts w:ascii="Times New Roman" w:cs="Times New Roman" w:eastAsia="Times New Roman" w:hAnsi="Times New Roman"/>
                <w:sz w:val="20"/>
                <w:szCs w:val="20"/>
                <w:color w:val="auto"/>
              </w:rPr>
              <w:t>17.</w:t>
            </w:r>
          </w:p>
        </w:tc>
        <w:tc>
          <w:tcPr>
            <w:tcW w:w="86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ASF9</w:t>
            </w:r>
          </w:p>
        </w:tc>
        <w:tc>
          <w:tcPr>
            <w:tcW w:w="2260" w:type="dxa"/>
            <w:vAlign w:val="bottom"/>
            <w:tcBorders>
              <w:right w:val="single" w:sz="8" w:color="auto"/>
            </w:tcBorders>
          </w:tcPr>
          <w:p>
            <w:pPr>
              <w:ind w:left="80"/>
              <w:spacing w:after="0" w:line="180" w:lineRule="exact"/>
              <w:rPr>
                <w:sz w:val="20"/>
                <w:szCs w:val="20"/>
                <w:color w:val="auto"/>
              </w:rPr>
            </w:pPr>
            <w:r>
              <w:rPr>
                <w:rFonts w:ascii="Times New Roman" w:cs="Times New Roman" w:eastAsia="Times New Roman" w:hAnsi="Times New Roman"/>
                <w:sz w:val="20"/>
                <w:szCs w:val="20"/>
                <w:i w:val="1"/>
                <w:iCs w:val="1"/>
                <w:color w:val="auto"/>
              </w:rPr>
              <w:t>Aspergillus tubingensis</w:t>
            </w:r>
          </w:p>
        </w:tc>
        <w:tc>
          <w:tcPr>
            <w:tcW w:w="114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Shoot</w:t>
            </w:r>
          </w:p>
        </w:tc>
        <w:tc>
          <w:tcPr>
            <w:tcW w:w="80" w:type="dxa"/>
            <w:vAlign w:val="bottom"/>
          </w:tcPr>
          <w:p>
            <w:pPr>
              <w:spacing w:after="0"/>
              <w:rPr>
                <w:sz w:val="15"/>
                <w:szCs w:val="15"/>
                <w:color w:val="auto"/>
              </w:rPr>
            </w:pPr>
          </w:p>
        </w:tc>
        <w:tc>
          <w:tcPr>
            <w:tcW w:w="1080" w:type="dxa"/>
            <w:vAlign w:val="bottom"/>
            <w:gridSpan w:val="3"/>
          </w:tcPr>
          <w:p>
            <w:pPr>
              <w:spacing w:after="0" w:line="180" w:lineRule="exact"/>
              <w:rPr>
                <w:rFonts w:ascii="Times New Roman" w:cs="Times New Roman" w:eastAsia="Times New Roman" w:hAnsi="Times New Roman"/>
                <w:sz w:val="20"/>
                <w:szCs w:val="20"/>
                <w:color w:val="auto"/>
              </w:rPr>
            </w:pPr>
            <w:hyperlink r:id="rId35">
              <w:r>
                <w:rPr>
                  <w:rFonts w:ascii="Times New Roman" w:cs="Times New Roman" w:eastAsia="Times New Roman" w:hAnsi="Times New Roman"/>
                  <w:sz w:val="20"/>
                  <w:szCs w:val="20"/>
                  <w:color w:val="auto"/>
                </w:rPr>
                <w:t>GU134883.1</w:t>
              </w:r>
            </w:hyperlink>
          </w:p>
        </w:tc>
        <w:tc>
          <w:tcPr>
            <w:tcW w:w="260" w:type="dxa"/>
            <w:vAlign w:val="bottom"/>
            <w:tcBorders>
              <w:right w:val="single" w:sz="8" w:color="auto"/>
            </w:tcBorders>
          </w:tcPr>
          <w:p>
            <w:pPr>
              <w:spacing w:after="0"/>
              <w:rPr>
                <w:sz w:val="15"/>
                <w:szCs w:val="15"/>
                <w:color w:val="auto"/>
              </w:rPr>
            </w:pPr>
          </w:p>
        </w:tc>
        <w:tc>
          <w:tcPr>
            <w:tcW w:w="1260" w:type="dxa"/>
            <w:vAlign w:val="bottom"/>
            <w:tcBorders>
              <w:right w:val="single" w:sz="8" w:color="auto"/>
            </w:tcBorders>
          </w:tcPr>
          <w:p>
            <w:pPr>
              <w:jc w:val="center"/>
              <w:spacing w:after="0" w:line="180" w:lineRule="exact"/>
              <w:rPr>
                <w:sz w:val="20"/>
                <w:szCs w:val="20"/>
                <w:color w:val="auto"/>
              </w:rPr>
            </w:pPr>
            <w:r>
              <w:rPr>
                <w:rFonts w:ascii="Times New Roman" w:cs="Times New Roman" w:eastAsia="Times New Roman" w:hAnsi="Times New Roman"/>
                <w:sz w:val="20"/>
                <w:szCs w:val="20"/>
                <w:color w:val="auto"/>
              </w:rPr>
              <w:t>99.82%</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20"/>
                <w:szCs w:val="20"/>
                <w:color w:val="auto"/>
                <w:w w:val="99"/>
              </w:rPr>
              <w:t>MT322249</w:t>
            </w:r>
          </w:p>
        </w:tc>
      </w:tr>
      <w:tr>
        <w:trPr>
          <w:trHeight w:val="20"/>
        </w:trPr>
        <w:tc>
          <w:tcPr>
            <w:tcW w:w="86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226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040" w:type="dxa"/>
            <w:vAlign w:val="bottom"/>
            <w:tcBorders>
              <w:top w:val="single" w:sz="8" w:color="auto"/>
              <w:bottom w:val="single" w:sz="8" w:color="auto"/>
            </w:tcBorders>
          </w:tcPr>
          <w:p>
            <w:pPr>
              <w:spacing w:after="0" w:line="20" w:lineRule="exact"/>
              <w:rPr>
                <w:sz w:val="1"/>
                <w:szCs w:val="1"/>
                <w:color w:val="auto"/>
              </w:rPr>
            </w:pPr>
          </w:p>
        </w:tc>
        <w:tc>
          <w:tcPr>
            <w:tcW w:w="40" w:type="dxa"/>
            <w:vAlign w:val="bottom"/>
            <w:tcBorders>
              <w:bottom w:val="single" w:sz="8" w:color="auto"/>
            </w:tcBorders>
            <w:gridSpan w:val="2"/>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r>
        <w:trPr>
          <w:trHeight w:val="180"/>
        </w:trPr>
        <w:tc>
          <w:tcPr>
            <w:tcW w:w="860" w:type="dxa"/>
            <w:vAlign w:val="bottom"/>
            <w:tcBorders>
              <w:right w:val="single" w:sz="8" w:color="auto"/>
            </w:tcBorders>
          </w:tcPr>
          <w:p>
            <w:pPr>
              <w:ind w:left="460"/>
              <w:spacing w:after="0" w:line="180" w:lineRule="exact"/>
              <w:rPr>
                <w:sz w:val="20"/>
                <w:szCs w:val="20"/>
                <w:color w:val="auto"/>
              </w:rPr>
            </w:pPr>
            <w:r>
              <w:rPr>
                <w:rFonts w:ascii="Times New Roman" w:cs="Times New Roman" w:eastAsia="Times New Roman" w:hAnsi="Times New Roman"/>
                <w:sz w:val="20"/>
                <w:szCs w:val="20"/>
                <w:color w:val="auto"/>
              </w:rPr>
              <w:t>18.</w:t>
            </w:r>
          </w:p>
        </w:tc>
        <w:tc>
          <w:tcPr>
            <w:tcW w:w="86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ASF10</w:t>
            </w:r>
          </w:p>
        </w:tc>
        <w:tc>
          <w:tcPr>
            <w:tcW w:w="2260" w:type="dxa"/>
            <w:vAlign w:val="bottom"/>
            <w:tcBorders>
              <w:right w:val="single" w:sz="8" w:color="auto"/>
            </w:tcBorders>
          </w:tcPr>
          <w:p>
            <w:pPr>
              <w:ind w:left="80"/>
              <w:spacing w:after="0" w:line="180" w:lineRule="exact"/>
              <w:rPr>
                <w:sz w:val="20"/>
                <w:szCs w:val="20"/>
                <w:color w:val="auto"/>
              </w:rPr>
            </w:pPr>
            <w:r>
              <w:rPr>
                <w:rFonts w:ascii="Times New Roman" w:cs="Times New Roman" w:eastAsia="Times New Roman" w:hAnsi="Times New Roman"/>
                <w:sz w:val="20"/>
                <w:szCs w:val="20"/>
                <w:i w:val="1"/>
                <w:iCs w:val="1"/>
                <w:color w:val="auto"/>
              </w:rPr>
              <w:t>Aspergillus tubingensis</w:t>
            </w:r>
          </w:p>
        </w:tc>
        <w:tc>
          <w:tcPr>
            <w:tcW w:w="1140" w:type="dxa"/>
            <w:vAlign w:val="bottom"/>
            <w:tcBorders>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20"/>
                <w:szCs w:val="20"/>
                <w:color w:val="auto"/>
              </w:rPr>
              <w:t>Shoot</w:t>
            </w:r>
          </w:p>
        </w:tc>
        <w:tc>
          <w:tcPr>
            <w:tcW w:w="80" w:type="dxa"/>
            <w:vAlign w:val="bottom"/>
          </w:tcPr>
          <w:p>
            <w:pPr>
              <w:spacing w:after="0"/>
              <w:rPr>
                <w:sz w:val="15"/>
                <w:szCs w:val="15"/>
                <w:color w:val="auto"/>
              </w:rPr>
            </w:pPr>
          </w:p>
        </w:tc>
        <w:tc>
          <w:tcPr>
            <w:tcW w:w="1080" w:type="dxa"/>
            <w:vAlign w:val="bottom"/>
            <w:tcBorders>
              <w:bottom w:val="single" w:sz="8" w:color="auto"/>
            </w:tcBorders>
            <w:gridSpan w:val="3"/>
          </w:tcPr>
          <w:p>
            <w:pPr>
              <w:spacing w:after="0" w:line="180" w:lineRule="exact"/>
              <w:rPr>
                <w:rFonts w:ascii="Times New Roman" w:cs="Times New Roman" w:eastAsia="Times New Roman" w:hAnsi="Times New Roman"/>
                <w:sz w:val="20"/>
                <w:szCs w:val="20"/>
                <w:color w:val="auto"/>
                <w:w w:val="98"/>
              </w:rPr>
            </w:pPr>
            <w:hyperlink r:id="rId36">
              <w:r>
                <w:rPr>
                  <w:rFonts w:ascii="Times New Roman" w:cs="Times New Roman" w:eastAsia="Times New Roman" w:hAnsi="Times New Roman"/>
                  <w:sz w:val="20"/>
                  <w:szCs w:val="20"/>
                  <w:color w:val="auto"/>
                  <w:w w:val="98"/>
                </w:rPr>
                <w:t>MH055392.1</w:t>
              </w:r>
            </w:hyperlink>
          </w:p>
        </w:tc>
        <w:tc>
          <w:tcPr>
            <w:tcW w:w="260" w:type="dxa"/>
            <w:vAlign w:val="bottom"/>
            <w:tcBorders>
              <w:right w:val="single" w:sz="8" w:color="auto"/>
            </w:tcBorders>
          </w:tcPr>
          <w:p>
            <w:pPr>
              <w:spacing w:after="0"/>
              <w:rPr>
                <w:sz w:val="15"/>
                <w:szCs w:val="15"/>
                <w:color w:val="auto"/>
              </w:rPr>
            </w:pPr>
          </w:p>
        </w:tc>
        <w:tc>
          <w:tcPr>
            <w:tcW w:w="1260" w:type="dxa"/>
            <w:vAlign w:val="bottom"/>
            <w:tcBorders>
              <w:right w:val="single" w:sz="8" w:color="auto"/>
            </w:tcBorders>
          </w:tcPr>
          <w:p>
            <w:pPr>
              <w:jc w:val="center"/>
              <w:spacing w:after="0" w:line="180" w:lineRule="exact"/>
              <w:rPr>
                <w:sz w:val="20"/>
                <w:szCs w:val="20"/>
                <w:color w:val="auto"/>
              </w:rPr>
            </w:pPr>
            <w:r>
              <w:rPr>
                <w:rFonts w:ascii="Times New Roman" w:cs="Times New Roman" w:eastAsia="Times New Roman" w:hAnsi="Times New Roman"/>
                <w:sz w:val="20"/>
                <w:szCs w:val="20"/>
                <w:color w:val="auto"/>
              </w:rPr>
              <w:t>99.82%</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20"/>
                <w:szCs w:val="20"/>
                <w:color w:val="auto"/>
                <w:w w:val="99"/>
              </w:rPr>
              <w:t>MT322427</w:t>
            </w:r>
          </w:p>
        </w:tc>
      </w:tr>
      <w:tr>
        <w:trPr>
          <w:trHeight w:val="20"/>
        </w:trPr>
        <w:tc>
          <w:tcPr>
            <w:tcW w:w="86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226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gridSpan w:val="2"/>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r>
        <w:trPr>
          <w:trHeight w:val="201"/>
        </w:trPr>
        <w:tc>
          <w:tcPr>
            <w:tcW w:w="860" w:type="dxa"/>
            <w:vAlign w:val="bottom"/>
            <w:tcBorders>
              <w:bottom w:val="single" w:sz="8" w:color="auto"/>
              <w:right w:val="single" w:sz="8" w:color="auto"/>
            </w:tcBorders>
          </w:tcPr>
          <w:p>
            <w:pPr>
              <w:ind w:left="460"/>
              <w:spacing w:after="0" w:line="201" w:lineRule="exact"/>
              <w:rPr>
                <w:sz w:val="20"/>
                <w:szCs w:val="20"/>
                <w:color w:val="auto"/>
              </w:rPr>
            </w:pPr>
            <w:r>
              <w:rPr>
                <w:rFonts w:ascii="Times New Roman" w:cs="Times New Roman" w:eastAsia="Times New Roman" w:hAnsi="Times New Roman"/>
                <w:sz w:val="20"/>
                <w:szCs w:val="20"/>
                <w:color w:val="auto"/>
              </w:rPr>
              <w:t>19.</w:t>
            </w:r>
          </w:p>
        </w:tc>
        <w:tc>
          <w:tcPr>
            <w:tcW w:w="860" w:type="dxa"/>
            <w:vAlign w:val="bottom"/>
            <w:tcBorders>
              <w:bottom w:val="single" w:sz="8" w:color="auto"/>
              <w:right w:val="single" w:sz="8" w:color="auto"/>
            </w:tcBorders>
          </w:tcPr>
          <w:p>
            <w:pPr>
              <w:ind w:left="100"/>
              <w:spacing w:after="0" w:line="201" w:lineRule="exact"/>
              <w:rPr>
                <w:sz w:val="20"/>
                <w:szCs w:val="20"/>
                <w:color w:val="auto"/>
              </w:rPr>
            </w:pPr>
            <w:r>
              <w:rPr>
                <w:rFonts w:ascii="Times New Roman" w:cs="Times New Roman" w:eastAsia="Times New Roman" w:hAnsi="Times New Roman"/>
                <w:sz w:val="20"/>
                <w:szCs w:val="20"/>
                <w:color w:val="auto"/>
              </w:rPr>
              <w:t>ASF11</w:t>
            </w:r>
          </w:p>
        </w:tc>
        <w:tc>
          <w:tcPr>
            <w:tcW w:w="2260" w:type="dxa"/>
            <w:vAlign w:val="bottom"/>
            <w:tcBorders>
              <w:bottom w:val="single" w:sz="8" w:color="auto"/>
              <w:right w:val="single" w:sz="8" w:color="auto"/>
            </w:tcBorders>
          </w:tcPr>
          <w:p>
            <w:pPr>
              <w:ind w:left="80"/>
              <w:spacing w:after="0" w:line="201" w:lineRule="exact"/>
              <w:rPr>
                <w:sz w:val="20"/>
                <w:szCs w:val="20"/>
                <w:color w:val="auto"/>
              </w:rPr>
            </w:pPr>
            <w:r>
              <w:rPr>
                <w:rFonts w:ascii="Times New Roman" w:cs="Times New Roman" w:eastAsia="Times New Roman" w:hAnsi="Times New Roman"/>
                <w:sz w:val="18"/>
                <w:szCs w:val="18"/>
                <w:i w:val="1"/>
                <w:iCs w:val="1"/>
                <w:color w:val="auto"/>
              </w:rPr>
              <w:t xml:space="preserve">Emericella </w:t>
            </w:r>
            <w:r>
              <w:rPr>
                <w:rFonts w:ascii="Times New Roman" w:cs="Times New Roman" w:eastAsia="Times New Roman" w:hAnsi="Times New Roman"/>
                <w:sz w:val="20"/>
                <w:szCs w:val="20"/>
                <w:i w:val="1"/>
                <w:iCs w:val="1"/>
                <w:color w:val="auto"/>
              </w:rPr>
              <w:t>qinqixianii</w:t>
            </w:r>
          </w:p>
        </w:tc>
        <w:tc>
          <w:tcPr>
            <w:tcW w:w="1140" w:type="dxa"/>
            <w:vAlign w:val="bottom"/>
            <w:tcBorders>
              <w:bottom w:val="single" w:sz="8" w:color="auto"/>
              <w:right w:val="single" w:sz="8" w:color="auto"/>
            </w:tcBorders>
          </w:tcPr>
          <w:p>
            <w:pPr>
              <w:ind w:left="100"/>
              <w:spacing w:after="0" w:line="201" w:lineRule="exact"/>
              <w:rPr>
                <w:sz w:val="20"/>
                <w:szCs w:val="20"/>
                <w:color w:val="auto"/>
              </w:rPr>
            </w:pPr>
            <w:r>
              <w:rPr>
                <w:rFonts w:ascii="Times New Roman" w:cs="Times New Roman" w:eastAsia="Times New Roman" w:hAnsi="Times New Roman"/>
                <w:sz w:val="20"/>
                <w:szCs w:val="20"/>
                <w:color w:val="auto"/>
              </w:rPr>
              <w:t>Shoot</w:t>
            </w:r>
          </w:p>
        </w:tc>
        <w:tc>
          <w:tcPr>
            <w:tcW w:w="80" w:type="dxa"/>
            <w:vAlign w:val="bottom"/>
            <w:tcBorders>
              <w:bottom w:val="single" w:sz="8" w:color="auto"/>
            </w:tcBorders>
          </w:tcPr>
          <w:p>
            <w:pPr>
              <w:spacing w:after="0"/>
              <w:rPr>
                <w:sz w:val="17"/>
                <w:szCs w:val="17"/>
                <w:color w:val="auto"/>
              </w:rPr>
            </w:pPr>
          </w:p>
        </w:tc>
        <w:tc>
          <w:tcPr>
            <w:tcW w:w="1080" w:type="dxa"/>
            <w:vAlign w:val="bottom"/>
            <w:tcBorders>
              <w:bottom w:val="single" w:sz="8" w:color="auto"/>
            </w:tcBorders>
            <w:gridSpan w:val="3"/>
          </w:tcPr>
          <w:p>
            <w:pPr>
              <w:spacing w:after="0" w:line="201" w:lineRule="exact"/>
              <w:rPr>
                <w:sz w:val="20"/>
                <w:szCs w:val="20"/>
                <w:color w:val="auto"/>
              </w:rPr>
            </w:pPr>
            <w:r>
              <w:rPr>
                <w:rFonts w:ascii="Times New Roman" w:cs="Times New Roman" w:eastAsia="Times New Roman" w:hAnsi="Times New Roman"/>
                <w:sz w:val="20"/>
                <w:szCs w:val="20"/>
                <w:color w:val="auto"/>
              </w:rPr>
              <w:t>KC692210.1</w:t>
            </w:r>
          </w:p>
        </w:tc>
        <w:tc>
          <w:tcPr>
            <w:tcW w:w="260" w:type="dxa"/>
            <w:vAlign w:val="bottom"/>
            <w:tcBorders>
              <w:bottom w:val="single" w:sz="8" w:color="auto"/>
              <w:right w:val="single" w:sz="8" w:color="auto"/>
            </w:tcBorders>
          </w:tcPr>
          <w:p>
            <w:pPr>
              <w:spacing w:after="0"/>
              <w:rPr>
                <w:sz w:val="17"/>
                <w:szCs w:val="17"/>
                <w:color w:val="auto"/>
              </w:rPr>
            </w:pPr>
          </w:p>
        </w:tc>
        <w:tc>
          <w:tcPr>
            <w:tcW w:w="1260" w:type="dxa"/>
            <w:vAlign w:val="bottom"/>
            <w:tcBorders>
              <w:bottom w:val="single" w:sz="8" w:color="auto"/>
              <w:right w:val="single" w:sz="8" w:color="auto"/>
            </w:tcBorders>
          </w:tcPr>
          <w:p>
            <w:pPr>
              <w:jc w:val="center"/>
              <w:spacing w:after="0" w:line="201" w:lineRule="exact"/>
              <w:rPr>
                <w:sz w:val="20"/>
                <w:szCs w:val="20"/>
                <w:color w:val="auto"/>
              </w:rPr>
            </w:pPr>
            <w:r>
              <w:rPr>
                <w:rFonts w:ascii="Times New Roman" w:cs="Times New Roman" w:eastAsia="Times New Roman" w:hAnsi="Times New Roman"/>
                <w:sz w:val="20"/>
                <w:szCs w:val="20"/>
                <w:color w:val="auto"/>
              </w:rPr>
              <w:t>99.81%</w:t>
            </w:r>
          </w:p>
        </w:tc>
        <w:tc>
          <w:tcPr>
            <w:tcW w:w="1560" w:type="dxa"/>
            <w:vAlign w:val="bottom"/>
            <w:tcBorders>
              <w:bottom w:val="single" w:sz="8" w:color="auto"/>
            </w:tcBorders>
          </w:tcPr>
          <w:p>
            <w:pPr>
              <w:jc w:val="center"/>
              <w:spacing w:after="0" w:line="201" w:lineRule="exact"/>
              <w:rPr>
                <w:sz w:val="20"/>
                <w:szCs w:val="20"/>
                <w:color w:val="auto"/>
              </w:rPr>
            </w:pPr>
            <w:r>
              <w:rPr>
                <w:rFonts w:ascii="Times New Roman" w:cs="Times New Roman" w:eastAsia="Times New Roman" w:hAnsi="Times New Roman"/>
                <w:sz w:val="20"/>
                <w:szCs w:val="20"/>
                <w:color w:val="auto"/>
                <w:w w:val="99"/>
              </w:rPr>
              <w:t>MT322250</w:t>
            </w:r>
          </w:p>
        </w:tc>
      </w:tr>
      <w:tr>
        <w:trPr>
          <w:trHeight w:val="201"/>
        </w:trPr>
        <w:tc>
          <w:tcPr>
            <w:tcW w:w="860" w:type="dxa"/>
            <w:vAlign w:val="bottom"/>
            <w:tcBorders>
              <w:right w:val="single" w:sz="8" w:color="auto"/>
            </w:tcBorders>
          </w:tcPr>
          <w:p>
            <w:pPr>
              <w:ind w:left="460"/>
              <w:spacing w:after="0" w:line="199" w:lineRule="exact"/>
              <w:rPr>
                <w:sz w:val="20"/>
                <w:szCs w:val="20"/>
                <w:color w:val="auto"/>
              </w:rPr>
            </w:pPr>
            <w:r>
              <w:rPr>
                <w:rFonts w:ascii="Times New Roman" w:cs="Times New Roman" w:eastAsia="Times New Roman" w:hAnsi="Times New Roman"/>
                <w:sz w:val="20"/>
                <w:szCs w:val="20"/>
                <w:color w:val="auto"/>
              </w:rPr>
              <w:t>20.</w:t>
            </w:r>
          </w:p>
        </w:tc>
        <w:tc>
          <w:tcPr>
            <w:tcW w:w="860" w:type="dxa"/>
            <w:vAlign w:val="bottom"/>
            <w:tcBorders>
              <w:right w:val="single" w:sz="8" w:color="auto"/>
            </w:tcBorders>
          </w:tcPr>
          <w:p>
            <w:pPr>
              <w:ind w:left="100"/>
              <w:spacing w:after="0" w:line="199" w:lineRule="exact"/>
              <w:rPr>
                <w:sz w:val="20"/>
                <w:szCs w:val="20"/>
                <w:color w:val="auto"/>
              </w:rPr>
            </w:pPr>
            <w:r>
              <w:rPr>
                <w:rFonts w:ascii="Times New Roman" w:cs="Times New Roman" w:eastAsia="Times New Roman" w:hAnsi="Times New Roman"/>
                <w:sz w:val="20"/>
                <w:szCs w:val="20"/>
                <w:color w:val="auto"/>
              </w:rPr>
              <w:t>ASF12</w:t>
            </w:r>
          </w:p>
        </w:tc>
        <w:tc>
          <w:tcPr>
            <w:tcW w:w="2260" w:type="dxa"/>
            <w:vAlign w:val="bottom"/>
            <w:tcBorders>
              <w:right w:val="single" w:sz="8" w:color="auto"/>
            </w:tcBorders>
          </w:tcPr>
          <w:p>
            <w:pPr>
              <w:ind w:left="80"/>
              <w:spacing w:after="0" w:line="199" w:lineRule="exact"/>
              <w:rPr>
                <w:sz w:val="20"/>
                <w:szCs w:val="20"/>
                <w:color w:val="auto"/>
              </w:rPr>
            </w:pPr>
            <w:r>
              <w:rPr>
                <w:rFonts w:ascii="Times New Roman" w:cs="Times New Roman" w:eastAsia="Times New Roman" w:hAnsi="Times New Roman"/>
                <w:sz w:val="18"/>
                <w:szCs w:val="18"/>
                <w:i w:val="1"/>
                <w:iCs w:val="1"/>
                <w:color w:val="auto"/>
              </w:rPr>
              <w:t xml:space="preserve">Emericella </w:t>
            </w:r>
            <w:r>
              <w:rPr>
                <w:rFonts w:ascii="Times New Roman" w:cs="Times New Roman" w:eastAsia="Times New Roman" w:hAnsi="Times New Roman"/>
                <w:sz w:val="20"/>
                <w:szCs w:val="20"/>
                <w:i w:val="1"/>
                <w:iCs w:val="1"/>
                <w:color w:val="auto"/>
              </w:rPr>
              <w:t>striata</w:t>
            </w:r>
          </w:p>
        </w:tc>
        <w:tc>
          <w:tcPr>
            <w:tcW w:w="1140" w:type="dxa"/>
            <w:vAlign w:val="bottom"/>
            <w:tcBorders>
              <w:right w:val="single" w:sz="8" w:color="auto"/>
            </w:tcBorders>
          </w:tcPr>
          <w:p>
            <w:pPr>
              <w:ind w:left="100"/>
              <w:spacing w:after="0" w:line="199" w:lineRule="exact"/>
              <w:rPr>
                <w:sz w:val="20"/>
                <w:szCs w:val="20"/>
                <w:color w:val="auto"/>
              </w:rPr>
            </w:pPr>
            <w:r>
              <w:rPr>
                <w:rFonts w:ascii="Times New Roman" w:cs="Times New Roman" w:eastAsia="Times New Roman" w:hAnsi="Times New Roman"/>
                <w:sz w:val="20"/>
                <w:szCs w:val="20"/>
                <w:color w:val="auto"/>
              </w:rPr>
              <w:t>Shoot</w:t>
            </w:r>
          </w:p>
        </w:tc>
        <w:tc>
          <w:tcPr>
            <w:tcW w:w="80" w:type="dxa"/>
            <w:vAlign w:val="bottom"/>
          </w:tcPr>
          <w:p>
            <w:pPr>
              <w:spacing w:after="0"/>
              <w:rPr>
                <w:sz w:val="17"/>
                <w:szCs w:val="17"/>
                <w:color w:val="auto"/>
              </w:rPr>
            </w:pPr>
          </w:p>
        </w:tc>
        <w:tc>
          <w:tcPr>
            <w:tcW w:w="1040" w:type="dxa"/>
            <w:vAlign w:val="bottom"/>
            <w:tcBorders>
              <w:bottom w:val="single" w:sz="8" w:color="auto"/>
            </w:tcBorders>
          </w:tcPr>
          <w:p>
            <w:pPr>
              <w:spacing w:after="0" w:line="199" w:lineRule="exact"/>
              <w:rPr>
                <w:rFonts w:ascii="Times New Roman" w:cs="Times New Roman" w:eastAsia="Times New Roman" w:hAnsi="Times New Roman"/>
                <w:sz w:val="20"/>
                <w:szCs w:val="20"/>
                <w:color w:val="auto"/>
                <w:w w:val="99"/>
              </w:rPr>
            </w:pPr>
            <w:hyperlink r:id="rId37">
              <w:r>
                <w:rPr>
                  <w:rFonts w:ascii="Times New Roman" w:cs="Times New Roman" w:eastAsia="Times New Roman" w:hAnsi="Times New Roman"/>
                  <w:sz w:val="20"/>
                  <w:szCs w:val="20"/>
                  <w:color w:val="auto"/>
                  <w:w w:val="99"/>
                </w:rPr>
                <w:t>AB248980.1</w:t>
              </w:r>
            </w:hyperlink>
          </w:p>
        </w:tc>
        <w:tc>
          <w:tcPr>
            <w:tcW w:w="40" w:type="dxa"/>
            <w:vAlign w:val="bottom"/>
            <w:gridSpan w:val="2"/>
          </w:tcPr>
          <w:p>
            <w:pPr>
              <w:spacing w:after="0"/>
              <w:rPr>
                <w:sz w:val="17"/>
                <w:szCs w:val="17"/>
                <w:color w:val="auto"/>
              </w:rPr>
            </w:pPr>
          </w:p>
        </w:tc>
        <w:tc>
          <w:tcPr>
            <w:tcW w:w="260" w:type="dxa"/>
            <w:vAlign w:val="bottom"/>
            <w:tcBorders>
              <w:right w:val="single" w:sz="8" w:color="auto"/>
            </w:tcBorders>
          </w:tcPr>
          <w:p>
            <w:pPr>
              <w:spacing w:after="0"/>
              <w:rPr>
                <w:sz w:val="17"/>
                <w:szCs w:val="17"/>
                <w:color w:val="auto"/>
              </w:rPr>
            </w:pPr>
          </w:p>
        </w:tc>
        <w:tc>
          <w:tcPr>
            <w:tcW w:w="1260" w:type="dxa"/>
            <w:vAlign w:val="bottom"/>
            <w:tcBorders>
              <w:right w:val="single" w:sz="8" w:color="auto"/>
            </w:tcBorders>
          </w:tcPr>
          <w:p>
            <w:pPr>
              <w:jc w:val="center"/>
              <w:spacing w:after="0" w:line="199" w:lineRule="exact"/>
              <w:rPr>
                <w:sz w:val="20"/>
                <w:szCs w:val="20"/>
                <w:color w:val="auto"/>
              </w:rPr>
            </w:pPr>
            <w:r>
              <w:rPr>
                <w:rFonts w:ascii="Times New Roman" w:cs="Times New Roman" w:eastAsia="Times New Roman" w:hAnsi="Times New Roman"/>
                <w:sz w:val="20"/>
                <w:szCs w:val="20"/>
                <w:color w:val="auto"/>
              </w:rPr>
              <w:t>99.44%</w:t>
            </w:r>
          </w:p>
        </w:tc>
        <w:tc>
          <w:tcPr>
            <w:tcW w:w="1560" w:type="dxa"/>
            <w:vAlign w:val="bottom"/>
          </w:tcPr>
          <w:p>
            <w:pPr>
              <w:jc w:val="center"/>
              <w:spacing w:after="0" w:line="199" w:lineRule="exact"/>
              <w:rPr>
                <w:sz w:val="20"/>
                <w:szCs w:val="20"/>
                <w:color w:val="auto"/>
              </w:rPr>
            </w:pPr>
            <w:r>
              <w:rPr>
                <w:rFonts w:ascii="Times New Roman" w:cs="Times New Roman" w:eastAsia="Times New Roman" w:hAnsi="Times New Roman"/>
                <w:sz w:val="20"/>
                <w:szCs w:val="20"/>
                <w:color w:val="auto"/>
                <w:w w:val="99"/>
              </w:rPr>
              <w:t>MT322251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1115695</wp:posOffset>
            </wp:positionH>
            <wp:positionV relativeFrom="paragraph">
              <wp:posOffset>151765</wp:posOffset>
            </wp:positionV>
            <wp:extent cx="4161155" cy="20116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extLst>
                    </a:blip>
                    <a:srcRect/>
                    <a:stretch>
                      <a:fillRect/>
                    </a:stretch>
                  </pic:blipFill>
                  <pic:spPr bwMode="auto">
                    <a:xfrm>
                      <a:off x="0" y="0"/>
                      <a:ext cx="4161155" cy="20116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440" w:right="200" w:hanging="1541"/>
        <w:spacing w:after="0" w:line="235" w:lineRule="auto"/>
        <w:rPr>
          <w:sz w:val="20"/>
          <w:szCs w:val="20"/>
          <w:color w:val="auto"/>
        </w:rPr>
      </w:pPr>
      <w:r>
        <w:rPr>
          <w:rFonts w:ascii="Times New Roman" w:cs="Times New Roman" w:eastAsia="Times New Roman" w:hAnsi="Times New Roman"/>
          <w:sz w:val="20"/>
          <w:szCs w:val="20"/>
          <w:b w:val="1"/>
          <w:bCs w:val="1"/>
          <w:color w:val="auto"/>
        </w:rPr>
        <w:t>Figure 2</w:t>
      </w:r>
      <w:r>
        <w:rPr>
          <w:rFonts w:ascii="Times New Roman" w:cs="Times New Roman" w:eastAsia="Times New Roman" w:hAnsi="Times New Roman"/>
          <w:sz w:val="20"/>
          <w:szCs w:val="20"/>
          <w:color w:val="auto"/>
        </w:rPr>
        <w:t>: Abundance of each genus and species identified among fungal endophytes from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A. mexicana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plant. , A- in the root of plant; B- in the shoot of plant</w:t>
      </w:r>
    </w:p>
    <w:p>
      <w:pPr>
        <w:spacing w:after="0" w:line="320" w:lineRule="exact"/>
        <w:rPr>
          <w:sz w:val="20"/>
          <w:szCs w:val="20"/>
          <w:color w:val="auto"/>
        </w:rPr>
      </w:pPr>
    </w:p>
    <w:tbl>
      <w:tblPr>
        <w:tblLayout w:type="fixed"/>
        <w:tblInd w:w="220" w:type="dxa"/>
        <w:tblCellMar>
          <w:top w:w="0" w:type="dxa"/>
          <w:left w:w="0" w:type="dxa"/>
          <w:bottom w:w="0" w:type="dxa"/>
          <w:right w:w="0" w:type="dxa"/>
        </w:tblCellMar>
      </w:tblPr>
      <w:tr>
        <w:trPr>
          <w:trHeight w:val="274"/>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7">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6439</w:t>
            </w:r>
          </w:p>
        </w:tc>
      </w:tr>
    </w:tbl>
    <w:p>
      <w:pPr>
        <w:sectPr>
          <w:pgSz w:w="11900" w:h="16840" w:orient="portrait"/>
          <w:cols w:equalWidth="0" w:num="1">
            <w:col w:w="9360"/>
          </w:cols>
          <w:pgMar w:left="1280" w:top="949" w:right="1268" w:bottom="117" w:gutter="0" w:footer="0" w:header="0"/>
        </w:sectPr>
      </w:pPr>
    </w:p>
    <w:bookmarkStart w:id="4" w:name="page5"/>
    <w:bookmarkEnd w:id="4"/>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https://doi.org/10.33263/BRIAC105.64366443</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13335</wp:posOffset>
            </wp:positionV>
            <wp:extent cx="5770880" cy="22758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extLst>
                    </a:blip>
                    <a:srcRect/>
                    <a:stretch>
                      <a:fillRect/>
                    </a:stretch>
                  </pic:blipFill>
                  <pic:spPr bwMode="auto">
                    <a:xfrm>
                      <a:off x="0" y="0"/>
                      <a:ext cx="5770880" cy="22758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3200" w:right="308" w:hanging="2177"/>
        <w:spacing w:after="0" w:line="253" w:lineRule="auto"/>
        <w:rPr>
          <w:sz w:val="20"/>
          <w:szCs w:val="20"/>
          <w:color w:val="auto"/>
        </w:rPr>
      </w:pPr>
      <w:r>
        <w:rPr>
          <w:rFonts w:ascii="Times New Roman" w:cs="Times New Roman" w:eastAsia="Times New Roman" w:hAnsi="Times New Roman"/>
          <w:sz w:val="20"/>
          <w:szCs w:val="20"/>
          <w:b w:val="1"/>
          <w:bCs w:val="1"/>
          <w:color w:val="auto"/>
        </w:rPr>
        <w:t xml:space="preserve">Figure 3: </w:t>
      </w:r>
      <w:r>
        <w:rPr>
          <w:rFonts w:ascii="Times New Roman" w:cs="Times New Roman" w:eastAsia="Times New Roman" w:hAnsi="Times New Roman"/>
          <w:sz w:val="20"/>
          <w:szCs w:val="20"/>
          <w:color w:val="auto"/>
        </w:rPr>
        <w:t>Relative abundance of endophytic fungal isolates of</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A. mexicana</w:t>
      </w:r>
      <w:r>
        <w:rPr>
          <w:sz w:val="20"/>
          <w:szCs w:val="20"/>
          <w:color w:val="auto"/>
        </w:rPr>
        <w:t xml:space="preserve"> </w:t>
      </w:r>
      <w:r>
        <w:rPr>
          <w:rFonts w:ascii="Times New Roman" w:cs="Times New Roman" w:eastAsia="Times New Roman" w:hAnsi="Times New Roman"/>
          <w:sz w:val="20"/>
          <w:szCs w:val="20"/>
          <w:color w:val="auto"/>
        </w:rPr>
        <w:t>The bars. Error bar represents error with percentage.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222885</wp:posOffset>
            </wp:positionH>
            <wp:positionV relativeFrom="paragraph">
              <wp:posOffset>303530</wp:posOffset>
            </wp:positionV>
            <wp:extent cx="5284470" cy="12312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extLst>
                    </a:blip>
                    <a:srcRect/>
                    <a:stretch>
                      <a:fillRect/>
                    </a:stretch>
                  </pic:blipFill>
                  <pic:spPr bwMode="auto">
                    <a:xfrm>
                      <a:off x="0" y="0"/>
                      <a:ext cx="5284470" cy="12312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 xml:space="preserve">Figure 4: </w:t>
      </w:r>
      <w:r>
        <w:rPr>
          <w:rFonts w:ascii="Times New Roman" w:cs="Times New Roman" w:eastAsia="Times New Roman" w:hAnsi="Times New Roman"/>
          <w:sz w:val="20"/>
          <w:szCs w:val="20"/>
          <w:color w:val="auto"/>
        </w:rPr>
        <w:t>Evolutionary relationships of taxa of fungal endophytes from root of</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A. mexicana.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367665</wp:posOffset>
            </wp:positionH>
            <wp:positionV relativeFrom="paragraph">
              <wp:posOffset>149225</wp:posOffset>
            </wp:positionV>
            <wp:extent cx="4996180" cy="12312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extLst>
                    </a:blip>
                    <a:srcRect/>
                    <a:stretch>
                      <a:fillRect/>
                    </a:stretch>
                  </pic:blipFill>
                  <pic:spPr bwMode="auto">
                    <a:xfrm>
                      <a:off x="0" y="0"/>
                      <a:ext cx="4996180" cy="12312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 xml:space="preserve">Figure 5: </w:t>
      </w:r>
      <w:r>
        <w:rPr>
          <w:rFonts w:ascii="Times New Roman" w:cs="Times New Roman" w:eastAsia="Times New Roman" w:hAnsi="Times New Roman"/>
          <w:sz w:val="20"/>
          <w:szCs w:val="20"/>
          <w:color w:val="auto"/>
        </w:rPr>
        <w:t>Evolutionary relationships of taxa of fungal endophytes from shoot of</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A.exicana.</w:t>
      </w:r>
    </w:p>
    <w:p>
      <w:pPr>
        <w:spacing w:after="0" w:line="246"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 xml:space="preserve">The major fungal secondary metabolites can be grouped in different classes, non-ribosomal peptides, polyketides, alkaloids, terpenes, and more recently, ribosomal peptides. The ascomycetous fungi </w:t>
      </w:r>
      <w:r>
        <w:rPr>
          <w:rFonts w:ascii="Times New Roman" w:cs="Times New Roman" w:eastAsia="Times New Roman" w:hAnsi="Times New Roman"/>
          <w:sz w:val="24"/>
          <w:szCs w:val="24"/>
          <w:i w:val="1"/>
          <w:iCs w:val="1"/>
          <w:color w:val="auto"/>
        </w:rPr>
        <w:t>Aspergillus</w:t>
      </w:r>
      <w:r>
        <w:rPr>
          <w:rFonts w:ascii="Times New Roman" w:cs="Times New Roman" w:eastAsia="Times New Roman" w:hAnsi="Times New Roman"/>
          <w:sz w:val="24"/>
          <w:szCs w:val="24"/>
          <w:color w:val="auto"/>
        </w:rPr>
        <w:t xml:space="preserve"> genus, has over 330 different species, which represent some of the most important and common fungi available in the environment. </w:t>
      </w:r>
      <w:r>
        <w:rPr>
          <w:rFonts w:ascii="Times New Roman" w:cs="Times New Roman" w:eastAsia="Times New Roman" w:hAnsi="Times New Roman"/>
          <w:sz w:val="24"/>
          <w:szCs w:val="24"/>
          <w:i w:val="1"/>
          <w:iCs w:val="1"/>
          <w:color w:val="auto"/>
        </w:rPr>
        <w:t>Aspergillus</w:t>
      </w:r>
      <w:r>
        <w:rPr>
          <w:rFonts w:ascii="Times New Roman" w:cs="Times New Roman" w:eastAsia="Times New Roman" w:hAnsi="Times New Roman"/>
          <w:sz w:val="24"/>
          <w:szCs w:val="24"/>
          <w:color w:val="auto"/>
        </w:rPr>
        <w:t xml:space="preserve"> species belong to one of the most potent fungi that are capable of biosynthesizing a huge range of both primary and secondary metabolites [16].</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 xml:space="preserve">Penicillium </w:t>
      </w:r>
      <w:r>
        <w:rPr>
          <w:rFonts w:ascii="Times New Roman" w:cs="Times New Roman" w:eastAsia="Times New Roman" w:hAnsi="Times New Roman"/>
          <w:sz w:val="24"/>
          <w:szCs w:val="24"/>
          <w:color w:val="auto"/>
        </w:rPr>
        <w:t>genus is filamentous fungus and found commonly in soil habitats, plants</w:t>
      </w:r>
    </w:p>
    <w:p>
      <w:pPr>
        <w:spacing w:after="0" w:line="54" w:lineRule="exact"/>
        <w:rPr>
          <w:sz w:val="20"/>
          <w:szCs w:val="20"/>
          <w:color w:val="auto"/>
        </w:rPr>
      </w:pPr>
    </w:p>
    <w:p>
      <w:pPr>
        <w:jc w:val="both"/>
        <w:ind w:right="8"/>
        <w:spacing w:after="0" w:line="273" w:lineRule="auto"/>
        <w:tabs>
          <w:tab w:leader="none" w:pos="524"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reported in literature that it can produce important secondary metabolites, including steroid and terpenoids, esters, quinones, polyketides, alkaloids, peptides and many other unidentified compounds [18-21]. These secondary metabolites have antifungal agent [22-24], antibacterials [21, 23-26], anticancer agent [27-28], antioxidant, antiviral [29], antidiabetic [30], anti-Alzheimer's disease [31], it has been used for epilepsy and toxocariasis treatment [32], -leishmanial and -inflammatory Agents [33].</w:t>
      </w:r>
    </w:p>
    <w:p>
      <w:pPr>
        <w:spacing w:after="0" w:line="21" w:lineRule="exact"/>
        <w:rPr>
          <w:rFonts w:ascii="Times New Roman" w:cs="Times New Roman" w:eastAsia="Times New Roman" w:hAnsi="Times New Roman"/>
          <w:sz w:val="24"/>
          <w:szCs w:val="24"/>
          <w:color w:val="auto"/>
        </w:rPr>
      </w:pPr>
    </w:p>
    <w:p>
      <w:pPr>
        <w:jc w:val="both"/>
        <w:ind w:right="8" w:firstLine="720"/>
        <w:spacing w:after="0" w:line="28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 xml:space="preserve">The host plant, </w:t>
      </w:r>
      <w:r>
        <w:rPr>
          <w:rFonts w:ascii="Times New Roman" w:cs="Times New Roman" w:eastAsia="Times New Roman" w:hAnsi="Times New Roman"/>
          <w:sz w:val="23"/>
          <w:szCs w:val="23"/>
          <w:i w:val="1"/>
          <w:iCs w:val="1"/>
          <w:color w:val="auto"/>
        </w:rPr>
        <w:t>A. mexicana</w:t>
      </w:r>
      <w:r>
        <w:rPr>
          <w:rFonts w:ascii="Times New Roman" w:cs="Times New Roman" w:eastAsia="Times New Roman" w:hAnsi="Times New Roman"/>
          <w:sz w:val="23"/>
          <w:szCs w:val="23"/>
          <w:color w:val="auto"/>
        </w:rPr>
        <w:t xml:space="preserve"> plant has various medicinal properties attributed to its primary and secondary metabolites, which include flavonoids, alkaloids, saponins, glycosides, phenol, lignins, tannins and sterols [34]. These compounds are highly effective against various</w:t>
      </w:r>
    </w:p>
    <w:p>
      <w:pPr>
        <w:spacing w:after="0" w:line="326" w:lineRule="exact"/>
        <w:rPr>
          <w:sz w:val="20"/>
          <w:szCs w:val="20"/>
          <w:color w:val="auto"/>
        </w:rPr>
      </w:pPr>
    </w:p>
    <w:tbl>
      <w:tblPr>
        <w:tblLayout w:type="fixed"/>
        <w:tblInd w:w="60" w:type="dxa"/>
        <w:tblCellMar>
          <w:top w:w="0" w:type="dxa"/>
          <w:left w:w="0" w:type="dxa"/>
          <w:bottom w:w="0" w:type="dxa"/>
          <w:right w:w="0" w:type="dxa"/>
        </w:tblCellMar>
      </w:tblPr>
      <w:tr>
        <w:trPr>
          <w:trHeight w:val="274"/>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7">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6440</w:t>
            </w:r>
          </w:p>
        </w:tc>
      </w:tr>
    </w:tbl>
    <w:p>
      <w:pPr>
        <w:sectPr>
          <w:pgSz w:w="11900" w:h="16840" w:orient="portrait"/>
          <w:cols w:equalWidth="0" w:num="1">
            <w:col w:w="9028"/>
          </w:cols>
          <w:pgMar w:left="1440" w:top="959" w:right="1440" w:bottom="117" w:gutter="0" w:footer="0" w:header="0"/>
        </w:sectPr>
      </w:pPr>
    </w:p>
    <w:bookmarkStart w:id="5" w:name="page6"/>
    <w:bookmarkEnd w:id="5"/>
    <w:p>
      <w:pPr>
        <w:ind w:left="5280"/>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https://doi.org/10.33263/BRIAC105.64366443</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12065</wp:posOffset>
            </wp:positionV>
            <wp:extent cx="5770880" cy="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251" w:lineRule="exact"/>
        <w:rPr>
          <w:sz w:val="20"/>
          <w:szCs w:val="20"/>
          <w:color w:val="auto"/>
        </w:rPr>
      </w:pPr>
    </w:p>
    <w:p>
      <w:pPr>
        <w:jc w:val="both"/>
        <w:ind w:right="20"/>
        <w:spacing w:after="0" w:line="264" w:lineRule="auto"/>
        <w:rPr>
          <w:sz w:val="20"/>
          <w:szCs w:val="20"/>
          <w:color w:val="auto"/>
        </w:rPr>
      </w:pPr>
      <w:r>
        <w:rPr>
          <w:rFonts w:ascii="Times New Roman" w:cs="Times New Roman" w:eastAsia="Times New Roman" w:hAnsi="Times New Roman"/>
          <w:sz w:val="24"/>
          <w:szCs w:val="24"/>
          <w:color w:val="auto"/>
        </w:rPr>
        <w:t>diseases. An extensive range of phytocompounds and fatty acids identified from the plant shows antifungal, antibacterial, antimycotic and anti-inflammatory activities [31].</w:t>
      </w:r>
    </w:p>
    <w:p>
      <w:pPr>
        <w:spacing w:after="0" w:line="28" w:lineRule="exact"/>
        <w:rPr>
          <w:sz w:val="20"/>
          <w:szCs w:val="20"/>
          <w:color w:val="auto"/>
        </w:rPr>
      </w:pPr>
    </w:p>
    <w:p>
      <w:pPr>
        <w:jc w:val="both"/>
        <w:ind w:right="20" w:firstLine="720"/>
        <w:spacing w:after="0" w:line="270" w:lineRule="auto"/>
        <w:rPr>
          <w:sz w:val="20"/>
          <w:szCs w:val="20"/>
          <w:color w:val="auto"/>
        </w:rPr>
      </w:pPr>
      <w:r>
        <w:rPr>
          <w:rFonts w:ascii="Times New Roman" w:cs="Times New Roman" w:eastAsia="Times New Roman" w:hAnsi="Times New Roman"/>
          <w:sz w:val="24"/>
          <w:szCs w:val="24"/>
          <w:color w:val="auto"/>
        </w:rPr>
        <w:t xml:space="preserve">This study focuses on the diversity of endophytic fungi in different parts of </w:t>
      </w:r>
      <w:r>
        <w:rPr>
          <w:rFonts w:ascii="Times New Roman" w:cs="Times New Roman" w:eastAsia="Times New Roman" w:hAnsi="Times New Roman"/>
          <w:sz w:val="24"/>
          <w:szCs w:val="24"/>
          <w:i w:val="1"/>
          <w:iCs w:val="1"/>
          <w:color w:val="auto"/>
        </w:rPr>
        <w:t>A. mexicana</w:t>
      </w:r>
      <w:r>
        <w:rPr>
          <w:rFonts w:ascii="Times New Roman" w:cs="Times New Roman" w:eastAsia="Times New Roman" w:hAnsi="Times New Roman"/>
          <w:sz w:val="24"/>
          <w:szCs w:val="24"/>
          <w:color w:val="auto"/>
        </w:rPr>
        <w:t xml:space="preserve"> plant and also to understand the symbiosis between the plant and its endophytes concerning their secondary metabolite production.</w:t>
      </w: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Conclusions</w:t>
      </w:r>
    </w:p>
    <w:p>
      <w:pPr>
        <w:spacing w:after="0" w:line="255" w:lineRule="exact"/>
        <w:rPr>
          <w:sz w:val="20"/>
          <w:szCs w:val="20"/>
          <w:color w:val="auto"/>
        </w:rPr>
      </w:pPr>
    </w:p>
    <w:p>
      <w:pPr>
        <w:jc w:val="both"/>
        <w:ind w:right="20" w:firstLine="720"/>
        <w:spacing w:after="0" w:line="273" w:lineRule="auto"/>
        <w:rPr>
          <w:sz w:val="20"/>
          <w:szCs w:val="20"/>
          <w:color w:val="auto"/>
        </w:rPr>
      </w:pPr>
      <w:r>
        <w:rPr>
          <w:rFonts w:ascii="Times New Roman" w:cs="Times New Roman" w:eastAsia="Times New Roman" w:hAnsi="Times New Roman"/>
          <w:sz w:val="24"/>
          <w:szCs w:val="24"/>
          <w:color w:val="auto"/>
        </w:rPr>
        <w:t xml:space="preserve">The study offers an insight into the diversity of endophytic fungal population isolated from </w:t>
      </w:r>
      <w:r>
        <w:rPr>
          <w:rFonts w:ascii="Times New Roman" w:cs="Times New Roman" w:eastAsia="Times New Roman" w:hAnsi="Times New Roman"/>
          <w:sz w:val="24"/>
          <w:szCs w:val="24"/>
          <w:i w:val="1"/>
          <w:iCs w:val="1"/>
          <w:color w:val="auto"/>
        </w:rPr>
        <w:t>A. mexicana</w:t>
      </w:r>
      <w:r>
        <w:rPr>
          <w:rFonts w:ascii="Times New Roman" w:cs="Times New Roman" w:eastAsia="Times New Roman" w:hAnsi="Times New Roman"/>
          <w:sz w:val="24"/>
          <w:szCs w:val="24"/>
          <w:color w:val="auto"/>
        </w:rPr>
        <w:t xml:space="preserve">. The data obtained shows twenty endophytic fungi isolated from both the root and shoot parts of the plant. The molecular characterization shows the fungal strains mostly belonging to two genus </w:t>
      </w:r>
      <w:r>
        <w:rPr>
          <w:rFonts w:ascii="Times New Roman" w:cs="Times New Roman" w:eastAsia="Times New Roman" w:hAnsi="Times New Roman"/>
          <w:sz w:val="24"/>
          <w:szCs w:val="24"/>
          <w:i w:val="1"/>
          <w:iCs w:val="1"/>
          <w:color w:val="auto"/>
        </w:rPr>
        <w:t>Aspergillus</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Penicillium</w:t>
      </w:r>
      <w:r>
        <w:rPr>
          <w:rFonts w:ascii="Times New Roman" w:cs="Times New Roman" w:eastAsia="Times New Roman" w:hAnsi="Times New Roman"/>
          <w:sz w:val="24"/>
          <w:szCs w:val="24"/>
          <w:color w:val="auto"/>
        </w:rPr>
        <w:t xml:space="preserve"> species. Antimicrobial activity of the fungal isolates is on progress.</w:t>
      </w:r>
    </w:p>
    <w:p>
      <w:pPr>
        <w:spacing w:after="0" w:line="24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Funding</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This research received fund from NE-DBT (Application No: AGRI/2015/48).</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Acknowledgments</w:t>
      </w:r>
    </w:p>
    <w:p>
      <w:pPr>
        <w:spacing w:after="0" w:line="253" w:lineRule="exact"/>
        <w:rPr>
          <w:sz w:val="20"/>
          <w:szCs w:val="20"/>
          <w:color w:val="auto"/>
        </w:rPr>
      </w:pPr>
    </w:p>
    <w:p>
      <w:pPr>
        <w:jc w:val="both"/>
        <w:ind w:right="20"/>
        <w:spacing w:after="0" w:line="264" w:lineRule="auto"/>
        <w:rPr>
          <w:sz w:val="20"/>
          <w:szCs w:val="20"/>
          <w:color w:val="auto"/>
        </w:rPr>
      </w:pPr>
      <w:r>
        <w:rPr>
          <w:rFonts w:ascii="Times New Roman" w:cs="Times New Roman" w:eastAsia="Times New Roman" w:hAnsi="Times New Roman"/>
          <w:sz w:val="24"/>
          <w:szCs w:val="24"/>
          <w:color w:val="808080"/>
        </w:rPr>
        <w:t>The authors are thankful to Retd.Scientist from ICAR Prof. Amithabh Bandopadhyay for his guidance.</w:t>
      </w: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Conflicts of Interest</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The authors declare no conflict of interest.</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References</w:t>
      </w:r>
    </w:p>
    <w:p>
      <w:pPr>
        <w:spacing w:after="0" w:line="252" w:lineRule="exact"/>
        <w:rPr>
          <w:sz w:val="20"/>
          <w:szCs w:val="20"/>
          <w:color w:val="auto"/>
        </w:rPr>
      </w:pPr>
    </w:p>
    <w:p>
      <w:pPr>
        <w:jc w:val="both"/>
        <w:ind w:right="20"/>
        <w:spacing w:after="0" w:line="236" w:lineRule="auto"/>
        <w:tabs>
          <w:tab w:leader="none" w:pos="284"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Saikkonen, K.; Faeth, S.H.; Helander, M.; Sullivan, T.J. FUNGAL ENDOPHYTES: A Continuum of Interactions with Host Plants. </w:t>
      </w:r>
      <w:r>
        <w:rPr>
          <w:rFonts w:ascii="Times New Roman" w:cs="Times New Roman" w:eastAsia="Times New Roman" w:hAnsi="Times New Roman"/>
          <w:sz w:val="20"/>
          <w:szCs w:val="20"/>
          <w:i w:val="1"/>
          <w:iCs w:val="1"/>
          <w:color w:val="auto"/>
        </w:rPr>
        <w:t>Annual Review of Ecology and Systematics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1998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29</w:t>
      </w:r>
      <w:r>
        <w:rPr>
          <w:rFonts w:ascii="Times New Roman" w:cs="Times New Roman" w:eastAsia="Times New Roman" w:hAnsi="Times New Roman"/>
          <w:sz w:val="20"/>
          <w:szCs w:val="20"/>
          <w:color w:val="auto"/>
        </w:rPr>
        <w:t xml:space="preserve">, 319-343, </w:t>
      </w:r>
      <w:hyperlink r:id="rId43">
        <w:r>
          <w:rPr>
            <w:rFonts w:ascii="Times New Roman" w:cs="Times New Roman" w:eastAsia="Times New Roman" w:hAnsi="Times New Roman"/>
            <w:sz w:val="20"/>
            <w:szCs w:val="20"/>
            <w:color w:val="auto"/>
          </w:rPr>
          <w:t>https://doi.org/10.1146/annurev.ecolsys.29.1.319.</w:t>
        </w:r>
      </w:hyperlink>
    </w:p>
    <w:p>
      <w:pPr>
        <w:spacing w:after="0" w:line="11" w:lineRule="exact"/>
        <w:rPr>
          <w:rFonts w:ascii="Times New Roman" w:cs="Times New Roman" w:eastAsia="Times New Roman" w:hAnsi="Times New Roman"/>
          <w:sz w:val="20"/>
          <w:szCs w:val="20"/>
          <w:color w:val="auto"/>
        </w:rPr>
      </w:pPr>
    </w:p>
    <w:p>
      <w:pPr>
        <w:jc w:val="both"/>
        <w:ind w:right="20"/>
        <w:spacing w:after="0" w:line="236" w:lineRule="auto"/>
        <w:tabs>
          <w:tab w:leader="none" w:pos="284"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Schulz, B.; Boyle, C. What are Endophytes? In: </w:t>
      </w:r>
      <w:r>
        <w:rPr>
          <w:rFonts w:ascii="Times New Roman" w:cs="Times New Roman" w:eastAsia="Times New Roman" w:hAnsi="Times New Roman"/>
          <w:sz w:val="20"/>
          <w:szCs w:val="20"/>
          <w:i w:val="1"/>
          <w:iCs w:val="1"/>
          <w:color w:val="auto"/>
        </w:rPr>
        <w:t>Microbial Root Endophytes</w:t>
      </w:r>
      <w:r>
        <w:rPr>
          <w:rFonts w:ascii="Times New Roman" w:cs="Times New Roman" w:eastAsia="Times New Roman" w:hAnsi="Times New Roman"/>
          <w:sz w:val="20"/>
          <w:szCs w:val="20"/>
          <w:color w:val="auto"/>
        </w:rPr>
        <w:t xml:space="preserve">. Schulz, B.J.E., Boyle, C.J.C., Sieber, T.N., Eds. Springer Berlin Heidelberg: Berlin, Heidelberg, Volume 9, 2006; pp. 1-13, </w:t>
      </w:r>
      <w:hyperlink r:id="rId44">
        <w:r>
          <w:rPr>
            <w:rFonts w:ascii="Times New Roman" w:cs="Times New Roman" w:eastAsia="Times New Roman" w:hAnsi="Times New Roman"/>
            <w:sz w:val="20"/>
            <w:szCs w:val="20"/>
            <w:color w:val="auto"/>
          </w:rPr>
          <w:t>https://doi.org/10.1007/3-540-33526-9_1.</w:t>
        </w:r>
      </w:hyperlink>
    </w:p>
    <w:p>
      <w:pPr>
        <w:spacing w:after="0" w:line="11" w:lineRule="exact"/>
        <w:rPr>
          <w:rFonts w:ascii="Times New Roman" w:cs="Times New Roman" w:eastAsia="Times New Roman" w:hAnsi="Times New Roman"/>
          <w:sz w:val="20"/>
          <w:szCs w:val="20"/>
          <w:color w:val="auto"/>
        </w:rPr>
      </w:pPr>
    </w:p>
    <w:p>
      <w:pPr>
        <w:ind w:right="20"/>
        <w:spacing w:after="0" w:line="234" w:lineRule="auto"/>
        <w:tabs>
          <w:tab w:leader="none" w:pos="284"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Yim, G.; Wang, H.H.; Davies, J., Antibiotics as signaling molecules. </w:t>
      </w:r>
      <w:r>
        <w:rPr>
          <w:rFonts w:ascii="Times New Roman" w:cs="Times New Roman" w:eastAsia="Times New Roman" w:hAnsi="Times New Roman"/>
          <w:sz w:val="20"/>
          <w:szCs w:val="20"/>
          <w:i w:val="1"/>
          <w:iCs w:val="1"/>
          <w:color w:val="auto"/>
        </w:rPr>
        <w:t>Philos. Trans. Soc. B</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2007</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362,</w:t>
      </w:r>
      <w:r>
        <w:rPr>
          <w:rFonts w:ascii="Times New Roman" w:cs="Times New Roman" w:eastAsia="Times New Roman" w:hAnsi="Times New Roman"/>
          <w:sz w:val="20"/>
          <w:szCs w:val="20"/>
          <w:color w:val="auto"/>
        </w:rPr>
        <w:t xml:space="preserve"> 1195– 1200, </w:t>
      </w:r>
      <w:hyperlink r:id="rId45">
        <w:r>
          <w:rPr>
            <w:rFonts w:ascii="Times New Roman" w:cs="Times New Roman" w:eastAsia="Times New Roman" w:hAnsi="Times New Roman"/>
            <w:sz w:val="20"/>
            <w:szCs w:val="20"/>
            <w:color w:val="auto"/>
          </w:rPr>
          <w:t>https://doi.org/10.1098/rstb.2007.2044.</w:t>
        </w:r>
      </w:hyperlink>
    </w:p>
    <w:p>
      <w:pPr>
        <w:spacing w:after="0" w:line="11" w:lineRule="exact"/>
        <w:rPr>
          <w:rFonts w:ascii="Times New Roman" w:cs="Times New Roman" w:eastAsia="Times New Roman" w:hAnsi="Times New Roman"/>
          <w:sz w:val="20"/>
          <w:szCs w:val="20"/>
          <w:color w:val="auto"/>
        </w:rPr>
      </w:pPr>
    </w:p>
    <w:p>
      <w:pPr>
        <w:ind w:right="20"/>
        <w:spacing w:after="0" w:line="235" w:lineRule="auto"/>
        <w:tabs>
          <w:tab w:leader="none" w:pos="284" w:val="left"/>
        </w:tabs>
        <w:numPr>
          <w:ilvl w:val="0"/>
          <w:numId w:val="5"/>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Clay, K. Fungal Endophytes of Grasses: A Defensive Mutualism between Plants and Fungi. </w:t>
      </w:r>
      <w:r>
        <w:rPr>
          <w:rFonts w:ascii="Times New Roman" w:cs="Times New Roman" w:eastAsia="Times New Roman" w:hAnsi="Times New Roman"/>
          <w:sz w:val="20"/>
          <w:szCs w:val="20"/>
          <w:i w:val="1"/>
          <w:iCs w:val="1"/>
          <w:color w:val="auto"/>
        </w:rPr>
        <w:t>Ecology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1988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69</w:t>
      </w:r>
      <w:r>
        <w:rPr>
          <w:rFonts w:ascii="Times New Roman" w:cs="Times New Roman" w:eastAsia="Times New Roman" w:hAnsi="Times New Roman"/>
          <w:sz w:val="20"/>
          <w:szCs w:val="20"/>
          <w:color w:val="auto"/>
        </w:rPr>
        <w:t xml:space="preserve">, 10-16, </w:t>
      </w:r>
      <w:hyperlink r:id="rId46">
        <w:r>
          <w:rPr>
            <w:rFonts w:ascii="Times New Roman" w:cs="Times New Roman" w:eastAsia="Times New Roman" w:hAnsi="Times New Roman"/>
            <w:sz w:val="20"/>
            <w:szCs w:val="20"/>
            <w:color w:val="auto"/>
          </w:rPr>
          <w:t>https://doi.org/10.2307/1943155.</w:t>
        </w:r>
      </w:hyperlink>
    </w:p>
    <w:p>
      <w:pPr>
        <w:spacing w:after="0" w:line="9" w:lineRule="exact"/>
        <w:rPr>
          <w:rFonts w:ascii="Times New Roman" w:cs="Times New Roman" w:eastAsia="Times New Roman" w:hAnsi="Times New Roman"/>
          <w:sz w:val="20"/>
          <w:szCs w:val="20"/>
          <w:i w:val="1"/>
          <w:iCs w:val="1"/>
          <w:color w:val="auto"/>
        </w:rPr>
      </w:pPr>
    </w:p>
    <w:p>
      <w:pPr>
        <w:jc w:val="both"/>
        <w:ind w:right="20"/>
        <w:spacing w:after="0" w:line="236" w:lineRule="auto"/>
        <w:tabs>
          <w:tab w:leader="none" w:pos="284" w:val="left"/>
        </w:tabs>
        <w:numPr>
          <w:ilvl w:val="0"/>
          <w:numId w:val="5"/>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Sharma, J.; Gairola, S.; Gaur, R.D.; Painuli, R.M. The treatment of jaundice with medicinal plants in indigenous communities of the Sub-Himalayan region of Uttarakhand, India. </w:t>
      </w:r>
      <w:r>
        <w:rPr>
          <w:rFonts w:ascii="Times New Roman" w:cs="Times New Roman" w:eastAsia="Times New Roman" w:hAnsi="Times New Roman"/>
          <w:sz w:val="20"/>
          <w:szCs w:val="20"/>
          <w:i w:val="1"/>
          <w:iCs w:val="1"/>
          <w:color w:val="auto"/>
        </w:rPr>
        <w:t>Journal of Ethnopharmacology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143</w:t>
      </w:r>
      <w:r>
        <w:rPr>
          <w:rFonts w:ascii="Times New Roman" w:cs="Times New Roman" w:eastAsia="Times New Roman" w:hAnsi="Times New Roman"/>
          <w:sz w:val="20"/>
          <w:szCs w:val="20"/>
          <w:color w:val="auto"/>
        </w:rPr>
        <w:t xml:space="preserve">, 262-291, </w:t>
      </w:r>
      <w:hyperlink r:id="rId47">
        <w:r>
          <w:rPr>
            <w:rFonts w:ascii="Times New Roman" w:cs="Times New Roman" w:eastAsia="Times New Roman" w:hAnsi="Times New Roman"/>
            <w:sz w:val="20"/>
            <w:szCs w:val="20"/>
            <w:color w:val="auto"/>
          </w:rPr>
          <w:t>https://doi.org/10.1016/j.jep.2012.06.034.</w:t>
        </w:r>
      </w:hyperlink>
    </w:p>
    <w:p>
      <w:pPr>
        <w:spacing w:after="0" w:line="11" w:lineRule="exact"/>
        <w:rPr>
          <w:rFonts w:ascii="Times New Roman" w:cs="Times New Roman" w:eastAsia="Times New Roman" w:hAnsi="Times New Roman"/>
          <w:sz w:val="20"/>
          <w:szCs w:val="20"/>
          <w:b w:val="1"/>
          <w:bCs w:val="1"/>
          <w:color w:val="auto"/>
        </w:rPr>
      </w:pPr>
    </w:p>
    <w:p>
      <w:pPr>
        <w:jc w:val="both"/>
        <w:ind w:right="20"/>
        <w:spacing w:after="0" w:line="236" w:lineRule="auto"/>
        <w:tabs>
          <w:tab w:leader="none" w:pos="284"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Takahashi, J.; Sande, D.; Lima, G.; Moura, M.; Nogueira, S.L.; Matheus, T. Fungal Metabolites as Promising New Drug Leads for the Treatment of Alzheimer's Disease. </w:t>
      </w:r>
      <w:r>
        <w:rPr>
          <w:rFonts w:ascii="Times New Roman" w:cs="Times New Roman" w:eastAsia="Times New Roman" w:hAnsi="Times New Roman"/>
          <w:sz w:val="20"/>
          <w:szCs w:val="20"/>
          <w:i w:val="1"/>
          <w:iCs w:val="1"/>
          <w:color w:val="auto"/>
        </w:rPr>
        <w:t>Studies in Natural Products Chemistry</w:t>
      </w:r>
      <w:r>
        <w:rPr>
          <w:rFonts w:ascii="Times New Roman" w:cs="Times New Roman" w:eastAsia="Times New Roman" w:hAnsi="Times New Roman"/>
          <w:sz w:val="20"/>
          <w:szCs w:val="20"/>
          <w:color w:val="auto"/>
        </w:rPr>
        <w:t xml:space="preserve">. Volume 62, 2019; pp. 1-39, </w:t>
      </w:r>
      <w:hyperlink r:id="rId48">
        <w:r>
          <w:rPr>
            <w:rFonts w:ascii="Times New Roman" w:cs="Times New Roman" w:eastAsia="Times New Roman" w:hAnsi="Times New Roman"/>
            <w:sz w:val="20"/>
            <w:szCs w:val="20"/>
            <w:color w:val="auto"/>
          </w:rPr>
          <w:t>https://doi.org/10.1016/B978-0-444-64185-4.00001-0.</w:t>
        </w:r>
      </w:hyperlink>
    </w:p>
    <w:p>
      <w:pPr>
        <w:spacing w:after="0" w:line="11" w:lineRule="exact"/>
        <w:rPr>
          <w:rFonts w:ascii="Times New Roman" w:cs="Times New Roman" w:eastAsia="Times New Roman" w:hAnsi="Times New Roman"/>
          <w:sz w:val="20"/>
          <w:szCs w:val="20"/>
          <w:color w:val="auto"/>
        </w:rPr>
      </w:pPr>
    </w:p>
    <w:p>
      <w:pPr>
        <w:ind w:right="20"/>
        <w:spacing w:after="0" w:line="235" w:lineRule="auto"/>
        <w:tabs>
          <w:tab w:leader="none" w:pos="284"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Kusari, S.; Hertweck, C.; Spiteller, M. Chemical Ecology of Endophytic Fungi: Origins of Secondary Metabolites. </w:t>
      </w:r>
      <w:r>
        <w:rPr>
          <w:rFonts w:ascii="Times New Roman" w:cs="Times New Roman" w:eastAsia="Times New Roman" w:hAnsi="Times New Roman"/>
          <w:sz w:val="20"/>
          <w:szCs w:val="20"/>
          <w:i w:val="1"/>
          <w:iCs w:val="1"/>
          <w:color w:val="auto"/>
        </w:rPr>
        <w:t>Chemistry &amp; Biology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19</w:t>
      </w:r>
      <w:r>
        <w:rPr>
          <w:rFonts w:ascii="Times New Roman" w:cs="Times New Roman" w:eastAsia="Times New Roman" w:hAnsi="Times New Roman"/>
          <w:sz w:val="20"/>
          <w:szCs w:val="20"/>
          <w:color w:val="auto"/>
        </w:rPr>
        <w:t xml:space="preserve">, 792-798, </w:t>
      </w:r>
      <w:hyperlink r:id="rId49">
        <w:r>
          <w:rPr>
            <w:rFonts w:ascii="Times New Roman" w:cs="Times New Roman" w:eastAsia="Times New Roman" w:hAnsi="Times New Roman"/>
            <w:sz w:val="20"/>
            <w:szCs w:val="20"/>
            <w:color w:val="auto"/>
          </w:rPr>
          <w:t>https://doi.org/10.1016/j.chembiol.2012.06.004.</w:t>
        </w:r>
      </w:hyperlink>
    </w:p>
    <w:p>
      <w:pPr>
        <w:spacing w:after="0" w:line="9" w:lineRule="exact"/>
        <w:rPr>
          <w:rFonts w:ascii="Times New Roman" w:cs="Times New Roman" w:eastAsia="Times New Roman" w:hAnsi="Times New Roman"/>
          <w:sz w:val="20"/>
          <w:szCs w:val="20"/>
          <w:color w:val="auto"/>
        </w:rPr>
      </w:pPr>
    </w:p>
    <w:p>
      <w:pPr>
        <w:jc w:val="both"/>
        <w:spacing w:after="0" w:line="238" w:lineRule="auto"/>
        <w:tabs>
          <w:tab w:leader="none" w:pos="284"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Rönsberg, D.; Debbab, A.; Mándi, A.; Vasylyeva, V.; Böhler, P.; Stork, B.; Engelke, L.; Hamacher, A.; Sawadogo, R.; Diederich, M.; Wray, V.; Lin, W.; Kassack, M.U.; Janiak, C.; Scheu, S.; Wesselborg, S.; Kurtán, T.; Aly, A.H.; Proksch, P. Pro-Apoptotic and Immunostimulatory Tetrahydroxanthone Dimers from the Endophytic Fungus Phomopsis longicolla. </w:t>
      </w:r>
      <w:r>
        <w:rPr>
          <w:rFonts w:ascii="Times New Roman" w:cs="Times New Roman" w:eastAsia="Times New Roman" w:hAnsi="Times New Roman"/>
          <w:sz w:val="20"/>
          <w:szCs w:val="20"/>
          <w:i w:val="1"/>
          <w:iCs w:val="1"/>
          <w:color w:val="auto"/>
        </w:rPr>
        <w:t>The Journal of Organic Chemistry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2013</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78</w:t>
      </w:r>
      <w:r>
        <w:rPr>
          <w:rFonts w:ascii="Times New Roman" w:cs="Times New Roman" w:eastAsia="Times New Roman" w:hAnsi="Times New Roman"/>
          <w:sz w:val="20"/>
          <w:szCs w:val="20"/>
          <w:color w:val="auto"/>
        </w:rPr>
        <w:t xml:space="preserve">, 12409-12425, </w:t>
      </w:r>
      <w:hyperlink r:id="rId50">
        <w:r>
          <w:rPr>
            <w:rFonts w:ascii="Times New Roman" w:cs="Times New Roman" w:eastAsia="Times New Roman" w:hAnsi="Times New Roman"/>
            <w:sz w:val="20"/>
            <w:szCs w:val="20"/>
            <w:color w:val="auto"/>
          </w:rPr>
          <w:t>https://doi.org/10.1021/jo402066b.</w:t>
        </w:r>
      </w:hyperlink>
    </w:p>
    <w:p>
      <w:pPr>
        <w:spacing w:after="0" w:line="10" w:lineRule="exact"/>
        <w:rPr>
          <w:rFonts w:ascii="Times New Roman" w:cs="Times New Roman" w:eastAsia="Times New Roman" w:hAnsi="Times New Roman"/>
          <w:sz w:val="20"/>
          <w:szCs w:val="20"/>
          <w:color w:val="auto"/>
        </w:rPr>
      </w:pPr>
    </w:p>
    <w:p>
      <w:pPr>
        <w:jc w:val="both"/>
        <w:ind w:right="20"/>
        <w:spacing w:after="0" w:line="236" w:lineRule="auto"/>
        <w:tabs>
          <w:tab w:leader="none" w:pos="284"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Ratnaweera, P.B.; de Silva, E.D.; Williams, D.E.; Andersen, R.J. Antimicrobial activities of endophytic fungi obtained from the arid zone invasive plant </w:t>
      </w:r>
      <w:r>
        <w:rPr>
          <w:rFonts w:ascii="Times New Roman" w:cs="Times New Roman" w:eastAsia="Times New Roman" w:hAnsi="Times New Roman"/>
          <w:sz w:val="20"/>
          <w:szCs w:val="20"/>
          <w:i w:val="1"/>
          <w:iCs w:val="1"/>
          <w:color w:val="auto"/>
        </w:rPr>
        <w:t>Opuntia dillenii</w:t>
      </w:r>
      <w:r>
        <w:rPr>
          <w:rFonts w:ascii="Times New Roman" w:cs="Times New Roman" w:eastAsia="Times New Roman" w:hAnsi="Times New Roman"/>
          <w:sz w:val="20"/>
          <w:szCs w:val="20"/>
          <w:color w:val="auto"/>
        </w:rPr>
        <w:t xml:space="preserve"> and the isolation of equisetin, from endophytic Fusarium sp. </w:t>
      </w:r>
      <w:r>
        <w:rPr>
          <w:rFonts w:ascii="Times New Roman" w:cs="Times New Roman" w:eastAsia="Times New Roman" w:hAnsi="Times New Roman"/>
          <w:sz w:val="20"/>
          <w:szCs w:val="20"/>
          <w:i w:val="1"/>
          <w:iCs w:val="1"/>
          <w:color w:val="auto"/>
        </w:rPr>
        <w:t>BMC Complem Altern 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15,</w:t>
      </w:r>
      <w:r>
        <w:rPr>
          <w:rFonts w:ascii="Times New Roman" w:cs="Times New Roman" w:eastAsia="Times New Roman" w:hAnsi="Times New Roman"/>
          <w:sz w:val="20"/>
          <w:szCs w:val="20"/>
          <w:color w:val="auto"/>
        </w:rPr>
        <w:t xml:space="preserve"> 220, </w:t>
      </w:r>
      <w:hyperlink r:id="rId51">
        <w:r>
          <w:rPr>
            <w:rFonts w:ascii="Times New Roman" w:cs="Times New Roman" w:eastAsia="Times New Roman" w:hAnsi="Times New Roman"/>
            <w:sz w:val="20"/>
            <w:szCs w:val="20"/>
            <w:color w:val="auto"/>
          </w:rPr>
          <w:t>https://dx.doi.org/10.14288/1.0074648.</w:t>
        </w:r>
      </w:hyperlink>
    </w:p>
    <w:p>
      <w:pPr>
        <w:spacing w:after="0" w:line="256" w:lineRule="exact"/>
        <w:rPr>
          <w:rFonts w:ascii="Times New Roman" w:cs="Times New Roman" w:eastAsia="Times New Roman" w:hAnsi="Times New Roman"/>
          <w:sz w:val="20"/>
          <w:szCs w:val="20"/>
          <w:color w:val="auto"/>
        </w:rPr>
      </w:pPr>
    </w:p>
    <w:tbl>
      <w:tblPr>
        <w:tblLayout w:type="fixed"/>
        <w:tblInd w:w="60" w:type="dxa"/>
        <w:tblCellMar>
          <w:top w:w="0" w:type="dxa"/>
          <w:left w:w="0" w:type="dxa"/>
          <w:bottom w:w="0" w:type="dxa"/>
          <w:right w:w="0" w:type="dxa"/>
        </w:tblCellMar>
      </w:tblPr>
      <w:tr>
        <w:trPr>
          <w:trHeight w:val="274"/>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7">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6441</w:t>
            </w:r>
          </w:p>
        </w:tc>
      </w:tr>
    </w:tbl>
    <w:p>
      <w:pPr>
        <w:sectPr>
          <w:pgSz w:w="11900" w:h="16840" w:orient="portrait"/>
          <w:cols w:equalWidth="0" w:num="1">
            <w:col w:w="9040"/>
          </w:cols>
          <w:pgMar w:left="1440" w:top="949" w:right="1428" w:bottom="117" w:gutter="0" w:footer="0" w:header="0"/>
        </w:sectPr>
      </w:pPr>
    </w:p>
    <w:bookmarkStart w:id="6" w:name="page7"/>
    <w:bookmarkEnd w:id="6"/>
    <w:p>
      <w:pPr>
        <w:ind w:left="5280"/>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https://doi.org/10.33263/BRIAC105.64366443</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12065</wp:posOffset>
            </wp:positionV>
            <wp:extent cx="5770880" cy="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249" w:lineRule="exact"/>
        <w:rPr>
          <w:sz w:val="20"/>
          <w:szCs w:val="20"/>
          <w:color w:val="auto"/>
        </w:rPr>
      </w:pPr>
    </w:p>
    <w:p>
      <w:pPr>
        <w:jc w:val="both"/>
        <w:ind w:right="20"/>
        <w:spacing w:after="0" w:line="236" w:lineRule="auto"/>
        <w:tabs>
          <w:tab w:leader="none" w:pos="284"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Compant, S.; Mitter, B.; Colli-Mull, J.G.; Gangl, H.; Sessitsch, A. Endophytes of Grapevine Flowers, Berries, and Seeds: Identification of Cultivable Bacteria, Comparison with Other Plant Parts, and Visualization of Niches of Colonization. </w:t>
      </w:r>
      <w:r>
        <w:rPr>
          <w:rFonts w:ascii="Times New Roman" w:cs="Times New Roman" w:eastAsia="Times New Roman" w:hAnsi="Times New Roman"/>
          <w:sz w:val="20"/>
          <w:szCs w:val="20"/>
          <w:i w:val="1"/>
          <w:iCs w:val="1"/>
          <w:color w:val="auto"/>
        </w:rPr>
        <w:t>Microbial Ecology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62</w:t>
      </w:r>
      <w:r>
        <w:rPr>
          <w:rFonts w:ascii="Times New Roman" w:cs="Times New Roman" w:eastAsia="Times New Roman" w:hAnsi="Times New Roman"/>
          <w:sz w:val="20"/>
          <w:szCs w:val="20"/>
          <w:color w:val="auto"/>
        </w:rPr>
        <w:t xml:space="preserve">, 188-197, </w:t>
      </w:r>
      <w:hyperlink r:id="rId53">
        <w:r>
          <w:rPr>
            <w:rFonts w:ascii="Times New Roman" w:cs="Times New Roman" w:eastAsia="Times New Roman" w:hAnsi="Times New Roman"/>
            <w:sz w:val="20"/>
            <w:szCs w:val="20"/>
            <w:color w:val="auto"/>
          </w:rPr>
          <w:t>https://doi.org/10.1007/s00248-011-9883-y.</w:t>
        </w:r>
      </w:hyperlink>
    </w:p>
    <w:p>
      <w:pPr>
        <w:spacing w:after="0" w:line="11" w:lineRule="exact"/>
        <w:rPr>
          <w:rFonts w:ascii="Times New Roman" w:cs="Times New Roman" w:eastAsia="Times New Roman" w:hAnsi="Times New Roman"/>
          <w:sz w:val="20"/>
          <w:szCs w:val="20"/>
          <w:color w:val="auto"/>
        </w:rPr>
      </w:pPr>
    </w:p>
    <w:p>
      <w:pPr>
        <w:jc w:val="both"/>
        <w:ind w:right="20"/>
        <w:spacing w:after="0" w:line="236" w:lineRule="auto"/>
        <w:tabs>
          <w:tab w:leader="none" w:pos="284" w:val="left"/>
        </w:tabs>
        <w:numPr>
          <w:ilvl w:val="0"/>
          <w:numId w:val="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Manter, D.K.; Vivanco, J.M. Use of the ITS primers, ITS1F and ITS4, to characterize fungal abundance and diversity in mixed-template samples by qPCR and length heterogeneity analysis. </w:t>
      </w:r>
      <w:r>
        <w:rPr>
          <w:rFonts w:ascii="Times New Roman" w:cs="Times New Roman" w:eastAsia="Times New Roman" w:hAnsi="Times New Roman"/>
          <w:sz w:val="20"/>
          <w:szCs w:val="20"/>
          <w:i w:val="1"/>
          <w:iCs w:val="1"/>
          <w:color w:val="auto"/>
        </w:rPr>
        <w:t>Journal of Microbiological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Methods </w:t>
      </w:r>
      <w:r>
        <w:rPr>
          <w:rFonts w:ascii="Times New Roman" w:cs="Times New Roman" w:eastAsia="Times New Roman" w:hAnsi="Times New Roman"/>
          <w:sz w:val="20"/>
          <w:szCs w:val="20"/>
          <w:b w:val="1"/>
          <w:bCs w:val="1"/>
          <w:color w:val="auto"/>
        </w:rPr>
        <w:t>2007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71</w:t>
      </w:r>
      <w:r>
        <w:rPr>
          <w:rFonts w:ascii="Times New Roman" w:cs="Times New Roman" w:eastAsia="Times New Roman" w:hAnsi="Times New Roman"/>
          <w:sz w:val="20"/>
          <w:szCs w:val="20"/>
          <w:color w:val="auto"/>
        </w:rPr>
        <w:t xml:space="preserve">, 7-14, </w:t>
      </w:r>
      <w:hyperlink r:id="rId54">
        <w:r>
          <w:rPr>
            <w:rFonts w:ascii="Times New Roman" w:cs="Times New Roman" w:eastAsia="Times New Roman" w:hAnsi="Times New Roman"/>
            <w:sz w:val="20"/>
            <w:szCs w:val="20"/>
            <w:color w:val="auto"/>
          </w:rPr>
          <w:t>https://doi.org/10.1016/j.mimet.2007.06.016.</w:t>
        </w:r>
      </w:hyperlink>
    </w:p>
    <w:p>
      <w:pPr>
        <w:spacing w:after="0" w:line="11" w:lineRule="exact"/>
        <w:rPr>
          <w:rFonts w:ascii="Times New Roman" w:cs="Times New Roman" w:eastAsia="Times New Roman" w:hAnsi="Times New Roman"/>
          <w:sz w:val="20"/>
          <w:szCs w:val="20"/>
          <w:i w:val="1"/>
          <w:iCs w:val="1"/>
          <w:color w:val="auto"/>
        </w:rPr>
      </w:pPr>
    </w:p>
    <w:p>
      <w:pPr>
        <w:ind w:right="20"/>
        <w:spacing w:after="0" w:line="234" w:lineRule="auto"/>
        <w:tabs>
          <w:tab w:leader="none" w:pos="284" w:val="left"/>
        </w:tabs>
        <w:numPr>
          <w:ilvl w:val="0"/>
          <w:numId w:val="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Saitou, N.; Nei, M. The neighbor-joining method: a new method for reconstructing phylogenetic trees. </w:t>
      </w:r>
      <w:r>
        <w:rPr>
          <w:rFonts w:ascii="Times New Roman" w:cs="Times New Roman" w:eastAsia="Times New Roman" w:hAnsi="Times New Roman"/>
          <w:sz w:val="20"/>
          <w:szCs w:val="20"/>
          <w:i w:val="1"/>
          <w:iCs w:val="1"/>
          <w:color w:val="auto"/>
        </w:rPr>
        <w:t xml:space="preserve">Molecular Biology and Evolution </w:t>
      </w:r>
      <w:r>
        <w:rPr>
          <w:rFonts w:ascii="Times New Roman" w:cs="Times New Roman" w:eastAsia="Times New Roman" w:hAnsi="Times New Roman"/>
          <w:sz w:val="20"/>
          <w:szCs w:val="20"/>
          <w:b w:val="1"/>
          <w:bCs w:val="1"/>
          <w:color w:val="auto"/>
        </w:rPr>
        <w:t>1987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4</w:t>
      </w:r>
      <w:r>
        <w:rPr>
          <w:rFonts w:ascii="Times New Roman" w:cs="Times New Roman" w:eastAsia="Times New Roman" w:hAnsi="Times New Roman"/>
          <w:sz w:val="20"/>
          <w:szCs w:val="20"/>
          <w:color w:val="auto"/>
        </w:rPr>
        <w:t xml:space="preserve">, 406-425, </w:t>
      </w:r>
      <w:hyperlink r:id="rId55">
        <w:r>
          <w:rPr>
            <w:rFonts w:ascii="Times New Roman" w:cs="Times New Roman" w:eastAsia="Times New Roman" w:hAnsi="Times New Roman"/>
            <w:sz w:val="20"/>
            <w:szCs w:val="20"/>
            <w:color w:val="auto"/>
          </w:rPr>
          <w:t>https://doi.org/10.1093/oxfordjournals.molbev.a040454.</w:t>
        </w:r>
      </w:hyperlink>
    </w:p>
    <w:p>
      <w:pPr>
        <w:spacing w:after="0" w:line="11" w:lineRule="exact"/>
        <w:rPr>
          <w:rFonts w:ascii="Times New Roman" w:cs="Times New Roman" w:eastAsia="Times New Roman" w:hAnsi="Times New Roman"/>
          <w:sz w:val="20"/>
          <w:szCs w:val="20"/>
          <w:i w:val="1"/>
          <w:iCs w:val="1"/>
          <w:color w:val="auto"/>
        </w:rPr>
      </w:pPr>
    </w:p>
    <w:p>
      <w:pPr>
        <w:ind w:right="20"/>
        <w:spacing w:after="0" w:line="235" w:lineRule="auto"/>
        <w:tabs>
          <w:tab w:leader="none" w:pos="284"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Felsenstein, J. Confidence limits on phylogenies: An approach using the bootstrap. </w:t>
      </w:r>
      <w:r>
        <w:rPr>
          <w:rFonts w:ascii="Times New Roman" w:cs="Times New Roman" w:eastAsia="Times New Roman" w:hAnsi="Times New Roman"/>
          <w:sz w:val="20"/>
          <w:szCs w:val="20"/>
          <w:i w:val="1"/>
          <w:iCs w:val="1"/>
          <w:color w:val="auto"/>
        </w:rPr>
        <w:t>Evolution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1985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39,</w:t>
      </w:r>
      <w:r>
        <w:rPr>
          <w:rFonts w:ascii="Times New Roman" w:cs="Times New Roman" w:eastAsia="Times New Roman" w:hAnsi="Times New Roman"/>
          <w:sz w:val="20"/>
          <w:szCs w:val="20"/>
          <w:color w:val="auto"/>
        </w:rPr>
        <w:t xml:space="preserve"> 783-791, </w:t>
      </w:r>
      <w:hyperlink r:id="rId56">
        <w:r>
          <w:rPr>
            <w:rFonts w:ascii="Times New Roman" w:cs="Times New Roman" w:eastAsia="Times New Roman" w:hAnsi="Times New Roman"/>
            <w:sz w:val="20"/>
            <w:szCs w:val="20"/>
            <w:color w:val="auto"/>
          </w:rPr>
          <w:t>https://doi.org/10.1111/j.1558-5646.1985.tb00420.x.</w:t>
        </w:r>
      </w:hyperlink>
    </w:p>
    <w:p>
      <w:pPr>
        <w:spacing w:after="0" w:line="9" w:lineRule="exact"/>
        <w:rPr>
          <w:rFonts w:ascii="Times New Roman" w:cs="Times New Roman" w:eastAsia="Times New Roman" w:hAnsi="Times New Roman"/>
          <w:sz w:val="20"/>
          <w:szCs w:val="20"/>
          <w:color w:val="auto"/>
        </w:rPr>
      </w:pPr>
    </w:p>
    <w:p>
      <w:pPr>
        <w:jc w:val="both"/>
        <w:ind w:right="20"/>
        <w:spacing w:after="0" w:line="236" w:lineRule="auto"/>
        <w:tabs>
          <w:tab w:leader="none" w:pos="284"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Tamura, K.; Nei, M.; Kumar, S. Prospects for inferring very large phylogenies by using the neighbor-joining method. </w:t>
      </w:r>
      <w:r>
        <w:rPr>
          <w:rFonts w:ascii="Times New Roman" w:cs="Times New Roman" w:eastAsia="Times New Roman" w:hAnsi="Times New Roman"/>
          <w:sz w:val="20"/>
          <w:szCs w:val="20"/>
          <w:i w:val="1"/>
          <w:iCs w:val="1"/>
          <w:color w:val="auto"/>
        </w:rPr>
        <w:t>Proceedings of the National Academy of Sciences USA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2004</w:t>
      </w:r>
      <w:r>
        <w:rPr>
          <w:rFonts w:ascii="Times New Roman" w:cs="Times New Roman" w:eastAsia="Times New Roman" w:hAnsi="Times New Roman"/>
          <w:sz w:val="20"/>
          <w:szCs w:val="20"/>
          <w:i w:val="1"/>
          <w:iCs w:val="1"/>
          <w:color w:val="auto"/>
        </w:rPr>
        <w:t>, 101,</w:t>
      </w:r>
      <w:r>
        <w:rPr>
          <w:rFonts w:ascii="Times New Roman" w:cs="Times New Roman" w:eastAsia="Times New Roman" w:hAnsi="Times New Roman"/>
          <w:sz w:val="20"/>
          <w:szCs w:val="20"/>
          <w:color w:val="auto"/>
        </w:rPr>
        <w:t xml:space="preserve"> 11030-11035, </w:t>
      </w:r>
      <w:hyperlink r:id="rId57">
        <w:r>
          <w:rPr>
            <w:rFonts w:ascii="Times New Roman" w:cs="Times New Roman" w:eastAsia="Times New Roman" w:hAnsi="Times New Roman"/>
            <w:sz w:val="20"/>
            <w:szCs w:val="20"/>
            <w:color w:val="auto"/>
          </w:rPr>
          <w:t>https://doi.org/10.1073/pnas.0404206101.</w:t>
        </w:r>
      </w:hyperlink>
    </w:p>
    <w:p>
      <w:pPr>
        <w:spacing w:after="0" w:line="11" w:lineRule="exact"/>
        <w:rPr>
          <w:rFonts w:ascii="Times New Roman" w:cs="Times New Roman" w:eastAsia="Times New Roman" w:hAnsi="Times New Roman"/>
          <w:sz w:val="20"/>
          <w:szCs w:val="20"/>
          <w:color w:val="auto"/>
        </w:rPr>
      </w:pPr>
    </w:p>
    <w:p>
      <w:pPr>
        <w:ind w:right="20"/>
        <w:spacing w:after="0" w:line="235" w:lineRule="auto"/>
        <w:tabs>
          <w:tab w:leader="none" w:pos="284"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Kumar, S.; Stecher, G.; Li, M.; Knyaz, C.; Tamura, K. MEGA X: Molecular Evolutionary Genetics Analysis across computing platforms. </w:t>
      </w:r>
      <w:r>
        <w:rPr>
          <w:rFonts w:ascii="Times New Roman" w:cs="Times New Roman" w:eastAsia="Times New Roman" w:hAnsi="Times New Roman"/>
          <w:sz w:val="20"/>
          <w:szCs w:val="20"/>
          <w:i w:val="1"/>
          <w:iCs w:val="1"/>
          <w:color w:val="auto"/>
        </w:rPr>
        <w:t>Mol Biol Evol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35</w:t>
      </w:r>
      <w:r>
        <w:rPr>
          <w:rFonts w:ascii="Times New Roman" w:cs="Times New Roman" w:eastAsia="Times New Roman" w:hAnsi="Times New Roman"/>
          <w:sz w:val="20"/>
          <w:szCs w:val="20"/>
          <w:color w:val="auto"/>
        </w:rPr>
        <w:t xml:space="preserve">, 1547-1549, </w:t>
      </w:r>
      <w:hyperlink r:id="rId58">
        <w:r>
          <w:rPr>
            <w:rFonts w:ascii="Times New Roman" w:cs="Times New Roman" w:eastAsia="Times New Roman" w:hAnsi="Times New Roman"/>
            <w:sz w:val="20"/>
            <w:szCs w:val="20"/>
            <w:color w:val="auto"/>
          </w:rPr>
          <w:t>https://doi.org/10.1093/molbev/msy096.</w:t>
        </w:r>
      </w:hyperlink>
    </w:p>
    <w:p>
      <w:pPr>
        <w:spacing w:after="0" w:line="9" w:lineRule="exact"/>
        <w:rPr>
          <w:rFonts w:ascii="Times New Roman" w:cs="Times New Roman" w:eastAsia="Times New Roman" w:hAnsi="Times New Roman"/>
          <w:sz w:val="20"/>
          <w:szCs w:val="20"/>
          <w:color w:val="auto"/>
        </w:rPr>
      </w:pPr>
    </w:p>
    <w:p>
      <w:pPr>
        <w:jc w:val="both"/>
        <w:spacing w:after="0" w:line="237" w:lineRule="auto"/>
        <w:tabs>
          <w:tab w:leader="none" w:pos="284"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Soltani, J. Secondary metabolite diversity of the genus Aspergillus: recent advances. In: </w:t>
      </w:r>
      <w:r>
        <w:rPr>
          <w:rFonts w:ascii="Times New Roman" w:cs="Times New Roman" w:eastAsia="Times New Roman" w:hAnsi="Times New Roman"/>
          <w:sz w:val="20"/>
          <w:szCs w:val="20"/>
          <w:i w:val="1"/>
          <w:iCs w:val="1"/>
          <w:color w:val="auto"/>
        </w:rPr>
        <w:t>Book New and Future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Developments in Microbial Biotechnology and Bioengineering: Aspergillus System Properties and Applications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ed. Gupta, V.K. (Amsterdam: Elsevier B.V.) 2016; 275–292, </w:t>
      </w:r>
      <w:hyperlink r:id="rId59">
        <w:r>
          <w:rPr>
            <w:rFonts w:ascii="Times New Roman" w:cs="Times New Roman" w:eastAsia="Times New Roman" w:hAnsi="Times New Roman"/>
            <w:sz w:val="20"/>
            <w:szCs w:val="20"/>
            <w:color w:val="auto"/>
          </w:rPr>
          <w:t>https://doi.org/10.1016/B978-0-444-63505-</w:t>
        </w:r>
      </w:hyperlink>
      <w:hyperlink r:id="rId59">
        <w:r>
          <w:rPr>
            <w:rFonts w:ascii="Times New Roman" w:cs="Times New Roman" w:eastAsia="Times New Roman" w:hAnsi="Times New Roman"/>
            <w:sz w:val="20"/>
            <w:szCs w:val="20"/>
            <w:color w:val="auto"/>
          </w:rPr>
          <w:t>1.00035-X.</w:t>
        </w:r>
      </w:hyperlink>
    </w:p>
    <w:p>
      <w:pPr>
        <w:spacing w:after="0" w:line="11" w:lineRule="exact"/>
        <w:rPr>
          <w:rFonts w:ascii="Times New Roman" w:cs="Times New Roman" w:eastAsia="Times New Roman" w:hAnsi="Times New Roman"/>
          <w:sz w:val="20"/>
          <w:szCs w:val="20"/>
          <w:color w:val="auto"/>
        </w:rPr>
      </w:pPr>
    </w:p>
    <w:p>
      <w:pPr>
        <w:jc w:val="both"/>
        <w:ind w:right="20"/>
        <w:spacing w:after="0" w:line="236" w:lineRule="auto"/>
        <w:tabs>
          <w:tab w:leader="none" w:pos="284" w:val="left"/>
        </w:tabs>
        <w:numPr>
          <w:ilvl w:val="0"/>
          <w:numId w:val="6"/>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Visagie, C.M.; Houbraken, J.; J.C.Frisvad, J.C.; Hong, S.B.; Klaassen C.H.W.; Perrone, G.; Seifert, K.A.; J.Varga, Yaguchi, J.T.; R.A.Samson, R.A. Identification and nomenclature of the genus </w:t>
      </w:r>
      <w:r>
        <w:rPr>
          <w:rFonts w:ascii="Times New Roman" w:cs="Times New Roman" w:eastAsia="Times New Roman" w:hAnsi="Times New Roman"/>
          <w:sz w:val="20"/>
          <w:szCs w:val="20"/>
          <w:i w:val="1"/>
          <w:iCs w:val="1"/>
          <w:color w:val="auto"/>
        </w:rPr>
        <w:t>Penicillium. Stud Mycol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78,</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343-371, </w:t>
      </w:r>
      <w:hyperlink r:id="rId60">
        <w:r>
          <w:rPr>
            <w:rFonts w:ascii="Times New Roman" w:cs="Times New Roman" w:eastAsia="Times New Roman" w:hAnsi="Times New Roman"/>
            <w:sz w:val="20"/>
            <w:szCs w:val="20"/>
            <w:color w:val="auto"/>
          </w:rPr>
          <w:t>https://doi.org/10.1016/j.simyco.2014.09.001.</w:t>
        </w:r>
      </w:hyperlink>
    </w:p>
    <w:p>
      <w:pPr>
        <w:spacing w:after="0" w:line="11" w:lineRule="exact"/>
        <w:rPr>
          <w:rFonts w:ascii="Times New Roman" w:cs="Times New Roman" w:eastAsia="Times New Roman" w:hAnsi="Times New Roman"/>
          <w:sz w:val="20"/>
          <w:szCs w:val="20"/>
          <w:b w:val="1"/>
          <w:bCs w:val="1"/>
          <w:color w:val="auto"/>
        </w:rPr>
      </w:pPr>
    </w:p>
    <w:p>
      <w:pPr>
        <w:ind w:right="20"/>
        <w:spacing w:after="0" w:line="235" w:lineRule="auto"/>
        <w:tabs>
          <w:tab w:leader="none" w:pos="284"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Nicoletti, R.; Trincone, A. Bioactive Compounds Produced by Strains of </w:t>
      </w:r>
      <w:r>
        <w:rPr>
          <w:rFonts w:ascii="Times New Roman" w:cs="Times New Roman" w:eastAsia="Times New Roman" w:hAnsi="Times New Roman"/>
          <w:sz w:val="20"/>
          <w:szCs w:val="20"/>
          <w:i w:val="1"/>
          <w:iCs w:val="1"/>
          <w:color w:val="auto"/>
        </w:rPr>
        <w:t>Penicillium</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Talaromyces</w:t>
      </w:r>
      <w:r>
        <w:rPr>
          <w:rFonts w:ascii="Times New Roman" w:cs="Times New Roman" w:eastAsia="Times New Roman" w:hAnsi="Times New Roman"/>
          <w:sz w:val="20"/>
          <w:szCs w:val="20"/>
          <w:color w:val="auto"/>
        </w:rPr>
        <w:t xml:space="preserve"> of Marine Origin. </w:t>
      </w:r>
      <w:r>
        <w:rPr>
          <w:rFonts w:ascii="Times New Roman" w:cs="Times New Roman" w:eastAsia="Times New Roman" w:hAnsi="Times New Roman"/>
          <w:sz w:val="20"/>
          <w:szCs w:val="20"/>
          <w:i w:val="1"/>
          <w:iCs w:val="1"/>
          <w:color w:val="auto"/>
        </w:rPr>
        <w:t>Mar. Drugs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2016</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14,</w:t>
      </w:r>
      <w:r>
        <w:rPr>
          <w:rFonts w:ascii="Times New Roman" w:cs="Times New Roman" w:eastAsia="Times New Roman" w:hAnsi="Times New Roman"/>
          <w:sz w:val="20"/>
          <w:szCs w:val="20"/>
          <w:color w:val="auto"/>
        </w:rPr>
        <w:t xml:space="preserve"> </w:t>
      </w:r>
      <w:hyperlink r:id="rId61">
        <w:r>
          <w:rPr>
            <w:rFonts w:ascii="Times New Roman" w:cs="Times New Roman" w:eastAsia="Times New Roman" w:hAnsi="Times New Roman"/>
            <w:sz w:val="20"/>
            <w:szCs w:val="20"/>
            <w:color w:val="auto"/>
          </w:rPr>
          <w:t>https://doi.org/10.3390/md14020037.</w:t>
        </w:r>
      </w:hyperlink>
    </w:p>
    <w:p>
      <w:pPr>
        <w:spacing w:after="0" w:line="9" w:lineRule="exact"/>
        <w:rPr>
          <w:rFonts w:ascii="Times New Roman" w:cs="Times New Roman" w:eastAsia="Times New Roman" w:hAnsi="Times New Roman"/>
          <w:sz w:val="20"/>
          <w:szCs w:val="20"/>
          <w:color w:val="auto"/>
        </w:rPr>
      </w:pPr>
    </w:p>
    <w:p>
      <w:pPr>
        <w:jc w:val="both"/>
        <w:ind w:right="20"/>
        <w:spacing w:after="0" w:line="236" w:lineRule="auto"/>
        <w:tabs>
          <w:tab w:leader="none" w:pos="284"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Petit, P.; Lucas, E.M.F.; Abreu, L.M.; Pfenning, L.H.; Takahashi, J.A. Novel antimicrobial secondary metabolites from a </w:t>
      </w:r>
      <w:r>
        <w:rPr>
          <w:rFonts w:ascii="Times New Roman" w:cs="Times New Roman" w:eastAsia="Times New Roman" w:hAnsi="Times New Roman"/>
          <w:sz w:val="20"/>
          <w:szCs w:val="20"/>
          <w:i w:val="1"/>
          <w:iCs w:val="1"/>
          <w:color w:val="auto"/>
        </w:rPr>
        <w:t>Penicillium</w:t>
      </w:r>
      <w:r>
        <w:rPr>
          <w:rFonts w:ascii="Times New Roman" w:cs="Times New Roman" w:eastAsia="Times New Roman" w:hAnsi="Times New Roman"/>
          <w:sz w:val="20"/>
          <w:szCs w:val="20"/>
          <w:color w:val="auto"/>
        </w:rPr>
        <w:t xml:space="preserve"> sp. Isolated from Brazilian cerrado soil. </w:t>
      </w:r>
      <w:r>
        <w:rPr>
          <w:rFonts w:ascii="Times New Roman" w:cs="Times New Roman" w:eastAsia="Times New Roman" w:hAnsi="Times New Roman"/>
          <w:sz w:val="20"/>
          <w:szCs w:val="20"/>
          <w:i w:val="1"/>
          <w:iCs w:val="1"/>
          <w:color w:val="auto"/>
        </w:rPr>
        <w:t>Elect. J. Biotechnol.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12</w:t>
      </w:r>
      <w:r>
        <w:rPr>
          <w:rFonts w:ascii="Times New Roman" w:cs="Times New Roman" w:eastAsia="Times New Roman" w:hAnsi="Times New Roman"/>
          <w:sz w:val="20"/>
          <w:szCs w:val="20"/>
          <w:color w:val="auto"/>
        </w:rPr>
        <w:t xml:space="preserve">, 8-9, </w:t>
      </w:r>
      <w:hyperlink r:id="rId62">
        <w:r>
          <w:rPr>
            <w:rFonts w:ascii="Times New Roman" w:cs="Times New Roman" w:eastAsia="Times New Roman" w:hAnsi="Times New Roman"/>
            <w:sz w:val="20"/>
            <w:szCs w:val="20"/>
            <w:color w:val="auto"/>
          </w:rPr>
          <w:t>https://doi.org/10.2225/vol12-issue4-fulltext-9.</w:t>
        </w:r>
      </w:hyperlink>
    </w:p>
    <w:p>
      <w:pPr>
        <w:spacing w:after="0" w:line="11" w:lineRule="exact"/>
        <w:rPr>
          <w:rFonts w:ascii="Times New Roman" w:cs="Times New Roman" w:eastAsia="Times New Roman" w:hAnsi="Times New Roman"/>
          <w:sz w:val="20"/>
          <w:szCs w:val="20"/>
          <w:color w:val="auto"/>
        </w:rPr>
      </w:pPr>
    </w:p>
    <w:p>
      <w:pPr>
        <w:jc w:val="both"/>
        <w:ind w:right="20"/>
        <w:spacing w:after="0" w:line="236" w:lineRule="auto"/>
        <w:tabs>
          <w:tab w:leader="none" w:pos="284"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Gao, S.S.; Li, X.M.; Du, F.Y.; Li, C.S.; Proksch, P.; Wang, B.G. 2010. Secondary metabolites from a marine-derived endophytic fungus </w:t>
      </w:r>
      <w:r>
        <w:rPr>
          <w:rFonts w:ascii="Times New Roman" w:cs="Times New Roman" w:eastAsia="Times New Roman" w:hAnsi="Times New Roman"/>
          <w:sz w:val="20"/>
          <w:szCs w:val="20"/>
          <w:i w:val="1"/>
          <w:iCs w:val="1"/>
          <w:color w:val="auto"/>
        </w:rPr>
        <w:t>Penicillium chrysogenum</w:t>
      </w:r>
      <w:r>
        <w:rPr>
          <w:rFonts w:ascii="Times New Roman" w:cs="Times New Roman" w:eastAsia="Times New Roman" w:hAnsi="Times New Roman"/>
          <w:sz w:val="20"/>
          <w:szCs w:val="20"/>
          <w:color w:val="auto"/>
        </w:rPr>
        <w:t xml:space="preserve"> QEN-24S. </w:t>
      </w:r>
      <w:r>
        <w:rPr>
          <w:rFonts w:ascii="Times New Roman" w:cs="Times New Roman" w:eastAsia="Times New Roman" w:hAnsi="Times New Roman"/>
          <w:sz w:val="20"/>
          <w:szCs w:val="20"/>
          <w:i w:val="1"/>
          <w:iCs w:val="1"/>
          <w:color w:val="auto"/>
        </w:rPr>
        <w:t>Mar. Drugs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2010</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9</w:t>
      </w:r>
      <w:r>
        <w:rPr>
          <w:rFonts w:ascii="Times New Roman" w:cs="Times New Roman" w:eastAsia="Times New Roman" w:hAnsi="Times New Roman"/>
          <w:sz w:val="20"/>
          <w:szCs w:val="20"/>
          <w:color w:val="auto"/>
        </w:rPr>
        <w:t xml:space="preserve">, 59-70, </w:t>
      </w:r>
      <w:hyperlink r:id="rId63">
        <w:r>
          <w:rPr>
            <w:rFonts w:ascii="Times New Roman" w:cs="Times New Roman" w:eastAsia="Times New Roman" w:hAnsi="Times New Roman"/>
            <w:sz w:val="20"/>
            <w:szCs w:val="20"/>
            <w:color w:val="auto"/>
          </w:rPr>
          <w:t>https://doi.org/10.3390/md9010059.</w:t>
        </w:r>
      </w:hyperlink>
    </w:p>
    <w:p>
      <w:pPr>
        <w:spacing w:after="0" w:line="11" w:lineRule="exact"/>
        <w:rPr>
          <w:rFonts w:ascii="Times New Roman" w:cs="Times New Roman" w:eastAsia="Times New Roman" w:hAnsi="Times New Roman"/>
          <w:sz w:val="20"/>
          <w:szCs w:val="20"/>
          <w:color w:val="auto"/>
        </w:rPr>
      </w:pPr>
    </w:p>
    <w:p>
      <w:pPr>
        <w:ind w:right="20"/>
        <w:spacing w:after="0" w:line="235" w:lineRule="auto"/>
        <w:tabs>
          <w:tab w:leader="none" w:pos="284" w:val="left"/>
        </w:tabs>
        <w:numPr>
          <w:ilvl w:val="0"/>
          <w:numId w:val="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Zhelifonova, V.P.; Antipova, T.V.; Kozlovsky, A.G. 2010. Secondary metabolites in taxonomy of the </w:t>
      </w:r>
      <w:r>
        <w:rPr>
          <w:rFonts w:ascii="Times New Roman" w:cs="Times New Roman" w:eastAsia="Times New Roman" w:hAnsi="Times New Roman"/>
          <w:sz w:val="20"/>
          <w:szCs w:val="20"/>
          <w:i w:val="1"/>
          <w:iCs w:val="1"/>
          <w:color w:val="auto"/>
        </w:rPr>
        <w:t xml:space="preserve">Penicillium </w:t>
      </w:r>
      <w:r>
        <w:rPr>
          <w:rFonts w:ascii="Times New Roman" w:cs="Times New Roman" w:eastAsia="Times New Roman" w:hAnsi="Times New Roman"/>
          <w:sz w:val="20"/>
          <w:szCs w:val="20"/>
          <w:color w:val="auto"/>
        </w:rPr>
        <w:t>fungi.</w:t>
      </w:r>
      <w:r>
        <w:rPr>
          <w:rFonts w:ascii="Times New Roman" w:cs="Times New Roman" w:eastAsia="Times New Roman" w:hAnsi="Times New Roman"/>
          <w:sz w:val="20"/>
          <w:szCs w:val="20"/>
          <w:i w:val="1"/>
          <w:iCs w:val="1"/>
          <w:color w:val="auto"/>
        </w:rPr>
        <w:t xml:space="preserve"> Microbiology </w:t>
      </w:r>
      <w:r>
        <w:rPr>
          <w:rFonts w:ascii="Times New Roman" w:cs="Times New Roman" w:eastAsia="Times New Roman" w:hAnsi="Times New Roman"/>
          <w:sz w:val="20"/>
          <w:szCs w:val="20"/>
          <w:b w:val="1"/>
          <w:bCs w:val="1"/>
          <w:color w:val="auto"/>
        </w:rPr>
        <w:t>2010</w:t>
      </w:r>
      <w:r>
        <w:rPr>
          <w:rFonts w:ascii="Times New Roman" w:cs="Times New Roman" w:eastAsia="Times New Roman" w:hAnsi="Times New Roman"/>
          <w:sz w:val="20"/>
          <w:szCs w:val="20"/>
          <w:i w:val="1"/>
          <w:iCs w:val="1"/>
          <w:color w:val="auto"/>
        </w:rPr>
        <w:t>, 79</w:t>
      </w:r>
      <w:r>
        <w:rPr>
          <w:rFonts w:ascii="Times New Roman" w:cs="Times New Roman" w:eastAsia="Times New Roman" w:hAnsi="Times New Roman"/>
          <w:sz w:val="20"/>
          <w:szCs w:val="20"/>
          <w:color w:val="auto"/>
        </w:rPr>
        <w:t xml:space="preserve">, 277-286, </w:t>
      </w:r>
      <w:hyperlink r:id="rId64">
        <w:r>
          <w:rPr>
            <w:rFonts w:ascii="Times New Roman" w:cs="Times New Roman" w:eastAsia="Times New Roman" w:hAnsi="Times New Roman"/>
            <w:sz w:val="20"/>
            <w:szCs w:val="20"/>
            <w:color w:val="auto"/>
          </w:rPr>
          <w:t>https://doi.org/10.1134/S002626171003001X.</w:t>
        </w:r>
      </w:hyperlink>
    </w:p>
    <w:p>
      <w:pPr>
        <w:spacing w:after="0" w:line="9" w:lineRule="exact"/>
        <w:rPr>
          <w:rFonts w:ascii="Times New Roman" w:cs="Times New Roman" w:eastAsia="Times New Roman" w:hAnsi="Times New Roman"/>
          <w:sz w:val="20"/>
          <w:szCs w:val="20"/>
          <w:i w:val="1"/>
          <w:iCs w:val="1"/>
          <w:color w:val="auto"/>
        </w:rPr>
      </w:pPr>
    </w:p>
    <w:p>
      <w:pPr>
        <w:jc w:val="both"/>
        <w:ind w:right="20"/>
        <w:spacing w:after="0" w:line="235" w:lineRule="auto"/>
        <w:tabs>
          <w:tab w:leader="none" w:pos="284"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Yu, J.; Wu, Y.; He, Z.; Li, M.; Zhu, K.; Gao, B. Diversity and Antifungal Activity of Endophytic Fungi Associated with </w:t>
      </w:r>
      <w:r>
        <w:rPr>
          <w:rFonts w:ascii="Times New Roman" w:cs="Times New Roman" w:eastAsia="Times New Roman" w:hAnsi="Times New Roman"/>
          <w:sz w:val="20"/>
          <w:szCs w:val="20"/>
          <w:i w:val="1"/>
          <w:iCs w:val="1"/>
          <w:color w:val="auto"/>
        </w:rPr>
        <w:t>Camellia oleifera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Mycobiol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46,</w:t>
      </w:r>
      <w:r>
        <w:rPr>
          <w:rFonts w:ascii="Times New Roman" w:cs="Times New Roman" w:eastAsia="Times New Roman" w:hAnsi="Times New Roman"/>
          <w:sz w:val="20"/>
          <w:szCs w:val="20"/>
          <w:color w:val="auto"/>
        </w:rPr>
        <w:t xml:space="preserve"> 85–91, </w:t>
      </w:r>
      <w:hyperlink r:id="rId65">
        <w:r>
          <w:rPr>
            <w:rFonts w:ascii="Times New Roman" w:cs="Times New Roman" w:eastAsia="Times New Roman" w:hAnsi="Times New Roman"/>
            <w:sz w:val="20"/>
            <w:szCs w:val="20"/>
            <w:color w:val="auto"/>
          </w:rPr>
          <w:t>https://doi.org/10.1080/12298093.2018.1454008.</w:t>
        </w:r>
      </w:hyperlink>
    </w:p>
    <w:p>
      <w:pPr>
        <w:spacing w:after="0" w:line="10" w:lineRule="exact"/>
        <w:rPr>
          <w:rFonts w:ascii="Times New Roman" w:cs="Times New Roman" w:eastAsia="Times New Roman" w:hAnsi="Times New Roman"/>
          <w:sz w:val="20"/>
          <w:szCs w:val="20"/>
          <w:color w:val="auto"/>
        </w:rPr>
      </w:pPr>
    </w:p>
    <w:p>
      <w:pPr>
        <w:jc w:val="both"/>
        <w:ind w:right="20"/>
        <w:spacing w:after="0" w:line="236" w:lineRule="auto"/>
        <w:tabs>
          <w:tab w:leader="none" w:pos="284"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Hastuti, U.S.; Rahmawati, D.; Sari, R.Y.; Fitri, R.D.; Al Asna, P.M. Antimicrobial activity of endophytic fungi isolated from a medicinal plant, </w:t>
      </w:r>
      <w:r>
        <w:rPr>
          <w:rFonts w:ascii="Times New Roman" w:cs="Times New Roman" w:eastAsia="Times New Roman" w:hAnsi="Times New Roman"/>
          <w:sz w:val="20"/>
          <w:szCs w:val="20"/>
          <w:i w:val="1"/>
          <w:iCs w:val="1"/>
          <w:color w:val="auto"/>
        </w:rPr>
        <w:t>Hedychium acuminatum</w:t>
      </w:r>
      <w:r>
        <w:rPr>
          <w:rFonts w:ascii="Times New Roman" w:cs="Times New Roman" w:eastAsia="Times New Roman" w:hAnsi="Times New Roman"/>
          <w:sz w:val="20"/>
          <w:szCs w:val="20"/>
          <w:color w:val="auto"/>
        </w:rPr>
        <w:t xml:space="preserve"> Roscoe. </w:t>
      </w:r>
      <w:r>
        <w:rPr>
          <w:rFonts w:ascii="Times New Roman" w:cs="Times New Roman" w:eastAsia="Times New Roman" w:hAnsi="Times New Roman"/>
          <w:sz w:val="20"/>
          <w:szCs w:val="20"/>
          <w:i w:val="1"/>
          <w:iCs w:val="1"/>
          <w:color w:val="auto"/>
        </w:rPr>
        <w:t>AIP Conference Proceedings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hyperlink r:id="rId66">
        <w:r>
          <w:rPr>
            <w:rFonts w:ascii="Times New Roman" w:cs="Times New Roman" w:eastAsia="Times New Roman" w:hAnsi="Times New Roman"/>
            <w:sz w:val="20"/>
            <w:szCs w:val="20"/>
            <w:color w:val="auto"/>
          </w:rPr>
          <w:t>https://doi.org/10.1063/1.5061895.</w:t>
        </w:r>
      </w:hyperlink>
    </w:p>
    <w:p>
      <w:pPr>
        <w:spacing w:after="0" w:line="11" w:lineRule="exact"/>
        <w:rPr>
          <w:rFonts w:ascii="Times New Roman" w:cs="Times New Roman" w:eastAsia="Times New Roman" w:hAnsi="Times New Roman"/>
          <w:sz w:val="20"/>
          <w:szCs w:val="20"/>
          <w:color w:val="auto"/>
        </w:rPr>
      </w:pPr>
    </w:p>
    <w:p>
      <w:pPr>
        <w:jc w:val="both"/>
        <w:ind w:right="20"/>
        <w:spacing w:after="0" w:line="236" w:lineRule="auto"/>
        <w:tabs>
          <w:tab w:leader="none" w:pos="284"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Chi, W.C.; Pang, K.L.; Chen, W.L.; Wang, G.J.; Lee, T.H. Antimicrobial and iNOS inhibitory activities of the endophytic fungi isolated from the mangrove plant </w:t>
      </w:r>
      <w:r>
        <w:rPr>
          <w:rFonts w:ascii="Times New Roman" w:cs="Times New Roman" w:eastAsia="Times New Roman" w:hAnsi="Times New Roman"/>
          <w:sz w:val="20"/>
          <w:szCs w:val="20"/>
          <w:i w:val="1"/>
          <w:iCs w:val="1"/>
          <w:color w:val="auto"/>
        </w:rPr>
        <w:t>Acanthus ilicifolius var. xiamenensis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Bot Stud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60,</w:t>
      </w:r>
      <w:r>
        <w:rPr>
          <w:rFonts w:ascii="Times New Roman" w:cs="Times New Roman" w:eastAsia="Times New Roman" w:hAnsi="Times New Roman"/>
          <w:sz w:val="20"/>
          <w:szCs w:val="20"/>
          <w:color w:val="auto"/>
        </w:rPr>
        <w:t xml:space="preserve"> </w:t>
      </w:r>
      <w:hyperlink r:id="rId67">
        <w:r>
          <w:rPr>
            <w:rFonts w:ascii="Times New Roman" w:cs="Times New Roman" w:eastAsia="Times New Roman" w:hAnsi="Times New Roman"/>
            <w:sz w:val="20"/>
            <w:szCs w:val="20"/>
            <w:color w:val="auto"/>
          </w:rPr>
          <w:t>https://doi.org/10.1186/s40529-019-0252-3.</w:t>
        </w:r>
      </w:hyperlink>
    </w:p>
    <w:p>
      <w:pPr>
        <w:spacing w:after="0" w:line="11" w:lineRule="exact"/>
        <w:rPr>
          <w:rFonts w:ascii="Times New Roman" w:cs="Times New Roman" w:eastAsia="Times New Roman" w:hAnsi="Times New Roman"/>
          <w:sz w:val="20"/>
          <w:szCs w:val="20"/>
          <w:color w:val="auto"/>
        </w:rPr>
      </w:pPr>
    </w:p>
    <w:p>
      <w:pPr>
        <w:jc w:val="both"/>
        <w:ind w:right="20"/>
        <w:spacing w:after="0" w:line="236" w:lineRule="auto"/>
        <w:tabs>
          <w:tab w:leader="none" w:pos="284"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Manganyi, M.C.; Regnier, T.; Tchatchouang, C.-D.K.; Bezuidenhout, C.C.; Ateba, C.N. Antibacterial activity of endophytic fungi isolated from </w:t>
      </w:r>
      <w:r>
        <w:rPr>
          <w:rFonts w:ascii="Times New Roman" w:cs="Times New Roman" w:eastAsia="Times New Roman" w:hAnsi="Times New Roman"/>
          <w:sz w:val="20"/>
          <w:szCs w:val="20"/>
          <w:i w:val="1"/>
          <w:iCs w:val="1"/>
          <w:color w:val="auto"/>
        </w:rPr>
        <w:t>Sceletium tortuosum</w:t>
      </w:r>
      <w:r>
        <w:rPr>
          <w:rFonts w:ascii="Times New Roman" w:cs="Times New Roman" w:eastAsia="Times New Roman" w:hAnsi="Times New Roman"/>
          <w:sz w:val="20"/>
          <w:szCs w:val="20"/>
          <w:color w:val="auto"/>
        </w:rPr>
        <w:t xml:space="preserve"> L. (Kougoed). </w:t>
      </w:r>
      <w:r>
        <w:rPr>
          <w:rFonts w:ascii="Times New Roman" w:cs="Times New Roman" w:eastAsia="Times New Roman" w:hAnsi="Times New Roman"/>
          <w:sz w:val="20"/>
          <w:szCs w:val="20"/>
          <w:i w:val="1"/>
          <w:iCs w:val="1"/>
          <w:color w:val="auto"/>
        </w:rPr>
        <w:t>Ann Microbiol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69,</w:t>
      </w:r>
      <w:r>
        <w:rPr>
          <w:rFonts w:ascii="Times New Roman" w:cs="Times New Roman" w:eastAsia="Times New Roman" w:hAnsi="Times New Roman"/>
          <w:sz w:val="20"/>
          <w:szCs w:val="20"/>
          <w:color w:val="auto"/>
        </w:rPr>
        <w:t xml:space="preserve"> 659–663, </w:t>
      </w:r>
      <w:hyperlink r:id="rId68">
        <w:r>
          <w:rPr>
            <w:rFonts w:ascii="Times New Roman" w:cs="Times New Roman" w:eastAsia="Times New Roman" w:hAnsi="Times New Roman"/>
            <w:sz w:val="20"/>
            <w:szCs w:val="20"/>
            <w:color w:val="auto"/>
          </w:rPr>
          <w:t>https://doi.org/10.1007/s13213-019-1444-5.</w:t>
        </w:r>
      </w:hyperlink>
    </w:p>
    <w:p>
      <w:pPr>
        <w:spacing w:after="0" w:line="11" w:lineRule="exact"/>
        <w:rPr>
          <w:rFonts w:ascii="Times New Roman" w:cs="Times New Roman" w:eastAsia="Times New Roman" w:hAnsi="Times New Roman"/>
          <w:sz w:val="20"/>
          <w:szCs w:val="20"/>
          <w:color w:val="auto"/>
        </w:rPr>
      </w:pPr>
    </w:p>
    <w:p>
      <w:pPr>
        <w:jc w:val="both"/>
        <w:spacing w:after="0" w:line="237" w:lineRule="auto"/>
        <w:tabs>
          <w:tab w:leader="none" w:pos="284"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Kumar, A.; Asthana, M.; Gupta, A.; Nigam, D.; Mahajan, S. Secondary Metabolism and Antimicrobial Metabolites of </w:t>
      </w:r>
      <w:r>
        <w:rPr>
          <w:rFonts w:ascii="Times New Roman" w:cs="Times New Roman" w:eastAsia="Times New Roman" w:hAnsi="Times New Roman"/>
          <w:sz w:val="20"/>
          <w:szCs w:val="20"/>
          <w:i w:val="1"/>
          <w:iCs w:val="1"/>
          <w:color w:val="auto"/>
        </w:rPr>
        <w:t>Penicillium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New and Future Developments in Microbial Biotechnology and Bioengineering-Penicillum System Properties and Applications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xml:space="preserve">, 47-68, </w:t>
      </w:r>
      <w:hyperlink r:id="rId69">
        <w:r>
          <w:rPr>
            <w:rFonts w:ascii="Times New Roman" w:cs="Times New Roman" w:eastAsia="Times New Roman" w:hAnsi="Times New Roman"/>
            <w:sz w:val="20"/>
            <w:szCs w:val="20"/>
            <w:color w:val="auto"/>
          </w:rPr>
          <w:t>https://doi.org/10.1016/B978-0-444-63501-</w:t>
        </w:r>
      </w:hyperlink>
      <w:hyperlink r:id="rId69">
        <w:r>
          <w:rPr>
            <w:rFonts w:ascii="Times New Roman" w:cs="Times New Roman" w:eastAsia="Times New Roman" w:hAnsi="Times New Roman"/>
            <w:sz w:val="20"/>
            <w:szCs w:val="20"/>
            <w:color w:val="auto"/>
          </w:rPr>
          <w:t>3.00003-X.</w:t>
        </w:r>
      </w:hyperlink>
    </w:p>
    <w:p>
      <w:pPr>
        <w:spacing w:after="0" w:line="10" w:lineRule="exact"/>
        <w:rPr>
          <w:rFonts w:ascii="Times New Roman" w:cs="Times New Roman" w:eastAsia="Times New Roman" w:hAnsi="Times New Roman"/>
          <w:sz w:val="20"/>
          <w:szCs w:val="20"/>
          <w:color w:val="auto"/>
        </w:rPr>
      </w:pPr>
    </w:p>
    <w:p>
      <w:pPr>
        <w:jc w:val="both"/>
        <w:spacing w:after="0" w:line="252" w:lineRule="auto"/>
        <w:tabs>
          <w:tab w:leader="none" w:pos="284"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Uzma, F.; Mohan, C.D.; Hashem, A.; Konappa, N.M.; Rangappa, S.; Kamath, P.V.; Singh, B.P.; Mudili, V.; Gupta, V.K.; Siddaiah, C.N.; Chowdappa, S.; Alqarawi, A.A.; Abd-Allah, E.F. Endophytic Fungi—Alternative Sources of Cytotoxic Compounds: A Review. </w:t>
      </w:r>
      <w:r>
        <w:rPr>
          <w:rFonts w:ascii="Times New Roman" w:cs="Times New Roman" w:eastAsia="Times New Roman" w:hAnsi="Times New Roman"/>
          <w:sz w:val="19"/>
          <w:szCs w:val="19"/>
          <w:i w:val="1"/>
          <w:iCs w:val="1"/>
          <w:color w:val="auto"/>
        </w:rPr>
        <w:t>Front. Pharmacol.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2018</w:t>
      </w:r>
      <w:r>
        <w:rPr>
          <w:rFonts w:ascii="Times New Roman" w:cs="Times New Roman" w:eastAsia="Times New Roman" w:hAnsi="Times New Roman"/>
          <w:sz w:val="19"/>
          <w:szCs w:val="19"/>
          <w:color w:val="auto"/>
        </w:rPr>
        <w:t xml:space="preserve">, </w:t>
      </w:r>
      <w:hyperlink r:id="rId70">
        <w:r>
          <w:rPr>
            <w:rFonts w:ascii="Times New Roman" w:cs="Times New Roman" w:eastAsia="Times New Roman" w:hAnsi="Times New Roman"/>
            <w:sz w:val="19"/>
            <w:szCs w:val="19"/>
            <w:color w:val="auto"/>
          </w:rPr>
          <w:t>https://doi.org/10.3389/fphar.2018.00309.</w:t>
        </w:r>
      </w:hyperlink>
    </w:p>
    <w:p>
      <w:pPr>
        <w:spacing w:after="0" w:line="1" w:lineRule="exact"/>
        <w:rPr>
          <w:rFonts w:ascii="Times New Roman" w:cs="Times New Roman" w:eastAsia="Times New Roman" w:hAnsi="Times New Roman"/>
          <w:sz w:val="19"/>
          <w:szCs w:val="19"/>
          <w:color w:val="auto"/>
        </w:rPr>
      </w:pPr>
    </w:p>
    <w:p>
      <w:pPr>
        <w:ind w:right="20"/>
        <w:spacing w:after="0" w:line="235" w:lineRule="auto"/>
        <w:tabs>
          <w:tab w:leader="none" w:pos="284"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Xie, S.; Zhou, J. Harnessing plant biodiversity for the discovery of novel anticancer drugs targeting microtubules. </w:t>
      </w:r>
      <w:r>
        <w:rPr>
          <w:rFonts w:ascii="Times New Roman" w:cs="Times New Roman" w:eastAsia="Times New Roman" w:hAnsi="Times New Roman"/>
          <w:sz w:val="20"/>
          <w:szCs w:val="20"/>
          <w:i w:val="1"/>
          <w:iCs w:val="1"/>
          <w:color w:val="auto"/>
        </w:rPr>
        <w:t>Front. Plant Sci.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 xml:space="preserve">, 8, 720. </w:t>
      </w:r>
      <w:hyperlink r:id="rId71">
        <w:r>
          <w:rPr>
            <w:rFonts w:ascii="Times New Roman" w:cs="Times New Roman" w:eastAsia="Times New Roman" w:hAnsi="Times New Roman"/>
            <w:sz w:val="20"/>
            <w:szCs w:val="20"/>
            <w:color w:val="auto"/>
          </w:rPr>
          <w:t>https://doi.org/10.3389/fpls.2017.00720.</w:t>
        </w:r>
      </w:hyperlink>
    </w:p>
    <w:p>
      <w:pPr>
        <w:spacing w:after="0" w:line="9" w:lineRule="exact"/>
        <w:rPr>
          <w:rFonts w:ascii="Times New Roman" w:cs="Times New Roman" w:eastAsia="Times New Roman" w:hAnsi="Times New Roman"/>
          <w:sz w:val="20"/>
          <w:szCs w:val="20"/>
          <w:color w:val="auto"/>
        </w:rPr>
      </w:pPr>
    </w:p>
    <w:p>
      <w:pPr>
        <w:jc w:val="both"/>
        <w:spacing w:after="0" w:line="236" w:lineRule="auto"/>
        <w:tabs>
          <w:tab w:leader="none" w:pos="284" w:val="left"/>
        </w:tabs>
        <w:numPr>
          <w:ilvl w:val="0"/>
          <w:numId w:val="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Selim, K.A.; Elkhateeb, W.A.; Tawila, A.M.; El-Beih, A.A.; Abdel-Rahman, T.M.; El-Diwany, A.I.; Ahmed, E.F. Antiviral and Antioxidant Potential of Fungal Endophytes of Egyptian Medicinal Plants. </w:t>
      </w:r>
      <w:r>
        <w:rPr>
          <w:rFonts w:ascii="Times New Roman" w:cs="Times New Roman" w:eastAsia="Times New Roman" w:hAnsi="Times New Roman"/>
          <w:sz w:val="20"/>
          <w:szCs w:val="20"/>
          <w:i w:val="1"/>
          <w:iCs w:val="1"/>
          <w:color w:val="auto"/>
        </w:rPr>
        <w:t>Fermentation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4, </w:t>
      </w:r>
      <w:hyperlink r:id="rId72">
        <w:r>
          <w:rPr>
            <w:rFonts w:ascii="Times New Roman" w:cs="Times New Roman" w:eastAsia="Times New Roman" w:hAnsi="Times New Roman"/>
            <w:sz w:val="20"/>
            <w:szCs w:val="20"/>
            <w:color w:val="auto"/>
          </w:rPr>
          <w:t>https://doi.org/10.3390/fermentation4030049.</w:t>
        </w:r>
      </w:hyperlink>
    </w:p>
    <w:p>
      <w:pPr>
        <w:spacing w:after="0" w:line="11" w:lineRule="exact"/>
        <w:rPr>
          <w:rFonts w:ascii="Times New Roman" w:cs="Times New Roman" w:eastAsia="Times New Roman" w:hAnsi="Times New Roman"/>
          <w:sz w:val="20"/>
          <w:szCs w:val="20"/>
          <w:i w:val="1"/>
          <w:iCs w:val="1"/>
          <w:color w:val="auto"/>
        </w:rPr>
      </w:pPr>
    </w:p>
    <w:p>
      <w:pPr>
        <w:ind w:right="20"/>
        <w:spacing w:after="0" w:line="235" w:lineRule="auto"/>
        <w:tabs>
          <w:tab w:leader="none" w:pos="284" w:val="left"/>
        </w:tabs>
        <w:numPr>
          <w:ilvl w:val="0"/>
          <w:numId w:val="6"/>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Syed, A. Study of antidiabetic activities of endophytic fungi isolated from plants. </w:t>
      </w:r>
      <w:r>
        <w:rPr>
          <w:rFonts w:ascii="Times New Roman" w:cs="Times New Roman" w:eastAsia="Times New Roman" w:hAnsi="Times New Roman"/>
          <w:sz w:val="20"/>
          <w:szCs w:val="20"/>
          <w:i w:val="1"/>
          <w:iCs w:val="1"/>
          <w:color w:val="auto"/>
        </w:rPr>
        <w:t>Pure and Applied Biology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8,</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1287-1295, </w:t>
      </w:r>
      <w:hyperlink r:id="rId73">
        <w:r>
          <w:rPr>
            <w:rFonts w:ascii="Times New Roman" w:cs="Times New Roman" w:eastAsia="Times New Roman" w:hAnsi="Times New Roman"/>
            <w:sz w:val="20"/>
            <w:szCs w:val="20"/>
            <w:color w:val="auto"/>
          </w:rPr>
          <w:t>https://doi.org/10.19045/bspab.2019.80071.</w:t>
        </w:r>
      </w:hyperlink>
    </w:p>
    <w:p>
      <w:pPr>
        <w:spacing w:after="0" w:line="10" w:lineRule="exact"/>
        <w:rPr>
          <w:rFonts w:ascii="Times New Roman" w:cs="Times New Roman" w:eastAsia="Times New Roman" w:hAnsi="Times New Roman"/>
          <w:sz w:val="20"/>
          <w:szCs w:val="20"/>
          <w:b w:val="1"/>
          <w:bCs w:val="1"/>
          <w:color w:val="auto"/>
        </w:rPr>
      </w:pPr>
    </w:p>
    <w:p>
      <w:pPr>
        <w:jc w:val="both"/>
        <w:ind w:right="20"/>
        <w:spacing w:after="0" w:line="236" w:lineRule="auto"/>
        <w:tabs>
          <w:tab w:leader="none" w:pos="284"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Takahashi, J.; Sande, D.; Lima, G.; Moura, M.; Nogueira, S.L.; Matheus, T. Fungal Metabolites as Promising New Drug Leads for the Treatment of Alzheimer's Disease. </w:t>
      </w:r>
      <w:r>
        <w:rPr>
          <w:rFonts w:ascii="Times New Roman" w:cs="Times New Roman" w:eastAsia="Times New Roman" w:hAnsi="Times New Roman"/>
          <w:sz w:val="20"/>
          <w:szCs w:val="20"/>
          <w:i w:val="1"/>
          <w:iCs w:val="1"/>
          <w:color w:val="auto"/>
        </w:rPr>
        <w:t>Studies in Natural Products Chemistry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62</w:t>
      </w:r>
      <w:r>
        <w:rPr>
          <w:rFonts w:ascii="Times New Roman" w:cs="Times New Roman" w:eastAsia="Times New Roman" w:hAnsi="Times New Roman"/>
          <w:sz w:val="20"/>
          <w:szCs w:val="20"/>
          <w:color w:val="auto"/>
        </w:rPr>
        <w:t xml:space="preserve">, 1-39, </w:t>
      </w:r>
      <w:hyperlink r:id="rId48">
        <w:r>
          <w:rPr>
            <w:rFonts w:ascii="Times New Roman" w:cs="Times New Roman" w:eastAsia="Times New Roman" w:hAnsi="Times New Roman"/>
            <w:sz w:val="20"/>
            <w:szCs w:val="20"/>
            <w:color w:val="auto"/>
          </w:rPr>
          <w:t>https://doi.org/10.1016/B978-0-444-64185-4.00001-0.</w:t>
        </w:r>
      </w:hyperlink>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26" w:lineRule="exact"/>
        <w:rPr>
          <w:rFonts w:ascii="Times New Roman" w:cs="Times New Roman" w:eastAsia="Times New Roman" w:hAnsi="Times New Roman"/>
          <w:sz w:val="20"/>
          <w:szCs w:val="20"/>
          <w:color w:val="auto"/>
        </w:rPr>
      </w:pPr>
    </w:p>
    <w:tbl>
      <w:tblPr>
        <w:tblLayout w:type="fixed"/>
        <w:tblInd w:w="60" w:type="dxa"/>
        <w:tblCellMar>
          <w:top w:w="0" w:type="dxa"/>
          <w:left w:w="0" w:type="dxa"/>
          <w:bottom w:w="0" w:type="dxa"/>
          <w:right w:w="0" w:type="dxa"/>
        </w:tblCellMar>
      </w:tblPr>
      <w:tr>
        <w:trPr>
          <w:trHeight w:val="274"/>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7">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6442</w:t>
            </w:r>
          </w:p>
        </w:tc>
      </w:tr>
    </w:tbl>
    <w:p>
      <w:pPr>
        <w:sectPr>
          <w:pgSz w:w="11900" w:h="16840" w:orient="portrait"/>
          <w:cols w:equalWidth="0" w:num="1">
            <w:col w:w="9040"/>
          </w:cols>
          <w:pgMar w:left="1440" w:top="949" w:right="1428" w:bottom="117" w:gutter="0" w:footer="0" w:header="0"/>
        </w:sectPr>
      </w:pPr>
    </w:p>
    <w:bookmarkStart w:id="7" w:name="page8"/>
    <w:bookmarkEnd w:id="7"/>
    <w:p>
      <w:pPr>
        <w:ind w:left="5280"/>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https://doi.org/10.33263/BRIAC105.64366443</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12065</wp:posOffset>
            </wp:positionV>
            <wp:extent cx="5770880" cy="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4">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249" w:lineRule="exact"/>
        <w:rPr>
          <w:sz w:val="20"/>
          <w:szCs w:val="20"/>
          <w:color w:val="auto"/>
        </w:rPr>
      </w:pPr>
    </w:p>
    <w:p>
      <w:pPr>
        <w:jc w:val="both"/>
        <w:ind w:right="20"/>
        <w:spacing w:after="0" w:line="236" w:lineRule="auto"/>
        <w:tabs>
          <w:tab w:leader="none" w:pos="284"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Nicoletti, A.; Bartoloni, A.; Sofia, V.; Mantella, A.; Nsengiyumva, G.; Frescaline, G.; Preux, P.M. Epilepsy and Toxocariasis: A Case-Control Study in Burundi. </w:t>
      </w:r>
      <w:r>
        <w:rPr>
          <w:rFonts w:ascii="Times New Roman" w:cs="Times New Roman" w:eastAsia="Times New Roman" w:hAnsi="Times New Roman"/>
          <w:sz w:val="20"/>
          <w:szCs w:val="20"/>
          <w:i w:val="1"/>
          <w:iCs w:val="1"/>
          <w:color w:val="auto"/>
        </w:rPr>
        <w:t>Epilepsia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2007</w:t>
      </w:r>
      <w:r>
        <w:rPr>
          <w:rFonts w:ascii="Times New Roman" w:cs="Times New Roman" w:eastAsia="Times New Roman" w:hAnsi="Times New Roman"/>
          <w:sz w:val="20"/>
          <w:szCs w:val="20"/>
          <w:i w:val="1"/>
          <w:iCs w:val="1"/>
          <w:color w:val="auto"/>
        </w:rPr>
        <w:t>, 48</w:t>
      </w:r>
      <w:r>
        <w:rPr>
          <w:rFonts w:ascii="Times New Roman" w:cs="Times New Roman" w:eastAsia="Times New Roman" w:hAnsi="Times New Roman"/>
          <w:sz w:val="20"/>
          <w:szCs w:val="20"/>
          <w:color w:val="auto"/>
        </w:rPr>
        <w:t xml:space="preserve">, 894-899, </w:t>
      </w:r>
      <w:hyperlink r:id="rId75">
        <w:r>
          <w:rPr>
            <w:rFonts w:ascii="Times New Roman" w:cs="Times New Roman" w:eastAsia="Times New Roman" w:hAnsi="Times New Roman"/>
            <w:sz w:val="20"/>
            <w:szCs w:val="20"/>
            <w:color w:val="auto"/>
          </w:rPr>
          <w:t>https://doi.org/10.1111/j.1528-</w:t>
        </w:r>
      </w:hyperlink>
      <w:hyperlink r:id="rId75">
        <w:r>
          <w:rPr>
            <w:rFonts w:ascii="Times New Roman" w:cs="Times New Roman" w:eastAsia="Times New Roman" w:hAnsi="Times New Roman"/>
            <w:sz w:val="20"/>
            <w:szCs w:val="20"/>
            <w:color w:val="auto"/>
          </w:rPr>
          <w:t>1167.2007.01104.x.</w:t>
        </w:r>
      </w:hyperlink>
    </w:p>
    <w:p>
      <w:pPr>
        <w:spacing w:after="0" w:line="11" w:lineRule="exact"/>
        <w:rPr>
          <w:rFonts w:ascii="Times New Roman" w:cs="Times New Roman" w:eastAsia="Times New Roman" w:hAnsi="Times New Roman"/>
          <w:sz w:val="20"/>
          <w:szCs w:val="20"/>
          <w:color w:val="auto"/>
        </w:rPr>
      </w:pPr>
    </w:p>
    <w:p>
      <w:pPr>
        <w:ind w:right="20"/>
        <w:spacing w:after="0" w:line="234" w:lineRule="auto"/>
        <w:tabs>
          <w:tab w:leader="none" w:pos="284" w:val="left"/>
        </w:tabs>
        <w:numPr>
          <w:ilvl w:val="0"/>
          <w:numId w:val="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Toghueo, R.M.K. Anti-leishmanial and Anti-inflammatory Agents from Endophytes: A Review. </w:t>
      </w:r>
      <w:r>
        <w:rPr>
          <w:rFonts w:ascii="Times New Roman" w:cs="Times New Roman" w:eastAsia="Times New Roman" w:hAnsi="Times New Roman"/>
          <w:sz w:val="20"/>
          <w:szCs w:val="20"/>
          <w:i w:val="1"/>
          <w:iCs w:val="1"/>
          <w:color w:val="auto"/>
        </w:rPr>
        <w:t>Nat. Prod.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Bioprospect.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9, </w:t>
      </w:r>
      <w:r>
        <w:rPr>
          <w:rFonts w:ascii="Times New Roman" w:cs="Times New Roman" w:eastAsia="Times New Roman" w:hAnsi="Times New Roman"/>
          <w:sz w:val="20"/>
          <w:szCs w:val="20"/>
          <w:color w:val="auto"/>
        </w:rPr>
        <w:t xml:space="preserve">311–328, </w:t>
      </w:r>
      <w:hyperlink r:id="rId76">
        <w:r>
          <w:rPr>
            <w:rFonts w:ascii="Times New Roman" w:cs="Times New Roman" w:eastAsia="Times New Roman" w:hAnsi="Times New Roman"/>
            <w:sz w:val="20"/>
            <w:szCs w:val="20"/>
            <w:color w:val="auto"/>
          </w:rPr>
          <w:t>https://doi.org/10.1007/s13659-019-00220-5.</w:t>
        </w:r>
      </w:hyperlink>
    </w:p>
    <w:p>
      <w:pPr>
        <w:spacing w:after="0" w:line="11" w:lineRule="exact"/>
        <w:rPr>
          <w:rFonts w:ascii="Times New Roman" w:cs="Times New Roman" w:eastAsia="Times New Roman" w:hAnsi="Times New Roman"/>
          <w:sz w:val="20"/>
          <w:szCs w:val="20"/>
          <w:i w:val="1"/>
          <w:iCs w:val="1"/>
          <w:color w:val="auto"/>
        </w:rPr>
      </w:pPr>
    </w:p>
    <w:p>
      <w:pPr>
        <w:spacing w:after="0" w:line="235" w:lineRule="auto"/>
        <w:tabs>
          <w:tab w:leader="none" w:pos="284" w:val="left"/>
        </w:tabs>
        <w:numPr>
          <w:ilvl w:val="0"/>
          <w:numId w:val="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Khan, A.M.; Bhadauria, S. Analysis of medicinally important phytocompounds from </w:t>
      </w:r>
      <w:r>
        <w:rPr>
          <w:rFonts w:ascii="Times New Roman" w:cs="Times New Roman" w:eastAsia="Times New Roman" w:hAnsi="Times New Roman"/>
          <w:sz w:val="20"/>
          <w:szCs w:val="20"/>
          <w:i w:val="1"/>
          <w:iCs w:val="1"/>
          <w:color w:val="auto"/>
        </w:rPr>
        <w:t>Argemone mexicana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King Saud Univ.-Sci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31</w:t>
      </w:r>
      <w:r>
        <w:rPr>
          <w:rFonts w:ascii="Times New Roman" w:cs="Times New Roman" w:eastAsia="Times New Roman" w:hAnsi="Times New Roman"/>
          <w:sz w:val="20"/>
          <w:szCs w:val="20"/>
          <w:color w:val="auto"/>
        </w:rPr>
        <w:t xml:space="preserve">, 1020-1026, </w:t>
      </w:r>
      <w:hyperlink r:id="rId77">
        <w:r>
          <w:rPr>
            <w:rFonts w:ascii="Times New Roman" w:cs="Times New Roman" w:eastAsia="Times New Roman" w:hAnsi="Times New Roman"/>
            <w:sz w:val="20"/>
            <w:szCs w:val="20"/>
            <w:color w:val="auto"/>
          </w:rPr>
          <w:t>https://doi.org/10.1016/j.jksus.2018.05.009.</w:t>
        </w:r>
      </w:hyperlink>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14" w:lineRule="exact"/>
        <w:rPr>
          <w:rFonts w:ascii="Times New Roman" w:cs="Times New Roman" w:eastAsia="Times New Roman" w:hAnsi="Times New Roman"/>
          <w:sz w:val="20"/>
          <w:szCs w:val="20"/>
          <w:color w:val="auto"/>
        </w:rPr>
      </w:pPr>
    </w:p>
    <w:tbl>
      <w:tblPr>
        <w:tblLayout w:type="fixed"/>
        <w:tblInd w:w="60" w:type="dxa"/>
        <w:tblCellMar>
          <w:top w:w="0" w:type="dxa"/>
          <w:left w:w="0" w:type="dxa"/>
          <w:bottom w:w="0" w:type="dxa"/>
          <w:right w:w="0" w:type="dxa"/>
        </w:tblCellMar>
      </w:tblPr>
      <w:tr>
        <w:trPr>
          <w:trHeight w:val="274"/>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7">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6443</w:t>
            </w:r>
          </w:p>
        </w:tc>
      </w:tr>
    </w:tbl>
    <w:p>
      <w:pPr>
        <w:spacing w:after="0" w:line="1" w:lineRule="exact"/>
        <w:rPr>
          <w:rFonts w:ascii="Times New Roman" w:cs="Times New Roman" w:eastAsia="Times New Roman" w:hAnsi="Times New Roman"/>
          <w:sz w:val="20"/>
          <w:szCs w:val="20"/>
          <w:color w:val="auto"/>
        </w:rPr>
      </w:pPr>
    </w:p>
    <w:sectPr>
      <w:pgSz w:w="11900" w:h="16840" w:orient="portrait"/>
      <w:cols w:equalWidth="0" w:num="1">
        <w:col w:w="9040"/>
      </w:cols>
      <w:pgMar w:left="1440" w:top="949" w:right="1428" w:bottom="117"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1]."/>
      <w:numFmt w:val="decimal"/>
      <w:start w:val="8"/>
    </w:lvl>
  </w:abstractNum>
  <w:abstractNum w:abstractNumId="3">
    <w:nsid w:val="3D1B58BA"/>
    <w:multiLevelType w:val="hybridMultilevel"/>
    <w:lvl w:ilvl="0">
      <w:lvlJc w:val="left"/>
      <w:lvlText w:val="[%1]."/>
      <w:numFmt w:val="decimal"/>
      <w:start w:val="17"/>
    </w:lvl>
  </w:abstractNum>
  <w:abstractNum w:abstractNumId="4">
    <w:nsid w:val="507ED7AB"/>
    <w:multiLevelType w:val="hybridMultilevel"/>
    <w:lvl w:ilvl="0">
      <w:lvlJc w:val="left"/>
      <w:lvlText w:val="%1."/>
      <w:numFmt w:val="decimal"/>
      <w:start w:val="1"/>
    </w:lvl>
  </w:abstractNum>
  <w:abstractNum w:abstractNumId="5">
    <w:nsid w:val="2EB141F2"/>
    <w:multiLevelType w:val="hybridMultilevel"/>
    <w:lvl w:ilvl="0">
      <w:lvlJc w:val="left"/>
      <w:lvlText w:val="%1."/>
      <w:numFmt w:val="decimal"/>
      <w:start w:val="10"/>
    </w:lvl>
  </w:abstractNum>
  <w:abstractNum w:abstractNumId="6">
    <w:nsid w:val="41B71EFB"/>
    <w:multiLevelType w:val="hybridMultilevel"/>
    <w:lvl w:ilvl="0">
      <w:lvlJc w:val="left"/>
      <w:lvlText w:val="%1."/>
      <w:numFmt w:val="decimal"/>
      <w:start w:val="3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5"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38" Type="http://schemas.openxmlformats.org/officeDocument/2006/relationships/image" Target="media/image10.jpeg"/><Relationship Id="rId39" Type="http://schemas.openxmlformats.org/officeDocument/2006/relationships/image" Target="media/image11.png"/><Relationship Id="rId40" Type="http://schemas.openxmlformats.org/officeDocument/2006/relationships/image" Target="media/image12.jpeg"/><Relationship Id="rId41" Type="http://schemas.openxmlformats.org/officeDocument/2006/relationships/image" Target="media/image13.jpeg"/><Relationship Id="rId42" Type="http://schemas.openxmlformats.org/officeDocument/2006/relationships/image" Target="media/image14.png"/><Relationship Id="rId52" Type="http://schemas.openxmlformats.org/officeDocument/2006/relationships/image" Target="media/image15.png"/><Relationship Id="rId74" Type="http://schemas.openxmlformats.org/officeDocument/2006/relationships/image" Target="media/image16.png"/><Relationship Id="rId9" Type="http://schemas.openxmlformats.org/officeDocument/2006/relationships/hyperlink" Target="https://doi.org/10.33263/BRIAC105.64366443" TargetMode="External"/><Relationship Id="rId14" Type="http://schemas.openxmlformats.org/officeDocument/2006/relationships/hyperlink" Target="https://www.scopus.com/authid/detail.uri?origin=resultslist&amp;authorId=36731454500" TargetMode="External"/><Relationship Id="rId16" Type="http://schemas.openxmlformats.org/officeDocument/2006/relationships/hyperlink" Target="https://creativecommons.org/licenses/by/4.0/" TargetMode="External"/><Relationship Id="rId17" Type="http://schemas.openxmlformats.org/officeDocument/2006/relationships/hyperlink" Target="https://biointerfaceresearch.com/" TargetMode="External"/><Relationship Id="rId21" Type="http://schemas.openxmlformats.org/officeDocument/2006/relationships/hyperlink" Target="https://www.ncbi.nlm.nih.gov/nucleotide/MN704696.1?report=genbank&amp;log$=nucltop&amp;blast_rank=1&amp;RID=25WPNWVB01R" TargetMode="External"/><Relationship Id="rId22" Type="http://schemas.openxmlformats.org/officeDocument/2006/relationships/hyperlink" Target="https://www.ncbi.nlm.nih.gov/nucleotide/KY022753.1?report=genbank&amp;log$=nucltop&amp;blast_rank=1&amp;RID=20MXTYDG014" TargetMode="External"/><Relationship Id="rId23" Type="http://schemas.openxmlformats.org/officeDocument/2006/relationships/hyperlink" Target="https://www.ncbi.nlm.nih.gov/nucleotide/MF576084.1?report=genbank&amp;log$=nucltop&amp;blast_rank=3&amp;RID=25X22YKC01R" TargetMode="External"/><Relationship Id="rId24" Type="http://schemas.openxmlformats.org/officeDocument/2006/relationships/hyperlink" Target="https://www.ncbi.nlm.nih.gov/nucleotide/MG799216.1?report=genbank&amp;log$=nucltop&amp;blast_rank=3&amp;RID=25X60J8701R" TargetMode="External"/><Relationship Id="rId25" Type="http://schemas.openxmlformats.org/officeDocument/2006/relationships/hyperlink" Target="https://www.ncbi.nlm.nih.gov/nucleotide/MN658458.1?report=genbank&amp;log$=nucltop&amp;blast_rank=1&amp;RID=25X9W9MC014" TargetMode="External"/><Relationship Id="rId26" Type="http://schemas.openxmlformats.org/officeDocument/2006/relationships/hyperlink" Target="https://www.ncbi.nlm.nih.gov/nucleotide/MH345954.1?report=genbank&amp;log$=nucltop&amp;blast_rank=2&amp;RID=25XWKDZG01R" TargetMode="External"/><Relationship Id="rId27" Type="http://schemas.openxmlformats.org/officeDocument/2006/relationships/hyperlink" Target="https://www.ncbi.nlm.nih.gov/nucleotide/MK841451.1?report=genbank&amp;log$=nucltop&amp;blast_rank=1&amp;RID=20N6H51501R" TargetMode="External"/><Relationship Id="rId28" Type="http://schemas.openxmlformats.org/officeDocument/2006/relationships/hyperlink" Target="https://www.ncbi.nlm.nih.gov/nucleotide/MN704691.1?report=genbank&amp;log$=nucltop&amp;blast_rank=1&amp;RID=25YK48ST014" TargetMode="External"/><Relationship Id="rId29" Type="http://schemas.openxmlformats.org/officeDocument/2006/relationships/hyperlink" Target="https://www.ncbi.nlm.nih.gov/nucleotide/MF379661.1?report=genbank&amp;log$=nucltop&amp;blast_rank=4&amp;RID=25YK48ST014" TargetMode="External"/><Relationship Id="rId30" Type="http://schemas.openxmlformats.org/officeDocument/2006/relationships/hyperlink" Target="https://www.ncbi.nlm.nih.gov/nucleotide/MN533870.1?report=genbank&amp;log$=nucltop&amp;blast_rank=1&amp;RID=20NZ2AYD016" TargetMode="External"/><Relationship Id="rId31" Type="http://schemas.openxmlformats.org/officeDocument/2006/relationships/hyperlink" Target="https://www.ncbi.nlm.nih.gov/nucleotide/MN565937.1?report=genbank&amp;log$=nucltop&amp;blast_rank=1&amp;RID=25Y9PYUK01R" TargetMode="External"/><Relationship Id="rId32" Type="http://schemas.openxmlformats.org/officeDocument/2006/relationships/hyperlink" Target="https://www.ncbi.nlm.nih.gov/nucleotide/MN238861.1?report=genbank&amp;log$=nucltop&amp;blast_rank=1&amp;RID=25Y6J69C01R" TargetMode="External"/><Relationship Id="rId33" Type="http://schemas.openxmlformats.org/officeDocument/2006/relationships/hyperlink" Target="https://www.ncbi.nlm.nih.gov/nucleotide/MN031603.1?report=genbank&amp;log$=nucltop&amp;blast_rank=1&amp;RID=20P7GXEN014" TargetMode="External"/><Relationship Id="rId34" Type="http://schemas.openxmlformats.org/officeDocument/2006/relationships/hyperlink" Target="https://www.ncbi.nlm.nih.gov/nucleotide/KU866614.1?report=genbank&amp;log$=nucltop&amp;blast_rank=1&amp;RID=25WXN8K2014" TargetMode="External"/><Relationship Id="rId35" Type="http://schemas.openxmlformats.org/officeDocument/2006/relationships/hyperlink" Target="https://www.ncbi.nlm.nih.gov/nucleotide/GU134883.1?report=genbank&amp;log$=nucltop&amp;blast_rank=2&amp;RID=25Y1ZSSE016" TargetMode="External"/><Relationship Id="rId36" Type="http://schemas.openxmlformats.org/officeDocument/2006/relationships/hyperlink" Target="https://www.ncbi.nlm.nih.gov/nucleotide/MH055392.1?report=genbank&amp;log$=nucltop&amp;blast_rank=2&amp;RID=25YDK29P014" TargetMode="External"/><Relationship Id="rId37" Type="http://schemas.openxmlformats.org/officeDocument/2006/relationships/hyperlink" Target="https://www.ncbi.nlm.nih.gov/nucleotide/AB248980.1?report=genbank&amp;log$=nucltop&amp;blast_rank=1&amp;RID=20P28MXX016" TargetMode="External"/><Relationship Id="rId43" Type="http://schemas.openxmlformats.org/officeDocument/2006/relationships/hyperlink" Target="https://doi.org/10.1146/annurev.ecolsys.29.1.319" TargetMode="External"/><Relationship Id="rId44" Type="http://schemas.openxmlformats.org/officeDocument/2006/relationships/hyperlink" Target="https://doi.org/10.1007/3-540-33526-9_1" TargetMode="External"/><Relationship Id="rId45" Type="http://schemas.openxmlformats.org/officeDocument/2006/relationships/hyperlink" Target="https://doi.org/10.1098/rstb.2007.2044" TargetMode="External"/><Relationship Id="rId46" Type="http://schemas.openxmlformats.org/officeDocument/2006/relationships/hyperlink" Target="https://doi.org/10.2307/1943155" TargetMode="External"/><Relationship Id="rId47" Type="http://schemas.openxmlformats.org/officeDocument/2006/relationships/hyperlink" Target="https://doi.org/10.1016/j.jep.2012.06.034" TargetMode="External"/><Relationship Id="rId48" Type="http://schemas.openxmlformats.org/officeDocument/2006/relationships/hyperlink" Target="https://doi.org/10.1016/B978-0-444-64185-4.00001-0" TargetMode="External"/><Relationship Id="rId49" Type="http://schemas.openxmlformats.org/officeDocument/2006/relationships/hyperlink" Target="https://doi.org/10.1016/j.chembiol.2012.06.004" TargetMode="External"/><Relationship Id="rId50" Type="http://schemas.openxmlformats.org/officeDocument/2006/relationships/hyperlink" Target="https://doi.org/10.1021/jo402066b" TargetMode="External"/><Relationship Id="rId51" Type="http://schemas.openxmlformats.org/officeDocument/2006/relationships/hyperlink" Target="https://dx.doi.org/10.14288/1.0074648" TargetMode="External"/><Relationship Id="rId53" Type="http://schemas.openxmlformats.org/officeDocument/2006/relationships/hyperlink" Target="https://doi.org/10.1007/s00248-011-9883-y" TargetMode="External"/><Relationship Id="rId54" Type="http://schemas.openxmlformats.org/officeDocument/2006/relationships/hyperlink" Target="https://doi.org/10.1016/j.mimet.2007.06.016" TargetMode="External"/><Relationship Id="rId55" Type="http://schemas.openxmlformats.org/officeDocument/2006/relationships/hyperlink" Target="https://doi.org/10.1093/oxfordjournals.molbev.a040454" TargetMode="External"/><Relationship Id="rId56" Type="http://schemas.openxmlformats.org/officeDocument/2006/relationships/hyperlink" Target="https://doi.org/10.1111/j.1558-5646.1985.tb00420.x" TargetMode="External"/><Relationship Id="rId57" Type="http://schemas.openxmlformats.org/officeDocument/2006/relationships/hyperlink" Target="https://doi.org/10.1073/pnas.0404206101" TargetMode="External"/><Relationship Id="rId58" Type="http://schemas.openxmlformats.org/officeDocument/2006/relationships/hyperlink" Target="https://doi.org/10.1093/molbev/msy096" TargetMode="External"/><Relationship Id="rId59" Type="http://schemas.openxmlformats.org/officeDocument/2006/relationships/hyperlink" Target="https://doi.org/10.1016/B978-0-444-63505-1.00035-X" TargetMode="External"/><Relationship Id="rId60" Type="http://schemas.openxmlformats.org/officeDocument/2006/relationships/hyperlink" Target="https://doi.org/10.1016/j.simyco.2014.09.001" TargetMode="External"/><Relationship Id="rId61" Type="http://schemas.openxmlformats.org/officeDocument/2006/relationships/hyperlink" Target="https://doi.org/10.3390/md14020037" TargetMode="External"/><Relationship Id="rId62" Type="http://schemas.openxmlformats.org/officeDocument/2006/relationships/hyperlink" Target="https://doi.org/10.2225/vol12-issue4-fulltext-9" TargetMode="External"/><Relationship Id="rId63" Type="http://schemas.openxmlformats.org/officeDocument/2006/relationships/hyperlink" Target="https://doi.org/10.3390/md9010059" TargetMode="External"/><Relationship Id="rId64" Type="http://schemas.openxmlformats.org/officeDocument/2006/relationships/hyperlink" Target="https://doi.org/10.1134/S002626171003001X" TargetMode="External"/><Relationship Id="rId65" Type="http://schemas.openxmlformats.org/officeDocument/2006/relationships/hyperlink" Target="https://doi.org/10.1080/12298093.2018.1454008" TargetMode="External"/><Relationship Id="rId66" Type="http://schemas.openxmlformats.org/officeDocument/2006/relationships/hyperlink" Target="https://doi.org/10.1063/1.5061895" TargetMode="External"/><Relationship Id="rId67" Type="http://schemas.openxmlformats.org/officeDocument/2006/relationships/hyperlink" Target="https://doi.org/10.1186/s40529-019-0252-3" TargetMode="External"/><Relationship Id="rId68" Type="http://schemas.openxmlformats.org/officeDocument/2006/relationships/hyperlink" Target="https://doi.org/10.1007/s13213-019-1444-5" TargetMode="External"/><Relationship Id="rId69" Type="http://schemas.openxmlformats.org/officeDocument/2006/relationships/hyperlink" Target="https://doi.org/10.1016/B978-0-444-63501-3.00003-X" TargetMode="External"/><Relationship Id="rId70" Type="http://schemas.openxmlformats.org/officeDocument/2006/relationships/hyperlink" Target="https://doi.org/10.3389/fphar.2018.00309" TargetMode="External"/><Relationship Id="rId71" Type="http://schemas.openxmlformats.org/officeDocument/2006/relationships/hyperlink" Target="https://doi.org/10.3389/fpls.2017.00720" TargetMode="External"/><Relationship Id="rId72" Type="http://schemas.openxmlformats.org/officeDocument/2006/relationships/hyperlink" Target="https://doi.org/10.3390/fermentation4030049" TargetMode="External"/><Relationship Id="rId73" Type="http://schemas.openxmlformats.org/officeDocument/2006/relationships/hyperlink" Target="https://doi.org/10.19045/bspab.2019.80071" TargetMode="External"/><Relationship Id="rId75" Type="http://schemas.openxmlformats.org/officeDocument/2006/relationships/hyperlink" Target="https://doi.org/10.1111/j.1528-1167.2007.01104.x" TargetMode="External"/><Relationship Id="rId76" Type="http://schemas.openxmlformats.org/officeDocument/2006/relationships/hyperlink" Target="https://doi.org/10.1007/s13659-019-00220-5" TargetMode="External"/><Relationship Id="rId77" Type="http://schemas.openxmlformats.org/officeDocument/2006/relationships/hyperlink" Target="https://doi.org/10.1016/j.jksus.2018.05.009"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2020-09-15T04:15:23Z</dcterms:created>
  <dcterms:modified xsi:type="dcterms:W3CDTF">2020-09-15T04:15:23Z</dcterms:modified>
</cp:coreProperties>
</file>