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6550025</wp:posOffset>
            </wp:positionH>
            <wp:positionV relativeFrom="page">
              <wp:posOffset>360045</wp:posOffset>
            </wp:positionV>
            <wp:extent cx="361950" cy="362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1950" cy="362585"/>
                    </a:xfrm>
                    <a:prstGeom prst="rect">
                      <a:avLst/>
                    </a:prstGeom>
                    <a:noFill/>
                  </pic:spPr>
                </pic:pic>
              </a:graphicData>
            </a:graphic>
          </wp:anchor>
        </w:drawing>
        <w:t>Food Sci Biotechnol</w:t>
      </w:r>
    </w:p>
    <w:p>
      <w:pPr>
        <w:spacing w:after="0" w:line="34" w:lineRule="exact"/>
        <w:rPr>
          <w:sz w:val="24"/>
          <w:szCs w:val="24"/>
          <w:color w:val="auto"/>
        </w:rPr>
      </w:pPr>
    </w:p>
    <w:p>
      <w:pPr>
        <w:ind w:left="10"/>
        <w:spacing w:after="0"/>
        <w:rPr>
          <w:rFonts w:ascii="Times New Roman" w:cs="Times New Roman" w:eastAsia="Times New Roman" w:hAnsi="Times New Roman"/>
          <w:sz w:val="17"/>
          <w:szCs w:val="17"/>
          <w:color w:val="auto"/>
        </w:rPr>
      </w:pPr>
      <w:hyperlink r:id="rId9">
        <w:r>
          <w:rPr>
            <w:rFonts w:ascii="Times New Roman" w:cs="Times New Roman" w:eastAsia="Times New Roman" w:hAnsi="Times New Roman"/>
            <w:sz w:val="17"/>
            <w:szCs w:val="17"/>
            <w:color w:val="auto"/>
          </w:rPr>
          <w:t>https://doi.org/10.1007/s10068-020-00793-9</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88265</wp:posOffset>
                </wp:positionV>
                <wp:extent cx="62636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3640" cy="4763"/>
                        </a:xfrm>
                        <a:prstGeom prst="line">
                          <a:avLst/>
                        </a:prstGeom>
                        <a:solidFill>
                          <a:srgbClr val="FFFFFF"/>
                        </a:solidFill>
                        <a:ln w="129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6.95pt" to="493.7pt,6.95pt" o:allowincell="f" strokecolor="#000000" strokeweight="1.020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ind w:left="10" w:right="840"/>
        <w:spacing w:after="0" w:line="219" w:lineRule="auto"/>
        <w:rPr>
          <w:sz w:val="20"/>
          <w:szCs w:val="20"/>
          <w:color w:val="auto"/>
        </w:rPr>
      </w:pPr>
      <w:r>
        <w:rPr>
          <w:rFonts w:ascii="Times New Roman" w:cs="Times New Roman" w:eastAsia="Times New Roman" w:hAnsi="Times New Roman"/>
          <w:sz w:val="32"/>
          <w:szCs w:val="32"/>
          <w:color w:val="auto"/>
        </w:rPr>
        <w:t>Antioxidant and antibacterial effects of medicinal plants and their stick-type medicinal concentrated beverages</w:t>
      </w:r>
    </w:p>
    <w:p>
      <w:pPr>
        <w:spacing w:after="0" w:line="335" w:lineRule="exact"/>
        <w:rPr>
          <w:sz w:val="24"/>
          <w:szCs w:val="24"/>
          <w:color w:val="auto"/>
        </w:rPr>
      </w:pPr>
    </w:p>
    <w:p>
      <w:pPr>
        <w:ind w:left="10" w:right="2920"/>
        <w:spacing w:after="0" w:line="205" w:lineRule="auto"/>
        <w:rPr>
          <w:sz w:val="20"/>
          <w:szCs w:val="20"/>
          <w:color w:val="auto"/>
        </w:rPr>
      </w:pPr>
      <w:r>
        <w:rPr>
          <w:rFonts w:ascii="Times New Roman" w:cs="Times New Roman" w:eastAsia="Times New Roman" w:hAnsi="Times New Roman"/>
          <w:sz w:val="20"/>
          <w:szCs w:val="20"/>
          <w:color w:val="auto"/>
        </w:rPr>
        <w:t>Hyeon-Jun Chang</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Yoon-Hee Kim</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Yun-Hwan Kang</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Myung-Hwan Choi</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Jeung-Hee Lee</w:t>
      </w:r>
      <w:r>
        <w:rPr>
          <w:rFonts w:ascii="Times New Roman" w:cs="Times New Roman" w:eastAsia="Times New Roman" w:hAnsi="Times New Roman"/>
          <w:sz w:val="26"/>
          <w:szCs w:val="26"/>
          <w:color w:val="auto"/>
          <w:vertAlign w:val="superscript"/>
        </w:rPr>
        <w:t xml:space="preserve">1 </w:t>
      </w:r>
      <w:r>
        <w:rPr>
          <w:sz w:val="1"/>
          <w:szCs w:val="1"/>
          <w:color w:val="auto"/>
        </w:rPr>
        <w:drawing>
          <wp:inline distT="0" distB="0" distL="0" distR="0">
            <wp:extent cx="107315" cy="10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10"/>
        <w:spacing w:after="0"/>
        <w:rPr>
          <w:sz w:val="20"/>
          <w:szCs w:val="20"/>
          <w:color w:val="auto"/>
        </w:rPr>
      </w:pPr>
      <w:r>
        <w:rPr>
          <w:rFonts w:ascii="Times New Roman" w:cs="Times New Roman" w:eastAsia="Times New Roman" w:hAnsi="Times New Roman"/>
          <w:sz w:val="17"/>
          <w:szCs w:val="17"/>
          <w:color w:val="auto"/>
        </w:rPr>
        <w:t>Received: 22 January 2020 / Revised: 23 May 2020 / Accepted: 6 July 2020</w:t>
      </w:r>
    </w:p>
    <w:p>
      <w:pPr>
        <w:ind w:left="10"/>
        <w:spacing w:after="0" w:line="193" w:lineRule="auto"/>
        <w:rPr>
          <w:sz w:val="24"/>
          <w:szCs w:val="24"/>
          <w:color w:val="auto"/>
        </w:rPr>
      </w:pPr>
      <w:r>
        <w:rPr>
          <w:rFonts w:ascii="Times New Roman" w:cs="Times New Roman" w:eastAsia="Times New Roman" w:hAnsi="Times New Roman"/>
          <w:sz w:val="17"/>
          <w:szCs w:val="17"/>
          <w:color w:val="auto"/>
        </w:rPr>
        <w:t>The Korean Society of Food Science and Technology 2020</w:t>
      </w:r>
    </w:p>
    <w:p>
      <w:pPr>
        <w:sectPr>
          <w:pgSz w:w="11900" w:h="15817" w:orient="portrait"/>
          <w:cols w:equalWidth="0" w:num="1">
            <w:col w:w="9870"/>
          </w:cols>
          <w:pgMar w:left="1010" w:top="636" w:right="1026" w:bottom="318" w:gutter="0" w:footer="0" w:header="0"/>
        </w:sectPr>
      </w:pPr>
    </w:p>
    <w:p>
      <w:pPr>
        <w:spacing w:after="0" w:line="200" w:lineRule="exact"/>
        <w:rPr>
          <w:sz w:val="24"/>
          <w:szCs w:val="24"/>
          <w:color w:val="auto"/>
        </w:rPr>
      </w:pPr>
    </w:p>
    <w:p>
      <w:pPr>
        <w:spacing w:after="0" w:line="242" w:lineRule="exact"/>
        <w:rPr>
          <w:sz w:val="24"/>
          <w:szCs w:val="24"/>
          <w:color w:val="auto"/>
        </w:rPr>
      </w:pPr>
    </w:p>
    <w:p>
      <w:pPr>
        <w:jc w:val="both"/>
        <w:ind w:left="10"/>
        <w:spacing w:after="0" w:line="257" w:lineRule="auto"/>
        <w:rPr>
          <w:sz w:val="20"/>
          <w:szCs w:val="20"/>
          <w:color w:val="auto"/>
        </w:rPr>
      </w:pPr>
      <w:r>
        <w:rPr>
          <w:rFonts w:ascii="Times New Roman" w:cs="Times New Roman" w:eastAsia="Times New Roman" w:hAnsi="Times New Roman"/>
          <w:sz w:val="20"/>
          <w:szCs w:val="20"/>
          <w:color w:val="auto"/>
        </w:rPr>
        <w:t>Abstract Nine medicinal plants and their stick-type medicinal concentrated beverages (SMCB-I and SMCB-II) with different combination ratio were evaluated on antioxidant, nitric oxide (NO) inhibitory, and antibacterial effects against pathogenic bacteria involved in respiratory system illnesses. Antioxidant activity was high in Syzygium aromaticum, Pueraria lobata, Plantago asiatica, and Kalopanax pictus which have higher contents of total phenolics and total flavonoids. The NO inhibitory activity was high in Syzygium aromaticum, Plantago asiatica, and Glycyrrhiza uralensis. Syzygium aromaticum, Plantago asiatica, Kalopanax pictus and Glycyrrhiza uralensis showed higher antibacterial activity than the other five medicinal plants against Staphylococcus aureus, Corynebacterium diphtheriae, and Mycobacterium sp. SMCB-II exhibited higher antioxidant, NO inhibitory, and antibacterial effects than SMCB-I, since Syzygium aro-maticum, Pueraria lobata, and Kalopanax pictus were only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224155</wp:posOffset>
                </wp:positionV>
                <wp:extent cx="30238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7.65pt" to="238.6pt,17.65pt" o:allowincell="f" strokecolor="#000000" strokeweight="0.5669pt"/>
            </w:pict>
          </mc:Fallback>
        </mc:AlternateContent>
      </w:r>
    </w:p>
    <w:p>
      <w:pPr>
        <w:spacing w:after="0" w:line="200" w:lineRule="exact"/>
        <w:rPr>
          <w:sz w:val="24"/>
          <w:szCs w:val="24"/>
          <w:color w:val="auto"/>
        </w:rPr>
      </w:pPr>
    </w:p>
    <w:p>
      <w:pPr>
        <w:spacing w:after="0" w:line="256" w:lineRule="exact"/>
        <w:rPr>
          <w:sz w:val="24"/>
          <w:szCs w:val="24"/>
          <w:color w:val="auto"/>
        </w:rPr>
      </w:pPr>
    </w:p>
    <w:p>
      <w:pPr>
        <w:ind w:left="290" w:right="2880" w:hanging="290"/>
        <w:spacing w:after="0" w:line="232" w:lineRule="auto"/>
        <w:tabs>
          <w:tab w:leader="none" w:pos="290" w:val="left"/>
        </w:tabs>
        <w:numPr>
          <w:ilvl w:val="0"/>
          <w:numId w:val="2"/>
        </w:numPr>
        <w:rPr>
          <w:rFonts w:ascii="Arial" w:cs="Arial" w:eastAsia="Arial" w:hAnsi="Arial"/>
          <w:sz w:val="16"/>
          <w:szCs w:val="16"/>
          <w:color w:val="auto"/>
        </w:rPr>
      </w:pPr>
      <w:r>
        <w:rPr>
          <w:rFonts w:ascii="Times New Roman" w:cs="Times New Roman" w:eastAsia="Times New Roman" w:hAnsi="Times New Roman"/>
          <w:sz w:val="16"/>
          <w:szCs w:val="16"/>
          <w:color w:val="auto"/>
        </w:rPr>
        <w:t>Jeung-Hee Lee jeunghlee@daegu.ac.kr</w:t>
      </w:r>
    </w:p>
    <w:p>
      <w:pPr>
        <w:spacing w:after="0" w:line="142" w:lineRule="exact"/>
        <w:rPr>
          <w:rFonts w:ascii="Arial" w:cs="Arial" w:eastAsia="Arial" w:hAnsi="Arial"/>
          <w:sz w:val="16"/>
          <w:szCs w:val="16"/>
          <w:color w:val="auto"/>
        </w:rPr>
      </w:pPr>
    </w:p>
    <w:p>
      <w:pPr>
        <w:ind w:left="290" w:right="2900"/>
        <w:spacing w:after="0" w:line="232" w:lineRule="auto"/>
        <w:rPr>
          <w:rFonts w:ascii="Arial" w:cs="Arial" w:eastAsia="Arial" w:hAnsi="Arial"/>
          <w:sz w:val="16"/>
          <w:szCs w:val="16"/>
          <w:color w:val="auto"/>
        </w:rPr>
      </w:pPr>
      <w:r>
        <w:rPr>
          <w:rFonts w:ascii="Times New Roman" w:cs="Times New Roman" w:eastAsia="Times New Roman" w:hAnsi="Times New Roman"/>
          <w:sz w:val="16"/>
          <w:szCs w:val="16"/>
          <w:color w:val="auto"/>
        </w:rPr>
        <w:t>Hyeon-Jun Chang chj931116@naver.com</w:t>
      </w:r>
    </w:p>
    <w:p>
      <w:pPr>
        <w:spacing w:after="0" w:line="143" w:lineRule="exact"/>
        <w:rPr>
          <w:rFonts w:ascii="Arial" w:cs="Arial" w:eastAsia="Arial" w:hAnsi="Arial"/>
          <w:sz w:val="16"/>
          <w:szCs w:val="16"/>
          <w:color w:val="auto"/>
        </w:rPr>
      </w:pPr>
    </w:p>
    <w:p>
      <w:pPr>
        <w:ind w:left="290" w:right="2760"/>
        <w:spacing w:after="0" w:line="218" w:lineRule="auto"/>
        <w:rPr>
          <w:rFonts w:ascii="Arial" w:cs="Arial" w:eastAsia="Arial" w:hAnsi="Arial"/>
          <w:sz w:val="16"/>
          <w:szCs w:val="16"/>
          <w:color w:val="auto"/>
        </w:rPr>
      </w:pPr>
      <w:r>
        <w:rPr>
          <w:rFonts w:ascii="Times New Roman" w:cs="Times New Roman" w:eastAsia="Times New Roman" w:hAnsi="Times New Roman"/>
          <w:sz w:val="17"/>
          <w:szCs w:val="17"/>
          <w:color w:val="auto"/>
        </w:rPr>
        <w:t>Yoon-Hee Kim kimyh0128@daegu.ac.kr</w:t>
      </w:r>
    </w:p>
    <w:p>
      <w:pPr>
        <w:spacing w:after="0" w:line="104" w:lineRule="exact"/>
        <w:rPr>
          <w:rFonts w:ascii="Arial" w:cs="Arial" w:eastAsia="Arial" w:hAnsi="Arial"/>
          <w:sz w:val="16"/>
          <w:szCs w:val="16"/>
          <w:color w:val="auto"/>
        </w:rPr>
      </w:pPr>
    </w:p>
    <w:p>
      <w:pPr>
        <w:ind w:left="290"/>
        <w:spacing w:after="0"/>
        <w:rPr>
          <w:rFonts w:ascii="Arial" w:cs="Arial" w:eastAsia="Arial" w:hAnsi="Arial"/>
          <w:sz w:val="16"/>
          <w:szCs w:val="16"/>
          <w:color w:val="auto"/>
        </w:rPr>
      </w:pPr>
      <w:r>
        <w:rPr>
          <w:rFonts w:ascii="Times New Roman" w:cs="Times New Roman" w:eastAsia="Times New Roman" w:hAnsi="Times New Roman"/>
          <w:sz w:val="17"/>
          <w:szCs w:val="17"/>
          <w:color w:val="auto"/>
        </w:rPr>
        <w:t>Yun-Hwan Kang</w:t>
      </w:r>
    </w:p>
    <w:p>
      <w:pPr>
        <w:spacing w:after="0" w:line="4" w:lineRule="exact"/>
        <w:rPr>
          <w:rFonts w:ascii="Arial" w:cs="Arial" w:eastAsia="Arial" w:hAnsi="Arial"/>
          <w:sz w:val="16"/>
          <w:szCs w:val="16"/>
          <w:color w:val="auto"/>
        </w:rPr>
      </w:pPr>
    </w:p>
    <w:p>
      <w:pPr>
        <w:ind w:left="290"/>
        <w:spacing w:after="0"/>
        <w:rPr>
          <w:rFonts w:ascii="Arial" w:cs="Arial" w:eastAsia="Arial" w:hAnsi="Arial"/>
          <w:sz w:val="16"/>
          <w:szCs w:val="16"/>
          <w:color w:val="auto"/>
        </w:rPr>
      </w:pPr>
      <w:r>
        <w:rPr>
          <w:rFonts w:ascii="Times New Roman" w:cs="Times New Roman" w:eastAsia="Times New Roman" w:hAnsi="Times New Roman"/>
          <w:sz w:val="17"/>
          <w:szCs w:val="17"/>
          <w:color w:val="auto"/>
        </w:rPr>
        <w:t>k_yunhwan@nikom.or.kr</w:t>
      </w:r>
    </w:p>
    <w:p>
      <w:pPr>
        <w:spacing w:after="0" w:line="140" w:lineRule="exact"/>
        <w:rPr>
          <w:rFonts w:ascii="Arial" w:cs="Arial" w:eastAsia="Arial" w:hAnsi="Arial"/>
          <w:sz w:val="16"/>
          <w:szCs w:val="16"/>
          <w:color w:val="auto"/>
        </w:rPr>
      </w:pPr>
    </w:p>
    <w:p>
      <w:pPr>
        <w:ind w:left="290" w:right="2760"/>
        <w:spacing w:after="0" w:line="219" w:lineRule="auto"/>
        <w:rPr>
          <w:rFonts w:ascii="Arial" w:cs="Arial" w:eastAsia="Arial" w:hAnsi="Arial"/>
          <w:sz w:val="16"/>
          <w:szCs w:val="16"/>
          <w:color w:val="auto"/>
        </w:rPr>
      </w:pPr>
      <w:r>
        <w:rPr>
          <w:rFonts w:ascii="Times New Roman" w:cs="Times New Roman" w:eastAsia="Times New Roman" w:hAnsi="Times New Roman"/>
          <w:sz w:val="17"/>
          <w:szCs w:val="17"/>
          <w:color w:val="auto"/>
        </w:rPr>
        <w:t>Myung-Hwan Choi maesro@naturegarden.kr</w:t>
      </w:r>
    </w:p>
    <w:p>
      <w:pPr>
        <w:spacing w:after="0" w:line="244" w:lineRule="exact"/>
        <w:rPr>
          <w:sz w:val="24"/>
          <w:szCs w:val="24"/>
          <w:color w:val="auto"/>
        </w:rPr>
      </w:pPr>
    </w:p>
    <w:p>
      <w:pPr>
        <w:ind w:left="290" w:right="740" w:hanging="280"/>
        <w:spacing w:after="0" w:line="185" w:lineRule="auto"/>
        <w:tabs>
          <w:tab w:leader="none" w:pos="290" w:val="left"/>
        </w:tabs>
        <w:numPr>
          <w:ilvl w:val="0"/>
          <w:numId w:val="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7"/>
          <w:szCs w:val="17"/>
          <w:color w:val="auto"/>
        </w:rPr>
        <w:t>Department of Food and Nutrition, Daegu University, Gyeonsan 38453, Korea</w:t>
      </w:r>
    </w:p>
    <w:p>
      <w:pPr>
        <w:spacing w:after="0" w:line="145" w:lineRule="exact"/>
        <w:rPr>
          <w:rFonts w:ascii="Times New Roman" w:cs="Times New Roman" w:eastAsia="Times New Roman" w:hAnsi="Times New Roman"/>
          <w:sz w:val="23"/>
          <w:szCs w:val="23"/>
          <w:color w:val="auto"/>
          <w:vertAlign w:val="superscript"/>
        </w:rPr>
      </w:pPr>
    </w:p>
    <w:p>
      <w:pPr>
        <w:ind w:left="290" w:right="760" w:hanging="280"/>
        <w:spacing w:after="0" w:line="186" w:lineRule="auto"/>
        <w:tabs>
          <w:tab w:leader="none" w:pos="290" w:val="left"/>
        </w:tabs>
        <w:numPr>
          <w:ilvl w:val="0"/>
          <w:numId w:val="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7"/>
          <w:szCs w:val="17"/>
          <w:color w:val="auto"/>
        </w:rPr>
        <w:t>National Institute for Korean Medicine Development, Gyeonsan 38540, Korea</w:t>
      </w:r>
    </w:p>
    <w:p>
      <w:pPr>
        <w:spacing w:after="0" w:line="37" w:lineRule="exact"/>
        <w:rPr>
          <w:rFonts w:ascii="Times New Roman" w:cs="Times New Roman" w:eastAsia="Times New Roman" w:hAnsi="Times New Roman"/>
          <w:sz w:val="23"/>
          <w:szCs w:val="23"/>
          <w:color w:val="auto"/>
          <w:vertAlign w:val="superscript"/>
        </w:rPr>
      </w:pPr>
    </w:p>
    <w:p>
      <w:pPr>
        <w:ind w:left="290" w:hanging="280"/>
        <w:spacing w:after="0"/>
        <w:tabs>
          <w:tab w:leader="none" w:pos="290" w:val="left"/>
        </w:tabs>
        <w:numPr>
          <w:ilvl w:val="0"/>
          <w:numId w:val="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7"/>
          <w:szCs w:val="17"/>
          <w:color w:val="auto"/>
        </w:rPr>
        <w:t>Hanbando, R&amp;DB Center, Gyeonsan 38453, Korea</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33" w:lineRule="exact"/>
        <w:rPr>
          <w:sz w:val="24"/>
          <w:szCs w:val="24"/>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used for the production of SMCB-II. The SMCBs would be expected to contribute to an easy-to-carry, easy-to-con-sume, and high value-added health beverage for the mod-ern people.</w:t>
      </w:r>
    </w:p>
    <w:p>
      <w:pPr>
        <w:spacing w:after="0" w:line="299" w:lineRule="exact"/>
        <w:rPr>
          <w:sz w:val="24"/>
          <w:szCs w:val="24"/>
          <w:color w:val="auto"/>
        </w:rPr>
      </w:pPr>
    </w:p>
    <w:p>
      <w:pPr>
        <w:ind w:right="20"/>
        <w:spacing w:after="0" w:line="232" w:lineRule="auto"/>
        <w:rPr>
          <w:sz w:val="20"/>
          <w:szCs w:val="20"/>
          <w:color w:val="auto"/>
        </w:rPr>
      </w:pPr>
      <w:r>
        <w:rPr>
          <w:rFonts w:ascii="Times New Roman" w:cs="Times New Roman" w:eastAsia="Times New Roman" w:hAnsi="Times New Roman"/>
          <w:sz w:val="20"/>
          <w:szCs w:val="20"/>
          <w:color w:val="auto"/>
        </w:rPr>
        <w:t>Keywords Antibacterial Antioxidant Medicinal plants Nitric oxide Stick-type medicinal concentrated beverage</w:t>
      </w:r>
    </w:p>
    <w:p>
      <w:pPr>
        <w:spacing w:after="0" w:line="200" w:lineRule="exact"/>
        <w:rPr>
          <w:sz w:val="24"/>
          <w:szCs w:val="24"/>
          <w:color w:val="auto"/>
        </w:rPr>
      </w:pPr>
    </w:p>
    <w:p>
      <w:pPr>
        <w:spacing w:after="0" w:line="298"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Introduction</w:t>
      </w:r>
    </w:p>
    <w:p>
      <w:pPr>
        <w:spacing w:after="0" w:line="310" w:lineRule="exact"/>
        <w:rPr>
          <w:sz w:val="24"/>
          <w:szCs w:val="24"/>
          <w:color w:val="auto"/>
        </w:rPr>
      </w:pPr>
    </w:p>
    <w:p>
      <w:pPr>
        <w:jc w:val="both"/>
        <w:spacing w:after="0" w:line="257"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The main air pollutants have received growing attention as the key cause of respiratory illnesses in modern society. Respiratory system illnesses can also be caused by various bacteria. According to the Centers for Disease Control and Prevention, the most common cause of nosocomial pneu-monia cases was Staphylococcus aureus between 1990 and 1992 in the United States (Emori and Gaynes, </w:t>
      </w:r>
      <w:hyperlink w:anchor="page11">
        <w:r>
          <w:rPr>
            <w:rFonts w:ascii="Times New Roman" w:cs="Times New Roman" w:eastAsia="Times New Roman" w:hAnsi="Times New Roman"/>
            <w:sz w:val="20"/>
            <w:szCs w:val="20"/>
            <w:color w:val="0000FF"/>
          </w:rPr>
          <w:t>1993</w:t>
        </w:r>
      </w:hyperlink>
      <w:r>
        <w:rPr>
          <w:rFonts w:ascii="Times New Roman" w:cs="Times New Roman" w:eastAsia="Times New Roman" w:hAnsi="Times New Roman"/>
          <w:sz w:val="20"/>
          <w:szCs w:val="20"/>
          <w:color w:val="auto"/>
        </w:rPr>
        <w:t xml:space="preserve">). In addition, Corynebacterium diphtheriae is the main cause of diphtheria, a bacterial respiratory infection (Belsey et al., </w:t>
      </w:r>
      <w:hyperlink w:anchor="page11">
        <w:r>
          <w:rPr>
            <w:rFonts w:ascii="Times New Roman" w:cs="Times New Roman" w:eastAsia="Times New Roman" w:hAnsi="Times New Roman"/>
            <w:sz w:val="20"/>
            <w:szCs w:val="20"/>
            <w:color w:val="0000FF"/>
          </w:rPr>
          <w:t>1969</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Streptococcus pyogenes</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infects the upper airway</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(nose, pharynx, larynx, etc.) and is the causative pathogen of pharyngitis, pneumonia, and acute respiratory distress syndrome (Stevens, </w:t>
      </w:r>
      <w:hyperlink w:anchor="page11">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000000"/>
        </w:rPr>
        <w:t xml:space="preserve">). Mycobacterium sp. is classified into tuberculous and non-tuberculous bacteria, where the latter is predominantly responsible for pulmonary diseases (Stout et al., </w:t>
      </w:r>
      <w:hyperlink w:anchor="page11">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 A bronchial disease is caused when the bronchial mucosal cells are weakened by the common cold, fine particulate matter, or cigarette smoking, and the sec-ondary infection by pathogenic bacteria results in inflam-mation that persists and leads to conditions such as asthma, pneumonia, or tuberculosis.</w:t>
      </w:r>
    </w:p>
    <w:p>
      <w:pPr>
        <w:spacing w:after="0" w:line="59" w:lineRule="exact"/>
        <w:rPr>
          <w:rFonts w:ascii="Times New Roman" w:cs="Times New Roman" w:eastAsia="Times New Roman" w:hAnsi="Times New Roman"/>
          <w:sz w:val="20"/>
          <w:szCs w:val="20"/>
          <w:color w:val="0000FF"/>
        </w:rPr>
      </w:pPr>
    </w:p>
    <w:p>
      <w:pPr>
        <w:jc w:val="both"/>
        <w:ind w:firstLine="227"/>
        <w:spacing w:after="0" w:line="237" w:lineRule="auto"/>
        <w:rPr>
          <w:sz w:val="20"/>
          <w:szCs w:val="20"/>
          <w:color w:val="auto"/>
        </w:rPr>
      </w:pPr>
      <w:r>
        <w:rPr>
          <w:rFonts w:ascii="Times New Roman" w:cs="Times New Roman" w:eastAsia="Times New Roman" w:hAnsi="Times New Roman"/>
          <w:sz w:val="20"/>
          <w:szCs w:val="20"/>
          <w:color w:val="auto"/>
        </w:rPr>
        <w:t>Medicinal plants have traditionally been widely used for beneficial pharmacological effects on human health. Syzy-gium aromaticum, Plantago asiatica, Glycyrrhiza</w:t>
      </w:r>
    </w:p>
    <w:p>
      <w:pPr>
        <w:spacing w:after="0" w:line="200" w:lineRule="exact"/>
        <w:rPr>
          <w:rFonts w:ascii="Times New Roman" w:cs="Times New Roman" w:eastAsia="Times New Roman" w:hAnsi="Times New Roman"/>
          <w:sz w:val="20"/>
          <w:szCs w:val="20"/>
          <w:color w:val="0000FF"/>
        </w:rPr>
      </w:pPr>
    </w:p>
    <w:p>
      <w:pPr>
        <w:sectPr>
          <w:pgSz w:w="11900" w:h="15817" w:orient="portrait"/>
          <w:cols w:equalWidth="0" w:num="2">
            <w:col w:w="4770" w:space="340"/>
            <w:col w:w="4760"/>
          </w:cols>
          <w:pgMar w:left="1010" w:top="636" w:right="1026" w:bottom="318" w:gutter="0" w:footer="0" w:header="0"/>
          <w:type w:val="continuous"/>
        </w:sectPr>
      </w:pPr>
    </w:p>
    <w:p>
      <w:pPr>
        <w:spacing w:after="0" w:line="75" w:lineRule="exact"/>
        <w:rPr>
          <w:rFonts w:ascii="Times New Roman" w:cs="Times New Roman" w:eastAsia="Times New Roman" w:hAnsi="Times New Roman"/>
          <w:sz w:val="20"/>
          <w:szCs w:val="20"/>
          <w:color w:val="0000FF"/>
        </w:rPr>
      </w:pPr>
    </w:p>
    <w:p>
      <w:pPr>
        <w:ind w:left="9090"/>
        <w:spacing w:after="0"/>
        <w:rPr>
          <w:sz w:val="20"/>
          <w:szCs w:val="20"/>
          <w:color w:val="auto"/>
        </w:rPr>
      </w:pPr>
      <w:r>
        <w:rPr>
          <w:rFonts w:ascii="Arial" w:cs="Arial" w:eastAsia="Arial" w:hAnsi="Arial"/>
          <w:sz w:val="30"/>
          <w:szCs w:val="30"/>
          <w:color w:val="auto"/>
        </w:rPr>
        <w:t>123</w:t>
      </w:r>
    </w:p>
    <w:p>
      <w:pPr>
        <w:spacing w:after="0" w:line="20" w:lineRule="exact"/>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0000FF"/>
        </w:rPr>
        <w:drawing>
          <wp:anchor simplePos="0" relativeHeight="251657728" behindDoc="1" locked="0" layoutInCell="0" allowOverlap="1">
            <wp:simplePos x="0" y="0"/>
            <wp:positionH relativeFrom="column">
              <wp:posOffset>6350</wp:posOffset>
            </wp:positionH>
            <wp:positionV relativeFrom="paragraph">
              <wp:posOffset>-130175</wp:posOffset>
            </wp:positionV>
            <wp:extent cx="1676400" cy="137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676400" cy="137160"/>
                    </a:xfrm>
                    <a:prstGeom prst="rect">
                      <a:avLst/>
                    </a:prstGeom>
                    <a:noFill/>
                  </pic:spPr>
                </pic:pic>
              </a:graphicData>
            </a:graphic>
          </wp:anchor>
        </w:drawing>
      </w:r>
    </w:p>
    <w:p>
      <w:pPr>
        <w:sectPr>
          <w:pgSz w:w="11900" w:h="15817" w:orient="portrait"/>
          <w:cols w:equalWidth="0" w:num="1">
            <w:col w:w="9870"/>
          </w:cols>
          <w:pgMar w:left="1010" w:top="636" w:right="1026" w:bottom="318" w:gutter="0" w:footer="0" w:header="0"/>
          <w:type w:val="continuous"/>
        </w:sectPr>
      </w:pPr>
    </w:p>
    <w:bookmarkStart w:id="1" w:name="page2"/>
    <w:bookmarkEnd w:id="1"/>
    <w:p>
      <w:pPr>
        <w:ind w:left="8640"/>
        <w:spacing w:after="0"/>
        <w:rPr>
          <w:sz w:val="20"/>
          <w:szCs w:val="20"/>
          <w:color w:val="auto"/>
        </w:rPr>
      </w:pPr>
      <w:r>
        <w:rPr>
          <w:rFonts w:ascii="Times New Roman" w:cs="Times New Roman" w:eastAsia="Times New Roman" w:hAnsi="Times New Roman"/>
          <w:sz w:val="17"/>
          <w:szCs w:val="17"/>
          <w:color w:val="auto"/>
        </w:rPr>
        <w:t>H.-J. Chang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36" w:lineRule="exact"/>
        <w:rPr>
          <w:sz w:val="20"/>
          <w:szCs w:val="20"/>
          <w:color w:val="auto"/>
        </w:rPr>
      </w:pPr>
    </w:p>
    <w:p>
      <w:pPr>
        <w:jc w:val="both"/>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uralensis, Panax ginseng, and Platycodon grandiflorum have been reported to exhibit antimicrobial effects against the bacteria causing bronchial diseases as well as various microorganisms (Lee et al., </w:t>
      </w:r>
      <w:hyperlink w:anchor="page11">
        <w:r>
          <w:rPr>
            <w:rFonts w:ascii="Times New Roman" w:cs="Times New Roman" w:eastAsia="Times New Roman" w:hAnsi="Times New Roman"/>
            <w:sz w:val="20"/>
            <w:szCs w:val="20"/>
            <w:color w:val="0000FF"/>
          </w:rPr>
          <w:t>2000</w:t>
        </w:r>
      </w:hyperlink>
      <w:r>
        <w:rPr>
          <w:rFonts w:ascii="Times New Roman" w:cs="Times New Roman" w:eastAsia="Times New Roman" w:hAnsi="Times New Roman"/>
          <w:sz w:val="20"/>
          <w:szCs w:val="20"/>
          <w:color w:val="auto"/>
        </w:rPr>
        <w:t xml:space="preserve">; Ravn and Brimer, </w:t>
      </w:r>
      <w:hyperlink w:anchor="page11">
        <w:r>
          <w:rPr>
            <w:rFonts w:ascii="Times New Roman" w:cs="Times New Roman" w:eastAsia="Times New Roman" w:hAnsi="Times New Roman"/>
            <w:sz w:val="20"/>
            <w:szCs w:val="20"/>
            <w:color w:val="0000FF"/>
          </w:rPr>
          <w:t>1988</w:t>
        </w:r>
      </w:hyperlink>
      <w:r>
        <w:rPr>
          <w:rFonts w:ascii="Times New Roman" w:cs="Times New Roman" w:eastAsia="Times New Roman" w:hAnsi="Times New Roman"/>
          <w:sz w:val="20"/>
          <w:szCs w:val="20"/>
          <w:color w:val="auto"/>
        </w:rPr>
        <w:t xml:space="preserve">; Sung and Lee, </w:t>
      </w:r>
      <w:hyperlink w:anchor="page11">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Wang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xml:space="preserve">). Ongoing studies are also focused on the antimicrobial mechanisms of the extracts or main components of these plants. The anti-in-flammatory activity of Syzygium aromaticum, Glycyrrhiza uralensis, Plantago asiatica, Panax ginseng, and Pueraria lobata have been reported to inhibit nitric oxide production and suppress pro-inflammatory mediator expression (Lee et al., </w:t>
      </w:r>
      <w:hyperlink w:anchor="page11">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 xml:space="preserve">; Sung and Lee, </w:t>
      </w:r>
      <w:hyperlink w:anchor="page11">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Tanemoto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xml:space="preserve">; Tu¨rel et al., </w:t>
      </w:r>
      <w:hyperlink w:anchor="page11">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Analysis of the DPPH free radical scavenging capacity and ferrous ion (Fe</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chelating activity shown by the extracts of Plantago asiatica and Kalopanax pictus identified that the antioxidant activity is produced by phenolic acids, polyphenols, and flavonoids (Amakura et al., </w:t>
      </w:r>
      <w:hyperlink w:anchor="page11">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auto"/>
        </w:rPr>
        <w:t xml:space="preserve">; Kim et al.,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auto"/>
        </w:rPr>
        <w:t>).</w:t>
      </w:r>
    </w:p>
    <w:p>
      <w:pPr>
        <w:spacing w:after="0" w:line="57" w:lineRule="exact"/>
        <w:rPr>
          <w:rFonts w:ascii="Times New Roman" w:cs="Times New Roman" w:eastAsia="Times New Roman" w:hAnsi="Times New Roman"/>
          <w:sz w:val="20"/>
          <w:szCs w:val="20"/>
          <w:color w:val="auto"/>
        </w:rPr>
      </w:pPr>
    </w:p>
    <w:p>
      <w:pPr>
        <w:jc w:val="both"/>
        <w:ind w:firstLine="227"/>
        <w:spacing w:after="0" w:line="257" w:lineRule="auto"/>
        <w:rPr>
          <w:sz w:val="20"/>
          <w:szCs w:val="20"/>
          <w:color w:val="auto"/>
        </w:rPr>
      </w:pPr>
      <w:r>
        <w:rPr>
          <w:rFonts w:ascii="Times New Roman" w:cs="Times New Roman" w:eastAsia="Times New Roman" w:hAnsi="Times New Roman"/>
          <w:sz w:val="20"/>
          <w:szCs w:val="20"/>
          <w:color w:val="auto"/>
        </w:rPr>
        <w:t>Presently in 2019, the Ministry of Food and Drug Safety in Korea has 33 categories for the approval and release of functional materials for functional health foods, including intestinal health, cholesterol regulation, body fat reduction, and antioxidant activity; however, a category for approval has not yet been established for the functional ingredients that improve respiratory or bronchial symptoms (MFDS and NFSI). The prevalence and mortality rates of respira-tory and chronic lung diseases have increased, not only in Korea but across the globe, due to the deteriorated air quality caused by climate change, air pollutants such as fine particulate matter, and cigarette smoking. This impli-cates a need for the development of functional ingredients and functional foods with respect to respiratory illnesses. In Korea, research on medicinal plants or their complex extracts for improving respiratory illnesses has been con-ducted; in particular, toward the development of concen-trated beverages as they can be carried around and consumed in a convenient way.</w:t>
      </w:r>
    </w:p>
    <w:p>
      <w:pPr>
        <w:spacing w:after="0" w:line="52" w:lineRule="exact"/>
        <w:rPr>
          <w:rFonts w:ascii="Times New Roman" w:cs="Times New Roman" w:eastAsia="Times New Roman" w:hAnsi="Times New Roman"/>
          <w:sz w:val="20"/>
          <w:szCs w:val="20"/>
          <w:color w:val="auto"/>
        </w:rPr>
      </w:pPr>
    </w:p>
    <w:p>
      <w:pPr>
        <w:jc w:val="both"/>
        <w:ind w:firstLine="227"/>
        <w:spacing w:after="0" w:line="256" w:lineRule="auto"/>
        <w:rPr>
          <w:sz w:val="20"/>
          <w:szCs w:val="20"/>
          <w:color w:val="auto"/>
        </w:rPr>
      </w:pPr>
      <w:r>
        <w:rPr>
          <w:rFonts w:ascii="Times New Roman" w:cs="Times New Roman" w:eastAsia="Times New Roman" w:hAnsi="Times New Roman"/>
          <w:sz w:val="20"/>
          <w:szCs w:val="20"/>
          <w:color w:val="auto"/>
        </w:rPr>
        <w:t>In this study, total phenolics, total flavonoids, and crude saponin contents of the pharmacologically active nine medicinal plants were analyzed; their antioxidant, antibacterial and inhibition of nitric oxide production effects were evaluated with the purpose of investigating the basic efficacy of each medicinal plant for improving res-piratory illnesses. By combining Zizyphus jujuba extract with a concentrate of the complex extract produced by mixing different composition ratio of medicinal plants, a stick-type medicinal concentrated beverage (SMCB) was developed, and its antioxidant, antibacterial, and nitric oxide inhibitory activities were assessed to verify the potential application as a functional medicinal beverage.</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274"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Materials and methods</w:t>
      </w:r>
    </w:p>
    <w:p>
      <w:pPr>
        <w:spacing w:after="0" w:line="265"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Materials</w:t>
      </w:r>
    </w:p>
    <w:p>
      <w:pPr>
        <w:spacing w:after="0" w:line="314" w:lineRule="exact"/>
        <w:rPr>
          <w:rFonts w:ascii="Times New Roman" w:cs="Times New Roman" w:eastAsia="Times New Roman" w:hAnsi="Times New Roman"/>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The medicinal plants were provided by the National Institute for Korean Medicine Development (Gyeongsan, Korea): Platycodon grandiflorum (PGA; Yeongju, Korea), Plantago asiatica (PA; China), Panax ginseng (PG; Yeongju, Korea), Citrus unshiu (CU; Jeju, Korea), Zizy-phus jujuba (ZJ; Gyeongsan, Korea), Glycyrrhiza uralensis (GU; China), Pueraria lobata (PL; Geochang, Korea), Kalopanax pictus (KP; Hoengseong, Korea), and Syzygium aromaticum (SA; Indonesia). For stick-type medicinal beverages commercially available in Korea: red ginseng concentrated beverage (CGB; JeongKwanJang, Daejeon, Korea) and platycodon ginseng beverage (CPBG; PGA (90%), ZJ (5%), red ginseng (3.4%); Natural Charm Food, Goyang, Gyeonggido, Korea) were purchased.</w:t>
      </w:r>
    </w:p>
    <w:p>
      <w:pPr>
        <w:spacing w:after="0" w:line="10" w:lineRule="exact"/>
        <w:rPr>
          <w:rFonts w:ascii="Times New Roman" w:cs="Times New Roman" w:eastAsia="Times New Roman" w:hAnsi="Times New Roman"/>
          <w:sz w:val="20"/>
          <w:szCs w:val="20"/>
          <w:color w:val="auto"/>
        </w:rPr>
      </w:pPr>
    </w:p>
    <w:p>
      <w:pPr>
        <w:jc w:val="both"/>
        <w:ind w:firstLine="227"/>
        <w:spacing w:after="0" w:line="248" w:lineRule="auto"/>
        <w:rPr>
          <w:sz w:val="20"/>
          <w:szCs w:val="20"/>
          <w:color w:val="auto"/>
        </w:rPr>
      </w:pPr>
      <w:r>
        <w:rPr>
          <w:rFonts w:ascii="Times New Roman" w:cs="Times New Roman" w:eastAsia="Times New Roman" w:hAnsi="Times New Roman"/>
          <w:sz w:val="19"/>
          <w:szCs w:val="19"/>
          <w:color w:val="auto"/>
        </w:rPr>
        <w:t>Dipotassium hydrogen phosphate (K</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HPO</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ammo-nium nitrate (NH</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NO</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magnesium sulfate anhydrous (MgSO</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and sodium carbonate (Na</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CO</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were purchased from Junsei Chemical Co., Ltd. (Tokyo, Japan). Dextrose, iron(II) sulfate heptahydrate (FeSO</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19"/>
          <w:szCs w:val="19"/>
          <w:color w:val="auto"/>
        </w:rPr>
        <w:t xml:space="preserve"> 7H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O), Folin–Cio-calteu phenol reagent, iron(III) sulfate hexahydrate (FeCl</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6H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O), sodium nitrite (NaNO</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quercetin, 2,2-diphenyl-1-picrylhydrazyl (DPPH), aluminum chloride (AlCl</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gallic acid, 2,4,6-tris(2-pyridyl)-s-triazine (TPTZ), phosphate buffered saline (PBS), and lipopolysaccharide (LPS) were purchased from Sigma-Aldrich Co., Ltd. (St. Louis, MO, USA). Sodium acetate trihydrate and L(?)-ascorbic acid were purchased from Samchun Pure Chem-ical Co., Ltd. (Pyeongtaek, Gyeonggi-do, Korea). BBL</w:t>
      </w:r>
      <w:r>
        <w:rPr>
          <w:rFonts w:ascii="Times New Roman" w:cs="Times New Roman" w:eastAsia="Times New Roman" w:hAnsi="Times New Roman"/>
          <w:sz w:val="25"/>
          <w:szCs w:val="25"/>
          <w:color w:val="auto"/>
          <w:vertAlign w:val="superscript"/>
        </w:rPr>
        <w:t>TM</w:t>
      </w:r>
      <w:r>
        <w:rPr>
          <w:rFonts w:ascii="Times New Roman" w:cs="Times New Roman" w:eastAsia="Times New Roman" w:hAnsi="Times New Roman"/>
          <w:sz w:val="19"/>
          <w:szCs w:val="19"/>
          <w:color w:val="auto"/>
        </w:rPr>
        <w:t xml:space="preserve"> trypticase</w:t>
      </w:r>
      <w:r>
        <w:rPr>
          <w:rFonts w:ascii="Times New Roman" w:cs="Times New Roman" w:eastAsia="Times New Roman" w:hAnsi="Times New Roman"/>
          <w:sz w:val="25"/>
          <w:szCs w:val="25"/>
          <w:color w:val="auto"/>
          <w:vertAlign w:val="superscript"/>
        </w:rPr>
        <w:t>TM</w:t>
      </w:r>
      <w:r>
        <w:rPr>
          <w:rFonts w:ascii="Times New Roman" w:cs="Times New Roman" w:eastAsia="Times New Roman" w:hAnsi="Times New Roman"/>
          <w:sz w:val="19"/>
          <w:szCs w:val="19"/>
          <w:color w:val="auto"/>
        </w:rPr>
        <w:t xml:space="preserve"> soy broth and Bacto</w:t>
      </w:r>
      <w:r>
        <w:rPr>
          <w:rFonts w:ascii="Times New Roman" w:cs="Times New Roman" w:eastAsia="Times New Roman" w:hAnsi="Times New Roman"/>
          <w:sz w:val="25"/>
          <w:szCs w:val="25"/>
          <w:color w:val="auto"/>
          <w:vertAlign w:val="superscript"/>
        </w:rPr>
        <w:t>TM</w:t>
      </w:r>
      <w:r>
        <w:rPr>
          <w:rFonts w:ascii="Times New Roman" w:cs="Times New Roman" w:eastAsia="Times New Roman" w:hAnsi="Times New Roman"/>
          <w:sz w:val="19"/>
          <w:szCs w:val="19"/>
          <w:color w:val="auto"/>
        </w:rPr>
        <w:t xml:space="preserve"> yeast extract were purchased from Becton, Dickinson and Company (BD) (Franklin Lakes, NJ, USA). Sulfanilamide and N-1-naph-thylethylenediamine dihydrochloride (NED) solutions were purchased from Promega (Madison, WI, USA). Blood agar plates were purchased from Synergy Innovation (Seong-nam, Gyeonggi-do, Korea) and agar was purchased from Oriental Chemical Industries (Seoul, Korea). Dulbecco’s modified Eagle’s medium (DMEM), fetal bovine serum (FBS), penicillin–streptomycin, and 0.25% trypsin–EDTA solution were purchased from HyClone (Logen, UT, USA).</w:t>
      </w:r>
    </w:p>
    <w:p>
      <w:pPr>
        <w:spacing w:after="0" w:line="271"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Preparation of SMCB</w:t>
      </w:r>
    </w:p>
    <w:p>
      <w:pPr>
        <w:spacing w:after="0" w:line="315" w:lineRule="exact"/>
        <w:rPr>
          <w:rFonts w:ascii="Times New Roman" w:cs="Times New Roman" w:eastAsia="Times New Roman" w:hAnsi="Times New Roman"/>
          <w:sz w:val="20"/>
          <w:szCs w:val="20"/>
          <w:color w:val="auto"/>
        </w:rPr>
      </w:pPr>
    </w:p>
    <w:p>
      <w:pPr>
        <w:jc w:val="both"/>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SMCB-I and SMCB-II were prepared based on the com-position ratio shown in Table </w:t>
      </w:r>
      <w:hyperlink w:anchor="page3">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Each medicinal plant was mixed to the weight of 200 g, water (2 L) was added, and then put through two sets of reflux extraction at 100 LC for 2 h. After filtration, the concentrate and ZJ extract (60LBrix, Hanbando, Gyeongsan, Korea) were mixed at a</w:t>
      </w:r>
    </w:p>
    <w:p>
      <w:pPr>
        <w:spacing w:after="0" w:line="200" w:lineRule="exact"/>
        <w:rPr>
          <w:rFonts w:ascii="Times New Roman" w:cs="Times New Roman" w:eastAsia="Times New Roman" w:hAnsi="Times New Roman"/>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284" w:lineRule="exact"/>
        <w:rPr>
          <w:rFonts w:ascii="Times New Roman" w:cs="Times New Roman" w:eastAsia="Times New Roman" w:hAnsi="Times New Roman"/>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7"/>
          <w:szCs w:val="17"/>
          <w:color w:val="auto"/>
        </w:rPr>
        <w:t>Functional effect of medicinal plants and beverage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Table 1 Composition of medicinal plants for preparation of stick-type medicinal concentrated beverage (SMCB)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203200</wp:posOffset>
            </wp:positionV>
            <wp:extent cx="424815" cy="1073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424815" cy="107315"/>
                    </a:xfrm>
                    <a:prstGeom prst="rect">
                      <a:avLst/>
                    </a:prstGeom>
                    <a:noFill/>
                  </pic:spPr>
                </pic:pic>
              </a:graphicData>
            </a:graphic>
          </wp:anchor>
        </w:drawing>
        <w:drawing>
          <wp:anchor simplePos="0" relativeHeight="251657728" behindDoc="1" locked="0" layoutInCell="0" allowOverlap="1">
            <wp:simplePos x="0" y="0"/>
            <wp:positionH relativeFrom="column">
              <wp:posOffset>3197860</wp:posOffset>
            </wp:positionH>
            <wp:positionV relativeFrom="paragraph">
              <wp:posOffset>203200</wp:posOffset>
            </wp:positionV>
            <wp:extent cx="464185" cy="1073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464185" cy="1073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170180</wp:posOffset>
                </wp:positionV>
                <wp:extent cx="460692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6925" cy="4763"/>
                        </a:xfrm>
                        <a:prstGeom prst="line">
                          <a:avLst/>
                        </a:prstGeom>
                        <a:solidFill>
                          <a:srgbClr val="FFFFFF"/>
                        </a:solidFill>
                        <a:ln w="9497">
                          <a:solidFill>
                            <a:srgbClr val="13141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4pt" to="362.75pt,13.4pt" o:allowincell="f" strokecolor="#131413" strokeweight="0.7478pt"/>
            </w:pict>
          </mc:Fallback>
        </mc:AlternateContent>
        <w:drawing>
          <wp:anchor simplePos="0" relativeHeight="251657728" behindDoc="1" locked="0" layoutInCell="0" allowOverlap="1">
            <wp:simplePos x="0" y="0"/>
            <wp:positionH relativeFrom="column">
              <wp:posOffset>40640</wp:posOffset>
            </wp:positionH>
            <wp:positionV relativeFrom="paragraph">
              <wp:posOffset>443230</wp:posOffset>
            </wp:positionV>
            <wp:extent cx="813435" cy="133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813435" cy="133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339090</wp:posOffset>
            </wp:positionV>
            <wp:extent cx="4606925" cy="3448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4606925" cy="34480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339090</wp:posOffset>
            </wp:positionV>
            <wp:extent cx="4606925" cy="3448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4606925" cy="3448050"/>
                    </a:xfrm>
                    <a:prstGeom prst="rect">
                      <a:avLst/>
                    </a:prstGeom>
                    <a:noFill/>
                  </pic:spPr>
                </pic:pic>
              </a:graphicData>
            </a:graphic>
          </wp:anchor>
        </w:drawing>
      </w:r>
    </w:p>
    <w:p>
      <w:pPr>
        <w:sectPr>
          <w:pgSz w:w="11900" w:h="15817" w:orient="portrait"/>
          <w:cols w:equalWidth="0" w:num="1">
            <w:col w:w="9860"/>
          </w:cols>
          <w:pgMar w:left="1020" w:top="639" w:right="1026" w:bottom="3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ratio of 1:1 (v/v) by adding water to produce a concentrate of 40LBrix. Each medicinal plant was mixed with hot water (10 times the weight of the plant) and followed by two sets of reflux extraction at 100 LC for 2 h. After filtration, the extract was concentrated, freeze-dried (PVTFD20R, Shin-BioBase, Dongducheon, Korea), and stored at - 4 LC for subsequent use.</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Total phenolic content (TPC) analysis</w:t>
      </w:r>
    </w:p>
    <w:p>
      <w:pPr>
        <w:spacing w:after="0" w:line="31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SMCBs and the freeze-dried extracts of medicinal plants were diluted to 0.1 g/5 mL in distilled water for the various analyses. In a test tube, 0.5 mL sample, 4.5 mL distilled water, and 0.5 mL of Folin–Ciocateu reagent were added; 1 mL of Na</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CO</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was added to the mixture after 3 min. After leaving the sample mixture in a dark room for 1 h, the absorbance was measured at 725 nm using a microplate reader (Multiskan GO, Thermo Scientific, Waltham, MA, USA). Gallic acid solutions were prepared for the standard curve, and the TPC was calculated and expressed as mg gallic acid equivalent (GAE)/g.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Total flavonoids content (TFC) analysis</w:t>
      </w:r>
    </w:p>
    <w:p>
      <w:pPr>
        <w:spacing w:after="0" w:line="31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In a test tube, 1 mL sample and 4 mL distilled water were added. After leaving it to stand for 5 min, 0.3 mL of 5% NaNO</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solution and 0.3 mL of 10% AlCl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solution were added. After 6 min, 2 mL of 1 M NaOH solution and 2.4 mL distilled water were added, and the absorbance was measured at 510 nm using a microplate reader. Quercetin solutions were prepared to produce the standard curve, and then the TFC was calculated and expressed as mg quercetin equivalent (QE)/g.</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Crude saponin content analysis</w:t>
      </w:r>
    </w:p>
    <w:p>
      <w:pPr>
        <w:spacing w:after="0" w:line="314"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9"/>
          <w:szCs w:val="19"/>
          <w:color w:val="auto"/>
        </w:rPr>
        <w:t>In a conical flask, 1–2 g sample and 60 mL distilled water were mixed and transferred to a separatory funnel, to which 60 mL ethyl ether was added for removing lipids. The water layer was taken and transferred to a new separatory funnel; 60 mL water-saturated butanol was added and the mixture was left to stand until the water and butanol layers completely separated. After repeated three times, the upper layer was collected in a separatory funnel, and 50 mL distilled water was added for washing and separation. The upper layer was transferred to a round flask and concen-trated with a rotary vacuum evaporator (N-1110, EYELA,</w:t>
      </w:r>
    </w:p>
    <w:p>
      <w:pPr>
        <w:spacing w:after="0" w:line="200"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207" w:lineRule="exact"/>
        <w:rPr>
          <w:sz w:val="20"/>
          <w:szCs w:val="20"/>
          <w:color w:val="auto"/>
        </w:rPr>
      </w:pPr>
    </w:p>
    <w:p>
      <w:pPr>
        <w:ind w:left="908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3" w:name="page4"/>
    <w:bookmarkEnd w:id="3"/>
    <w:p>
      <w:pPr>
        <w:ind w:left="8640"/>
        <w:spacing w:after="0"/>
        <w:rPr>
          <w:sz w:val="20"/>
          <w:szCs w:val="20"/>
          <w:color w:val="auto"/>
        </w:rPr>
      </w:pPr>
      <w:r>
        <w:rPr>
          <w:rFonts w:ascii="Times New Roman" w:cs="Times New Roman" w:eastAsia="Times New Roman" w:hAnsi="Times New Roman"/>
          <w:sz w:val="17"/>
          <w:szCs w:val="17"/>
          <w:color w:val="auto"/>
        </w:rPr>
        <w:t>H.-J. Chang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290"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Tokyo, Japan) followed by drying in a 105 LC oven for 20 min. The crude saponin content was calculated with the following equation:</w:t>
      </w:r>
    </w:p>
    <w:p>
      <w:pPr>
        <w:spacing w:after="0"/>
        <w:tabs>
          <w:tab w:leader="none" w:pos="2340" w:val="left"/>
          <w:tab w:leader="none" w:pos="2780" w:val="left"/>
        </w:tabs>
        <w:rPr>
          <w:sz w:val="20"/>
          <w:szCs w:val="20"/>
          <w:color w:val="auto"/>
        </w:rPr>
      </w:pPr>
      <w:r>
        <w:rPr>
          <w:rFonts w:ascii="Times New Roman" w:cs="Times New Roman" w:eastAsia="Times New Roman" w:hAnsi="Times New Roman"/>
          <w:sz w:val="20"/>
          <w:szCs w:val="20"/>
          <w:color w:val="auto"/>
        </w:rPr>
        <w:t xml:space="preserve">Crude saponin </w:t>
      </w:r>
      <w:r>
        <w:rPr>
          <w:rFonts w:ascii="Arial" w:cs="Arial" w:eastAsia="Arial" w:hAnsi="Arial"/>
          <w:sz w:val="20"/>
          <w:szCs w:val="20"/>
          <w:color w:val="auto"/>
        </w:rPr>
        <w:t>ð</w:t>
      </w:r>
      <w:r>
        <w:rPr>
          <w:rFonts w:ascii="Times New Roman" w:cs="Times New Roman" w:eastAsia="Times New Roman" w:hAnsi="Times New Roman"/>
          <w:sz w:val="20"/>
          <w:szCs w:val="20"/>
          <w:color w:val="auto"/>
        </w:rPr>
        <w:t xml:space="preserve"> g %</w:t>
      </w:r>
      <w:r>
        <w:rPr>
          <w:rFonts w:ascii="Arial" w:cs="Arial" w:eastAsia="Arial" w:hAnsi="Arial"/>
          <w:sz w:val="20"/>
          <w:szCs w:val="20"/>
          <w:color w:val="auto"/>
        </w:rPr>
        <w:t>Þ ¼</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39"/>
          <w:szCs w:val="39"/>
          <w:color w:val="auto"/>
          <w:vertAlign w:val="superscript"/>
        </w:rPr>
        <w:t>A</w:t>
      </w:r>
      <w:r>
        <w:rPr>
          <w:rFonts w:ascii="Times New Roman" w:cs="Times New Roman" w:eastAsia="Times New Roman" w:hAnsi="Times New Roman"/>
          <w:sz w:val="27"/>
          <w:szCs w:val="27"/>
          <w:color w:val="auto"/>
          <w:vertAlign w:val="superscript"/>
        </w:rPr>
        <w:t>2</w:t>
      </w:r>
      <w:r>
        <w:rPr>
          <w:sz w:val="20"/>
          <w:szCs w:val="20"/>
          <w:color w:val="auto"/>
        </w:rPr>
        <w:tab/>
      </w:r>
      <w:r>
        <w:rPr>
          <w:rFonts w:ascii="Times New Roman" w:cs="Times New Roman" w:eastAsia="Times New Roman" w:hAnsi="Times New Roman"/>
          <w:sz w:val="40"/>
          <w:szCs w:val="40"/>
          <w:color w:val="auto"/>
          <w:vertAlign w:val="superscript"/>
        </w:rPr>
        <w:t>A</w:t>
      </w:r>
      <w:r>
        <w:rPr>
          <w:rFonts w:ascii="Times New Roman" w:cs="Times New Roman" w:eastAsia="Times New Roman" w:hAnsi="Times New Roman"/>
          <w:sz w:val="27"/>
          <w:szCs w:val="27"/>
          <w:color w:val="auto"/>
          <w:vertAlign w:val="superscript"/>
        </w:rPr>
        <w:t>1</w:t>
      </w:r>
      <w:r>
        <w:rPr>
          <w:sz w:val="20"/>
          <w:szCs w:val="20"/>
          <w:color w:val="auto"/>
        </w:rPr>
        <w:tab/>
      </w:r>
      <w:r>
        <w:rPr>
          <w:rFonts w:ascii="Times New Roman" w:cs="Times New Roman" w:eastAsia="Times New Roman" w:hAnsi="Times New Roman"/>
          <w:sz w:val="20"/>
          <w:szCs w:val="20"/>
          <w:color w:val="auto"/>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1201420</wp:posOffset>
                </wp:positionH>
                <wp:positionV relativeFrom="paragraph">
                  <wp:posOffset>-31750</wp:posOffset>
                </wp:positionV>
                <wp:extent cx="42481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6pt,-2.4999pt" to="128.05pt,-2.4999pt" o:allowincell="f" strokecolor="#000000" strokeweight="0.3969pt"/>
            </w:pict>
          </mc:Fallback>
        </mc:AlternateContent>
      </w:r>
    </w:p>
    <w:p>
      <w:pPr>
        <w:ind w:left="2180"/>
        <w:spacing w:after="0" w:line="186" w:lineRule="auto"/>
        <w:rPr>
          <w:sz w:val="20"/>
          <w:szCs w:val="20"/>
          <w:color w:val="auto"/>
        </w:rPr>
      </w:pPr>
      <w:r>
        <w:rPr>
          <w:rFonts w:ascii="Times New Roman" w:cs="Times New Roman" w:eastAsia="Times New Roman" w:hAnsi="Times New Roman"/>
          <w:sz w:val="20"/>
          <w:szCs w:val="20"/>
          <w:color w:val="auto"/>
        </w:rPr>
        <w:t>S</w:t>
      </w:r>
    </w:p>
    <w:p>
      <w:pPr>
        <w:spacing w:after="0" w:line="8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 weight of flask (g), A</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 weight of flask after con-centrated and dried water-saturated butanol layer (g), S = weight of sample (g).</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Antioxidant assays</w: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DPPH free radical scavenging capacity (RSC)</w:t>
      </w:r>
    </w:p>
    <w:p>
      <w:pPr>
        <w:spacing w:after="0" w:line="314"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To a test tube, the diluted sample (0.2 mL), ethanol (1.8 mL), and 0.15 mM DPPH solution (2.5 mL) were mixed. The mixture was left in a dark room for 30 min, then the absorbance was measured at 517 nm using a UV/ vis spectrophotometer (Optizen 2120UV, Optizen, Dae-jeon, Korea). The DPPH RSC was calculated using the following equation:</w:t>
      </w:r>
    </w:p>
    <w:p>
      <w:pPr>
        <w:spacing w:after="0"/>
        <w:tabs>
          <w:tab w:leader="none" w:pos="2020" w:val="left"/>
          <w:tab w:leader="none" w:pos="2480" w:val="left"/>
        </w:tabs>
        <w:rPr>
          <w:sz w:val="20"/>
          <w:szCs w:val="20"/>
          <w:color w:val="auto"/>
        </w:rPr>
      </w:pPr>
      <w:r>
        <w:rPr>
          <w:rFonts w:ascii="Times New Roman" w:cs="Times New Roman" w:eastAsia="Times New Roman" w:hAnsi="Times New Roman"/>
          <w:sz w:val="20"/>
          <w:szCs w:val="20"/>
          <w:color w:val="auto"/>
        </w:rPr>
        <w:t xml:space="preserve">DPPH RSC </w:t>
      </w:r>
      <w:r>
        <w:rPr>
          <w:rFonts w:ascii="Arial" w:cs="Arial" w:eastAsia="Arial" w:hAnsi="Arial"/>
          <w:sz w:val="20"/>
          <w:szCs w:val="20"/>
          <w:color w:val="auto"/>
        </w:rPr>
        <w:t>ð</w:t>
      </w:r>
      <w:r>
        <w:rPr>
          <w:rFonts w:ascii="Times New Roman" w:cs="Times New Roman" w:eastAsia="Times New Roman" w:hAnsi="Times New Roman"/>
          <w:sz w:val="20"/>
          <w:szCs w:val="20"/>
          <w:color w:val="auto"/>
        </w:rPr>
        <w:t>%</w:t>
      </w:r>
      <w:r>
        <w:rPr>
          <w:rFonts w:ascii="Arial" w:cs="Arial" w:eastAsia="Arial" w:hAnsi="Arial"/>
          <w:sz w:val="20"/>
          <w:szCs w:val="20"/>
          <w:color w:val="auto"/>
        </w:rPr>
        <w:t>Þ ¼</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39"/>
          <w:szCs w:val="39"/>
          <w:color w:val="auto"/>
          <w:vertAlign w:val="superscript"/>
        </w:rPr>
        <w:t>A</w:t>
      </w:r>
      <w:r>
        <w:rPr>
          <w:rFonts w:ascii="Times New Roman" w:cs="Times New Roman" w:eastAsia="Times New Roman" w:hAnsi="Times New Roman"/>
          <w:sz w:val="27"/>
          <w:szCs w:val="27"/>
          <w:color w:val="auto"/>
          <w:vertAlign w:val="superscript"/>
        </w:rPr>
        <w:t>0</w:t>
      </w:r>
      <w:r>
        <w:rPr>
          <w:sz w:val="20"/>
          <w:szCs w:val="20"/>
          <w:color w:val="auto"/>
        </w:rPr>
        <w:tab/>
      </w:r>
      <w:r>
        <w:rPr>
          <w:rFonts w:ascii="Times New Roman" w:cs="Times New Roman" w:eastAsia="Times New Roman" w:hAnsi="Times New Roman"/>
          <w:sz w:val="40"/>
          <w:szCs w:val="40"/>
          <w:color w:val="auto"/>
          <w:vertAlign w:val="superscript"/>
        </w:rPr>
        <w:t>A</w:t>
      </w:r>
      <w:r>
        <w:rPr>
          <w:rFonts w:ascii="Times New Roman" w:cs="Times New Roman" w:eastAsia="Times New Roman" w:hAnsi="Times New Roman"/>
          <w:sz w:val="27"/>
          <w:szCs w:val="27"/>
          <w:color w:val="auto"/>
          <w:vertAlign w:val="superscript"/>
        </w:rPr>
        <w:t>1</w:t>
      </w:r>
      <w:r>
        <w:rPr>
          <w:sz w:val="20"/>
          <w:szCs w:val="20"/>
          <w:color w:val="auto"/>
        </w:rPr>
        <w:tab/>
      </w:r>
      <w:r>
        <w:rPr>
          <w:rFonts w:ascii="Times New Roman" w:cs="Times New Roman" w:eastAsia="Times New Roman" w:hAnsi="Times New Roman"/>
          <w:sz w:val="20"/>
          <w:szCs w:val="20"/>
          <w:color w:val="auto"/>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994410</wp:posOffset>
                </wp:positionH>
                <wp:positionV relativeFrom="paragraph">
                  <wp:posOffset>-31750</wp:posOffset>
                </wp:positionV>
                <wp:extent cx="43751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7515"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3pt,-2.4999pt" to="112.75pt,-2.4999pt" o:allowincell="f" strokecolor="#000000" strokeweight="0.3969pt"/>
            </w:pict>
          </mc:Fallback>
        </mc:AlternateContent>
      </w:r>
    </w:p>
    <w:p>
      <w:pPr>
        <w:ind w:left="1800"/>
        <w:spacing w:after="0" w:line="193" w:lineRule="auto"/>
        <w:rPr>
          <w:sz w:val="20"/>
          <w:szCs w:val="20"/>
          <w:color w:val="auto"/>
        </w:rPr>
      </w:pPr>
      <w:r>
        <w:rPr>
          <w:rFonts w:ascii="Times New Roman" w:cs="Times New Roman" w:eastAsia="Times New Roman" w:hAnsi="Times New Roman"/>
          <w:sz w:val="39"/>
          <w:szCs w:val="39"/>
          <w:color w:val="auto"/>
          <w:vertAlign w:val="superscript"/>
        </w:rPr>
        <w:t>A</w:t>
      </w:r>
      <w:r>
        <w:rPr>
          <w:rFonts w:ascii="Times New Roman" w:cs="Times New Roman" w:eastAsia="Times New Roman" w:hAnsi="Times New Roman"/>
          <w:sz w:val="14"/>
          <w:szCs w:val="14"/>
          <w:color w:val="auto"/>
        </w:rPr>
        <w:t>0</w:t>
      </w:r>
    </w:p>
    <w:p>
      <w:pPr>
        <w:spacing w:after="0" w:line="187" w:lineRule="auto"/>
        <w:rPr>
          <w:sz w:val="20"/>
          <w:szCs w:val="20"/>
          <w:color w:val="auto"/>
        </w:rPr>
      </w:pPr>
      <w:r>
        <w:rPr>
          <w:rFonts w:ascii="Times New Roman" w:cs="Times New Roman" w:eastAsia="Times New Roman" w:hAnsi="Times New Roman"/>
          <w:sz w:val="17"/>
          <w:szCs w:val="17"/>
          <w:color w:val="auto"/>
        </w:rPr>
        <w:t>A</w:t>
      </w:r>
      <w:r>
        <w:rPr>
          <w:rFonts w:ascii="Times New Roman" w:cs="Times New Roman" w:eastAsia="Times New Roman" w:hAnsi="Times New Roman"/>
          <w:sz w:val="22"/>
          <w:szCs w:val="22"/>
          <w:color w:val="auto"/>
          <w:vertAlign w:val="subscript"/>
        </w:rPr>
        <w:t>0</w:t>
      </w:r>
      <w:r>
        <w:rPr>
          <w:rFonts w:ascii="Times New Roman" w:cs="Times New Roman" w:eastAsia="Times New Roman" w:hAnsi="Times New Roman"/>
          <w:sz w:val="17"/>
          <w:szCs w:val="17"/>
          <w:color w:val="auto"/>
        </w:rPr>
        <w:t xml:space="preserve"> = absorbance of blank; A</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7"/>
          <w:szCs w:val="17"/>
          <w:color w:val="auto"/>
        </w:rPr>
        <w:t xml:space="preserve"> = absorbance of sample.</w:t>
      </w: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Ferric reducing antioxidant power (FRAP)</w:t>
      </w:r>
    </w:p>
    <w:p>
      <w:pPr>
        <w:spacing w:after="0" w:line="314"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FRAP reagent was prepared by mixing 250 mL of acetate buffer (300 mM, pH 3.6), 50 mL of 10 mM TPTZ solu-tion, and 50 mL of 20 mM FeCl</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6H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O solution. To a test tube, 150 lL of the diluted sample and 4.5 mL of FRAP reagent were added; the mixture was left to react at 37 LC for 4 min and then the absorbance was measured at 593 nm using a microplate reader. Ascorbic acid solutions were prepared for the standard curve, and then the FRAP value was calculated, and expressed as mg ascorbic acid equiv-alent (AAE)/g.</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NO assay</w:t>
      </w:r>
    </w:p>
    <w:p>
      <w:pPr>
        <w:spacing w:after="0" w:line="31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Mouse-derived macrophage RAW 264.7 cells were pur-chased from Korea Cell Line Bank (Seoul, Korea). The cells were cultured in DMEM containing 10% FBS, 100 U/mL penicillin, and 100 lg/mL streptomycin in a 5% CO</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incubator at 37 LC and 95% humidity. RAW 264.7 cells were seeded and cultured in a 24 well plate at 1 9 10</w:t>
      </w:r>
      <w:r>
        <w:rPr>
          <w:rFonts w:ascii="Times New Roman" w:cs="Times New Roman" w:eastAsia="Times New Roman" w:hAnsi="Times New Roman"/>
          <w:sz w:val="26"/>
          <w:szCs w:val="26"/>
          <w:color w:val="auto"/>
          <w:vertAlign w:val="superscript"/>
        </w:rPr>
        <w:t>5</w:t>
      </w:r>
      <w:r>
        <w:rPr>
          <w:rFonts w:ascii="Times New Roman" w:cs="Times New Roman" w:eastAsia="Times New Roman" w:hAnsi="Times New Roman"/>
          <w:sz w:val="20"/>
          <w:szCs w:val="20"/>
          <w:color w:val="auto"/>
        </w:rPr>
        <w:t xml:space="preserve"> cell/mL/well. After removing the medium, DMEM con-taining 1% FBS, 100 U/mL penicillin, 100 lg/mL strep-tomycin, and 100 ng/mL PBS (for the negative control) or 100 ng/mL LPS (for LPS-treated group or sample-treated groups) were added, and cultured for 96 h. For the sample-treated groups, the extract of medicinal plants (0.2 mg/mL)</w:t>
      </w:r>
    </w:p>
    <w:p>
      <w:pPr>
        <w:spacing w:after="0" w:line="20" w:lineRule="exact"/>
        <w:rPr>
          <w:sz w:val="20"/>
          <w:szCs w:val="20"/>
          <w:color w:val="auto"/>
        </w:rPr>
      </w:pPr>
      <w:r>
        <w:rPr>
          <w:sz w:val="20"/>
          <w:szCs w:val="20"/>
          <w:color w:val="auto"/>
        </w:rPr>
        <w:br w:type="column"/>
      </w:r>
    </w:p>
    <w:p>
      <w:pPr>
        <w:spacing w:after="0" w:line="312"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or SMCB (20 mg/mL) were also added. Afterwards, 50 lL of the supernatant taken from each well and 50 lL of sulfanilamide solution were mixed in a 96 well plate and left in a dark room for 5–10 min. Then 50 lL NED solution was added for another 5–10 min and the absorbance was measured at 535 nm. Sodium nitrite solutions were pre-pared for a standard curve and the level of NO production was calculated. The NO production of each sample-treated group was converted to % based on the NO production of the LPS-treated group.</w:t>
      </w:r>
    </w:p>
    <w:p>
      <w:pPr>
        <w:spacing w:after="0" w:line="290" w:lineRule="exact"/>
        <w:rPr>
          <w:sz w:val="20"/>
          <w:szCs w:val="20"/>
          <w:color w:val="auto"/>
        </w:rPr>
      </w:pPr>
    </w:p>
    <w:p>
      <w:pPr>
        <w:ind w:right="280"/>
        <w:spacing w:after="0" w:line="231" w:lineRule="auto"/>
        <w:rPr>
          <w:sz w:val="20"/>
          <w:szCs w:val="20"/>
          <w:color w:val="auto"/>
        </w:rPr>
      </w:pPr>
      <w:r>
        <w:rPr>
          <w:rFonts w:ascii="Times New Roman" w:cs="Times New Roman" w:eastAsia="Times New Roman" w:hAnsi="Times New Roman"/>
          <w:sz w:val="20"/>
          <w:szCs w:val="20"/>
          <w:color w:val="auto"/>
        </w:rPr>
        <w:t>Determination of minimum inhibitory concentration (MIC)</w:t>
      </w:r>
    </w:p>
    <w:p>
      <w:pPr>
        <w:spacing w:after="0" w:line="30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Staphylococcus aureus (KCCM 12256), C. diphtheriae (KCCM 40413), and S. pyogenes (KCCM 11873) were purchased from the Korean Culture Center of Microor-ganisms (KCCM, Seoul, Korea). Mycobacterium sp. (KCTC 1829) and Escherichia coli (KCTC 2593) were purchased from the Korean Collection for Type Cultures (KCTC, Jeongeup, Korea). S. aureus and E. coli were cultured using trypticase soy agar and trypticase soy broth, and C. diphtheriae and S. pyogenes were cultured using blood agar plates and tryptic soy broth, at 37 LC for 24 h. Mycobacterium sp. was cultured using the medium for KCTC 1829 at 29 LC. One colony was taken from each microbial strain culture using a platinum loop and inocu-lated in the liquid broth. S. aureus, C. diphtheriae, S. pyogenes, and E. coli were cultured at 37 LC for 24 h, whereas Mycobacterium sp. was cultured at 29 LC for 66 h. The cultured bacterial medium was diluted until the absorbance at 660 nm was 0.03 (1–2 9 10</w:t>
      </w:r>
      <w:r>
        <w:rPr>
          <w:rFonts w:ascii="Times New Roman" w:cs="Times New Roman" w:eastAsia="Times New Roman" w:hAnsi="Times New Roman"/>
          <w:sz w:val="26"/>
          <w:szCs w:val="26"/>
          <w:color w:val="auto"/>
          <w:vertAlign w:val="superscript"/>
        </w:rPr>
        <w:t>7</w:t>
      </w:r>
      <w:r>
        <w:rPr>
          <w:rFonts w:ascii="Times New Roman" w:cs="Times New Roman" w:eastAsia="Times New Roman" w:hAnsi="Times New Roman"/>
          <w:sz w:val="20"/>
          <w:szCs w:val="20"/>
          <w:color w:val="auto"/>
        </w:rPr>
        <w:t xml:space="preserve"> CFU/mL). A SMCB mixed medium was prepared at a concentration of 1280 mg/mL and diluted by twofold serial dilutions. In a sterilized 96 well plate (Simport Scientific, QC, Canada),</w:t>
      </w:r>
    </w:p>
    <w:p>
      <w:pPr>
        <w:spacing w:after="0" w:line="42" w:lineRule="exact"/>
        <w:rPr>
          <w:sz w:val="20"/>
          <w:szCs w:val="20"/>
          <w:color w:val="auto"/>
        </w:rPr>
      </w:pPr>
    </w:p>
    <w:p>
      <w:pPr>
        <w:jc w:val="both"/>
        <w:ind w:firstLine="3"/>
        <w:spacing w:after="0" w:line="256" w:lineRule="auto"/>
        <w:tabs>
          <w:tab w:leader="none" w:pos="166"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mL of SMCB mixed medium was added and 10 lL of the bacterial culture medium was inoculated; the plate was incubated for 24 h in a shaking incubator (150 rpm). The concentration of the SMCB mixed medium where bacterial growth could not be visually detected was selected as the MIC. In addition, when microbial survival could not be ascertained due to a strong sample color, the absorbance was measured at 600 nm for comparison against the con-trol and the MIC was determined. The MIC of the medicinal plant extracts was also measured by inoculating the microbial strain of mixed medium.</w:t>
      </w: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Statistical analysis</w:t>
      </w:r>
    </w:p>
    <w:p>
      <w:pPr>
        <w:spacing w:after="0" w:line="314"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TPC, TFC, crude saponin content, and antioxidant activity results were presented as mean ± standard deviation (SD). Analysis of variance (ANOVA) was performed with Sta-tistical Analysis System 9.2 (SAS Institute Inc., Cary, NC,</w:t>
      </w:r>
    </w:p>
    <w:p>
      <w:pPr>
        <w:spacing w:after="0" w:line="200"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70"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17"/>
          <w:szCs w:val="17"/>
          <w:color w:val="auto"/>
        </w:rPr>
        <w:t>Functional effect of medicinal plants and beverage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46" w:lineRule="exact"/>
        <w:rPr>
          <w:sz w:val="20"/>
          <w:szCs w:val="20"/>
          <w:color w:val="auto"/>
        </w:rPr>
      </w:pPr>
    </w:p>
    <w:p>
      <w:pPr>
        <w:spacing w:after="0" w:line="227" w:lineRule="auto"/>
        <w:rPr>
          <w:sz w:val="20"/>
          <w:szCs w:val="20"/>
          <w:color w:val="auto"/>
        </w:rPr>
      </w:pPr>
      <w:r>
        <w:rPr>
          <w:rFonts w:ascii="Times New Roman" w:cs="Times New Roman" w:eastAsia="Times New Roman" w:hAnsi="Times New Roman"/>
          <w:sz w:val="20"/>
          <w:szCs w:val="20"/>
          <w:color w:val="auto"/>
        </w:rPr>
        <w:t>USA) and Duncan’s multiple range test was used to determine the statistical significance of the means at</w:t>
      </w:r>
    </w:p>
    <w:p>
      <w:pPr>
        <w:spacing w:after="0" w:line="63" w:lineRule="exact"/>
        <w:rPr>
          <w:sz w:val="20"/>
          <w:szCs w:val="20"/>
          <w:color w:val="auto"/>
        </w:rPr>
      </w:pPr>
    </w:p>
    <w:p>
      <w:pPr>
        <w:jc w:val="both"/>
        <w:spacing w:after="0" w:line="253" w:lineRule="auto"/>
        <w:tabs>
          <w:tab w:leader="none" w:pos="177"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0.05. The result of NO production was expressed as the mean ± standard error of the mean (SEM); GraphPad Prism 5 (San Diego, CA, USA) was used for performing one-way ANOVA and Newman–Keuls Multiple Compar-ison Test for the statistical significance of the means at a = 0.05. The IBM SPSS statistics 25 (Armonk, NY, USA) was used for the correlation analysis, and the Pearson correlation coefficient (r) and p value were calculated and</w:t>
      </w:r>
    </w:p>
    <w:p>
      <w:pPr>
        <w:spacing w:after="0" w:line="38" w:lineRule="exact"/>
        <w:rPr>
          <w:rFonts w:ascii="Times New Roman" w:cs="Times New Roman" w:eastAsia="Times New Roman" w:hAnsi="Times New Roman"/>
          <w:sz w:val="20"/>
          <w:szCs w:val="20"/>
          <w:color w:val="auto"/>
        </w:rPr>
      </w:pPr>
    </w:p>
    <w:p>
      <w:pPr>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used to determine the statistical significance at a = 0.05 or a = 0.01.</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Results and discussion</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TPC</w:t>
      </w:r>
    </w:p>
    <w:p>
      <w:pPr>
        <w:spacing w:after="0" w:line="315" w:lineRule="exact"/>
        <w:rPr>
          <w:sz w:val="20"/>
          <w:szCs w:val="20"/>
          <w:color w:val="auto"/>
        </w:rPr>
      </w:pPr>
    </w:p>
    <w:p>
      <w:pPr>
        <w:jc w:val="both"/>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medicinal plant extracts showed a TPC of 5.08–304.92 mg GAE/g, which indicated a broad range with substantial differences (Table </w:t>
      </w:r>
      <w:hyperlink w:anchor="page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The order of TPC was SA [ PL [ PA [ GU [ CU [ KP [ ZJ [ PG [ PGA, and in particular, SA exhibited 3.8 times and 60.0 times higher content of phenolic compounds than PL and</w:t>
      </w:r>
    </w:p>
    <w:p>
      <w:pPr>
        <w:spacing w:after="0" w:line="20" w:lineRule="exact"/>
        <w:rPr>
          <w:sz w:val="20"/>
          <w:szCs w:val="20"/>
          <w:color w:val="auto"/>
        </w:rPr>
      </w:pPr>
      <w:r>
        <w:rPr>
          <w:sz w:val="20"/>
          <w:szCs w:val="20"/>
          <w:color w:val="auto"/>
        </w:rPr>
        <w:br w:type="column"/>
      </w:r>
    </w:p>
    <w:p>
      <w:pPr>
        <w:spacing w:after="0" w:line="326" w:lineRule="exact"/>
        <w:rPr>
          <w:sz w:val="20"/>
          <w:szCs w:val="20"/>
          <w:color w:val="auto"/>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PGA, respectively. The TPC of SMCBs developed in this study was significantly higher than the commercially available CGB or CPGB (p \ 0.05), with the TPC of SMCB-II being 1.43 times higher than SMCB-I, 3.14 times higher than CGB, and 1.95 times higher than CPGB (p \ 0.05) (Table </w:t>
      </w:r>
      <w:hyperlink w:anchor="page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xml:space="preserve">). Looking into the type and the com-position ratio of the medicinal plants used in SMCB preparation, PA (15%), PG (15%), ZJ (25%), and GU (5%) were used across all SMCBs with an identical composition ratio. CU (20%) was used in SMCB-I only, and SA (2%), PL (10%), and KP (18%) were used in SMCB-II only. PGA was used in SMCB-I and SMCB-II with the composition ratio of 20% and 10%, respectively (Table </w:t>
      </w:r>
      <w:hyperlink w:anchor="page3">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In SMCB-II, despite the low content of SA and PL, the high TPC of each contributed to the higher TPC in SMCB-II than in SMCB-I. In addition, the lower TPC of CGB and CPGB may be attributed to composition with medicinal plants with low TPC in red ginseng (100%) and platycodon (90%), respectively.</w:t>
      </w:r>
    </w:p>
    <w:p>
      <w:pPr>
        <w:spacing w:after="0" w:line="52" w:lineRule="exact"/>
        <w:rPr>
          <w:sz w:val="20"/>
          <w:szCs w:val="20"/>
          <w:color w:val="auto"/>
        </w:rPr>
      </w:pPr>
    </w:p>
    <w:p>
      <w:pPr>
        <w:jc w:val="both"/>
        <w:ind w:firstLine="227"/>
        <w:spacing w:after="0" w:line="248" w:lineRule="auto"/>
        <w:rPr>
          <w:sz w:val="20"/>
          <w:szCs w:val="20"/>
          <w:color w:val="auto"/>
        </w:rPr>
      </w:pPr>
      <w:r>
        <w:rPr>
          <w:rFonts w:ascii="Times New Roman" w:cs="Times New Roman" w:eastAsia="Times New Roman" w:hAnsi="Times New Roman"/>
          <w:sz w:val="20"/>
          <w:szCs w:val="20"/>
          <w:color w:val="auto"/>
        </w:rPr>
        <w:t>The main phenolic compounds in medicinal plants are phenolic acids (hydroxybenzoic acid and hydroxycinnamic acid), flavonoids (flavonols, flavones, flavanones, iso-flavone, anthocyanidins, and tannins), and lignans. The phenolic acids are present in the forms of ester, glycosides,</w:t>
      </w:r>
    </w:p>
    <w:p>
      <w:pPr>
        <w:spacing w:after="0" w:line="200"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321"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17"/>
          <w:szCs w:val="17"/>
          <w:color w:val="auto"/>
        </w:rPr>
        <w:t>Table 2 Total phenolics, total flavonoids and crude saponin contents of medicinal plant extracts and stick-type medicinal concentrated beverages (SMCB)</w:t>
      </w:r>
    </w:p>
    <w:p>
      <w:pPr>
        <w:spacing w:after="0" w:line="20" w:lineRule="exact"/>
        <w:rPr>
          <w:sz w:val="20"/>
          <w:szCs w:val="20"/>
          <w:color w:val="auto"/>
        </w:rPr>
      </w:pPr>
      <w:r>
        <w:rPr>
          <w:sz w:val="20"/>
          <w:szCs w:val="20"/>
          <w:color w:val="auto"/>
        </w:rPr>
        <w:br w:type="column"/>
      </w:r>
    </w:p>
    <w:p>
      <w:pPr>
        <w:spacing w:after="0" w:line="33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Sample</w:t>
            </w:r>
          </w:p>
        </w:tc>
        <w:tc>
          <w:tcPr>
            <w:tcW w:w="2460" w:type="dxa"/>
            <w:vAlign w:val="bottom"/>
            <w:gridSpan w:val="2"/>
          </w:tcPr>
          <w:p>
            <w:pPr>
              <w:ind w:left="200"/>
              <w:spacing w:after="0"/>
              <w:rPr>
                <w:sz w:val="20"/>
                <w:szCs w:val="20"/>
                <w:color w:val="auto"/>
              </w:rPr>
            </w:pPr>
            <w:r>
              <w:rPr>
                <w:rFonts w:ascii="Times New Roman" w:cs="Times New Roman" w:eastAsia="Times New Roman" w:hAnsi="Times New Roman"/>
                <w:sz w:val="17"/>
                <w:szCs w:val="17"/>
                <w:color w:val="auto"/>
              </w:rPr>
              <w:t>Total phenolics (mg GAE</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/g)</w:t>
            </w:r>
          </w:p>
        </w:tc>
        <w:tc>
          <w:tcPr>
            <w:tcW w:w="2400" w:type="dxa"/>
            <w:vAlign w:val="bottom"/>
            <w:gridSpan w:val="2"/>
          </w:tcPr>
          <w:p>
            <w:pPr>
              <w:ind w:left="220"/>
              <w:spacing w:after="0"/>
              <w:rPr>
                <w:sz w:val="20"/>
                <w:szCs w:val="20"/>
                <w:color w:val="auto"/>
              </w:rPr>
            </w:pPr>
            <w:r>
              <w:rPr>
                <w:rFonts w:ascii="Times New Roman" w:cs="Times New Roman" w:eastAsia="Times New Roman" w:hAnsi="Times New Roman"/>
                <w:sz w:val="17"/>
                <w:szCs w:val="17"/>
                <w:color w:val="auto"/>
              </w:rPr>
              <w:t>Total flavonoids (mg QE</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/g)</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w w:val="99"/>
              </w:rPr>
              <w:t>Crude saponin (g%)</w:t>
            </w:r>
          </w:p>
        </w:tc>
      </w:tr>
      <w:tr>
        <w:trPr>
          <w:trHeight w:val="53"/>
        </w:trPr>
        <w:tc>
          <w:tcPr>
            <w:tcW w:w="3300" w:type="dxa"/>
            <w:vAlign w:val="bottom"/>
            <w:tcBorders>
              <w:bottom w:val="single" w:sz="8" w:color="auto"/>
            </w:tcBorders>
            <w:gridSpan w:val="3"/>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1600" w:type="dxa"/>
            <w:vAlign w:val="bottom"/>
            <w:tcBorders>
              <w:bottom w:val="single" w:sz="8" w:color="auto"/>
            </w:tcBorders>
          </w:tcPr>
          <w:p>
            <w:pPr>
              <w:spacing w:after="0"/>
              <w:rPr>
                <w:sz w:val="4"/>
                <w:szCs w:val="4"/>
                <w:color w:val="auto"/>
              </w:rPr>
            </w:pPr>
          </w:p>
        </w:tc>
      </w:tr>
      <w:tr>
        <w:trPr>
          <w:trHeight w:val="271"/>
        </w:trPr>
        <w:tc>
          <w:tcPr>
            <w:tcW w:w="330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Stick-type medicinal concentrated beverages</w:t>
            </w:r>
          </w:p>
        </w:tc>
        <w:tc>
          <w:tcPr>
            <w:tcW w:w="70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1600" w:type="dxa"/>
            <w:vAlign w:val="bottom"/>
          </w:tcPr>
          <w:p>
            <w:pPr>
              <w:spacing w:after="0"/>
              <w:rPr>
                <w:sz w:val="23"/>
                <w:szCs w:val="23"/>
                <w:color w:val="auto"/>
              </w:rPr>
            </w:pPr>
          </w:p>
        </w:tc>
      </w:tr>
      <w:tr>
        <w:trPr>
          <w:trHeight w:val="286"/>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SMCB-I</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10.09</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0.29</w:t>
            </w:r>
            <w:r>
              <w:rPr>
                <w:rFonts w:ascii="Times New Roman" w:cs="Times New Roman" w:eastAsia="Times New Roman" w:hAnsi="Times New Roman"/>
                <w:sz w:val="22"/>
                <w:szCs w:val="22"/>
                <w:color w:val="auto"/>
                <w:vertAlign w:val="superscript"/>
              </w:rPr>
              <w:t>b</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3.88</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0.44</w:t>
            </w:r>
            <w:r>
              <w:rPr>
                <w:rFonts w:ascii="Times New Roman" w:cs="Times New Roman" w:eastAsia="Times New Roman" w:hAnsi="Times New Roman"/>
                <w:sz w:val="22"/>
                <w:szCs w:val="22"/>
                <w:color w:val="auto"/>
                <w:vertAlign w:val="superscript"/>
              </w:rPr>
              <w:t>b</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23.85 ± 1.03</w:t>
            </w:r>
            <w:r>
              <w:rPr>
                <w:rFonts w:ascii="Times New Roman" w:cs="Times New Roman" w:eastAsia="Times New Roman" w:hAnsi="Times New Roman"/>
                <w:sz w:val="22"/>
                <w:szCs w:val="22"/>
                <w:color w:val="auto"/>
                <w:vertAlign w:val="superscript"/>
              </w:rPr>
              <w:t>b</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SMCB-II</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14.43</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0.49</w:t>
            </w:r>
            <w:r>
              <w:rPr>
                <w:rFonts w:ascii="Times New Roman" w:cs="Times New Roman" w:eastAsia="Times New Roman" w:hAnsi="Times New Roman"/>
                <w:sz w:val="22"/>
                <w:szCs w:val="22"/>
                <w:color w:val="auto"/>
                <w:vertAlign w:val="superscript"/>
              </w:rPr>
              <w:t>a</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10.29</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0.33</w:t>
            </w:r>
            <w:r>
              <w:rPr>
                <w:rFonts w:ascii="Times New Roman" w:cs="Times New Roman" w:eastAsia="Times New Roman" w:hAnsi="Times New Roman"/>
                <w:sz w:val="22"/>
                <w:szCs w:val="22"/>
                <w:color w:val="auto"/>
                <w:vertAlign w:val="superscript"/>
              </w:rPr>
              <w:t>a</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35.66 ± 0.35</w:t>
            </w:r>
            <w:r>
              <w:rPr>
                <w:rFonts w:ascii="Times New Roman" w:cs="Times New Roman" w:eastAsia="Times New Roman" w:hAnsi="Times New Roman"/>
                <w:sz w:val="22"/>
                <w:szCs w:val="22"/>
                <w:color w:val="auto"/>
                <w:vertAlign w:val="superscript"/>
              </w:rPr>
              <w:t>a</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CGB</w:t>
            </w:r>
            <w:r>
              <w:rPr>
                <w:rFonts w:ascii="Times New Roman" w:cs="Times New Roman" w:eastAsia="Times New Roman" w:hAnsi="Times New Roman"/>
                <w:sz w:val="22"/>
                <w:szCs w:val="22"/>
                <w:color w:val="auto"/>
                <w:vertAlign w:val="superscript"/>
              </w:rPr>
              <w:t>3</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4.59</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0.20</w:t>
            </w:r>
            <w:r>
              <w:rPr>
                <w:rFonts w:ascii="Times New Roman" w:cs="Times New Roman" w:eastAsia="Times New Roman" w:hAnsi="Times New Roman"/>
                <w:sz w:val="22"/>
                <w:szCs w:val="22"/>
                <w:color w:val="auto"/>
                <w:vertAlign w:val="superscript"/>
              </w:rPr>
              <w:t>c</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0.02</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0.03</w:t>
            </w:r>
            <w:r>
              <w:rPr>
                <w:rFonts w:ascii="Times New Roman" w:cs="Times New Roman" w:eastAsia="Times New Roman" w:hAnsi="Times New Roman"/>
                <w:sz w:val="22"/>
                <w:szCs w:val="22"/>
                <w:color w:val="auto"/>
                <w:vertAlign w:val="superscript"/>
              </w:rPr>
              <w:t>d</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16.40 ± 0.41</w:t>
            </w:r>
            <w:r>
              <w:rPr>
                <w:rFonts w:ascii="Times New Roman" w:cs="Times New Roman" w:eastAsia="Times New Roman" w:hAnsi="Times New Roman"/>
                <w:sz w:val="22"/>
                <w:szCs w:val="22"/>
                <w:color w:val="auto"/>
                <w:vertAlign w:val="superscript"/>
              </w:rPr>
              <w:t>c</w:t>
            </w:r>
          </w:p>
        </w:tc>
      </w:tr>
      <w:tr>
        <w:trPr>
          <w:trHeight w:val="254"/>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CPGB</w:t>
            </w:r>
            <w:r>
              <w:rPr>
                <w:rFonts w:ascii="Times New Roman" w:cs="Times New Roman" w:eastAsia="Times New Roman" w:hAnsi="Times New Roman"/>
                <w:sz w:val="22"/>
                <w:szCs w:val="22"/>
                <w:color w:val="auto"/>
                <w:vertAlign w:val="superscript"/>
              </w:rPr>
              <w:t>4</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1.95</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0.12</w:t>
            </w:r>
            <w:r>
              <w:rPr>
                <w:rFonts w:ascii="Times New Roman" w:cs="Times New Roman" w:eastAsia="Times New Roman" w:hAnsi="Times New Roman"/>
                <w:sz w:val="22"/>
                <w:szCs w:val="22"/>
                <w:color w:val="auto"/>
                <w:vertAlign w:val="superscript"/>
              </w:rPr>
              <w:t>d</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0.54</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0.13</w:t>
            </w:r>
            <w:r>
              <w:rPr>
                <w:rFonts w:ascii="Times New Roman" w:cs="Times New Roman" w:eastAsia="Times New Roman" w:hAnsi="Times New Roman"/>
                <w:sz w:val="22"/>
                <w:szCs w:val="22"/>
                <w:color w:val="auto"/>
                <w:vertAlign w:val="superscript"/>
              </w:rPr>
              <w:t>c</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7.71 ± 0.02</w:t>
            </w:r>
            <w:r>
              <w:rPr>
                <w:rFonts w:ascii="Times New Roman" w:cs="Times New Roman" w:eastAsia="Times New Roman" w:hAnsi="Times New Roman"/>
                <w:sz w:val="22"/>
                <w:szCs w:val="22"/>
                <w:color w:val="auto"/>
                <w:vertAlign w:val="superscript"/>
              </w:rPr>
              <w:t>d</w:t>
            </w:r>
          </w:p>
        </w:tc>
      </w:tr>
      <w:tr>
        <w:trPr>
          <w:trHeight w:val="255"/>
        </w:trPr>
        <w:tc>
          <w:tcPr>
            <w:tcW w:w="154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Medicinal plants</w:t>
            </w:r>
            <w:r>
              <w:rPr>
                <w:rFonts w:ascii="Times New Roman" w:cs="Times New Roman" w:eastAsia="Times New Roman" w:hAnsi="Times New Roman"/>
                <w:sz w:val="22"/>
                <w:szCs w:val="22"/>
                <w:color w:val="auto"/>
                <w:vertAlign w:val="superscript"/>
              </w:rPr>
              <w:t>5</w:t>
            </w:r>
          </w:p>
        </w:tc>
        <w:tc>
          <w:tcPr>
            <w:tcW w:w="176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1700" w:type="dxa"/>
            <w:vAlign w:val="bottom"/>
          </w:tcPr>
          <w:p>
            <w:pPr>
              <w:spacing w:after="0"/>
              <w:rPr>
                <w:sz w:val="22"/>
                <w:szCs w:val="22"/>
                <w:color w:val="auto"/>
              </w:rPr>
            </w:pPr>
          </w:p>
        </w:tc>
        <w:tc>
          <w:tcPr>
            <w:tcW w:w="1600" w:type="dxa"/>
            <w:vAlign w:val="bottom"/>
          </w:tcPr>
          <w:p>
            <w:pPr>
              <w:spacing w:after="0"/>
              <w:rPr>
                <w:sz w:val="22"/>
                <w:szCs w:val="22"/>
                <w:color w:val="auto"/>
              </w:rPr>
            </w:pP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SA</w:t>
            </w:r>
            <w:r>
              <w:rPr>
                <w:rFonts w:ascii="Times New Roman" w:cs="Times New Roman" w:eastAsia="Times New Roman" w:hAnsi="Times New Roman"/>
                <w:sz w:val="22"/>
                <w:szCs w:val="22"/>
                <w:color w:val="auto"/>
                <w:vertAlign w:val="superscript"/>
              </w:rPr>
              <w:t>6</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304.92</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5.74</w:t>
            </w:r>
            <w:r>
              <w:rPr>
                <w:rFonts w:ascii="Times New Roman" w:cs="Times New Roman" w:eastAsia="Times New Roman" w:hAnsi="Times New Roman"/>
                <w:sz w:val="22"/>
                <w:szCs w:val="22"/>
                <w:color w:val="auto"/>
                <w:vertAlign w:val="superscript"/>
              </w:rPr>
              <w:t>a</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98.76</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2.27</w:t>
            </w:r>
            <w:r>
              <w:rPr>
                <w:rFonts w:ascii="Times New Roman" w:cs="Times New Roman" w:eastAsia="Times New Roman" w:hAnsi="Times New Roman"/>
                <w:sz w:val="22"/>
                <w:szCs w:val="22"/>
                <w:color w:val="auto"/>
                <w:vertAlign w:val="superscript"/>
              </w:rPr>
              <w:t>b</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NA</w:t>
            </w:r>
            <w:r>
              <w:rPr>
                <w:rFonts w:ascii="Times New Roman" w:cs="Times New Roman" w:eastAsia="Times New Roman" w:hAnsi="Times New Roman"/>
                <w:sz w:val="22"/>
                <w:szCs w:val="22"/>
                <w:color w:val="auto"/>
                <w:vertAlign w:val="superscript"/>
              </w:rPr>
              <w:t>7</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PL</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79.82</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7.51</w:t>
            </w:r>
            <w:r>
              <w:rPr>
                <w:rFonts w:ascii="Times New Roman" w:cs="Times New Roman" w:eastAsia="Times New Roman" w:hAnsi="Times New Roman"/>
                <w:sz w:val="22"/>
                <w:szCs w:val="22"/>
                <w:color w:val="auto"/>
                <w:vertAlign w:val="superscript"/>
              </w:rPr>
              <w:t>b</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71.70</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0.84</w:t>
            </w:r>
            <w:r>
              <w:rPr>
                <w:rFonts w:ascii="Times New Roman" w:cs="Times New Roman" w:eastAsia="Times New Roman" w:hAnsi="Times New Roman"/>
                <w:sz w:val="22"/>
                <w:szCs w:val="22"/>
                <w:color w:val="auto"/>
                <w:vertAlign w:val="superscript"/>
              </w:rPr>
              <w:t>c</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37.55 ± 2.09</w:t>
            </w:r>
            <w:r>
              <w:rPr>
                <w:rFonts w:ascii="Times New Roman" w:cs="Times New Roman" w:eastAsia="Times New Roman" w:hAnsi="Times New Roman"/>
                <w:sz w:val="22"/>
                <w:szCs w:val="22"/>
                <w:color w:val="auto"/>
                <w:vertAlign w:val="superscript"/>
              </w:rPr>
              <w:t>a</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PA</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65.71</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5.33</w:t>
            </w:r>
            <w:r>
              <w:rPr>
                <w:rFonts w:ascii="Times New Roman" w:cs="Times New Roman" w:eastAsia="Times New Roman" w:hAnsi="Times New Roman"/>
                <w:sz w:val="22"/>
                <w:szCs w:val="22"/>
                <w:color w:val="auto"/>
                <w:vertAlign w:val="superscript"/>
              </w:rPr>
              <w:t>c</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132.39</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3.35</w:t>
            </w:r>
            <w:r>
              <w:rPr>
                <w:rFonts w:ascii="Times New Roman" w:cs="Times New Roman" w:eastAsia="Times New Roman" w:hAnsi="Times New Roman"/>
                <w:sz w:val="22"/>
                <w:szCs w:val="22"/>
                <w:color w:val="auto"/>
                <w:vertAlign w:val="superscript"/>
              </w:rPr>
              <w:t>a</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NA</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KP</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32.87</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3.69</w:t>
            </w:r>
            <w:r>
              <w:rPr>
                <w:rFonts w:ascii="Times New Roman" w:cs="Times New Roman" w:eastAsia="Times New Roman" w:hAnsi="Times New Roman"/>
                <w:sz w:val="22"/>
                <w:szCs w:val="22"/>
                <w:color w:val="auto"/>
                <w:vertAlign w:val="superscript"/>
              </w:rPr>
              <w:t>d</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54.53</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2.80</w:t>
            </w:r>
            <w:r>
              <w:rPr>
                <w:rFonts w:ascii="Times New Roman" w:cs="Times New Roman" w:eastAsia="Times New Roman" w:hAnsi="Times New Roman"/>
                <w:sz w:val="22"/>
                <w:szCs w:val="22"/>
                <w:color w:val="auto"/>
                <w:vertAlign w:val="superscript"/>
              </w:rPr>
              <w:t>d</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29.91 ± 0.35</w:t>
            </w:r>
            <w:r>
              <w:rPr>
                <w:rFonts w:ascii="Times New Roman" w:cs="Times New Roman" w:eastAsia="Times New Roman" w:hAnsi="Times New Roman"/>
                <w:sz w:val="22"/>
                <w:szCs w:val="22"/>
                <w:color w:val="auto"/>
                <w:vertAlign w:val="superscript"/>
              </w:rPr>
              <w:t>b</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CU</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36.92</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6.42</w:t>
            </w:r>
            <w:r>
              <w:rPr>
                <w:rFonts w:ascii="Times New Roman" w:cs="Times New Roman" w:eastAsia="Times New Roman" w:hAnsi="Times New Roman"/>
                <w:sz w:val="22"/>
                <w:szCs w:val="22"/>
                <w:color w:val="auto"/>
                <w:vertAlign w:val="superscript"/>
              </w:rPr>
              <w:t>d</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10.25</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0.55</w:t>
            </w:r>
            <w:r>
              <w:rPr>
                <w:rFonts w:ascii="Times New Roman" w:cs="Times New Roman" w:eastAsia="Times New Roman" w:hAnsi="Times New Roman"/>
                <w:sz w:val="22"/>
                <w:szCs w:val="22"/>
                <w:color w:val="auto"/>
                <w:vertAlign w:val="superscript"/>
              </w:rPr>
              <w:t>f</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NA</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PGA</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5.08</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0.12</w:t>
            </w:r>
            <w:r>
              <w:rPr>
                <w:rFonts w:ascii="Times New Roman" w:cs="Times New Roman" w:eastAsia="Times New Roman" w:hAnsi="Times New Roman"/>
                <w:sz w:val="22"/>
                <w:szCs w:val="22"/>
                <w:color w:val="auto"/>
                <w:vertAlign w:val="superscript"/>
              </w:rPr>
              <w:t>f</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3.66</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0.29</w:t>
            </w:r>
            <w:r>
              <w:rPr>
                <w:rFonts w:ascii="Times New Roman" w:cs="Times New Roman" w:eastAsia="Times New Roman" w:hAnsi="Times New Roman"/>
                <w:sz w:val="22"/>
                <w:szCs w:val="22"/>
                <w:color w:val="auto"/>
                <w:vertAlign w:val="superscript"/>
              </w:rPr>
              <w:t>g</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4.74 ± 0.19</w:t>
            </w:r>
            <w:r>
              <w:rPr>
                <w:rFonts w:ascii="Times New Roman" w:cs="Times New Roman" w:eastAsia="Times New Roman" w:hAnsi="Times New Roman"/>
                <w:sz w:val="22"/>
                <w:szCs w:val="22"/>
                <w:color w:val="auto"/>
                <w:vertAlign w:val="superscript"/>
              </w:rPr>
              <w:t>e</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GU</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45.13</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8.74</w:t>
            </w:r>
            <w:r>
              <w:rPr>
                <w:rFonts w:ascii="Times New Roman" w:cs="Times New Roman" w:eastAsia="Times New Roman" w:hAnsi="Times New Roman"/>
                <w:sz w:val="22"/>
                <w:szCs w:val="22"/>
                <w:color w:val="auto"/>
                <w:vertAlign w:val="superscript"/>
              </w:rPr>
              <w:t>d</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24.99</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2.65</w:t>
            </w:r>
            <w:r>
              <w:rPr>
                <w:rFonts w:ascii="Times New Roman" w:cs="Times New Roman" w:eastAsia="Times New Roman" w:hAnsi="Times New Roman"/>
                <w:sz w:val="22"/>
                <w:szCs w:val="22"/>
                <w:color w:val="auto"/>
                <w:vertAlign w:val="superscript"/>
              </w:rPr>
              <w:t>e</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24.53 ± 0.63</w:t>
            </w:r>
            <w:r>
              <w:rPr>
                <w:rFonts w:ascii="Times New Roman" w:cs="Times New Roman" w:eastAsia="Times New Roman" w:hAnsi="Times New Roman"/>
                <w:sz w:val="22"/>
                <w:szCs w:val="22"/>
                <w:color w:val="auto"/>
                <w:vertAlign w:val="superscript"/>
              </w:rPr>
              <w:t>c</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PG</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7.48</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0.38</w:t>
            </w:r>
            <w:r>
              <w:rPr>
                <w:rFonts w:ascii="Times New Roman" w:cs="Times New Roman" w:eastAsia="Times New Roman" w:hAnsi="Times New Roman"/>
                <w:sz w:val="22"/>
                <w:szCs w:val="22"/>
                <w:color w:val="auto"/>
                <w:vertAlign w:val="superscript"/>
              </w:rPr>
              <w:t>ef</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1.56</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0.19</w:t>
            </w:r>
            <w:r>
              <w:rPr>
                <w:rFonts w:ascii="Times New Roman" w:cs="Times New Roman" w:eastAsia="Times New Roman" w:hAnsi="Times New Roman"/>
                <w:sz w:val="22"/>
                <w:szCs w:val="22"/>
                <w:color w:val="auto"/>
                <w:vertAlign w:val="superscript"/>
              </w:rPr>
              <w:t>g</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19.66 ± 2.09</w:t>
            </w:r>
            <w:r>
              <w:rPr>
                <w:rFonts w:ascii="Times New Roman" w:cs="Times New Roman" w:eastAsia="Times New Roman" w:hAnsi="Times New Roman"/>
                <w:sz w:val="22"/>
                <w:szCs w:val="22"/>
                <w:color w:val="auto"/>
                <w:vertAlign w:val="superscript"/>
              </w:rPr>
              <w:t>d</w:t>
            </w:r>
          </w:p>
        </w:tc>
      </w:tr>
      <w:tr>
        <w:trPr>
          <w:trHeight w:val="255"/>
        </w:trPr>
        <w:tc>
          <w:tcPr>
            <w:tcW w:w="840" w:type="dxa"/>
            <w:vAlign w:val="bottom"/>
          </w:tcPr>
          <w:p>
            <w:pPr>
              <w:spacing w:after="0"/>
              <w:rPr>
                <w:sz w:val="20"/>
                <w:szCs w:val="20"/>
                <w:color w:val="auto"/>
              </w:rPr>
            </w:pPr>
            <w:r>
              <w:rPr>
                <w:rFonts w:ascii="Times New Roman" w:cs="Times New Roman" w:eastAsia="Times New Roman" w:hAnsi="Times New Roman"/>
                <w:sz w:val="17"/>
                <w:szCs w:val="17"/>
                <w:color w:val="auto"/>
              </w:rPr>
              <w:t>ZJ</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19.05</w:t>
            </w:r>
          </w:p>
        </w:tc>
        <w:tc>
          <w:tcPr>
            <w:tcW w:w="176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2.73</w:t>
            </w:r>
            <w:r>
              <w:rPr>
                <w:rFonts w:ascii="Times New Roman" w:cs="Times New Roman" w:eastAsia="Times New Roman" w:hAnsi="Times New Roman"/>
                <w:sz w:val="22"/>
                <w:szCs w:val="22"/>
                <w:color w:val="auto"/>
                <w:vertAlign w:val="superscript"/>
              </w:rPr>
              <w:t>e</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3.33</w:t>
            </w:r>
          </w:p>
        </w:tc>
        <w:tc>
          <w:tcPr>
            <w:tcW w:w="1700" w:type="dxa"/>
            <w:vAlign w:val="bottom"/>
          </w:tcPr>
          <w:p>
            <w:pPr>
              <w:ind w:left="40"/>
              <w:spacing w:after="0"/>
              <w:rPr>
                <w:sz w:val="20"/>
                <w:szCs w:val="20"/>
                <w:color w:val="auto"/>
              </w:rPr>
            </w:pPr>
            <w:r>
              <w:rPr>
                <w:rFonts w:ascii="Times New Roman" w:cs="Times New Roman" w:eastAsia="Times New Roman" w:hAnsi="Times New Roman"/>
                <w:sz w:val="17"/>
                <w:szCs w:val="17"/>
                <w:color w:val="auto"/>
              </w:rPr>
              <w:t>± 0.40</w:t>
            </w:r>
            <w:r>
              <w:rPr>
                <w:rFonts w:ascii="Times New Roman" w:cs="Times New Roman" w:eastAsia="Times New Roman" w:hAnsi="Times New Roman"/>
                <w:sz w:val="22"/>
                <w:szCs w:val="22"/>
                <w:color w:val="auto"/>
                <w:vertAlign w:val="superscript"/>
              </w:rPr>
              <w:t>g</w:t>
            </w:r>
          </w:p>
        </w:tc>
        <w:tc>
          <w:tcPr>
            <w:tcW w:w="16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-2675890</wp:posOffset>
                </wp:positionV>
                <wp:extent cx="46437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4375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10.6999pt" to="365.25pt,-210.6999pt" o:allowincell="f" strokecolor="#000000" strokeweight="0.5669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34290</wp:posOffset>
                </wp:positionV>
                <wp:extent cx="46437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4375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7pt" to="365.25pt,2.7pt" o:allowincell="f" strokecolor="#000000" strokeweight="0.5669pt"/>
            </w:pict>
          </mc:Fallback>
        </mc:AlternateConten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GAE, gallic acid equivalent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QE, quercetin equivalent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7"/>
          <w:szCs w:val="17"/>
          <w:color w:val="auto"/>
        </w:rPr>
        <w:t>Commercial red ginseng concentrated beverage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7"/>
          <w:szCs w:val="17"/>
          <w:color w:val="auto"/>
        </w:rPr>
        <w:t>Commercial platycodon red ginseng concentrated beverage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7"/>
          <w:szCs w:val="17"/>
          <w:color w:val="auto"/>
        </w:rPr>
        <w:t>Freeze-dried water extract of medicinal plants</w:t>
      </w:r>
    </w:p>
    <w:p>
      <w:pPr>
        <w:spacing w:after="0" w:line="2" w:lineRule="exact"/>
        <w:rPr>
          <w:sz w:val="20"/>
          <w:szCs w:val="20"/>
          <w:color w:val="auto"/>
        </w:rPr>
      </w:pPr>
    </w:p>
    <w:p>
      <w:pPr>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22"/>
          <w:szCs w:val="22"/>
          <w:color w:val="auto"/>
          <w:vertAlign w:val="superscript"/>
        </w:rPr>
        <w:t>6</w:t>
      </w:r>
      <w:r>
        <w:rPr>
          <w:rFonts w:ascii="Times New Roman" w:cs="Times New Roman" w:eastAsia="Times New Roman" w:hAnsi="Times New Roman"/>
          <w:sz w:val="17"/>
          <w:szCs w:val="17"/>
          <w:color w:val="auto"/>
        </w:rPr>
        <w:t xml:space="preserve">The medial plant of the abbreviation is the same as Table </w:t>
      </w:r>
      <w:hyperlink w:anchor="page3">
        <w:r>
          <w:rPr>
            <w:rFonts w:ascii="Times New Roman" w:cs="Times New Roman" w:eastAsia="Times New Roman" w:hAnsi="Times New Roman"/>
            <w:sz w:val="17"/>
            <w:szCs w:val="17"/>
            <w:color w:val="0000FF"/>
          </w:rPr>
          <w:t>1</w:t>
        </w:r>
      </w:hyperlink>
    </w:p>
    <w:p>
      <w:pPr>
        <w:spacing w:after="0" w:line="214" w:lineRule="auto"/>
        <w:rPr>
          <w:sz w:val="20"/>
          <w:szCs w:val="20"/>
          <w:color w:val="auto"/>
        </w:rPr>
      </w:pPr>
      <w:r>
        <w:rPr>
          <w:rFonts w:ascii="Times New Roman" w:cs="Times New Roman" w:eastAsia="Times New Roman" w:hAnsi="Times New Roman"/>
          <w:sz w:val="22"/>
          <w:szCs w:val="22"/>
          <w:color w:val="auto"/>
          <w:vertAlign w:val="superscript"/>
        </w:rPr>
        <w:t>7</w:t>
      </w:r>
      <w:r>
        <w:rPr>
          <w:rFonts w:ascii="Times New Roman" w:cs="Times New Roman" w:eastAsia="Times New Roman" w:hAnsi="Times New Roman"/>
          <w:sz w:val="17"/>
          <w:szCs w:val="17"/>
          <w:color w:val="auto"/>
        </w:rPr>
        <w:t>Not available</w:t>
      </w:r>
    </w:p>
    <w:p>
      <w:pPr>
        <w:spacing w:after="0" w:line="64" w:lineRule="exact"/>
        <w:rPr>
          <w:sz w:val="20"/>
          <w:szCs w:val="20"/>
          <w:color w:val="auto"/>
        </w:rPr>
      </w:pPr>
    </w:p>
    <w:p>
      <w:pPr>
        <w:spacing w:after="0" w:line="219" w:lineRule="auto"/>
        <w:rPr>
          <w:sz w:val="20"/>
          <w:szCs w:val="20"/>
          <w:color w:val="auto"/>
        </w:rPr>
      </w:pPr>
      <w:r>
        <w:rPr>
          <w:rFonts w:ascii="Times New Roman" w:cs="Times New Roman" w:eastAsia="Times New Roman" w:hAnsi="Times New Roman"/>
          <w:sz w:val="22"/>
          <w:szCs w:val="22"/>
          <w:color w:val="auto"/>
          <w:vertAlign w:val="superscript"/>
        </w:rPr>
        <w:t>a–g</w:t>
      </w:r>
      <w:r>
        <w:rPr>
          <w:rFonts w:ascii="Times New Roman" w:cs="Times New Roman" w:eastAsia="Times New Roman" w:hAnsi="Times New Roman"/>
          <w:sz w:val="17"/>
          <w:szCs w:val="17"/>
          <w:color w:val="auto"/>
        </w:rPr>
        <w:t>Means within the same column with different superscript letters are significant different by Duncan’s multiple range test at p \ 0.05 (n = 3)</w:t>
      </w:r>
    </w:p>
    <w:p>
      <w:pPr>
        <w:spacing w:after="0" w:line="200" w:lineRule="exact"/>
        <w:rPr>
          <w:sz w:val="20"/>
          <w:szCs w:val="20"/>
          <w:color w:val="auto"/>
        </w:rPr>
      </w:pPr>
    </w:p>
    <w:p>
      <w:pPr>
        <w:sectPr>
          <w:pgSz w:w="11900" w:h="15817" w:orient="portrait"/>
          <w:cols w:equalWidth="0" w:num="2">
            <w:col w:w="2120" w:space="440"/>
            <w:col w:w="7300"/>
          </w:cols>
          <w:pgMar w:left="1020" w:top="639" w:right="1026" w:bottom="318" w:gutter="0" w:footer="0" w:header="0"/>
          <w:type w:val="continuous"/>
        </w:sectPr>
      </w:pPr>
    </w:p>
    <w:p>
      <w:pPr>
        <w:spacing w:after="0" w:line="232" w:lineRule="exact"/>
        <w:rPr>
          <w:sz w:val="20"/>
          <w:szCs w:val="20"/>
          <w:color w:val="auto"/>
        </w:rPr>
      </w:pPr>
    </w:p>
    <w:p>
      <w:pPr>
        <w:ind w:left="908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5" w:name="page6"/>
    <w:bookmarkEnd w:id="5"/>
    <w:p>
      <w:pPr>
        <w:ind w:left="8640"/>
        <w:spacing w:after="0"/>
        <w:rPr>
          <w:sz w:val="20"/>
          <w:szCs w:val="20"/>
          <w:color w:val="auto"/>
        </w:rPr>
      </w:pPr>
      <w:r>
        <w:rPr>
          <w:rFonts w:ascii="Times New Roman" w:cs="Times New Roman" w:eastAsia="Times New Roman" w:hAnsi="Times New Roman"/>
          <w:sz w:val="17"/>
          <w:szCs w:val="17"/>
          <w:color w:val="auto"/>
        </w:rPr>
        <w:t>H.-J. Chang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46" w:lineRule="exact"/>
        <w:rPr>
          <w:sz w:val="20"/>
          <w:szCs w:val="20"/>
          <w:color w:val="auto"/>
        </w:rPr>
      </w:pPr>
    </w:p>
    <w:p>
      <w:pPr>
        <w:jc w:val="both"/>
        <w:spacing w:after="0" w:line="256"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or amides (Tanase et al., </w:t>
      </w:r>
      <w:hyperlink w:anchor="page11">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auto"/>
        </w:rPr>
        <w:t xml:space="preserve">). The main phenolic com-pounds in SA are eugenol (4-allyl-2-methoxyphenol), eugenyl acetate (2-methoxy-4-(2-prophenyl)-phenol), and pyrogallol; these compounds play a vital role with antioxidant and antimicrobial activities (Hemalatha et al., </w:t>
      </w:r>
      <w:hyperlink w:anchor="page11">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 PL contains protocatechuic acid, glucosyringic acid,</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and chlorogenic acid (Sano et al., </w:t>
      </w:r>
      <w:hyperlink w:anchor="page11">
        <w:r>
          <w:rPr>
            <w:rFonts w:ascii="Times New Roman" w:cs="Times New Roman" w:eastAsia="Times New Roman" w:hAnsi="Times New Roman"/>
            <w:sz w:val="20"/>
            <w:szCs w:val="20"/>
            <w:color w:val="0000FF"/>
          </w:rPr>
          <w:t>1991</w:t>
        </w:r>
      </w:hyperlink>
      <w:r>
        <w:rPr>
          <w:rFonts w:ascii="Times New Roman" w:cs="Times New Roman" w:eastAsia="Times New Roman" w:hAnsi="Times New Roman"/>
          <w:sz w:val="20"/>
          <w:szCs w:val="20"/>
          <w:color w:val="000000"/>
        </w:rPr>
        <w:t xml:space="preserve">); PA contains caffeic acid and the derivatives (chlorogenic acid and plantamajoside) (Ferrazzano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000000"/>
        </w:rPr>
        <w:t xml:space="preserve">); and KP contains syringin, liriodendrin, chlorogenic acid, protocatechuic acid, glucosyringic acid, and vanillic acid (Kim et al., </w:t>
      </w:r>
      <w:hyperlink w:anchor="page11">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Sano et al.,</w:t>
      </w:r>
      <w:r>
        <w:rPr>
          <w:rFonts w:ascii="Times New Roman" w:cs="Times New Roman" w:eastAsia="Times New Roman" w:hAnsi="Times New Roman"/>
          <w:sz w:val="20"/>
          <w:szCs w:val="20"/>
          <w:color w:val="0000FF"/>
        </w:rPr>
        <w:t xml:space="preserve"> </w:t>
      </w:r>
      <w:hyperlink w:anchor="page11">
        <w:r>
          <w:rPr>
            <w:rFonts w:ascii="Times New Roman" w:cs="Times New Roman" w:eastAsia="Times New Roman" w:hAnsi="Times New Roman"/>
            <w:sz w:val="20"/>
            <w:szCs w:val="20"/>
            <w:color w:val="0000FF"/>
          </w:rPr>
          <w:t>1991</w:t>
        </w:r>
      </w:hyperlink>
      <w:r>
        <w:rPr>
          <w:rFonts w:ascii="Times New Roman" w:cs="Times New Roman" w:eastAsia="Times New Roman" w:hAnsi="Times New Roman"/>
          <w:sz w:val="20"/>
          <w:szCs w:val="20"/>
          <w:color w:val="000000"/>
        </w:rPr>
        <w:t>). CU contains caffeic acid, ferulic</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acid, p-coumaric acid, and sinapinic acid (Bocco et al., </w:t>
      </w:r>
      <w:hyperlink w:anchor="page11">
        <w:r>
          <w:rPr>
            <w:rFonts w:ascii="Times New Roman" w:cs="Times New Roman" w:eastAsia="Times New Roman" w:hAnsi="Times New Roman"/>
            <w:sz w:val="20"/>
            <w:szCs w:val="20"/>
            <w:color w:val="0000FF"/>
          </w:rPr>
          <w:t>1998</w:t>
        </w:r>
      </w:hyperlink>
      <w:r>
        <w:rPr>
          <w:rFonts w:ascii="Times New Roman" w:cs="Times New Roman" w:eastAsia="Times New Roman" w:hAnsi="Times New Roman"/>
          <w:sz w:val="20"/>
          <w:szCs w:val="20"/>
          <w:color w:val="000000"/>
        </w:rPr>
        <w:t>).</w:t>
      </w:r>
    </w:p>
    <w:p>
      <w:pPr>
        <w:spacing w:after="0" w:line="256" w:lineRule="exact"/>
        <w:rPr>
          <w:rFonts w:ascii="Times New Roman" w:cs="Times New Roman" w:eastAsia="Times New Roman" w:hAnsi="Times New Roman"/>
          <w:sz w:val="20"/>
          <w:szCs w:val="20"/>
          <w:color w:val="0000FF"/>
        </w:rPr>
      </w:pPr>
    </w:p>
    <w:p>
      <w:pPr>
        <w:spacing w:after="0"/>
        <w:rPr>
          <w:sz w:val="20"/>
          <w:szCs w:val="20"/>
          <w:color w:val="auto"/>
        </w:rPr>
      </w:pPr>
      <w:r>
        <w:rPr>
          <w:rFonts w:ascii="Times New Roman" w:cs="Times New Roman" w:eastAsia="Times New Roman" w:hAnsi="Times New Roman"/>
          <w:sz w:val="20"/>
          <w:szCs w:val="20"/>
          <w:color w:val="auto"/>
        </w:rPr>
        <w:t>TFC</w:t>
      </w:r>
    </w:p>
    <w:p>
      <w:pPr>
        <w:spacing w:after="0" w:line="314" w:lineRule="exact"/>
        <w:rPr>
          <w:rFonts w:ascii="Times New Roman" w:cs="Times New Roman" w:eastAsia="Times New Roman" w:hAnsi="Times New Roman"/>
          <w:sz w:val="20"/>
          <w:szCs w:val="20"/>
          <w:color w:val="0000FF"/>
        </w:rPr>
      </w:pPr>
    </w:p>
    <w:p>
      <w:pPr>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Medicinal plant extracts showed TFC of 1.56–132.39 mg QE/g, indicating a broad range of flavonoid content with substantial differences (Table </w:t>
      </w:r>
      <w:hyperlink w:anchor="page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xml:space="preserve">). The order of TFC was PA[SA[PL[KP[GU[CU[PGA[ZJ[PG with statistical significance (p \ 0.05), and PA exhibited 1.3 times and 88.9 times higher TFC than SA and PG, respectively. The TFC of SMCBs was significantly higher than CGB or CPGB (p \ 0.05), with the TFC of SMCB-II being 2.7 times higher than SMCB-I, and 514.5 times and 19.1 times higher than CGB and CPGB, respectively (p \ 0.05) (Table </w:t>
      </w:r>
      <w:hyperlink w:anchor="page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CGB and CPGB showed consider-ably lower TFC, which may be attributed to the low fla-vonoid content of red ginseng or platycodon used in the manufacture. The particularly high TFC of SMCB-II may be the result of the exclusive use of SA, PL, and KP among medicinal plants with high flavonoid content, whereas the TFC was lower in SMCB-I as it did not con-tain those plants.</w:t>
      </w:r>
    </w:p>
    <w:p>
      <w:pPr>
        <w:spacing w:after="0" w:line="297" w:lineRule="exact"/>
        <w:rPr>
          <w:sz w:val="20"/>
          <w:szCs w:val="20"/>
          <w:color w:val="auto"/>
        </w:rPr>
      </w:pPr>
    </w:p>
    <w:p>
      <w:pPr>
        <w:jc w:val="both"/>
        <w:ind w:firstLine="227"/>
        <w:spacing w:after="0" w:line="256"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The main flavonoids in PA include apigenin, luteolin, luteolin-7-O-glucoside, baicalein, and plantaginin (Ferraz-zano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xml:space="preserve">), while PL contains the isoflavonoids (genistein and daidzein) and their glycosides (puerain and daidzin) (Reppert et al., </w:t>
      </w:r>
      <w:hyperlink w:anchor="page11">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CU contains the glycosides of hesperidn and naringin, and polymethoxylated flavones of nobiletin and tangerein (Li et al., </w:t>
      </w:r>
      <w:hyperlink w:anchor="page11">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 xml:space="preserve">; Rafiq et al., </w:t>
      </w:r>
      <w:hyperlink w:anchor="page11">
        <w:r>
          <w:rPr>
            <w:rFonts w:ascii="Times New Roman" w:cs="Times New Roman" w:eastAsia="Times New Roman" w:hAnsi="Times New Roman"/>
            <w:sz w:val="20"/>
            <w:szCs w:val="20"/>
            <w:color w:val="0000FF"/>
          </w:rPr>
          <w:t>2018</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GU contains chanlones (isoliquiritigenin and</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isoliquiritin) and flavanones (liquiritigenin and liquiritin) (Tanemoto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000000"/>
        </w:rPr>
        <w:t xml:space="preserve">). SA contains the flavonoids including kaempferol, rhamnetin, eugenitin, and myricetin, which are known to exhibit antioxidant, antimicrobial, and anti-inflammatory effects (Mittal et al., </w:t>
      </w:r>
      <w:hyperlink w:anchor="page11">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w:t>
      </w:r>
    </w:p>
    <w:p>
      <w:pPr>
        <w:spacing w:after="0" w:line="252" w:lineRule="exact"/>
        <w:rPr>
          <w:rFonts w:ascii="Times New Roman" w:cs="Times New Roman" w:eastAsia="Times New Roman" w:hAnsi="Times New Roman"/>
          <w:sz w:val="20"/>
          <w:szCs w:val="20"/>
          <w:color w:val="0000FF"/>
        </w:rPr>
      </w:pPr>
    </w:p>
    <w:p>
      <w:pPr>
        <w:spacing w:after="0"/>
        <w:rPr>
          <w:sz w:val="20"/>
          <w:szCs w:val="20"/>
          <w:color w:val="auto"/>
        </w:rPr>
      </w:pPr>
      <w:r>
        <w:rPr>
          <w:rFonts w:ascii="Times New Roman" w:cs="Times New Roman" w:eastAsia="Times New Roman" w:hAnsi="Times New Roman"/>
          <w:sz w:val="20"/>
          <w:szCs w:val="20"/>
          <w:color w:val="auto"/>
        </w:rPr>
        <w:t>Crude saponin content</w:t>
      </w:r>
    </w:p>
    <w:p>
      <w:pPr>
        <w:spacing w:after="0" w:line="315" w:lineRule="exact"/>
        <w:rPr>
          <w:rFonts w:ascii="Times New Roman" w:cs="Times New Roman" w:eastAsia="Times New Roman" w:hAnsi="Times New Roman"/>
          <w:sz w:val="20"/>
          <w:szCs w:val="20"/>
          <w:color w:val="0000FF"/>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The crude saponin content in medicinal plant extract showed the order of PL [ KP [ GU [ PG [ PGA, with a</w:t>
      </w:r>
    </w:p>
    <w:p>
      <w:pPr>
        <w:spacing w:after="0" w:line="20" w:lineRule="exact"/>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0000FF"/>
        </w:rPr>
        <w:br w:type="column"/>
      </w:r>
    </w:p>
    <w:p>
      <w:pPr>
        <w:spacing w:after="0" w:line="292" w:lineRule="exact"/>
        <w:rPr>
          <w:rFonts w:ascii="Times New Roman" w:cs="Times New Roman" w:eastAsia="Times New Roman" w:hAnsi="Times New Roman"/>
          <w:sz w:val="20"/>
          <w:szCs w:val="20"/>
          <w:color w:val="0000FF"/>
        </w:rPr>
      </w:pPr>
    </w:p>
    <w:p>
      <w:pPr>
        <w:jc w:val="both"/>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significance (p \ 0.05) (Table </w:t>
      </w:r>
      <w:hyperlink w:anchor="page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The saponins are struc-turally steroid and triterpenoid glycosides produced by plants and have diverse biological activities. KP contains kalopanax saponins (A, B, G), pericap saponin P</w:t>
      </w:r>
      <w:r>
        <w:rPr>
          <w:rFonts w:ascii="Times New Roman" w:cs="Times New Roman" w:eastAsia="Times New Roman" w:hAnsi="Times New Roman"/>
          <w:sz w:val="26"/>
          <w:szCs w:val="26"/>
          <w:color w:val="auto"/>
          <w:vertAlign w:val="subscript"/>
        </w:rPr>
        <w:t>J3</w:t>
      </w:r>
      <w:r>
        <w:rPr>
          <w:rFonts w:ascii="Times New Roman" w:cs="Times New Roman" w:eastAsia="Times New Roman" w:hAnsi="Times New Roman"/>
          <w:sz w:val="20"/>
          <w:szCs w:val="20"/>
          <w:color w:val="auto"/>
        </w:rPr>
        <w:t xml:space="preserve">, and hederasaponin B (Sano et al., </w:t>
      </w:r>
      <w:hyperlink w:anchor="page11">
        <w:r>
          <w:rPr>
            <w:rFonts w:ascii="Times New Roman" w:cs="Times New Roman" w:eastAsia="Times New Roman" w:hAnsi="Times New Roman"/>
            <w:sz w:val="20"/>
            <w:szCs w:val="20"/>
            <w:color w:val="0000FF"/>
          </w:rPr>
          <w:t>1991</w:t>
        </w:r>
      </w:hyperlink>
      <w:r>
        <w:rPr>
          <w:rFonts w:ascii="Times New Roman" w:cs="Times New Roman" w:eastAsia="Times New Roman" w:hAnsi="Times New Roman"/>
          <w:sz w:val="20"/>
          <w:szCs w:val="20"/>
          <w:color w:val="auto"/>
        </w:rPr>
        <w:t xml:space="preserve">); GU contains the triterpene glycoside (glycyrrhizin) (Na et al., </w:t>
      </w:r>
      <w:hyperlink w:anchor="page11">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PGA contains the triterpenoid type saponin: platycodigenin and platycogenic acid A, B, and C (Kubota et al., </w:t>
      </w:r>
      <w:hyperlink w:anchor="page11">
        <w:r>
          <w:rPr>
            <w:rFonts w:ascii="Times New Roman" w:cs="Times New Roman" w:eastAsia="Times New Roman" w:hAnsi="Times New Roman"/>
            <w:sz w:val="20"/>
            <w:szCs w:val="20"/>
            <w:color w:val="0000FF"/>
          </w:rPr>
          <w:t>1969</w:t>
        </w:r>
      </w:hyperlink>
      <w:r>
        <w:rPr>
          <w:rFonts w:ascii="Times New Roman" w:cs="Times New Roman" w:eastAsia="Times New Roman" w:hAnsi="Times New Roman"/>
          <w:sz w:val="20"/>
          <w:szCs w:val="20"/>
          <w:color w:val="auto"/>
        </w:rPr>
        <w:t xml:space="preserve">). PL contains oleanane-type glycosides such as kudzusaponins and soyasaponins (Arao et al., </w:t>
      </w:r>
      <w:hyperlink w:anchor="page11">
        <w:r>
          <w:rPr>
            <w:rFonts w:ascii="Times New Roman" w:cs="Times New Roman" w:eastAsia="Times New Roman" w:hAnsi="Times New Roman"/>
            <w:sz w:val="20"/>
            <w:szCs w:val="20"/>
            <w:color w:val="0000FF"/>
          </w:rPr>
          <w:t>1997</w:t>
        </w:r>
      </w:hyperlink>
      <w:r>
        <w:rPr>
          <w:rFonts w:ascii="Times New Roman" w:cs="Times New Roman" w:eastAsia="Times New Roman" w:hAnsi="Times New Roman"/>
          <w:sz w:val="20"/>
          <w:szCs w:val="20"/>
          <w:color w:val="auto"/>
        </w:rPr>
        <w:t>), while PG contains over 30 types of saponins (ginsenosides) that are divided into 20(S)-protopanaxdiol type saponin (PPD; Rb</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Rb</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Rc and Rd) and 20(S)-protopanaxatriol type saponin (PPT, Re, Rf, Rg</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xml:space="preserve"> and Rg</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(Lee et al., </w:t>
      </w:r>
      <w:hyperlink w:anchor="page11">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w:t>
      </w:r>
    </w:p>
    <w:p>
      <w:pPr>
        <w:spacing w:after="0" w:line="51" w:lineRule="exact"/>
        <w:rPr>
          <w:rFonts w:ascii="Times New Roman" w:cs="Times New Roman" w:eastAsia="Times New Roman" w:hAnsi="Times New Roman"/>
          <w:sz w:val="20"/>
          <w:szCs w:val="20"/>
          <w:color w:val="auto"/>
        </w:rPr>
      </w:pPr>
    </w:p>
    <w:p>
      <w:pPr>
        <w:jc w:val="both"/>
        <w:ind w:firstLine="227"/>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SMCB-II and SMCB-I had crude saponin contents of 35.66 g% and 23.85 g%, respectively, which were signifi-cantly higher than CGB (16.40 g%) or CPGB (7.71 g%) (p \ 0.05) (Table </w:t>
      </w:r>
      <w:hyperlink w:anchor="page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CGB (100% red ginseng) had 2.1 times higher saponin content than CPGB (90% platycodon and 3.4% red ginseng), which is thought to be due to the higher saponin content of the main ingredient red ginseng than platycodon.</w:t>
      </w:r>
    </w:p>
    <w:p>
      <w:pPr>
        <w:spacing w:after="0" w:line="256"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Antioxidant activity</w:t>
      </w:r>
    </w:p>
    <w:p>
      <w:pPr>
        <w:spacing w:after="0" w:line="314" w:lineRule="exact"/>
        <w:rPr>
          <w:rFonts w:ascii="Times New Roman" w:cs="Times New Roman" w:eastAsia="Times New Roman" w:hAnsi="Times New Roman"/>
          <w:sz w:val="20"/>
          <w:szCs w:val="20"/>
          <w:color w:val="auto"/>
        </w:rPr>
      </w:pPr>
    </w:p>
    <w:p>
      <w:pPr>
        <w:jc w:val="both"/>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antioxidant activity of SMCB was assessed based on the FRAP value and DPPH RSC; these values were higher in SMCB-II than in SMCB-I by 1.6 times and 1.7 times, respectively, while the antioxidant activity of SMCB was significantly higher than CGB or CPGB (p \ 0.05) (Table </w:t>
      </w:r>
      <w:hyperlink w:anchor="page7">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auto"/>
        </w:rPr>
        <w:t xml:space="preserve">). The DPPH RSC of medicinal plant extract showed the order of PA [ SA [ KP [ GU [ PL [ CU [ ZJ [ PGA [ PG (p \ 0.05), while the FRAP value showed the order of SA [ PA [ PL [ KP [ CU [ GU [ PGA [ PG [ ZJ (p \ 0.05). SA exhibited a mark-edly higher FRAP value than the other medicinal plants: 7.8 times higher than PA, and 192.3 times higher than ZJ (Table </w:t>
      </w:r>
      <w:hyperlink w:anchor="page7">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auto"/>
        </w:rPr>
        <w:t>). The higher antioxidant activity of SMCB-II than SMCB-I appears to be due to the use of SA, PA, and KP, the top three plants exhibiting the highest DPPH RSC and FRAP values.</w:t>
      </w:r>
    </w:p>
    <w:p>
      <w:pPr>
        <w:spacing w:after="0" w:line="306" w:lineRule="exact"/>
        <w:rPr>
          <w:sz w:val="20"/>
          <w:szCs w:val="20"/>
          <w:color w:val="auto"/>
        </w:rPr>
      </w:pPr>
    </w:p>
    <w:p>
      <w:pPr>
        <w:jc w:val="both"/>
        <w:ind w:firstLine="227"/>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correlation between the antioxidant activity of medicinal plants and the TPC, TFC, and crude saponin content was analyzed; the resulting Pearson’s correlation coefficient (r) and p value are presented in Table </w:t>
      </w:r>
      <w:hyperlink w:anchor="page8">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auto"/>
        </w:rPr>
        <w:t>. The r values for TPC, TFC, and crude saponin content in corre-lation to DPPH RSC were 0.511, 0.566, and 0.658, respectively, and all showed a strong positive correlation with statistical significance (p \ 0.05). Hence, the higher the TPC, TFC, and crude saponin content of the medicinal plant, the higher the DPPH RSC. For the FRAP value, a strong positive correlation was shown for TPC and crude saponin content. The correlation was particularly strong</w:t>
      </w:r>
    </w:p>
    <w:p>
      <w:pPr>
        <w:spacing w:after="0" w:line="214"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50"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17"/>
          <w:szCs w:val="17"/>
          <w:color w:val="auto"/>
        </w:rPr>
        <w:t>Functional effect of medicinal plants and beverage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69"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Table 3 Ferric reducing antioxidant power (FRAP) and DPPH free radical scavenging capacities (RSC) of medicinal plant extracts and stick-type medicinal concentrated beverages (SMCB)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55245</wp:posOffset>
                </wp:positionV>
                <wp:extent cx="30238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5pt" to="238.1pt,4.35pt" o:allowincell="f" strokecolor="#000000" strokeweight="0.5669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Sample</w:t>
            </w:r>
          </w:p>
        </w:tc>
        <w:tc>
          <w:tcPr>
            <w:tcW w:w="214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FRAP value (AAE</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 xml:space="preserve"> mg/g)</w:t>
            </w:r>
          </w:p>
        </w:tc>
        <w:tc>
          <w:tcPr>
            <w:tcW w:w="1400" w:type="dxa"/>
            <w:vAlign w:val="bottom"/>
            <w:gridSpan w:val="2"/>
          </w:tcPr>
          <w:p>
            <w:pPr>
              <w:ind w:left="280"/>
              <w:spacing w:after="0"/>
              <w:rPr>
                <w:sz w:val="20"/>
                <w:szCs w:val="20"/>
                <w:color w:val="auto"/>
              </w:rPr>
            </w:pPr>
            <w:r>
              <w:rPr>
                <w:rFonts w:ascii="Times New Roman" w:cs="Times New Roman" w:eastAsia="Times New Roman" w:hAnsi="Times New Roman"/>
                <w:sz w:val="17"/>
                <w:szCs w:val="17"/>
                <w:color w:val="auto"/>
              </w:rPr>
              <w:t>DPPH RSC (%)</w:t>
            </w:r>
          </w:p>
        </w:tc>
      </w:tr>
      <w:tr>
        <w:trPr>
          <w:trHeight w:val="53"/>
        </w:trPr>
        <w:tc>
          <w:tcPr>
            <w:tcW w:w="3360" w:type="dxa"/>
            <w:vAlign w:val="bottom"/>
            <w:tcBorders>
              <w:bottom w:val="single" w:sz="8" w:color="auto"/>
            </w:tcBorders>
            <w:gridSpan w:val="3"/>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r>
      <w:tr>
        <w:trPr>
          <w:trHeight w:val="271"/>
        </w:trPr>
        <w:tc>
          <w:tcPr>
            <w:tcW w:w="336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Stick-type medicinal concentrated beverages</w:t>
            </w:r>
          </w:p>
        </w:tc>
        <w:tc>
          <w:tcPr>
            <w:tcW w:w="700" w:type="dxa"/>
            <w:vAlign w:val="bottom"/>
          </w:tcPr>
          <w:p>
            <w:pPr>
              <w:spacing w:after="0"/>
              <w:rPr>
                <w:sz w:val="23"/>
                <w:szCs w:val="23"/>
                <w:color w:val="auto"/>
              </w:rPr>
            </w:pPr>
          </w:p>
        </w:tc>
        <w:tc>
          <w:tcPr>
            <w:tcW w:w="700" w:type="dxa"/>
            <w:vAlign w:val="bottom"/>
          </w:tcPr>
          <w:p>
            <w:pPr>
              <w:spacing w:after="0"/>
              <w:rPr>
                <w:sz w:val="23"/>
                <w:szCs w:val="23"/>
                <w:color w:val="auto"/>
              </w:rPr>
            </w:pPr>
          </w:p>
        </w:tc>
      </w:tr>
      <w:tr>
        <w:trPr>
          <w:trHeight w:val="28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SMCB-I</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4.20</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0.17</w:t>
            </w:r>
            <w:r>
              <w:rPr>
                <w:rFonts w:ascii="Times New Roman" w:cs="Times New Roman" w:eastAsia="Times New Roman" w:hAnsi="Times New Roman"/>
                <w:sz w:val="22"/>
                <w:szCs w:val="22"/>
                <w:color w:val="auto"/>
                <w:vertAlign w:val="superscript"/>
              </w:rPr>
              <w:t>b</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37.38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0.50</w:t>
            </w:r>
            <w:r>
              <w:rPr>
                <w:rFonts w:ascii="Times New Roman" w:cs="Times New Roman" w:eastAsia="Times New Roman" w:hAnsi="Times New Roman"/>
                <w:sz w:val="22"/>
                <w:szCs w:val="22"/>
                <w:color w:val="auto"/>
                <w:vertAlign w:val="superscript"/>
              </w:rPr>
              <w:t>b</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SMCB-II</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6.54</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0.04</w:t>
            </w:r>
            <w:r>
              <w:rPr>
                <w:rFonts w:ascii="Times New Roman" w:cs="Times New Roman" w:eastAsia="Times New Roman" w:hAnsi="Times New Roman"/>
                <w:sz w:val="22"/>
                <w:szCs w:val="22"/>
                <w:color w:val="auto"/>
                <w:vertAlign w:val="superscript"/>
              </w:rPr>
              <w:t>a</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62.85</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1.83</w:t>
            </w:r>
            <w:r>
              <w:rPr>
                <w:rFonts w:ascii="Times New Roman" w:cs="Times New Roman" w:eastAsia="Times New Roman" w:hAnsi="Times New Roman"/>
                <w:sz w:val="22"/>
                <w:szCs w:val="22"/>
                <w:color w:val="auto"/>
                <w:vertAlign w:val="superscript"/>
              </w:rPr>
              <w:t>a</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CGB</w:t>
            </w:r>
            <w:r>
              <w:rPr>
                <w:rFonts w:ascii="Times New Roman" w:cs="Times New Roman" w:eastAsia="Times New Roman" w:hAnsi="Times New Roman"/>
                <w:sz w:val="22"/>
                <w:szCs w:val="22"/>
                <w:color w:val="auto"/>
                <w:vertAlign w:val="superscript"/>
              </w:rPr>
              <w:t>2</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1.85</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0.06</w:t>
            </w:r>
            <w:r>
              <w:rPr>
                <w:rFonts w:ascii="Times New Roman" w:cs="Times New Roman" w:eastAsia="Times New Roman" w:hAnsi="Times New Roman"/>
                <w:sz w:val="22"/>
                <w:szCs w:val="22"/>
                <w:color w:val="auto"/>
                <w:vertAlign w:val="superscript"/>
              </w:rPr>
              <w:t>c</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18.87</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1.00</w:t>
            </w:r>
            <w:r>
              <w:rPr>
                <w:rFonts w:ascii="Times New Roman" w:cs="Times New Roman" w:eastAsia="Times New Roman" w:hAnsi="Times New Roman"/>
                <w:sz w:val="22"/>
                <w:szCs w:val="22"/>
                <w:color w:val="auto"/>
                <w:vertAlign w:val="superscript"/>
              </w:rPr>
              <w:t>c</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CPGB</w:t>
            </w:r>
            <w:r>
              <w:rPr>
                <w:rFonts w:ascii="Times New Roman" w:cs="Times New Roman" w:eastAsia="Times New Roman" w:hAnsi="Times New Roman"/>
                <w:sz w:val="22"/>
                <w:szCs w:val="22"/>
                <w:color w:val="auto"/>
                <w:vertAlign w:val="superscript"/>
              </w:rPr>
              <w:t>3</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0.81</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d</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9.08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1.17</w:t>
            </w:r>
            <w:r>
              <w:rPr>
                <w:rFonts w:ascii="Times New Roman" w:cs="Times New Roman" w:eastAsia="Times New Roman" w:hAnsi="Times New Roman"/>
                <w:sz w:val="22"/>
                <w:szCs w:val="22"/>
                <w:color w:val="auto"/>
                <w:vertAlign w:val="superscript"/>
              </w:rPr>
              <w:t>d</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w w:val="99"/>
              </w:rPr>
              <w:t>Medicinal plants</w:t>
            </w:r>
            <w:r>
              <w:rPr>
                <w:rFonts w:ascii="Times New Roman" w:cs="Times New Roman" w:eastAsia="Times New Roman" w:hAnsi="Times New Roman"/>
                <w:sz w:val="22"/>
                <w:szCs w:val="22"/>
                <w:color w:val="auto"/>
                <w:w w:val="99"/>
                <w:vertAlign w:val="superscript"/>
              </w:rPr>
              <w:t>4</w:t>
            </w:r>
          </w:p>
        </w:tc>
        <w:tc>
          <w:tcPr>
            <w:tcW w:w="500" w:type="dxa"/>
            <w:vAlign w:val="bottom"/>
          </w:tcPr>
          <w:p>
            <w:pPr>
              <w:spacing w:after="0"/>
              <w:rPr>
                <w:sz w:val="22"/>
                <w:szCs w:val="22"/>
                <w:color w:val="auto"/>
              </w:rPr>
            </w:pPr>
          </w:p>
        </w:tc>
        <w:tc>
          <w:tcPr>
            <w:tcW w:w="164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700" w:type="dxa"/>
            <w:vAlign w:val="bottom"/>
          </w:tcPr>
          <w:p>
            <w:pPr>
              <w:spacing w:after="0"/>
              <w:rPr>
                <w:sz w:val="22"/>
                <w:szCs w:val="22"/>
                <w:color w:val="auto"/>
              </w:rPr>
            </w:pP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SA</w:t>
            </w:r>
            <w:r>
              <w:rPr>
                <w:rFonts w:ascii="Times New Roman" w:cs="Times New Roman" w:eastAsia="Times New Roman" w:hAnsi="Times New Roman"/>
                <w:sz w:val="22"/>
                <w:szCs w:val="22"/>
                <w:color w:val="auto"/>
                <w:vertAlign w:val="superscript"/>
              </w:rPr>
              <w:t>5</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98"/>
              </w:rPr>
              <w:t>415.47</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7.55</w:t>
            </w:r>
            <w:r>
              <w:rPr>
                <w:rFonts w:ascii="Times New Roman" w:cs="Times New Roman" w:eastAsia="Times New Roman" w:hAnsi="Times New Roman"/>
                <w:sz w:val="22"/>
                <w:szCs w:val="22"/>
                <w:color w:val="auto"/>
                <w:vertAlign w:val="superscript"/>
              </w:rPr>
              <w:t>a</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93.43</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3.72</w:t>
            </w:r>
            <w:r>
              <w:rPr>
                <w:rFonts w:ascii="Times New Roman" w:cs="Times New Roman" w:eastAsia="Times New Roman" w:hAnsi="Times New Roman"/>
                <w:sz w:val="22"/>
                <w:szCs w:val="22"/>
                <w:color w:val="auto"/>
                <w:vertAlign w:val="superscript"/>
              </w:rPr>
              <w:t>ab</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PL</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33.98</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6.29</w:t>
            </w:r>
            <w:r>
              <w:rPr>
                <w:rFonts w:ascii="Times New Roman" w:cs="Times New Roman" w:eastAsia="Times New Roman" w:hAnsi="Times New Roman"/>
                <w:sz w:val="22"/>
                <w:szCs w:val="22"/>
                <w:color w:val="auto"/>
                <w:vertAlign w:val="superscript"/>
              </w:rPr>
              <w:t>c</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80.50</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1.20</w:t>
            </w:r>
            <w:r>
              <w:rPr>
                <w:rFonts w:ascii="Times New Roman" w:cs="Times New Roman" w:eastAsia="Times New Roman" w:hAnsi="Times New Roman"/>
                <w:sz w:val="22"/>
                <w:szCs w:val="22"/>
                <w:color w:val="auto"/>
                <w:vertAlign w:val="superscript"/>
              </w:rPr>
              <w:t>d</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PA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52.07</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4.19</w:t>
            </w:r>
            <w:r>
              <w:rPr>
                <w:rFonts w:ascii="Times New Roman" w:cs="Times New Roman" w:eastAsia="Times New Roman" w:hAnsi="Times New Roman"/>
                <w:sz w:val="22"/>
                <w:szCs w:val="22"/>
                <w:color w:val="auto"/>
                <w:vertAlign w:val="superscript"/>
              </w:rPr>
              <w:t>b</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95.58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0.90</w:t>
            </w:r>
            <w:r>
              <w:rPr>
                <w:rFonts w:ascii="Times New Roman" w:cs="Times New Roman" w:eastAsia="Times New Roman" w:hAnsi="Times New Roman"/>
                <w:sz w:val="22"/>
                <w:szCs w:val="22"/>
                <w:color w:val="auto"/>
                <w:vertAlign w:val="superscript"/>
              </w:rPr>
              <w:t>a</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KP</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32.20</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2.10</w:t>
            </w:r>
            <w:r>
              <w:rPr>
                <w:rFonts w:ascii="Times New Roman" w:cs="Times New Roman" w:eastAsia="Times New Roman" w:hAnsi="Times New Roman"/>
                <w:sz w:val="22"/>
                <w:szCs w:val="22"/>
                <w:color w:val="auto"/>
                <w:vertAlign w:val="superscript"/>
              </w:rPr>
              <w:t>c</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91.41</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0.40</w:t>
            </w:r>
            <w:r>
              <w:rPr>
                <w:rFonts w:ascii="Times New Roman" w:cs="Times New Roman" w:eastAsia="Times New Roman" w:hAnsi="Times New Roman"/>
                <w:sz w:val="22"/>
                <w:szCs w:val="22"/>
                <w:color w:val="auto"/>
                <w:vertAlign w:val="superscript"/>
              </w:rPr>
              <w:t>b</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CU</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11.45</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2.10</w:t>
            </w:r>
            <w:r>
              <w:rPr>
                <w:rFonts w:ascii="Times New Roman" w:cs="Times New Roman" w:eastAsia="Times New Roman" w:hAnsi="Times New Roman"/>
                <w:sz w:val="22"/>
                <w:szCs w:val="22"/>
                <w:color w:val="auto"/>
                <w:vertAlign w:val="superscript"/>
              </w:rPr>
              <w:t>d</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75.28</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2.23</w:t>
            </w:r>
            <w:r>
              <w:rPr>
                <w:rFonts w:ascii="Times New Roman" w:cs="Times New Roman" w:eastAsia="Times New Roman" w:hAnsi="Times New Roman"/>
                <w:sz w:val="22"/>
                <w:szCs w:val="22"/>
                <w:color w:val="auto"/>
                <w:vertAlign w:val="superscript"/>
              </w:rPr>
              <w:t>e</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PGA</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2.97</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0.23</w:t>
            </w:r>
            <w:r>
              <w:rPr>
                <w:rFonts w:ascii="Times New Roman" w:cs="Times New Roman" w:eastAsia="Times New Roman" w:hAnsi="Times New Roman"/>
                <w:sz w:val="22"/>
                <w:szCs w:val="22"/>
                <w:color w:val="auto"/>
                <w:vertAlign w:val="superscript"/>
              </w:rPr>
              <w:t>de</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23.82</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0.16</w:t>
            </w:r>
            <w:r>
              <w:rPr>
                <w:rFonts w:ascii="Times New Roman" w:cs="Times New Roman" w:eastAsia="Times New Roman" w:hAnsi="Times New Roman"/>
                <w:sz w:val="22"/>
                <w:szCs w:val="22"/>
                <w:color w:val="auto"/>
                <w:vertAlign w:val="superscript"/>
              </w:rPr>
              <w:t>g</w:t>
            </w:r>
          </w:p>
        </w:tc>
      </w:tr>
      <w:tr>
        <w:trPr>
          <w:trHeight w:val="254"/>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GU</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9.96</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1.68</w:t>
            </w:r>
            <w:r>
              <w:rPr>
                <w:rFonts w:ascii="Times New Roman" w:cs="Times New Roman" w:eastAsia="Times New Roman" w:hAnsi="Times New Roman"/>
                <w:sz w:val="22"/>
                <w:szCs w:val="22"/>
                <w:color w:val="auto"/>
                <w:vertAlign w:val="superscript"/>
              </w:rPr>
              <w:t>de</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85.76</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1.00</w:t>
            </w:r>
            <w:r>
              <w:rPr>
                <w:rFonts w:ascii="Times New Roman" w:cs="Times New Roman" w:eastAsia="Times New Roman" w:hAnsi="Times New Roman"/>
                <w:sz w:val="22"/>
                <w:szCs w:val="22"/>
                <w:color w:val="auto"/>
                <w:vertAlign w:val="superscript"/>
              </w:rPr>
              <w:t>c</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PG</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2.59</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0.02</w:t>
            </w:r>
            <w:r>
              <w:rPr>
                <w:rFonts w:ascii="Times New Roman" w:cs="Times New Roman" w:eastAsia="Times New Roman" w:hAnsi="Times New Roman"/>
                <w:sz w:val="22"/>
                <w:szCs w:val="22"/>
                <w:color w:val="auto"/>
                <w:vertAlign w:val="superscript"/>
              </w:rPr>
              <w:t>de</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21.29</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0.72</w:t>
            </w:r>
            <w:r>
              <w:rPr>
                <w:rFonts w:ascii="Times New Roman" w:cs="Times New Roman" w:eastAsia="Times New Roman" w:hAnsi="Times New Roman"/>
                <w:sz w:val="22"/>
                <w:szCs w:val="22"/>
                <w:color w:val="auto"/>
                <w:vertAlign w:val="superscript"/>
              </w:rPr>
              <w:t>g</w:t>
            </w:r>
          </w:p>
        </w:tc>
      </w:tr>
      <w:tr>
        <w:trPr>
          <w:trHeight w:val="255"/>
        </w:trPr>
        <w:tc>
          <w:tcPr>
            <w:tcW w:w="1220" w:type="dxa"/>
            <w:vAlign w:val="bottom"/>
          </w:tcPr>
          <w:p>
            <w:pPr>
              <w:spacing w:after="0"/>
              <w:rPr>
                <w:sz w:val="20"/>
                <w:szCs w:val="20"/>
                <w:color w:val="auto"/>
              </w:rPr>
            </w:pPr>
            <w:r>
              <w:rPr>
                <w:rFonts w:ascii="Times New Roman" w:cs="Times New Roman" w:eastAsia="Times New Roman" w:hAnsi="Times New Roman"/>
                <w:sz w:val="17"/>
                <w:szCs w:val="17"/>
                <w:color w:val="auto"/>
              </w:rPr>
              <w:t>ZJ</w:t>
            </w:r>
          </w:p>
        </w:tc>
        <w:tc>
          <w:tcPr>
            <w:tcW w:w="5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2.16</w:t>
            </w:r>
          </w:p>
        </w:tc>
        <w:tc>
          <w:tcPr>
            <w:tcW w:w="164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0.63</w:t>
            </w:r>
            <w:r>
              <w:rPr>
                <w:rFonts w:ascii="Times New Roman" w:cs="Times New Roman" w:eastAsia="Times New Roman" w:hAnsi="Times New Roman"/>
                <w:sz w:val="22"/>
                <w:szCs w:val="22"/>
                <w:color w:val="auto"/>
                <w:vertAlign w:val="superscript"/>
              </w:rPr>
              <w:t>e</w:t>
            </w:r>
          </w:p>
        </w:tc>
        <w:tc>
          <w:tcPr>
            <w:tcW w:w="70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48.34</w:t>
            </w:r>
          </w:p>
        </w:tc>
        <w:tc>
          <w:tcPr>
            <w:tcW w:w="700" w:type="dxa"/>
            <w:vAlign w:val="bottom"/>
          </w:tcPr>
          <w:p>
            <w:pPr>
              <w:ind w:left="20"/>
              <w:spacing w:after="0"/>
              <w:rPr>
                <w:sz w:val="20"/>
                <w:szCs w:val="20"/>
                <w:color w:val="auto"/>
              </w:rPr>
            </w:pPr>
            <w:r>
              <w:rPr>
                <w:rFonts w:ascii="Times New Roman" w:cs="Times New Roman" w:eastAsia="Times New Roman" w:hAnsi="Times New Roman"/>
                <w:sz w:val="17"/>
                <w:szCs w:val="17"/>
                <w:color w:val="auto"/>
              </w:rPr>
              <w:t>± 0.67</w:t>
            </w:r>
            <w:r>
              <w:rPr>
                <w:rFonts w:ascii="Times New Roman" w:cs="Times New Roman" w:eastAsia="Times New Roman" w:hAnsi="Times New Roman"/>
                <w:sz w:val="22"/>
                <w:szCs w:val="22"/>
                <w:color w:val="auto"/>
                <w:vertAlign w:val="superscript"/>
              </w:rPr>
              <w:t>f</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30238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238.1pt,3.15pt" o:allowincell="f" strokecolor="#000000" strokeweight="0.5669pt"/>
            </w:pict>
          </mc:Fallback>
        </mc:AlternateContent>
      </w:r>
    </w:p>
    <w:p>
      <w:pPr>
        <w:spacing w:after="0" w:line="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AAE, ascorbic acid equivalent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Commercial red ginseng concentrated beverage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7"/>
          <w:szCs w:val="17"/>
          <w:color w:val="auto"/>
        </w:rPr>
        <w:t>Commercial platycodon red ginseng concentrated beverage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7"/>
          <w:szCs w:val="17"/>
          <w:color w:val="auto"/>
        </w:rPr>
        <w:t>Freeze-dried water extract of medicinal plants</w:t>
      </w:r>
    </w:p>
    <w:p>
      <w:pPr>
        <w:spacing w:after="0" w:line="2" w:lineRule="exact"/>
        <w:rPr>
          <w:sz w:val="20"/>
          <w:szCs w:val="20"/>
          <w:color w:val="auto"/>
        </w:rPr>
      </w:pPr>
    </w:p>
    <w:p>
      <w:pPr>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7"/>
          <w:szCs w:val="17"/>
          <w:color w:val="auto"/>
        </w:rPr>
        <w:t xml:space="preserve">The medial plant of the abbreviation is the same as Table </w:t>
      </w:r>
      <w:hyperlink w:anchor="page3">
        <w:r>
          <w:rPr>
            <w:rFonts w:ascii="Times New Roman" w:cs="Times New Roman" w:eastAsia="Times New Roman" w:hAnsi="Times New Roman"/>
            <w:sz w:val="17"/>
            <w:szCs w:val="17"/>
            <w:color w:val="0000FF"/>
          </w:rPr>
          <w:t>1</w:t>
        </w:r>
      </w:hyperlink>
    </w:p>
    <w:p>
      <w:pPr>
        <w:spacing w:after="0" w:line="34"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2"/>
          <w:szCs w:val="22"/>
          <w:color w:val="auto"/>
          <w:vertAlign w:val="superscript"/>
        </w:rPr>
        <w:t>a–g</w:t>
      </w:r>
      <w:r>
        <w:rPr>
          <w:rFonts w:ascii="Times New Roman" w:cs="Times New Roman" w:eastAsia="Times New Roman" w:hAnsi="Times New Roman"/>
          <w:sz w:val="17"/>
          <w:szCs w:val="17"/>
          <w:color w:val="auto"/>
        </w:rPr>
        <w:t>Means within the same column with different superscript letters are significant different by Duncan’s multiple range test at p \ 0.05 (n = 3)</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with TPC, with r = 0.981 and a coefficient of determina-tion (r</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 0.43, which indicated approximately 96% cor-relation while with TFC, a non-significant positive correlation (p = 0.139) was found. The crude saponin content was analyzed for PL, KP, PGA, GU, and PG: PL and KP with their high saponin content exhibited high DPPH RSC and FRAP value since these plants contain high TPC and TFC.</w:t>
      </w:r>
    </w:p>
    <w:p>
      <w:pPr>
        <w:spacing w:after="0" w:line="59" w:lineRule="exact"/>
        <w:rPr>
          <w:sz w:val="20"/>
          <w:szCs w:val="20"/>
          <w:color w:val="auto"/>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DPPH RSC and FRAP values of the medicinal concentrated beverages (SMCBs, CGB and CPGB) showed a strong positive correlation (r [ 0.88) with TPC, TFC, and crude saponin content, indicating that the increase in their contents led to an increase in the antioxidant activity (p \ 0.01) (Table </w:t>
      </w:r>
      <w:hyperlink w:anchor="page8">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 The concentrated beverage with high TPC also had high TFC and high crude saponin content, which resulted in outstanding DPPH RSC and FRAP val-ues. The r value was 0.989 between DPPH RSC and crude saponin content, and 0.996 between the FRAP value and TPC, showing approximately 98% and 99% correlation, respectively. This was in line with the correlation analysis results for medicinal plants. Thus, antioxidant activity was higher for the medicinal plants with high levels of TPC,</w:t>
      </w:r>
    </w:p>
    <w:p>
      <w:pPr>
        <w:spacing w:after="0" w:line="20" w:lineRule="exact"/>
        <w:rPr>
          <w:sz w:val="20"/>
          <w:szCs w:val="20"/>
          <w:color w:val="auto"/>
        </w:rPr>
      </w:pPr>
      <w:r>
        <w:rPr>
          <w:sz w:val="20"/>
          <w:szCs w:val="20"/>
          <w:color w:val="auto"/>
        </w:rPr>
        <w:br w:type="column"/>
      </w:r>
    </w:p>
    <w:p>
      <w:pPr>
        <w:spacing w:after="0" w:line="326"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TFC, and crude saponin content, and the use of such medicinal plants in producing the complex extract for concentrated beverages was shown to lead to the conse-quently strong antioxidant activity.</w:t>
      </w:r>
    </w:p>
    <w:p>
      <w:pPr>
        <w:spacing w:after="0" w:line="61" w:lineRule="exact"/>
        <w:rPr>
          <w:sz w:val="20"/>
          <w:szCs w:val="20"/>
          <w:color w:val="auto"/>
        </w:rPr>
      </w:pPr>
    </w:p>
    <w:p>
      <w:pPr>
        <w:jc w:val="both"/>
        <w:ind w:firstLine="227"/>
        <w:spacing w:after="0" w:line="257"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 xml:space="preserve">Phenolic compounds are known to have anti-inflamma-tory, antibacterial, and antiviral biological activities (Tanase et al., </w:t>
      </w:r>
      <w:hyperlink w:anchor="page11">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auto"/>
        </w:rPr>
        <w:t xml:space="preserve">). Polyphenols are molecules with one or more hydroxyl groups attached to at least one aromatic ring, and are potent antioxidants by preventing damage from reactive oxygen species through radical scavenging or by preventing generation of the species; the antioxidant action is largely dependent on the number of hydroxyl groups (Watson et al., </w:t>
      </w:r>
      <w:hyperlink w:anchor="page11">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The antioxidant activity of SA comes from its content of phenolic compounds (euge-nol, eugenyl acetate, and pyrogallol) and of flavonoids (kaempferol, rhamnetin, eugenitin, and myricetin) (Mittal et al., </w:t>
      </w:r>
      <w:hyperlink w:anchor="page11">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Hemalatha et al., </w:t>
      </w:r>
      <w:hyperlink w:anchor="page11">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auto"/>
        </w:rPr>
        <w:t xml:space="preserve">). The antioxidant activity of PA comes from the following phenolic com-pounds: vanillic acid, p-hydroxybenzoic acid, plantama-joside, desrhamnosyl acteoside, calceorioside B, and phenylethyl glycoside (Amakura et al., </w:t>
      </w:r>
      <w:hyperlink w:anchor="page11">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auto"/>
        </w:rPr>
        <w:t xml:space="preserve">). Plantama-joside, in particular, as a bioactive caffeic acid derivative and a dihydroxyphenethyl glucoside in polyphenolic compounds, has been reported to exhibit antibacterial, anti-inflammatory, and antioxidant activities (Ravn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000000"/>
        </w:rPr>
        <w:t>).</w:t>
      </w:r>
    </w:p>
    <w:p>
      <w:pPr>
        <w:spacing w:after="0" w:line="264"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Inhibitory activity of NO production</w:t>
      </w:r>
    </w:p>
    <w:p>
      <w:pPr>
        <w:spacing w:after="0" w:line="314" w:lineRule="exact"/>
        <w:rPr>
          <w:rFonts w:ascii="Times New Roman" w:cs="Times New Roman" w:eastAsia="Times New Roman" w:hAnsi="Times New Roman"/>
          <w:sz w:val="20"/>
          <w:szCs w:val="20"/>
          <w:color w:val="auto"/>
        </w:rPr>
      </w:pPr>
    </w:p>
    <w:p>
      <w:pPr>
        <w:jc w:val="both"/>
        <w:spacing w:after="0" w:line="25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anti-inflammatory effects of medicinal plant extracts and medicinal concentrated beverages were evaluated based on NO production by induction of inflammation in RAW 264.7 cells using LPS. NO production in the LPS-treated group (100%) showed a substantial increase com-pared to the negative control (7.3%), while that in the groups treated with medicinal plant extracts (0.2 mg/mL) was 7.3%-82.3%, which showed a significant decrease compared to the LPS-treated group (p \ 0.001, p \ 0.01, or p \ 0.05) (Fig. </w:t>
      </w:r>
      <w:hyperlink w:anchor="page8">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xml:space="preserve">). The inhibitory activity of medicinal plant extracts on NO production showed the following order: SA [ PA [ GU [ PL [ PG [ KP [ CU [ ZJ [ PGA. The inhibition of NO production by SA was 5.0 times higher than PA, and 11.3 times higher than PGA. Of note, the level of NO inhibition was similar to the negative control without LPS treatment (Fig. </w:t>
      </w:r>
      <w:hyperlink w:anchor="page8">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The increase in TPC and TFC of each medicinal plant led to a significant decrease in NO production, indicating a negative correla-tion (r = - 0.540 and r = - 0.477), although no correla-tion was shown for crude saponin content (r = 0.017). Between NO production and antioxidant activity based on DPPH RSC, a strong negative correlation was found with statistical significance (p \ 0.05); hence, the higher the</w:t>
      </w:r>
    </w:p>
    <w:p>
      <w:pPr>
        <w:spacing w:after="0" w:line="325"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174" w:lineRule="exact"/>
        <w:rPr>
          <w:sz w:val="20"/>
          <w:szCs w:val="20"/>
          <w:color w:val="auto"/>
        </w:rPr>
      </w:pPr>
    </w:p>
    <w:p>
      <w:pPr>
        <w:ind w:left="908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7" w:name="page8"/>
    <w:bookmarkEnd w:id="7"/>
    <w:p>
      <w:pPr>
        <w:jc w:val="right"/>
        <w:spacing w:after="0"/>
        <w:rPr>
          <w:sz w:val="20"/>
          <w:szCs w:val="20"/>
          <w:color w:val="auto"/>
        </w:rPr>
      </w:pPr>
      <w:r>
        <w:rPr>
          <w:rFonts w:ascii="Times New Roman" w:cs="Times New Roman" w:eastAsia="Times New Roman" w:hAnsi="Times New Roman"/>
          <w:sz w:val="17"/>
          <w:szCs w:val="17"/>
          <w:color w:val="auto"/>
        </w:rPr>
        <w:t>H.-J. Chang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pacing w:after="0" w:line="349"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Table 4 Pearson’s correlation matrix between the contents of total phenolic, total flavonoids and crude saponin, and the activities of antioxidant and NO production inhibitory in medicinal plant extracts and stick-type medicinal concentrated beverages (SMCB)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55245</wp:posOffset>
                </wp:positionV>
                <wp:extent cx="6264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5pt" to="493.25pt,4.35pt" o:allowincell="f" strokecolor="#000000" strokeweight="0.5669pt"/>
            </w:pict>
          </mc:Fallback>
        </mc:AlternateContent>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100" w:type="dxa"/>
            <w:vAlign w:val="bottom"/>
          </w:tcPr>
          <w:p>
            <w:pPr>
              <w:spacing w:after="0"/>
              <w:rPr>
                <w:sz w:val="20"/>
                <w:szCs w:val="20"/>
                <w:color w:val="auto"/>
              </w:rPr>
            </w:pPr>
            <w:r>
              <w:rPr>
                <w:rFonts w:ascii="Times New Roman" w:cs="Times New Roman" w:eastAsia="Times New Roman" w:hAnsi="Times New Roman"/>
                <w:sz w:val="17"/>
                <w:szCs w:val="17"/>
                <w:color w:val="auto"/>
              </w:rPr>
              <w:t>Variables</w:t>
            </w:r>
          </w:p>
        </w:tc>
        <w:tc>
          <w:tcPr>
            <w:tcW w:w="1180" w:type="dxa"/>
            <w:vAlign w:val="bottom"/>
          </w:tcPr>
          <w:p>
            <w:pPr>
              <w:ind w:left="460"/>
              <w:spacing w:after="0"/>
              <w:rPr>
                <w:sz w:val="20"/>
                <w:szCs w:val="20"/>
                <w:color w:val="auto"/>
              </w:rPr>
            </w:pPr>
            <w:r>
              <w:rPr>
                <w:rFonts w:ascii="Times New Roman" w:cs="Times New Roman" w:eastAsia="Times New Roman" w:hAnsi="Times New Roman"/>
                <w:sz w:val="17"/>
                <w:szCs w:val="17"/>
                <w:color w:val="auto"/>
              </w:rPr>
              <w:t>TPC</w:t>
            </w:r>
          </w:p>
        </w:tc>
        <w:tc>
          <w:tcPr>
            <w:tcW w:w="114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TFC</w:t>
            </w:r>
          </w:p>
        </w:tc>
        <w:tc>
          <w:tcPr>
            <w:tcW w:w="4380" w:type="dxa"/>
            <w:vAlign w:val="bottom"/>
            <w:gridSpan w:val="2"/>
          </w:tcPr>
          <w:p>
            <w:pPr>
              <w:ind w:left="420"/>
              <w:spacing w:after="0"/>
              <w:rPr>
                <w:sz w:val="20"/>
                <w:szCs w:val="20"/>
                <w:color w:val="auto"/>
              </w:rPr>
            </w:pPr>
            <w:r>
              <w:rPr>
                <w:rFonts w:ascii="Times New Roman" w:cs="Times New Roman" w:eastAsia="Times New Roman" w:hAnsi="Times New Roman"/>
                <w:sz w:val="17"/>
                <w:szCs w:val="17"/>
                <w:color w:val="auto"/>
              </w:rPr>
              <w:t>Crude Saponin content   Antioxidant activity</w:t>
            </w:r>
          </w:p>
        </w:tc>
        <w:tc>
          <w:tcPr>
            <w:tcW w:w="2060" w:type="dxa"/>
            <w:vAlign w:val="bottom"/>
          </w:tcPr>
          <w:p>
            <w:pPr>
              <w:ind w:left="220"/>
              <w:spacing w:after="0"/>
              <w:rPr>
                <w:sz w:val="20"/>
                <w:szCs w:val="20"/>
                <w:color w:val="auto"/>
              </w:rPr>
            </w:pPr>
            <w:r>
              <w:rPr>
                <w:rFonts w:ascii="Times New Roman" w:cs="Times New Roman" w:eastAsia="Times New Roman" w:hAnsi="Times New Roman"/>
                <w:sz w:val="17"/>
                <w:szCs w:val="17"/>
                <w:color w:val="auto"/>
                <w:w w:val="99"/>
              </w:rPr>
              <w:t>Anti-inflammatory activity</w:t>
            </w:r>
          </w:p>
        </w:tc>
      </w:tr>
      <w:tr>
        <w:trPr>
          <w:trHeight w:val="83"/>
        </w:trPr>
        <w:tc>
          <w:tcPr>
            <w:tcW w:w="1100" w:type="dxa"/>
            <w:vAlign w:val="bottom"/>
          </w:tcPr>
          <w:p>
            <w:pPr>
              <w:spacing w:after="0"/>
              <w:rPr>
                <w:sz w:val="7"/>
                <w:szCs w:val="7"/>
                <w:color w:val="auto"/>
              </w:rPr>
            </w:pPr>
          </w:p>
        </w:tc>
        <w:tc>
          <w:tcPr>
            <w:tcW w:w="1180" w:type="dxa"/>
            <w:vAlign w:val="bottom"/>
          </w:tcPr>
          <w:p>
            <w:pPr>
              <w:spacing w:after="0"/>
              <w:rPr>
                <w:sz w:val="7"/>
                <w:szCs w:val="7"/>
                <w:color w:val="auto"/>
              </w:rPr>
            </w:pPr>
          </w:p>
        </w:tc>
        <w:tc>
          <w:tcPr>
            <w:tcW w:w="1140" w:type="dxa"/>
            <w:vAlign w:val="bottom"/>
          </w:tcPr>
          <w:p>
            <w:pPr>
              <w:spacing w:after="0"/>
              <w:rPr>
                <w:sz w:val="7"/>
                <w:szCs w:val="7"/>
                <w:color w:val="auto"/>
              </w:rPr>
            </w:pPr>
          </w:p>
        </w:tc>
        <w:tc>
          <w:tcPr>
            <w:tcW w:w="2220" w:type="dxa"/>
            <w:vAlign w:val="bottom"/>
          </w:tcPr>
          <w:p>
            <w:pPr>
              <w:spacing w:after="0"/>
              <w:rPr>
                <w:sz w:val="7"/>
                <w:szCs w:val="7"/>
                <w:color w:val="auto"/>
              </w:rPr>
            </w:pPr>
          </w:p>
        </w:tc>
        <w:tc>
          <w:tcPr>
            <w:tcW w:w="2160" w:type="dxa"/>
            <w:vAlign w:val="bottom"/>
            <w:tcBorders>
              <w:bottom w:val="single" w:sz="8" w:color="auto"/>
            </w:tcBorders>
          </w:tcPr>
          <w:p>
            <w:pPr>
              <w:spacing w:after="0"/>
              <w:rPr>
                <w:sz w:val="7"/>
                <w:szCs w:val="7"/>
                <w:color w:val="auto"/>
              </w:rPr>
            </w:pPr>
          </w:p>
        </w:tc>
        <w:tc>
          <w:tcPr>
            <w:tcW w:w="2060" w:type="dxa"/>
            <w:vAlign w:val="bottom"/>
          </w:tcPr>
          <w:p>
            <w:pPr>
              <w:spacing w:after="0"/>
              <w:rPr>
                <w:sz w:val="7"/>
                <w:szCs w:val="7"/>
                <w:color w:val="auto"/>
              </w:rPr>
            </w:pPr>
          </w:p>
        </w:tc>
      </w:tr>
      <w:tr>
        <w:trPr>
          <w:trHeight w:val="228"/>
        </w:trPr>
        <w:tc>
          <w:tcPr>
            <w:tcW w:w="11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2220" w:type="dxa"/>
            <w:vAlign w:val="bottom"/>
          </w:tcPr>
          <w:p>
            <w:pPr>
              <w:spacing w:after="0"/>
              <w:rPr>
                <w:sz w:val="19"/>
                <w:szCs w:val="19"/>
                <w:color w:val="auto"/>
              </w:rPr>
            </w:pPr>
          </w:p>
        </w:tc>
        <w:tc>
          <w:tcPr>
            <w:tcW w:w="2160" w:type="dxa"/>
            <w:vAlign w:val="bottom"/>
          </w:tcPr>
          <w:p>
            <w:pPr>
              <w:spacing w:after="0"/>
              <w:rPr>
                <w:sz w:val="20"/>
                <w:szCs w:val="20"/>
                <w:color w:val="auto"/>
              </w:rPr>
            </w:pPr>
            <w:r>
              <w:rPr>
                <w:rFonts w:ascii="Times New Roman" w:cs="Times New Roman" w:eastAsia="Times New Roman" w:hAnsi="Times New Roman"/>
                <w:sz w:val="17"/>
                <w:szCs w:val="17"/>
                <w:color w:val="auto"/>
              </w:rPr>
              <w:t>DPPH RSC (%)   FRAP value</w:t>
            </w:r>
          </w:p>
        </w:tc>
        <w:tc>
          <w:tcPr>
            <w:tcW w:w="206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NO production (%)</w:t>
            </w:r>
          </w:p>
        </w:tc>
      </w:tr>
      <w:tr>
        <w:trPr>
          <w:trHeight w:val="82"/>
        </w:trPr>
        <w:tc>
          <w:tcPr>
            <w:tcW w:w="1100" w:type="dxa"/>
            <w:vAlign w:val="bottom"/>
            <w:tcBorders>
              <w:bottom w:val="single" w:sz="8" w:color="auto"/>
            </w:tcBorders>
          </w:tcPr>
          <w:p>
            <w:pPr>
              <w:spacing w:after="0"/>
              <w:rPr>
                <w:sz w:val="7"/>
                <w:szCs w:val="7"/>
                <w:color w:val="auto"/>
              </w:rPr>
            </w:pPr>
          </w:p>
        </w:tc>
        <w:tc>
          <w:tcPr>
            <w:tcW w:w="118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2220" w:type="dxa"/>
            <w:vAlign w:val="bottom"/>
            <w:tcBorders>
              <w:bottom w:val="single" w:sz="8" w:color="auto"/>
            </w:tcBorders>
          </w:tcPr>
          <w:p>
            <w:pPr>
              <w:spacing w:after="0"/>
              <w:rPr>
                <w:sz w:val="7"/>
                <w:szCs w:val="7"/>
                <w:color w:val="auto"/>
              </w:rPr>
            </w:pPr>
          </w:p>
        </w:tc>
        <w:tc>
          <w:tcPr>
            <w:tcW w:w="2160" w:type="dxa"/>
            <w:vAlign w:val="bottom"/>
            <w:tcBorders>
              <w:bottom w:val="single" w:sz="8" w:color="auto"/>
            </w:tcBorders>
          </w:tcPr>
          <w:p>
            <w:pPr>
              <w:spacing w:after="0"/>
              <w:rPr>
                <w:sz w:val="7"/>
                <w:szCs w:val="7"/>
                <w:color w:val="auto"/>
              </w:rPr>
            </w:pPr>
          </w:p>
        </w:tc>
        <w:tc>
          <w:tcPr>
            <w:tcW w:w="2060" w:type="dxa"/>
            <w:vAlign w:val="bottom"/>
            <w:tcBorders>
              <w:bottom w:val="single" w:sz="8" w:color="auto"/>
            </w:tcBorders>
          </w:tcPr>
          <w:p>
            <w:pPr>
              <w:spacing w:after="0"/>
              <w:rPr>
                <w:sz w:val="7"/>
                <w:szCs w:val="7"/>
                <w:color w:val="auto"/>
              </w:rPr>
            </w:pPr>
          </w:p>
        </w:tc>
      </w:tr>
    </w:tbl>
    <w:p>
      <w:pPr>
        <w:spacing w:after="0" w:line="77" w:lineRule="exact"/>
        <w:rPr>
          <w:sz w:val="20"/>
          <w:szCs w:val="20"/>
          <w:color w:val="auto"/>
        </w:rPr>
      </w:pPr>
    </w:p>
    <w:p>
      <w:pPr>
        <w:sectPr>
          <w:pgSz w:w="11900" w:h="15817" w:orient="portrait"/>
          <w:cols w:equalWidth="0" w:num="1">
            <w:col w:w="9860"/>
          </w:cols>
          <w:pgMar w:left="1020" w:top="639" w:right="1026" w:bottom="318" w:gutter="0" w:footer="0" w:header="0"/>
        </w:sectPr>
      </w:pPr>
    </w:p>
    <w:tbl>
      <w:tblPr>
        <w:tblLayout w:type="fixed"/>
        <w:tblInd w:w="0" w:type="dxa"/>
        <w:tblCellMar>
          <w:top w:w="0" w:type="dxa"/>
          <w:left w:w="0" w:type="dxa"/>
          <w:bottom w:w="0" w:type="dxa"/>
          <w:right w:w="0" w:type="dxa"/>
        </w:tblCellMar>
      </w:tblPr>
      <w:tr>
        <w:trPr>
          <w:trHeight w:val="195"/>
        </w:trPr>
        <w:tc>
          <w:tcPr>
            <w:tcW w:w="258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Medicinal plant extracts</w:t>
            </w:r>
          </w:p>
        </w:tc>
        <w:tc>
          <w:tcPr>
            <w:tcW w:w="1180" w:type="dxa"/>
            <w:vAlign w:val="bottom"/>
          </w:tcPr>
          <w:p>
            <w:pPr>
              <w:spacing w:after="0"/>
              <w:rPr>
                <w:sz w:val="17"/>
                <w:szCs w:val="17"/>
                <w:color w:val="auto"/>
              </w:rPr>
            </w:pPr>
          </w:p>
        </w:tc>
        <w:tc>
          <w:tcPr>
            <w:tcW w:w="900" w:type="dxa"/>
            <w:vAlign w:val="bottom"/>
          </w:tcPr>
          <w:p>
            <w:pPr>
              <w:spacing w:after="0"/>
              <w:rPr>
                <w:sz w:val="17"/>
                <w:szCs w:val="17"/>
                <w:color w:val="auto"/>
              </w:rPr>
            </w:pPr>
          </w:p>
        </w:tc>
      </w:tr>
      <w:tr>
        <w:trPr>
          <w:trHeight w:val="257"/>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TPC</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1</w:t>
            </w:r>
          </w:p>
        </w:tc>
        <w:tc>
          <w:tcPr>
            <w:tcW w:w="1180" w:type="dxa"/>
            <w:vAlign w:val="bottom"/>
          </w:tcPr>
          <w:p>
            <w:pPr>
              <w:spacing w:after="0"/>
              <w:rPr>
                <w:sz w:val="22"/>
                <w:szCs w:val="22"/>
                <w:color w:val="auto"/>
              </w:rPr>
            </w:pP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TFC</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0.381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1</w:t>
            </w:r>
          </w:p>
        </w:tc>
        <w:tc>
          <w:tcPr>
            <w:tcW w:w="900" w:type="dxa"/>
            <w:vAlign w:val="bottom"/>
          </w:tcPr>
          <w:p>
            <w:pPr>
              <w:spacing w:after="0"/>
              <w:rPr>
                <w:sz w:val="22"/>
                <w:szCs w:val="22"/>
                <w:color w:val="auto"/>
              </w:rPr>
            </w:pPr>
          </w:p>
        </w:tc>
      </w:tr>
      <w:tr>
        <w:trPr>
          <w:trHeight w:val="254"/>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0.119)</w:t>
            </w:r>
          </w:p>
        </w:tc>
        <w:tc>
          <w:tcPr>
            <w:tcW w:w="1180" w:type="dxa"/>
            <w:vAlign w:val="bottom"/>
          </w:tcPr>
          <w:p>
            <w:pPr>
              <w:spacing w:after="0"/>
              <w:rPr>
                <w:sz w:val="22"/>
                <w:szCs w:val="22"/>
                <w:color w:val="auto"/>
              </w:rPr>
            </w:pP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Saponin</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0.539</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0.366</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1</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0.108)</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0.298)</w:t>
            </w: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DPPH RSC</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0.511*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0.566*</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0.658*</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0.030)</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0.014)</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 = 0.039)</w:t>
            </w: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FRAP value</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0.981**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0.363</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0.653*</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0.000)</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0.139)</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 = 0.041)</w:t>
            </w: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NO production (%)</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- 0.540*</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- 0.477*</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0.017</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0.021)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0.012)</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 = 0.962)</w:t>
            </w:r>
          </w:p>
        </w:tc>
      </w:tr>
      <w:tr>
        <w:trPr>
          <w:trHeight w:val="255"/>
        </w:trPr>
        <w:tc>
          <w:tcPr>
            <w:tcW w:w="376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Stick-type medicinal concentrated beverages (SMCB)</w:t>
            </w: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TPC</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1</w:t>
            </w:r>
          </w:p>
        </w:tc>
        <w:tc>
          <w:tcPr>
            <w:tcW w:w="1180" w:type="dxa"/>
            <w:vAlign w:val="bottom"/>
          </w:tcPr>
          <w:p>
            <w:pPr>
              <w:spacing w:after="0"/>
              <w:rPr>
                <w:sz w:val="22"/>
                <w:szCs w:val="22"/>
                <w:color w:val="auto"/>
              </w:rPr>
            </w:pP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TFC</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0.851**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1</w:t>
            </w: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0.007)</w:t>
            </w:r>
          </w:p>
        </w:tc>
        <w:tc>
          <w:tcPr>
            <w:tcW w:w="1180" w:type="dxa"/>
            <w:vAlign w:val="bottom"/>
          </w:tcPr>
          <w:p>
            <w:pPr>
              <w:spacing w:after="0"/>
              <w:rPr>
                <w:sz w:val="22"/>
                <w:szCs w:val="22"/>
                <w:color w:val="auto"/>
              </w:rPr>
            </w:pPr>
          </w:p>
        </w:tc>
        <w:tc>
          <w:tcPr>
            <w:tcW w:w="900" w:type="dxa"/>
            <w:vAlign w:val="bottom"/>
          </w:tcPr>
          <w:p>
            <w:pPr>
              <w:spacing w:after="0"/>
              <w:rPr>
                <w:sz w:val="22"/>
                <w:szCs w:val="22"/>
                <w:color w:val="auto"/>
              </w:rPr>
            </w:pP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Saponin</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0.987**</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0.867**</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1</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0.000)</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0.005)</w:t>
            </w:r>
          </w:p>
        </w:tc>
        <w:tc>
          <w:tcPr>
            <w:tcW w:w="900" w:type="dxa"/>
            <w:vAlign w:val="bottom"/>
          </w:tcPr>
          <w:p>
            <w:pPr>
              <w:spacing w:after="0"/>
              <w:rPr>
                <w:sz w:val="22"/>
                <w:szCs w:val="22"/>
                <w:color w:val="auto"/>
              </w:rPr>
            </w:pPr>
          </w:p>
        </w:tc>
      </w:tr>
      <w:tr>
        <w:trPr>
          <w:trHeight w:val="254"/>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DPPH RSC</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0.911**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0.909**</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0.989**</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0.000)</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0.002)</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 = 0.000)</w:t>
            </w: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FRAP value</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0.996**</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0.880**</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0.987**</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0.000)</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0.004)</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 = 0.000)</w:t>
            </w:r>
          </w:p>
        </w:tc>
      </w:tr>
      <w:tr>
        <w:trPr>
          <w:trHeight w:val="255"/>
        </w:trPr>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NO production (%)</w:t>
            </w: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r = - 0.274</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r = 0.683*</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r = - 0.196</w:t>
            </w:r>
          </w:p>
        </w:tc>
      </w:tr>
      <w:tr>
        <w:trPr>
          <w:trHeight w:val="255"/>
        </w:trPr>
        <w:tc>
          <w:tcPr>
            <w:tcW w:w="1460" w:type="dxa"/>
            <w:vAlign w:val="bottom"/>
          </w:tcPr>
          <w:p>
            <w:pPr>
              <w:spacing w:after="0"/>
              <w:rPr>
                <w:sz w:val="22"/>
                <w:szCs w:val="22"/>
                <w:color w:val="auto"/>
              </w:rPr>
            </w:pPr>
          </w:p>
        </w:tc>
        <w:tc>
          <w:tcPr>
            <w:tcW w:w="1120" w:type="dxa"/>
            <w:vAlign w:val="bottom"/>
          </w:tcPr>
          <w:p>
            <w:pPr>
              <w:ind w:left="100"/>
              <w:spacing w:after="0"/>
              <w:rPr>
                <w:sz w:val="20"/>
                <w:szCs w:val="20"/>
                <w:color w:val="auto"/>
              </w:rPr>
            </w:pPr>
            <w:r>
              <w:rPr>
                <w:rFonts w:ascii="Times New Roman" w:cs="Times New Roman" w:eastAsia="Times New Roman" w:hAnsi="Times New Roman"/>
                <w:sz w:val="17"/>
                <w:szCs w:val="17"/>
                <w:color w:val="auto"/>
              </w:rPr>
              <w:t>(P = 0.511)</w:t>
            </w:r>
          </w:p>
        </w:tc>
        <w:tc>
          <w:tcPr>
            <w:tcW w:w="118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(P = 0.014)</w:t>
            </w:r>
          </w:p>
        </w:tc>
        <w:tc>
          <w:tcPr>
            <w:tcW w:w="90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(P = 0.642)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566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5"/>
        </w:trPr>
        <w:tc>
          <w:tcPr>
            <w:tcW w:w="1120" w:type="dxa"/>
            <w:vAlign w:val="bottom"/>
          </w:tcPr>
          <w:p>
            <w:pPr>
              <w:spacing w:after="0"/>
              <w:rPr>
                <w:sz w:val="20"/>
                <w:szCs w:val="20"/>
                <w:color w:val="auto"/>
              </w:rPr>
            </w:pPr>
            <w:r>
              <w:rPr>
                <w:rFonts w:ascii="Times New Roman" w:cs="Times New Roman" w:eastAsia="Times New Roman" w:hAnsi="Times New Roman"/>
                <w:sz w:val="17"/>
                <w:szCs w:val="17"/>
                <w:color w:val="auto"/>
              </w:rPr>
              <w:t>r = 1</w:t>
            </w:r>
          </w:p>
        </w:tc>
        <w:tc>
          <w:tcPr>
            <w:tcW w:w="1620" w:type="dxa"/>
            <w:vAlign w:val="bottom"/>
          </w:tcPr>
          <w:p>
            <w:pPr>
              <w:spacing w:after="0"/>
              <w:rPr>
                <w:sz w:val="17"/>
                <w:szCs w:val="17"/>
                <w:color w:val="auto"/>
              </w:rPr>
            </w:pPr>
          </w:p>
        </w:tc>
      </w:tr>
      <w:tr>
        <w:trPr>
          <w:trHeight w:val="510"/>
        </w:trPr>
        <w:tc>
          <w:tcPr>
            <w:tcW w:w="1120" w:type="dxa"/>
            <w:vAlign w:val="bottom"/>
          </w:tcPr>
          <w:p>
            <w:pPr>
              <w:spacing w:after="0"/>
              <w:rPr>
                <w:sz w:val="20"/>
                <w:szCs w:val="20"/>
                <w:color w:val="auto"/>
              </w:rPr>
            </w:pPr>
            <w:r>
              <w:rPr>
                <w:rFonts w:ascii="Times New Roman" w:cs="Times New Roman" w:eastAsia="Times New Roman" w:hAnsi="Times New Roman"/>
                <w:sz w:val="17"/>
                <w:szCs w:val="17"/>
                <w:color w:val="auto"/>
              </w:rPr>
              <w:t>r = 0.409</w:t>
            </w:r>
          </w:p>
        </w:tc>
        <w:tc>
          <w:tcPr>
            <w:tcW w:w="16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r = 1</w:t>
            </w:r>
          </w:p>
        </w:tc>
      </w:tr>
      <w:tr>
        <w:trPr>
          <w:trHeight w:val="255"/>
        </w:trPr>
        <w:tc>
          <w:tcPr>
            <w:tcW w:w="1120" w:type="dxa"/>
            <w:vAlign w:val="bottom"/>
          </w:tcPr>
          <w:p>
            <w:pPr>
              <w:spacing w:after="0"/>
              <w:rPr>
                <w:sz w:val="20"/>
                <w:szCs w:val="20"/>
                <w:color w:val="auto"/>
              </w:rPr>
            </w:pPr>
            <w:r>
              <w:rPr>
                <w:rFonts w:ascii="Times New Roman" w:cs="Times New Roman" w:eastAsia="Times New Roman" w:hAnsi="Times New Roman"/>
                <w:sz w:val="17"/>
                <w:szCs w:val="17"/>
                <w:color w:val="auto"/>
              </w:rPr>
              <w:t>(P = 0.092)</w:t>
            </w:r>
          </w:p>
        </w:tc>
        <w:tc>
          <w:tcPr>
            <w:tcW w:w="1620" w:type="dxa"/>
            <w:vAlign w:val="bottom"/>
          </w:tcPr>
          <w:p>
            <w:pPr>
              <w:spacing w:after="0"/>
              <w:rPr>
                <w:sz w:val="22"/>
                <w:szCs w:val="22"/>
                <w:color w:val="auto"/>
              </w:rPr>
            </w:pPr>
          </w:p>
        </w:tc>
      </w:tr>
      <w:tr>
        <w:trPr>
          <w:trHeight w:val="255"/>
        </w:trPr>
        <w:tc>
          <w:tcPr>
            <w:tcW w:w="1120" w:type="dxa"/>
            <w:vAlign w:val="bottom"/>
          </w:tcPr>
          <w:p>
            <w:pPr>
              <w:spacing w:after="0"/>
              <w:rPr>
                <w:sz w:val="20"/>
                <w:szCs w:val="20"/>
                <w:color w:val="auto"/>
              </w:rPr>
            </w:pPr>
            <w:r>
              <w:rPr>
                <w:rFonts w:ascii="Times New Roman" w:cs="Times New Roman" w:eastAsia="Times New Roman" w:hAnsi="Times New Roman"/>
                <w:sz w:val="17"/>
                <w:szCs w:val="17"/>
                <w:color w:val="auto"/>
              </w:rPr>
              <w:t>r = - 0.523*</w:t>
            </w:r>
          </w:p>
        </w:tc>
        <w:tc>
          <w:tcPr>
            <w:tcW w:w="16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r = - 0.461   r = 1</w:t>
            </w:r>
          </w:p>
        </w:tc>
      </w:tr>
      <w:tr>
        <w:trPr>
          <w:trHeight w:val="255"/>
        </w:trPr>
        <w:tc>
          <w:tcPr>
            <w:tcW w:w="1120" w:type="dxa"/>
            <w:vAlign w:val="bottom"/>
          </w:tcPr>
          <w:p>
            <w:pPr>
              <w:spacing w:after="0"/>
              <w:rPr>
                <w:sz w:val="20"/>
                <w:szCs w:val="20"/>
                <w:color w:val="auto"/>
              </w:rPr>
            </w:pPr>
            <w:r>
              <w:rPr>
                <w:rFonts w:ascii="Times New Roman" w:cs="Times New Roman" w:eastAsia="Times New Roman" w:hAnsi="Times New Roman"/>
                <w:sz w:val="17"/>
                <w:szCs w:val="17"/>
                <w:color w:val="auto"/>
              </w:rPr>
              <w:t>(P = 0.026)</w:t>
            </w:r>
          </w:p>
        </w:tc>
        <w:tc>
          <w:tcPr>
            <w:tcW w:w="16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(P = 0.054)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r = 1</w:t>
            </w:r>
          </w:p>
        </w:tc>
        <w:tc>
          <w:tcPr>
            <w:tcW w:w="1660" w:type="dxa"/>
            <w:vAlign w:val="bottom"/>
          </w:tcPr>
          <w:p>
            <w:pPr>
              <w:spacing w:after="0"/>
              <w:rPr>
                <w:sz w:val="16"/>
                <w:szCs w:val="16"/>
                <w:color w:val="auto"/>
              </w:rPr>
            </w:pPr>
          </w:p>
        </w:tc>
      </w:tr>
      <w:tr>
        <w:trPr>
          <w:trHeight w:val="510"/>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r = 0.996**</w:t>
            </w:r>
          </w:p>
        </w:tc>
        <w:tc>
          <w:tcPr>
            <w:tcW w:w="16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r = 1</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(P = 0.000)</w:t>
            </w:r>
          </w:p>
        </w:tc>
        <w:tc>
          <w:tcPr>
            <w:tcW w:w="1660" w:type="dxa"/>
            <w:vAlign w:val="bottom"/>
          </w:tcPr>
          <w:p>
            <w:pPr>
              <w:spacing w:after="0"/>
              <w:rPr>
                <w:sz w:val="22"/>
                <w:szCs w:val="22"/>
                <w:color w:val="auto"/>
              </w:rPr>
            </w:pP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r = - 0.194</w:t>
            </w:r>
          </w:p>
        </w:tc>
        <w:tc>
          <w:tcPr>
            <w:tcW w:w="16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r = - 0.257   r = 1</w:t>
            </w:r>
          </w:p>
        </w:tc>
      </w:t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17"/>
                <w:szCs w:val="17"/>
                <w:color w:val="auto"/>
              </w:rPr>
              <w:t>(P = 0.645)</w:t>
            </w:r>
          </w:p>
        </w:tc>
        <w:tc>
          <w:tcPr>
            <w:tcW w:w="166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(P = 0.539)</w:t>
            </w:r>
          </w:p>
        </w:tc>
      </w:tr>
    </w:tbl>
    <w:p>
      <w:pPr>
        <w:spacing w:after="0" w:line="167" w:lineRule="exact"/>
        <w:rPr>
          <w:sz w:val="20"/>
          <w:szCs w:val="20"/>
          <w:color w:val="auto"/>
        </w:rPr>
      </w:pPr>
    </w:p>
    <w:p>
      <w:pPr>
        <w:sectPr>
          <w:pgSz w:w="11900" w:h="15817" w:orient="portrait"/>
          <w:cols w:equalWidth="0" w:num="2">
            <w:col w:w="4920" w:space="720"/>
            <w:col w:w="4220"/>
          </w:cols>
          <w:pgMar w:left="1020" w:top="639" w:right="1026" w:bottom="318" w:gutter="0" w:footer="0" w:header="0"/>
          <w:type w:val="continuous"/>
        </w:sectPr>
      </w:pPr>
    </w:p>
    <w:p>
      <w:pPr>
        <w:ind w:right="3000"/>
        <w:spacing w:after="0" w:line="301" w:lineRule="auto"/>
        <w:rPr>
          <w:sz w:val="20"/>
          <w:szCs w:val="20"/>
          <w:color w:val="auto"/>
        </w:rPr>
      </w:pPr>
      <w:r>
        <w:rPr>
          <w:rFonts w:ascii="Times New Roman" w:cs="Times New Roman" w:eastAsia="Times New Roman" w:hAnsi="Times New Roman"/>
          <w:sz w:val="17"/>
          <w:szCs w:val="17"/>
          <w:color w:val="auto"/>
        </w:rPr>
        <w:t>TPC total phenolic content, TFC total flavonoids content, FRAP ferric reducing antioxidant power *Correlation is significant at p \ 0.05; **correlation is significant at p \ 0.01</w:t>
      </w:r>
    </w:p>
    <w:p>
      <w:pPr>
        <w:sectPr>
          <w:pgSz w:w="11900" w:h="15817" w:orient="portrait"/>
          <w:cols w:equalWidth="0" w:num="1">
            <w:col w:w="9860"/>
          </w:cols>
          <w:pgMar w:left="1020" w:top="639" w:right="1026" w:bottom="31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tbl>
      <w:tblPr>
        <w:tblLayout w:type="fixed"/>
        <w:tblInd w:w="691" w:type="dxa"/>
        <w:tblCellMar>
          <w:top w:w="0" w:type="dxa"/>
          <w:left w:w="0" w:type="dxa"/>
          <w:bottom w:w="0" w:type="dxa"/>
          <w:right w:w="0" w:type="dxa"/>
        </w:tblCellMar>
      </w:tblPr>
      <w:tr>
        <w:trPr>
          <w:trHeight w:val="1260"/>
        </w:trPr>
        <w:tc>
          <w:tcPr>
            <w:tcW w:w="184" w:type="dxa"/>
            <w:vAlign w:val="bottom"/>
            <w:textDirection w:val="btLr"/>
          </w:tcPr>
          <w:p>
            <w:pPr>
              <w:spacing w:after="0"/>
              <w:rPr>
                <w:sz w:val="20"/>
                <w:szCs w:val="20"/>
                <w:color w:val="auto"/>
              </w:rPr>
            </w:pPr>
            <w:r>
              <w:rPr>
                <w:rFonts w:ascii="Arial" w:cs="Arial" w:eastAsia="Arial" w:hAnsi="Arial"/>
                <w:sz w:val="16"/>
                <w:szCs w:val="16"/>
                <w:b w:val="1"/>
                <w:bCs w:val="1"/>
                <w:color w:val="131413"/>
              </w:rPr>
              <w:t>Nitrite Oxide(%)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5"/>
        </w:trPr>
        <w:tc>
          <w:tcPr>
            <w:tcW w:w="260" w:type="dxa"/>
            <w:vAlign w:val="bottom"/>
            <w:vMerge w:val="restart"/>
          </w:tcPr>
          <w:p>
            <w:pPr>
              <w:jc w:val="right"/>
              <w:spacing w:after="0"/>
              <w:rPr>
                <w:sz w:val="20"/>
                <w:szCs w:val="20"/>
                <w:color w:val="auto"/>
              </w:rPr>
            </w:pPr>
            <w:r>
              <w:rPr>
                <w:rFonts w:ascii="Arial" w:cs="Arial" w:eastAsia="Arial" w:hAnsi="Arial"/>
                <w:sz w:val="15"/>
                <w:szCs w:val="15"/>
                <w:b w:val="1"/>
                <w:bCs w:val="1"/>
                <w:color w:val="131413"/>
                <w:w w:val="87"/>
              </w:rPr>
              <w:t>150</w:t>
            </w:r>
          </w:p>
        </w:tc>
        <w:tc>
          <w:tcPr>
            <w:tcW w:w="80" w:type="dxa"/>
            <w:vAlign w:val="bottom"/>
            <w:tcBorders>
              <w:bottom w:val="single" w:sz="8" w:color="131413"/>
            </w:tcBorders>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20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80" w:type="dxa"/>
            <w:vAlign w:val="bottom"/>
          </w:tcPr>
          <w:p>
            <w:pPr>
              <w:spacing w:after="0"/>
              <w:rPr>
                <w:sz w:val="9"/>
                <w:szCs w:val="9"/>
                <w:color w:val="auto"/>
              </w:rPr>
            </w:pPr>
          </w:p>
        </w:tc>
        <w:tc>
          <w:tcPr>
            <w:tcW w:w="400" w:type="dxa"/>
            <w:vAlign w:val="bottom"/>
            <w:gridSpan w:val="5"/>
            <w:vMerge w:val="restart"/>
          </w:tcPr>
          <w:p>
            <w:pPr>
              <w:spacing w:after="0"/>
              <w:rPr>
                <w:sz w:val="20"/>
                <w:szCs w:val="20"/>
                <w:color w:val="auto"/>
              </w:rPr>
            </w:pPr>
            <w:r>
              <w:rPr>
                <w:rFonts w:ascii="Arial" w:cs="Arial" w:eastAsia="Arial" w:hAnsi="Arial"/>
                <w:sz w:val="24"/>
                <w:szCs w:val="24"/>
                <w:b w:val="1"/>
                <w:bCs w:val="1"/>
                <w:color w:val="131413"/>
              </w:rPr>
              <w:t>(A)</w:t>
            </w: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1"/>
        </w:trPr>
        <w:tc>
          <w:tcPr>
            <w:tcW w:w="260" w:type="dxa"/>
            <w:vAlign w:val="bottom"/>
            <w:vMerge w:val="continue"/>
          </w:tcPr>
          <w:p>
            <w:pPr>
              <w:spacing w:after="0"/>
              <w:rPr>
                <w:sz w:val="7"/>
                <w:szCs w:val="7"/>
                <w:color w:val="auto"/>
              </w:rPr>
            </w:pPr>
          </w:p>
        </w:tc>
        <w:tc>
          <w:tcPr>
            <w:tcW w:w="80" w:type="dxa"/>
            <w:vAlign w:val="bottom"/>
            <w:tcBorders>
              <w:right w:val="single" w:sz="8" w:color="131413"/>
            </w:tcBorders>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80" w:type="dxa"/>
            <w:vAlign w:val="bottom"/>
          </w:tcPr>
          <w:p>
            <w:pPr>
              <w:spacing w:after="0"/>
              <w:rPr>
                <w:sz w:val="7"/>
                <w:szCs w:val="7"/>
                <w:color w:val="auto"/>
              </w:rPr>
            </w:pPr>
          </w:p>
        </w:tc>
        <w:tc>
          <w:tcPr>
            <w:tcW w:w="400" w:type="dxa"/>
            <w:vAlign w:val="bottom"/>
            <w:gridSpan w:val="5"/>
            <w:vMerge w:val="continue"/>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1"/>
        </w:trPr>
        <w:tc>
          <w:tcPr>
            <w:tcW w:w="260" w:type="dxa"/>
            <w:vAlign w:val="bottom"/>
          </w:tcPr>
          <w:p>
            <w:pPr>
              <w:spacing w:after="0"/>
              <w:rPr>
                <w:sz w:val="17"/>
                <w:szCs w:val="17"/>
                <w:color w:val="auto"/>
              </w:rPr>
            </w:pPr>
          </w:p>
        </w:tc>
        <w:tc>
          <w:tcPr>
            <w:tcW w:w="80" w:type="dxa"/>
            <w:vAlign w:val="bottom"/>
            <w:tcBorders>
              <w:right w:val="single" w:sz="8" w:color="131413"/>
            </w:tcBorders>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00" w:type="dxa"/>
            <w:vAlign w:val="bottom"/>
            <w:gridSpan w:val="5"/>
            <w:vMerge w:val="continue"/>
          </w:tcPr>
          <w:p>
            <w:pPr>
              <w:spacing w:after="0"/>
              <w:rPr>
                <w:sz w:val="17"/>
                <w:szCs w:val="17"/>
                <w:color w:val="auto"/>
              </w:rPr>
            </w:pPr>
          </w:p>
        </w:tc>
        <w:tc>
          <w:tcPr>
            <w:tcW w:w="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78"/>
        </w:trPr>
        <w:tc>
          <w:tcPr>
            <w:tcW w:w="260" w:type="dxa"/>
            <w:vAlign w:val="bottom"/>
            <w:vMerge w:val="restart"/>
          </w:tcPr>
          <w:p>
            <w:pPr>
              <w:jc w:val="right"/>
              <w:spacing w:after="0"/>
              <w:rPr>
                <w:sz w:val="20"/>
                <w:szCs w:val="20"/>
                <w:color w:val="auto"/>
              </w:rPr>
            </w:pPr>
            <w:r>
              <w:rPr>
                <w:rFonts w:ascii="Arial" w:cs="Arial" w:eastAsia="Arial" w:hAnsi="Arial"/>
                <w:sz w:val="15"/>
                <w:szCs w:val="15"/>
                <w:b w:val="1"/>
                <w:bCs w:val="1"/>
                <w:color w:val="131413"/>
                <w:w w:val="87"/>
              </w:rPr>
              <w:t>100</w:t>
            </w:r>
          </w:p>
        </w:tc>
        <w:tc>
          <w:tcPr>
            <w:tcW w:w="80" w:type="dxa"/>
            <w:vAlign w:val="bottom"/>
            <w:tcBorders>
              <w:right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Borders>
              <w:bottom w:val="single" w:sz="8" w:color="131413"/>
            </w:tcBorders>
          </w:tcPr>
          <w:p>
            <w:pPr>
              <w:spacing w:after="0"/>
              <w:rPr>
                <w:sz w:val="24"/>
                <w:szCs w:val="24"/>
                <w:color w:val="auto"/>
              </w:rPr>
            </w:pPr>
          </w:p>
        </w:tc>
        <w:tc>
          <w:tcPr>
            <w:tcW w:w="60" w:type="dxa"/>
            <w:vAlign w:val="bottom"/>
            <w:tcBorders>
              <w:bottom w:val="single" w:sz="8" w:color="131413"/>
            </w:tcBorders>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gridSpan w:val="3"/>
            <w:vMerge w:val="restart"/>
          </w:tcPr>
          <w:p>
            <w:pPr>
              <w:jc w:val="center"/>
              <w:spacing w:after="0"/>
              <w:rPr>
                <w:sz w:val="20"/>
                <w:szCs w:val="20"/>
                <w:color w:val="auto"/>
              </w:rPr>
            </w:pPr>
            <w:r>
              <w:rPr>
                <w:rFonts w:ascii="Arial" w:cs="Arial" w:eastAsia="Arial" w:hAnsi="Arial"/>
                <w:sz w:val="15"/>
                <w:szCs w:val="15"/>
                <w:color w:val="131413"/>
                <w:w w:val="95"/>
              </w:rPr>
              <w:t>a</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gridSpan w:val="4"/>
            <w:vMerge w:val="restart"/>
          </w:tcPr>
          <w:p>
            <w:pPr>
              <w:jc w:val="center"/>
              <w:ind w:right="120"/>
              <w:spacing w:after="0"/>
              <w:rPr>
                <w:sz w:val="20"/>
                <w:szCs w:val="20"/>
                <w:color w:val="auto"/>
              </w:rPr>
            </w:pPr>
            <w:r>
              <w:rPr>
                <w:rFonts w:ascii="Arial" w:cs="Arial" w:eastAsia="Arial" w:hAnsi="Arial"/>
                <w:sz w:val="15"/>
                <w:szCs w:val="15"/>
                <w:color w:val="131413"/>
                <w:w w:val="95"/>
              </w:rPr>
              <w:t>a</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260" w:type="dxa"/>
            <w:vAlign w:val="bottom"/>
            <w:vMerge w:val="continue"/>
          </w:tcPr>
          <w:p>
            <w:pPr>
              <w:spacing w:after="0"/>
              <w:rPr>
                <w:sz w:val="13"/>
                <w:szCs w:val="13"/>
                <w:color w:val="auto"/>
              </w:rPr>
            </w:pPr>
          </w:p>
        </w:tc>
        <w:tc>
          <w:tcPr>
            <w:tcW w:w="80" w:type="dxa"/>
            <w:vAlign w:val="bottom"/>
            <w:tcBorders>
              <w:bottom w:val="single" w:sz="8" w:color="131413"/>
              <w:right w:val="single" w:sz="8" w:color="131413"/>
            </w:tcBorders>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0" w:type="dxa"/>
            <w:vAlign w:val="bottom"/>
            <w:tcBorders>
              <w:bottom w:val="single" w:sz="8" w:color="131413"/>
            </w:tcBorders>
          </w:tcPr>
          <w:p>
            <w:pPr>
              <w:spacing w:after="0"/>
              <w:rPr>
                <w:sz w:val="13"/>
                <w:szCs w:val="13"/>
                <w:color w:val="auto"/>
              </w:rPr>
            </w:pPr>
          </w:p>
        </w:tc>
        <w:tc>
          <w:tcPr>
            <w:tcW w:w="120" w:type="dxa"/>
            <w:vAlign w:val="bottom"/>
            <w:tcBorders>
              <w:bottom w:val="single" w:sz="8" w:color="131413"/>
              <w:right w:val="single" w:sz="8" w:color="131413"/>
            </w:tcBorders>
          </w:tcPr>
          <w:p>
            <w:pPr>
              <w:spacing w:after="0"/>
              <w:rPr>
                <w:sz w:val="13"/>
                <w:szCs w:val="13"/>
                <w:color w:val="auto"/>
              </w:rPr>
            </w:pPr>
          </w:p>
        </w:tc>
        <w:tc>
          <w:tcPr>
            <w:tcW w:w="60" w:type="dxa"/>
            <w:vAlign w:val="bottom"/>
            <w:tcBorders>
              <w:bottom w:val="single" w:sz="8" w:color="131413"/>
            </w:tcBorders>
          </w:tcPr>
          <w:p>
            <w:pPr>
              <w:spacing w:after="0"/>
              <w:rPr>
                <w:sz w:val="13"/>
                <w:szCs w:val="13"/>
                <w:color w:val="auto"/>
              </w:rPr>
            </w:pPr>
          </w:p>
        </w:tc>
        <w:tc>
          <w:tcPr>
            <w:tcW w:w="120" w:type="dxa"/>
            <w:vAlign w:val="bottom"/>
            <w:tcBorders>
              <w:bottom w:val="single" w:sz="8" w:color="131413"/>
            </w:tcBorders>
          </w:tcPr>
          <w:p>
            <w:pPr>
              <w:spacing w:after="0"/>
              <w:rPr>
                <w:sz w:val="13"/>
                <w:szCs w:val="13"/>
                <w:color w:val="auto"/>
              </w:rPr>
            </w:pPr>
          </w:p>
        </w:tc>
        <w:tc>
          <w:tcPr>
            <w:tcW w:w="2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0" w:type="dxa"/>
            <w:vAlign w:val="bottom"/>
            <w:gridSpan w:val="3"/>
            <w:vMerge w:val="continue"/>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20" w:type="dxa"/>
            <w:vAlign w:val="bottom"/>
            <w:gridSpan w:val="4"/>
            <w:vMerge w:val="continue"/>
          </w:tcPr>
          <w:p>
            <w:pPr>
              <w:spacing w:after="0"/>
              <w:rPr>
                <w:sz w:val="13"/>
                <w:szCs w:val="13"/>
                <w:color w:val="auto"/>
              </w:rPr>
            </w:pP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90"/>
        </w:trPr>
        <w:tc>
          <w:tcPr>
            <w:tcW w:w="260" w:type="dxa"/>
            <w:vAlign w:val="bottom"/>
          </w:tcPr>
          <w:p>
            <w:pPr>
              <w:spacing w:after="0"/>
              <w:rPr>
                <w:sz w:val="24"/>
                <w:szCs w:val="24"/>
                <w:color w:val="auto"/>
              </w:rPr>
            </w:pPr>
          </w:p>
        </w:tc>
        <w:tc>
          <w:tcPr>
            <w:tcW w:w="80" w:type="dxa"/>
            <w:vAlign w:val="bottom"/>
            <w:tcBorders>
              <w:right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0" w:type="dxa"/>
            <w:vAlign w:val="bottom"/>
            <w:tcBorders>
              <w:right w:val="single" w:sz="8" w:color="131413"/>
            </w:tcBorders>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gridSpan w:val="3"/>
            <w:vMerge w:val="continue"/>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gridSpan w:val="4"/>
            <w:vMerge w:val="continue"/>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260" w:type="dxa"/>
            <w:vAlign w:val="bottom"/>
            <w:vMerge w:val="restart"/>
          </w:tcPr>
          <w:p>
            <w:pPr>
              <w:jc w:val="right"/>
              <w:spacing w:after="0"/>
              <w:rPr>
                <w:sz w:val="20"/>
                <w:szCs w:val="20"/>
                <w:color w:val="auto"/>
              </w:rPr>
            </w:pPr>
            <w:r>
              <w:rPr>
                <w:rFonts w:ascii="Arial" w:cs="Arial" w:eastAsia="Arial" w:hAnsi="Arial"/>
                <w:sz w:val="15"/>
                <w:szCs w:val="15"/>
                <w:b w:val="1"/>
                <w:bCs w:val="1"/>
                <w:color w:val="131413"/>
              </w:rPr>
              <w:t>50</w:t>
            </w:r>
          </w:p>
        </w:tc>
        <w:tc>
          <w:tcPr>
            <w:tcW w:w="80" w:type="dxa"/>
            <w:vAlign w:val="bottom"/>
            <w:tcBorders>
              <w:right w:val="single" w:sz="8" w:color="131413"/>
            </w:tcBorders>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tcBorders>
              <w:right w:val="single" w:sz="8" w:color="131413"/>
            </w:tcBorders>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Borders>
              <w:right w:val="single" w:sz="8" w:color="131413"/>
            </w:tcBorders>
          </w:tcPr>
          <w:p>
            <w:pPr>
              <w:spacing w:after="0"/>
              <w:rPr>
                <w:sz w:val="12"/>
                <w:szCs w:val="12"/>
                <w:color w:val="auto"/>
              </w:rPr>
            </w:pPr>
          </w:p>
        </w:tc>
        <w:tc>
          <w:tcPr>
            <w:tcW w:w="280" w:type="dxa"/>
            <w:vAlign w:val="bottom"/>
            <w:gridSpan w:val="2"/>
          </w:tcPr>
          <w:p>
            <w:pPr>
              <w:spacing w:after="0"/>
              <w:rPr>
                <w:sz w:val="12"/>
                <w:szCs w:val="12"/>
                <w:color w:val="auto"/>
              </w:rPr>
            </w:pPr>
          </w:p>
        </w:tc>
        <w:tc>
          <w:tcPr>
            <w:tcW w:w="180" w:type="dxa"/>
            <w:vAlign w:val="bottom"/>
            <w:gridSpan w:val="3"/>
          </w:tcPr>
          <w:p>
            <w:pPr>
              <w:jc w:val="right"/>
              <w:spacing w:after="0" w:line="146" w:lineRule="exact"/>
              <w:rPr>
                <w:sz w:val="20"/>
                <w:szCs w:val="20"/>
                <w:color w:val="auto"/>
              </w:rPr>
            </w:pPr>
            <w:r>
              <w:rPr>
                <w:rFonts w:ascii="Arial" w:cs="Arial" w:eastAsia="Arial" w:hAnsi="Arial"/>
                <w:sz w:val="15"/>
                <w:szCs w:val="15"/>
                <w:color w:val="131413"/>
                <w:w w:val="91"/>
              </w:rPr>
              <w:t>***</w:t>
            </w: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gridSpan w:val="4"/>
            <w:vMerge w:val="continue"/>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0"/>
        </w:trPr>
        <w:tc>
          <w:tcPr>
            <w:tcW w:w="260" w:type="dxa"/>
            <w:vAlign w:val="bottom"/>
            <w:vMerge w:val="continue"/>
          </w:tcPr>
          <w:p>
            <w:pPr>
              <w:spacing w:after="0"/>
              <w:rPr>
                <w:sz w:val="3"/>
                <w:szCs w:val="3"/>
                <w:color w:val="auto"/>
              </w:rPr>
            </w:pPr>
          </w:p>
        </w:tc>
        <w:tc>
          <w:tcPr>
            <w:tcW w:w="80" w:type="dxa"/>
            <w:vAlign w:val="bottom"/>
            <w:tcBorders>
              <w:bottom w:val="single" w:sz="8" w:color="131413"/>
              <w:right w:val="single" w:sz="8" w:color="131413"/>
            </w:tcBorders>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200" w:type="dxa"/>
            <w:vAlign w:val="bottom"/>
            <w:tcBorders>
              <w:right w:val="single" w:sz="8" w:color="131413"/>
            </w:tcBorders>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Borders>
              <w:right w:val="single" w:sz="8" w:color="131413"/>
            </w:tcBorders>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gridSpan w:val="5"/>
            <w:vMerge w:val="restart"/>
          </w:tcPr>
          <w:p>
            <w:pPr>
              <w:jc w:val="center"/>
              <w:ind w:right="140"/>
              <w:spacing w:after="0"/>
              <w:rPr>
                <w:sz w:val="20"/>
                <w:szCs w:val="20"/>
                <w:color w:val="auto"/>
              </w:rPr>
            </w:pPr>
            <w:r>
              <w:rPr>
                <w:rFonts w:ascii="Arial" w:cs="Arial" w:eastAsia="Arial" w:hAnsi="Arial"/>
                <w:sz w:val="15"/>
                <w:szCs w:val="15"/>
                <w:color w:val="131413"/>
                <w:w w:val="95"/>
              </w:rPr>
              <w:t>b</w:t>
            </w: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300" w:type="dxa"/>
            <w:vAlign w:val="bottom"/>
            <w:gridSpan w:val="4"/>
            <w:vMerge w:val="restart"/>
          </w:tcPr>
          <w:p>
            <w:pPr>
              <w:ind w:left="40"/>
              <w:spacing w:after="0"/>
              <w:rPr>
                <w:sz w:val="20"/>
                <w:szCs w:val="20"/>
                <w:color w:val="auto"/>
              </w:rPr>
            </w:pPr>
            <w:r>
              <w:rPr>
                <w:rFonts w:ascii="Arial" w:cs="Arial" w:eastAsia="Arial" w:hAnsi="Arial"/>
                <w:sz w:val="15"/>
                <w:szCs w:val="15"/>
                <w:color w:val="131413"/>
              </w:rPr>
              <w:t>b</w:t>
            </w:r>
          </w:p>
        </w:tc>
        <w:tc>
          <w:tcPr>
            <w:tcW w:w="260" w:type="dxa"/>
            <w:vAlign w:val="bottom"/>
            <w:gridSpan w:val="2"/>
          </w:tcPr>
          <w:p>
            <w:pPr>
              <w:spacing w:after="0"/>
              <w:rPr>
                <w:sz w:val="3"/>
                <w:szCs w:val="3"/>
                <w:color w:val="auto"/>
              </w:rPr>
            </w:pPr>
          </w:p>
        </w:tc>
        <w:tc>
          <w:tcPr>
            <w:tcW w:w="200" w:type="dxa"/>
            <w:vAlign w:val="bottom"/>
            <w:gridSpan w:val="3"/>
            <w:vMerge w:val="restart"/>
          </w:tcPr>
          <w:p>
            <w:pPr>
              <w:jc w:val="right"/>
              <w:spacing w:after="0" w:line="120" w:lineRule="exact"/>
              <w:rPr>
                <w:sz w:val="20"/>
                <w:szCs w:val="20"/>
                <w:color w:val="auto"/>
              </w:rPr>
            </w:pPr>
            <w:r>
              <w:rPr>
                <w:rFonts w:ascii="Arial" w:cs="Arial" w:eastAsia="Arial" w:hAnsi="Arial"/>
                <w:sz w:val="12"/>
                <w:szCs w:val="12"/>
                <w:color w:val="131413"/>
              </w:rPr>
              <w:t>***</w:t>
            </w: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0"/>
        </w:trPr>
        <w:tc>
          <w:tcPr>
            <w:tcW w:w="260" w:type="dxa"/>
            <w:vAlign w:val="bottom"/>
            <w:vMerge w:val="continue"/>
          </w:tcPr>
          <w:p>
            <w:pPr>
              <w:spacing w:after="0"/>
              <w:rPr>
                <w:sz w:val="5"/>
                <w:szCs w:val="5"/>
                <w:color w:val="auto"/>
              </w:rPr>
            </w:pPr>
          </w:p>
        </w:tc>
        <w:tc>
          <w:tcPr>
            <w:tcW w:w="80" w:type="dxa"/>
            <w:vAlign w:val="bottom"/>
            <w:tcBorders>
              <w:right w:val="single" w:sz="8" w:color="131413"/>
            </w:tcBorders>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200" w:type="dxa"/>
            <w:vAlign w:val="bottom"/>
            <w:tcBorders>
              <w:right w:val="single" w:sz="8" w:color="131413"/>
            </w:tcBorders>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Borders>
              <w:right w:val="single" w:sz="8" w:color="131413"/>
            </w:tcBorders>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Borders>
              <w:bottom w:val="single" w:sz="8" w:color="131413"/>
            </w:tcBorders>
          </w:tcPr>
          <w:p>
            <w:pPr>
              <w:spacing w:after="0"/>
              <w:rPr>
                <w:sz w:val="5"/>
                <w:szCs w:val="5"/>
                <w:color w:val="auto"/>
              </w:rPr>
            </w:pPr>
          </w:p>
        </w:tc>
        <w:tc>
          <w:tcPr>
            <w:tcW w:w="80" w:type="dxa"/>
            <w:vAlign w:val="bottom"/>
            <w:tcBorders>
              <w:bottom w:val="single" w:sz="8" w:color="131413"/>
            </w:tcBorders>
          </w:tcPr>
          <w:p>
            <w:pPr>
              <w:spacing w:after="0"/>
              <w:rPr>
                <w:sz w:val="5"/>
                <w:szCs w:val="5"/>
                <w:color w:val="auto"/>
              </w:rPr>
            </w:pPr>
          </w:p>
        </w:tc>
        <w:tc>
          <w:tcPr>
            <w:tcW w:w="40" w:type="dxa"/>
            <w:vAlign w:val="bottom"/>
            <w:tcBorders>
              <w:bottom w:val="single" w:sz="8" w:color="131413"/>
            </w:tcBorders>
          </w:tcPr>
          <w:p>
            <w:pPr>
              <w:spacing w:after="0"/>
              <w:rPr>
                <w:sz w:val="5"/>
                <w:szCs w:val="5"/>
                <w:color w:val="auto"/>
              </w:rPr>
            </w:pPr>
          </w:p>
        </w:tc>
        <w:tc>
          <w:tcPr>
            <w:tcW w:w="60" w:type="dxa"/>
            <w:vAlign w:val="bottom"/>
            <w:tcBorders>
              <w:bottom w:val="single" w:sz="8" w:color="131413"/>
            </w:tcBorders>
          </w:tcPr>
          <w:p>
            <w:pPr>
              <w:spacing w:after="0"/>
              <w:rPr>
                <w:sz w:val="5"/>
                <w:szCs w:val="5"/>
                <w:color w:val="auto"/>
              </w:rPr>
            </w:pPr>
          </w:p>
        </w:tc>
        <w:tc>
          <w:tcPr>
            <w:tcW w:w="140" w:type="dxa"/>
            <w:vAlign w:val="bottom"/>
            <w:tcBorders>
              <w:bottom w:val="single" w:sz="8" w:color="131413"/>
            </w:tcBorders>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300" w:type="dxa"/>
            <w:vAlign w:val="bottom"/>
            <w:gridSpan w:val="5"/>
            <w:vMerge w:val="continue"/>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300" w:type="dxa"/>
            <w:vAlign w:val="bottom"/>
            <w:gridSpan w:val="4"/>
            <w:vMerge w:val="continue"/>
          </w:tcPr>
          <w:p>
            <w:pPr>
              <w:spacing w:after="0"/>
              <w:rPr>
                <w:sz w:val="5"/>
                <w:szCs w:val="5"/>
                <w:color w:val="auto"/>
              </w:rPr>
            </w:pPr>
          </w:p>
        </w:tc>
        <w:tc>
          <w:tcPr>
            <w:tcW w:w="260" w:type="dxa"/>
            <w:vAlign w:val="bottom"/>
            <w:gridSpan w:val="2"/>
          </w:tcPr>
          <w:p>
            <w:pPr>
              <w:spacing w:after="0"/>
              <w:rPr>
                <w:sz w:val="5"/>
                <w:szCs w:val="5"/>
                <w:color w:val="auto"/>
              </w:rPr>
            </w:pPr>
          </w:p>
        </w:tc>
        <w:tc>
          <w:tcPr>
            <w:tcW w:w="200" w:type="dxa"/>
            <w:vAlign w:val="bottom"/>
            <w:gridSpan w:val="3"/>
            <w:vMerge w:val="continue"/>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5"/>
        </w:trPr>
        <w:tc>
          <w:tcPr>
            <w:tcW w:w="260" w:type="dxa"/>
            <w:vAlign w:val="bottom"/>
          </w:tcPr>
          <w:p>
            <w:pPr>
              <w:spacing w:after="0"/>
              <w:rPr>
                <w:sz w:val="6"/>
                <w:szCs w:val="6"/>
                <w:color w:val="auto"/>
              </w:rPr>
            </w:pPr>
          </w:p>
        </w:tc>
        <w:tc>
          <w:tcPr>
            <w:tcW w:w="80" w:type="dxa"/>
            <w:vAlign w:val="bottom"/>
            <w:tcBorders>
              <w:right w:val="single" w:sz="8" w:color="131413"/>
            </w:tcBorders>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200" w:type="dxa"/>
            <w:vAlign w:val="bottom"/>
            <w:tcBorders>
              <w:right w:val="single" w:sz="8" w:color="131413"/>
            </w:tcBorders>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Borders>
              <w:right w:val="single" w:sz="8" w:color="131413"/>
            </w:tcBorders>
          </w:tcPr>
          <w:p>
            <w:pPr>
              <w:spacing w:after="0"/>
              <w:rPr>
                <w:sz w:val="6"/>
                <w:szCs w:val="6"/>
                <w:color w:val="auto"/>
              </w:rPr>
            </w:pPr>
          </w:p>
        </w:tc>
        <w:tc>
          <w:tcPr>
            <w:tcW w:w="200" w:type="dxa"/>
            <w:vAlign w:val="bottom"/>
            <w:tcBorders>
              <w:right w:val="single" w:sz="8" w:color="131413"/>
            </w:tcBorders>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Borders>
              <w:right w:val="single" w:sz="8" w:color="131413"/>
            </w:tcBorders>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300" w:type="dxa"/>
            <w:vAlign w:val="bottom"/>
            <w:gridSpan w:val="5"/>
            <w:vMerge w:val="continue"/>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300" w:type="dxa"/>
            <w:vAlign w:val="bottom"/>
            <w:gridSpan w:val="4"/>
            <w:vMerge w:val="continue"/>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Borders>
              <w:bottom w:val="single" w:sz="8" w:color="131413"/>
            </w:tcBorders>
          </w:tcPr>
          <w:p>
            <w:pPr>
              <w:spacing w:after="0"/>
              <w:rPr>
                <w:sz w:val="6"/>
                <w:szCs w:val="6"/>
                <w:color w:val="auto"/>
              </w:rPr>
            </w:pPr>
          </w:p>
        </w:tc>
        <w:tc>
          <w:tcPr>
            <w:tcW w:w="100" w:type="dxa"/>
            <w:vAlign w:val="bottom"/>
            <w:tcBorders>
              <w:bottom w:val="single" w:sz="8" w:color="131413"/>
            </w:tcBorders>
          </w:tcPr>
          <w:p>
            <w:pPr>
              <w:spacing w:after="0"/>
              <w:rPr>
                <w:sz w:val="6"/>
                <w:szCs w:val="6"/>
                <w:color w:val="auto"/>
              </w:rPr>
            </w:pPr>
          </w:p>
        </w:tc>
        <w:tc>
          <w:tcPr>
            <w:tcW w:w="20" w:type="dxa"/>
            <w:vAlign w:val="bottom"/>
            <w:tcBorders>
              <w:bottom w:val="single" w:sz="8" w:color="131413"/>
            </w:tcBorders>
          </w:tcPr>
          <w:p>
            <w:pPr>
              <w:spacing w:after="0"/>
              <w:rPr>
                <w:sz w:val="6"/>
                <w:szCs w:val="6"/>
                <w:color w:val="auto"/>
              </w:rPr>
            </w:pPr>
          </w:p>
        </w:tc>
        <w:tc>
          <w:tcPr>
            <w:tcW w:w="80" w:type="dxa"/>
            <w:vAlign w:val="bottom"/>
            <w:tcBorders>
              <w:bottom w:val="single" w:sz="8" w:color="131413"/>
            </w:tcBorders>
          </w:tcPr>
          <w:p>
            <w:pPr>
              <w:spacing w:after="0"/>
              <w:rPr>
                <w:sz w:val="6"/>
                <w:szCs w:val="6"/>
                <w:color w:val="auto"/>
              </w:rPr>
            </w:pPr>
          </w:p>
        </w:tc>
        <w:tc>
          <w:tcPr>
            <w:tcW w:w="120" w:type="dxa"/>
            <w:vAlign w:val="bottom"/>
            <w:tcBorders>
              <w:bottom w:val="single" w:sz="8" w:color="131413"/>
            </w:tcBorders>
          </w:tcPr>
          <w:p>
            <w:pPr>
              <w:spacing w:after="0"/>
              <w:rPr>
                <w:sz w:val="6"/>
                <w:szCs w:val="6"/>
                <w:color w:val="auto"/>
              </w:rPr>
            </w:pPr>
          </w:p>
        </w:tc>
        <w:tc>
          <w:tcPr>
            <w:tcW w:w="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2"/>
        </w:trPr>
        <w:tc>
          <w:tcPr>
            <w:tcW w:w="260" w:type="dxa"/>
            <w:vAlign w:val="bottom"/>
          </w:tcPr>
          <w:p>
            <w:pPr>
              <w:spacing w:after="0"/>
              <w:rPr>
                <w:sz w:val="18"/>
                <w:szCs w:val="18"/>
                <w:color w:val="auto"/>
              </w:rPr>
            </w:pPr>
          </w:p>
        </w:tc>
        <w:tc>
          <w:tcPr>
            <w:tcW w:w="80" w:type="dxa"/>
            <w:vAlign w:val="bottom"/>
            <w:tcBorders>
              <w:right w:val="single" w:sz="8" w:color="131413"/>
            </w:tcBorders>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0" w:type="dxa"/>
            <w:vAlign w:val="bottom"/>
            <w:tcBorders>
              <w:right w:val="single" w:sz="8" w:color="131413"/>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Borders>
              <w:right w:val="single" w:sz="8" w:color="131413"/>
            </w:tcBorders>
          </w:tcPr>
          <w:p>
            <w:pPr>
              <w:spacing w:after="0"/>
              <w:rPr>
                <w:sz w:val="18"/>
                <w:szCs w:val="18"/>
                <w:color w:val="auto"/>
              </w:rPr>
            </w:pPr>
          </w:p>
        </w:tc>
        <w:tc>
          <w:tcPr>
            <w:tcW w:w="200" w:type="dxa"/>
            <w:vAlign w:val="bottom"/>
            <w:tcBorders>
              <w:right w:val="single" w:sz="8" w:color="131413"/>
            </w:tcBorders>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40" w:type="dxa"/>
            <w:vAlign w:val="bottom"/>
            <w:tcBorders>
              <w:right w:val="single" w:sz="8" w:color="131413"/>
            </w:tcBorders>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00" w:type="dxa"/>
            <w:vAlign w:val="bottom"/>
            <w:gridSpan w:val="5"/>
            <w:vMerge w:val="continue"/>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00" w:type="dxa"/>
            <w:vAlign w:val="bottom"/>
            <w:gridSpan w:val="4"/>
            <w:vMerge w:val="continue"/>
          </w:tcPr>
          <w:p>
            <w:pPr>
              <w:spacing w:after="0"/>
              <w:rPr>
                <w:sz w:val="18"/>
                <w:szCs w:val="18"/>
                <w:color w:val="auto"/>
              </w:rPr>
            </w:pPr>
          </w:p>
        </w:tc>
        <w:tc>
          <w:tcPr>
            <w:tcW w:w="180" w:type="dxa"/>
            <w:vAlign w:val="bottom"/>
            <w:tcBorders>
              <w:right w:val="single" w:sz="8" w:color="131413"/>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right w:val="single" w:sz="8" w:color="131413"/>
            </w:tcBorders>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4"/>
        </w:trPr>
        <w:tc>
          <w:tcPr>
            <w:tcW w:w="260" w:type="dxa"/>
            <w:vAlign w:val="bottom"/>
          </w:tcPr>
          <w:p>
            <w:pPr>
              <w:spacing w:after="0"/>
              <w:rPr>
                <w:sz w:val="12"/>
                <w:szCs w:val="12"/>
                <w:color w:val="auto"/>
              </w:rPr>
            </w:pPr>
          </w:p>
        </w:tc>
        <w:tc>
          <w:tcPr>
            <w:tcW w:w="80" w:type="dxa"/>
            <w:vAlign w:val="bottom"/>
            <w:tcBorders>
              <w:right w:val="single" w:sz="8" w:color="131413"/>
            </w:tcBorders>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gridSpan w:val="3"/>
            <w:vMerge w:val="restart"/>
          </w:tcPr>
          <w:p>
            <w:pPr>
              <w:jc w:val="right"/>
              <w:ind w:right="20"/>
              <w:spacing w:after="0"/>
              <w:rPr>
                <w:sz w:val="20"/>
                <w:szCs w:val="20"/>
                <w:color w:val="auto"/>
              </w:rPr>
            </w:pPr>
            <w:r>
              <w:rPr>
                <w:rFonts w:ascii="Arial" w:cs="Arial" w:eastAsia="Arial" w:hAnsi="Arial"/>
                <w:sz w:val="15"/>
                <w:szCs w:val="15"/>
                <w:color w:val="131413"/>
                <w:w w:val="91"/>
              </w:rPr>
              <w:t>*</w:t>
            </w:r>
            <w:r>
              <w:rPr>
                <w:rFonts w:ascii="Arial" w:cs="Arial" w:eastAsia="Arial" w:hAnsi="Arial"/>
                <w:sz w:val="15"/>
                <w:szCs w:val="15"/>
                <w:u w:val="single" w:color="auto"/>
                <w:color w:val="131413"/>
                <w:w w:val="91"/>
              </w:rPr>
              <w:t>*</w:t>
            </w:r>
            <w:r>
              <w:rPr>
                <w:rFonts w:ascii="Arial" w:cs="Arial" w:eastAsia="Arial" w:hAnsi="Arial"/>
                <w:sz w:val="15"/>
                <w:szCs w:val="15"/>
                <w:color w:val="131413"/>
                <w:w w:val="91"/>
              </w:rPr>
              <w:t>*</w:t>
            </w: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tcBorders>
              <w:right w:val="single" w:sz="8" w:color="131413"/>
            </w:tcBorders>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Borders>
              <w:right w:val="single" w:sz="8" w:color="131413"/>
            </w:tcBorders>
          </w:tcPr>
          <w:p>
            <w:pPr>
              <w:spacing w:after="0"/>
              <w:rPr>
                <w:sz w:val="12"/>
                <w:szCs w:val="12"/>
                <w:color w:val="auto"/>
              </w:rPr>
            </w:pPr>
          </w:p>
        </w:tc>
        <w:tc>
          <w:tcPr>
            <w:tcW w:w="200" w:type="dxa"/>
            <w:vAlign w:val="bottom"/>
            <w:tcBorders>
              <w:right w:val="single" w:sz="8" w:color="131413"/>
            </w:tcBorders>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Borders>
              <w:right w:val="single" w:sz="8" w:color="131413"/>
            </w:tcBorders>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00" w:type="dxa"/>
            <w:vAlign w:val="bottom"/>
            <w:gridSpan w:val="5"/>
            <w:vMerge w:val="continue"/>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60" w:type="dxa"/>
            <w:vAlign w:val="bottom"/>
            <w:gridSpan w:val="3"/>
          </w:tcPr>
          <w:p>
            <w:pPr>
              <w:spacing w:after="0" w:line="144" w:lineRule="exact"/>
              <w:rPr>
                <w:sz w:val="20"/>
                <w:szCs w:val="20"/>
                <w:color w:val="auto"/>
              </w:rPr>
            </w:pPr>
            <w:r>
              <w:rPr>
                <w:rFonts w:ascii="Arial" w:cs="Arial" w:eastAsia="Arial" w:hAnsi="Arial"/>
                <w:sz w:val="15"/>
                <w:szCs w:val="15"/>
                <w:color w:val="131413"/>
              </w:rPr>
              <w:t>***</w:t>
            </w:r>
          </w:p>
        </w:tc>
        <w:tc>
          <w:tcPr>
            <w:tcW w:w="40" w:type="dxa"/>
            <w:vAlign w:val="bottom"/>
          </w:tcPr>
          <w:p>
            <w:pPr>
              <w:spacing w:after="0"/>
              <w:rPr>
                <w:sz w:val="12"/>
                <w:szCs w:val="12"/>
                <w:color w:val="auto"/>
              </w:rPr>
            </w:pPr>
          </w:p>
        </w:tc>
        <w:tc>
          <w:tcPr>
            <w:tcW w:w="180" w:type="dxa"/>
            <w:vAlign w:val="bottom"/>
            <w:tcBorders>
              <w:right w:val="single" w:sz="8" w:color="131413"/>
            </w:tcBorders>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Borders>
              <w:right w:val="single" w:sz="8" w:color="131413"/>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01"/>
        </w:trPr>
        <w:tc>
          <w:tcPr>
            <w:tcW w:w="260" w:type="dxa"/>
            <w:vAlign w:val="bottom"/>
          </w:tcPr>
          <w:p>
            <w:pPr>
              <w:jc w:val="right"/>
              <w:spacing w:after="0"/>
              <w:rPr>
                <w:sz w:val="20"/>
                <w:szCs w:val="20"/>
                <w:color w:val="auto"/>
              </w:rPr>
            </w:pPr>
            <w:r>
              <w:rPr>
                <w:rFonts w:ascii="Arial" w:cs="Arial" w:eastAsia="Arial" w:hAnsi="Arial"/>
                <w:sz w:val="15"/>
                <w:szCs w:val="15"/>
                <w:b w:val="1"/>
                <w:bCs w:val="1"/>
                <w:color w:val="131413"/>
              </w:rPr>
              <w:t>0</w:t>
            </w:r>
          </w:p>
        </w:tc>
        <w:tc>
          <w:tcPr>
            <w:tcW w:w="80" w:type="dxa"/>
            <w:vAlign w:val="bottom"/>
            <w:tcBorders>
              <w:bottom w:val="single" w:sz="8" w:color="131413"/>
              <w:right w:val="single" w:sz="8" w:color="131413"/>
            </w:tcBorders>
          </w:tcPr>
          <w:p>
            <w:pPr>
              <w:spacing w:after="0"/>
              <w:rPr>
                <w:sz w:val="24"/>
                <w:szCs w:val="24"/>
                <w:color w:val="auto"/>
              </w:rPr>
            </w:pPr>
          </w:p>
        </w:tc>
        <w:tc>
          <w:tcPr>
            <w:tcW w:w="6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200" w:type="dxa"/>
            <w:vAlign w:val="bottom"/>
            <w:tcBorders>
              <w:bottom w:val="single" w:sz="8" w:color="131413"/>
            </w:tcBorders>
            <w:gridSpan w:val="3"/>
            <w:vMerge w:val="continue"/>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200" w:type="dxa"/>
            <w:vAlign w:val="bottom"/>
            <w:tcBorders>
              <w:bottom w:val="single" w:sz="8" w:color="131413"/>
              <w:right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120" w:type="dxa"/>
            <w:vAlign w:val="bottom"/>
            <w:tcBorders>
              <w:bottom w:val="single" w:sz="8" w:color="131413"/>
            </w:tcBorders>
          </w:tcPr>
          <w:p>
            <w:pPr>
              <w:spacing w:after="0"/>
              <w:rPr>
                <w:sz w:val="24"/>
                <w:szCs w:val="24"/>
                <w:color w:val="auto"/>
              </w:rPr>
            </w:pPr>
          </w:p>
        </w:tc>
        <w:tc>
          <w:tcPr>
            <w:tcW w:w="60" w:type="dxa"/>
            <w:vAlign w:val="bottom"/>
            <w:tcBorders>
              <w:bottom w:val="single" w:sz="8" w:color="131413"/>
            </w:tcBorders>
          </w:tcPr>
          <w:p>
            <w:pPr>
              <w:spacing w:after="0"/>
              <w:rPr>
                <w:sz w:val="24"/>
                <w:szCs w:val="24"/>
                <w:color w:val="auto"/>
              </w:rPr>
            </w:pPr>
          </w:p>
        </w:tc>
        <w:tc>
          <w:tcPr>
            <w:tcW w:w="120" w:type="dxa"/>
            <w:vAlign w:val="bottom"/>
            <w:tcBorders>
              <w:bottom w:val="single" w:sz="8" w:color="131413"/>
              <w:right w:val="single" w:sz="8" w:color="131413"/>
            </w:tcBorders>
          </w:tcPr>
          <w:p>
            <w:pPr>
              <w:spacing w:after="0"/>
              <w:rPr>
                <w:sz w:val="24"/>
                <w:szCs w:val="24"/>
                <w:color w:val="auto"/>
              </w:rPr>
            </w:pPr>
          </w:p>
        </w:tc>
        <w:tc>
          <w:tcPr>
            <w:tcW w:w="200" w:type="dxa"/>
            <w:vAlign w:val="bottom"/>
            <w:tcBorders>
              <w:bottom w:val="single" w:sz="8" w:color="131413"/>
              <w:right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60" w:type="dxa"/>
            <w:vAlign w:val="bottom"/>
            <w:tcBorders>
              <w:bottom w:val="single" w:sz="8" w:color="131413"/>
            </w:tcBorders>
          </w:tcPr>
          <w:p>
            <w:pPr>
              <w:spacing w:after="0"/>
              <w:rPr>
                <w:sz w:val="24"/>
                <w:szCs w:val="24"/>
                <w:color w:val="auto"/>
              </w:rPr>
            </w:pPr>
          </w:p>
        </w:tc>
        <w:tc>
          <w:tcPr>
            <w:tcW w:w="140" w:type="dxa"/>
            <w:vAlign w:val="bottom"/>
            <w:tcBorders>
              <w:bottom w:val="single" w:sz="8" w:color="131413"/>
              <w:right w:val="single" w:sz="8" w:color="131413"/>
            </w:tcBorders>
          </w:tcPr>
          <w:p>
            <w:pPr>
              <w:spacing w:after="0"/>
              <w:rPr>
                <w:sz w:val="24"/>
                <w:szCs w:val="24"/>
                <w:color w:val="auto"/>
              </w:rPr>
            </w:pPr>
          </w:p>
        </w:tc>
        <w:tc>
          <w:tcPr>
            <w:tcW w:w="280" w:type="dxa"/>
            <w:vAlign w:val="bottom"/>
            <w:tcBorders>
              <w:bottom w:val="single" w:sz="8" w:color="131413"/>
            </w:tcBorders>
            <w:gridSpan w:val="3"/>
          </w:tcPr>
          <w:p>
            <w:pPr>
              <w:spacing w:after="0"/>
              <w:rPr>
                <w:sz w:val="24"/>
                <w:szCs w:val="24"/>
                <w:color w:val="auto"/>
              </w:rPr>
            </w:pPr>
          </w:p>
        </w:tc>
        <w:tc>
          <w:tcPr>
            <w:tcW w:w="180" w:type="dxa"/>
            <w:vAlign w:val="bottom"/>
            <w:tcBorders>
              <w:bottom w:val="single" w:sz="8" w:color="131413"/>
            </w:tcBorders>
            <w:gridSpan w:val="3"/>
          </w:tcPr>
          <w:p>
            <w:pPr>
              <w:jc w:val="right"/>
              <w:spacing w:after="0" w:line="105" w:lineRule="exact"/>
              <w:rPr>
                <w:sz w:val="20"/>
                <w:szCs w:val="20"/>
                <w:color w:val="auto"/>
              </w:rPr>
            </w:pPr>
            <w:r>
              <w:rPr>
                <w:rFonts w:ascii="Arial" w:cs="Arial" w:eastAsia="Arial" w:hAnsi="Arial"/>
                <w:sz w:val="12"/>
                <w:szCs w:val="12"/>
                <w:color w:val="131413"/>
              </w:rPr>
              <w:t>***</w:t>
            </w:r>
          </w:p>
        </w:tc>
        <w:tc>
          <w:tcPr>
            <w:tcW w:w="8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16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100" w:type="dxa"/>
            <w:vAlign w:val="bottom"/>
            <w:tcBorders>
              <w:bottom w:val="single" w:sz="8" w:color="131413"/>
            </w:tcBorders>
          </w:tcPr>
          <w:p>
            <w:pPr>
              <w:spacing w:after="0"/>
              <w:rPr>
                <w:sz w:val="24"/>
                <w:szCs w:val="24"/>
                <w:color w:val="auto"/>
              </w:rPr>
            </w:pPr>
          </w:p>
        </w:tc>
        <w:tc>
          <w:tcPr>
            <w:tcW w:w="6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16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180" w:type="dxa"/>
            <w:vAlign w:val="bottom"/>
            <w:tcBorders>
              <w:bottom w:val="single" w:sz="8" w:color="131413"/>
              <w:right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100" w:type="dxa"/>
            <w:vAlign w:val="bottom"/>
            <w:tcBorders>
              <w:bottom w:val="single" w:sz="8" w:color="131413"/>
            </w:tcBorders>
          </w:tcPr>
          <w:p>
            <w:pPr>
              <w:spacing w:after="0"/>
              <w:rPr>
                <w:sz w:val="24"/>
                <w:szCs w:val="24"/>
                <w:color w:val="auto"/>
              </w:rPr>
            </w:pPr>
          </w:p>
        </w:tc>
        <w:tc>
          <w:tcPr>
            <w:tcW w:w="20" w:type="dxa"/>
            <w:vAlign w:val="bottom"/>
            <w:tcBorders>
              <w:bottom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120" w:type="dxa"/>
            <w:vAlign w:val="bottom"/>
            <w:tcBorders>
              <w:bottom w:val="single" w:sz="8" w:color="131413"/>
              <w:right w:val="single" w:sz="8" w:color="131413"/>
            </w:tcBorders>
          </w:tcPr>
          <w:p>
            <w:pPr>
              <w:spacing w:after="0"/>
              <w:rPr>
                <w:sz w:val="24"/>
                <w:szCs w:val="24"/>
                <w:color w:val="auto"/>
              </w:rPr>
            </w:pPr>
          </w:p>
        </w:tc>
        <w:tc>
          <w:tcPr>
            <w:tcW w:w="80" w:type="dxa"/>
            <w:vAlign w:val="bottom"/>
            <w:tcBorders>
              <w:bottom w:val="single" w:sz="8" w:color="131413"/>
            </w:tcBorders>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0" w:type="dxa"/>
            <w:vAlign w:val="bottom"/>
            <w:gridSpan w:val="6"/>
          </w:tcPr>
          <w:p>
            <w:pPr>
              <w:ind w:left="20"/>
              <w:spacing w:after="0"/>
              <w:rPr>
                <w:sz w:val="20"/>
                <w:szCs w:val="20"/>
                <w:color w:val="auto"/>
              </w:rPr>
            </w:pPr>
            <w:r>
              <w:rPr>
                <w:rFonts w:ascii="Arial" w:cs="Arial" w:eastAsia="Arial" w:hAnsi="Arial"/>
                <w:sz w:val="11"/>
                <w:szCs w:val="11"/>
                <w:b w:val="1"/>
                <w:bCs w:val="1"/>
                <w:color w:val="131413"/>
              </w:rPr>
              <w:t>ive</w:t>
            </w:r>
          </w:p>
        </w:tc>
        <w:tc>
          <w:tcPr>
            <w:tcW w:w="200" w:type="dxa"/>
            <w:vAlign w:val="bottom"/>
          </w:tcPr>
          <w:p>
            <w:pPr>
              <w:spacing w:after="0"/>
              <w:rPr>
                <w:sz w:val="24"/>
                <w:szCs w:val="24"/>
                <w:color w:val="auto"/>
              </w:rPr>
            </w:pPr>
          </w:p>
        </w:tc>
        <w:tc>
          <w:tcPr>
            <w:tcW w:w="200" w:type="dxa"/>
            <w:vAlign w:val="bottom"/>
            <w:gridSpan w:val="2"/>
          </w:tcPr>
          <w:p>
            <w:pPr>
              <w:ind w:left="20"/>
              <w:spacing w:after="0"/>
              <w:rPr>
                <w:sz w:val="20"/>
                <w:szCs w:val="20"/>
                <w:color w:val="auto"/>
              </w:rPr>
            </w:pPr>
            <w:r>
              <w:rPr>
                <w:rFonts w:ascii="Arial" w:cs="Arial" w:eastAsia="Arial" w:hAnsi="Arial"/>
                <w:sz w:val="11"/>
                <w:szCs w:val="11"/>
                <w:b w:val="1"/>
                <w:bCs w:val="1"/>
                <w:color w:val="131413"/>
              </w:rPr>
              <w:t>PS</w:t>
            </w:r>
          </w:p>
        </w:tc>
        <w:tc>
          <w:tcPr>
            <w:tcW w:w="540" w:type="dxa"/>
            <w:vAlign w:val="bottom"/>
            <w:gridSpan w:val="5"/>
          </w:tcPr>
          <w:p>
            <w:pPr>
              <w:jc w:val="right"/>
              <w:ind w:right="7"/>
              <w:spacing w:after="0"/>
              <w:rPr>
                <w:sz w:val="20"/>
                <w:szCs w:val="20"/>
                <w:color w:val="auto"/>
              </w:rPr>
            </w:pPr>
            <w:r>
              <w:rPr>
                <w:rFonts w:ascii="Arial" w:cs="Arial" w:eastAsia="Arial" w:hAnsi="Arial"/>
                <w:sz w:val="11"/>
                <w:szCs w:val="11"/>
                <w:b w:val="1"/>
                <w:bCs w:val="1"/>
                <w:color w:val="131413"/>
              </w:rPr>
              <w:t>-</w:t>
            </w: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gridSpan w:val="5"/>
          </w:tcPr>
          <w:p>
            <w:pPr>
              <w:jc w:val="right"/>
              <w:ind w:right="12"/>
              <w:spacing w:after="0"/>
              <w:rPr>
                <w:sz w:val="20"/>
                <w:szCs w:val="20"/>
                <w:color w:val="auto"/>
              </w:rPr>
            </w:pPr>
            <w:r>
              <w:rPr>
                <w:rFonts w:ascii="Arial" w:cs="Arial" w:eastAsia="Arial" w:hAnsi="Arial"/>
                <w:sz w:val="11"/>
                <w:szCs w:val="11"/>
                <w:b w:val="1"/>
                <w:bCs w:val="1"/>
                <w:color w:val="131413"/>
              </w:rPr>
              <w:t>-</w:t>
            </w: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gridSpan w:val="3"/>
            <w:vMerge w:val="restart"/>
          </w:tcPr>
          <w:p>
            <w:pPr>
              <w:ind w:left="120"/>
              <w:spacing w:after="0"/>
              <w:rPr>
                <w:sz w:val="20"/>
                <w:szCs w:val="20"/>
                <w:color w:val="auto"/>
              </w:rPr>
            </w:pPr>
            <w:r>
              <w:rPr>
                <w:rFonts w:ascii="Arial" w:cs="Arial" w:eastAsia="Arial" w:hAnsi="Arial"/>
                <w:sz w:val="11"/>
                <w:szCs w:val="11"/>
                <w:b w:val="1"/>
                <w:bCs w:val="1"/>
                <w:color w:val="131413"/>
              </w:rPr>
              <w:t>CG</w:t>
            </w:r>
          </w:p>
        </w:tc>
        <w:tc>
          <w:tcPr>
            <w:tcW w:w="300" w:type="dxa"/>
            <w:vAlign w:val="bottom"/>
            <w:gridSpan w:val="4"/>
          </w:tcPr>
          <w:p>
            <w:pPr>
              <w:spacing w:after="0"/>
              <w:rPr>
                <w:sz w:val="20"/>
                <w:szCs w:val="20"/>
                <w:color w:val="auto"/>
              </w:rPr>
            </w:pPr>
            <w:r>
              <w:rPr>
                <w:rFonts w:ascii="Arial" w:cs="Arial" w:eastAsia="Arial" w:hAnsi="Arial"/>
                <w:sz w:val="11"/>
                <w:szCs w:val="11"/>
                <w:b w:val="1"/>
                <w:bCs w:val="1"/>
                <w:color w:val="131413"/>
              </w:rPr>
              <w:t>B</w:t>
            </w:r>
          </w:p>
        </w:tc>
        <w:tc>
          <w:tcPr>
            <w:tcW w:w="580" w:type="dxa"/>
            <w:vAlign w:val="bottom"/>
            <w:gridSpan w:val="6"/>
            <w:vMerge w:val="restart"/>
          </w:tcPr>
          <w:p>
            <w:pPr>
              <w:ind w:left="40"/>
              <w:spacing w:after="0"/>
              <w:rPr>
                <w:sz w:val="20"/>
                <w:szCs w:val="20"/>
                <w:color w:val="auto"/>
              </w:rPr>
            </w:pPr>
            <w:r>
              <w:rPr>
                <w:rFonts w:ascii="Arial" w:cs="Arial" w:eastAsia="Arial" w:hAnsi="Arial"/>
                <w:sz w:val="11"/>
                <w:szCs w:val="11"/>
                <w:b w:val="1"/>
                <w:bCs w:val="1"/>
                <w:color w:val="131413"/>
              </w:rPr>
              <w:t>CPGB</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260" w:type="dxa"/>
            <w:vAlign w:val="bottom"/>
          </w:tcPr>
          <w:p>
            <w:pPr>
              <w:spacing w:after="0"/>
              <w:rPr>
                <w:sz w:val="4"/>
                <w:szCs w:val="4"/>
                <w:color w:val="auto"/>
              </w:rPr>
            </w:pPr>
          </w:p>
        </w:tc>
        <w:tc>
          <w:tcPr>
            <w:tcW w:w="580" w:type="dxa"/>
            <w:vAlign w:val="bottom"/>
            <w:gridSpan w:val="9"/>
          </w:tcPr>
          <w:p>
            <w:pPr>
              <w:ind w:left="20"/>
              <w:spacing w:after="0" w:line="212" w:lineRule="auto"/>
              <w:rPr>
                <w:sz w:val="20"/>
                <w:szCs w:val="20"/>
                <w:color w:val="auto"/>
              </w:rPr>
            </w:pPr>
            <w:r>
              <w:rPr>
                <w:rFonts w:ascii="Arial" w:cs="Arial" w:eastAsia="Arial" w:hAnsi="Arial"/>
                <w:sz w:val="5"/>
                <w:szCs w:val="5"/>
                <w:b w:val="1"/>
                <w:bCs w:val="1"/>
                <w:color w:val="131413"/>
              </w:rPr>
              <w:t>g</w:t>
            </w:r>
          </w:p>
        </w:tc>
        <w:tc>
          <w:tcPr>
            <w:tcW w:w="400" w:type="dxa"/>
            <w:vAlign w:val="bottom"/>
            <w:gridSpan w:val="3"/>
            <w:vMerge w:val="restart"/>
          </w:tcPr>
          <w:p>
            <w:pPr>
              <w:ind w:left="140"/>
              <w:spacing w:after="0" w:line="192" w:lineRule="auto"/>
              <w:rPr>
                <w:sz w:val="20"/>
                <w:szCs w:val="20"/>
                <w:color w:val="auto"/>
              </w:rPr>
            </w:pPr>
            <w:r>
              <w:rPr>
                <w:rFonts w:ascii="Arial" w:cs="Arial" w:eastAsia="Arial" w:hAnsi="Arial"/>
                <w:sz w:val="11"/>
                <w:szCs w:val="11"/>
                <w:b w:val="1"/>
                <w:bCs w:val="1"/>
                <w:color w:val="131413"/>
              </w:rPr>
              <w:t>L</w:t>
            </w:r>
          </w:p>
        </w:tc>
        <w:tc>
          <w:tcPr>
            <w:tcW w:w="640" w:type="dxa"/>
            <w:vAlign w:val="bottom"/>
            <w:gridSpan w:val="7"/>
            <w:vMerge w:val="restart"/>
          </w:tcPr>
          <w:p>
            <w:pPr>
              <w:ind w:left="60"/>
              <w:spacing w:after="0"/>
              <w:rPr>
                <w:sz w:val="20"/>
                <w:szCs w:val="20"/>
                <w:color w:val="auto"/>
              </w:rPr>
            </w:pPr>
            <w:r>
              <w:rPr>
                <w:rFonts w:ascii="Arial" w:cs="Arial" w:eastAsia="Arial" w:hAnsi="Arial"/>
                <w:sz w:val="11"/>
                <w:szCs w:val="11"/>
                <w:b w:val="1"/>
                <w:bCs w:val="1"/>
                <w:color w:val="131413"/>
              </w:rPr>
              <w:t>SMCB</w:t>
            </w:r>
          </w:p>
        </w:tc>
        <w:tc>
          <w:tcPr>
            <w:tcW w:w="140" w:type="dxa"/>
            <w:vAlign w:val="bottom"/>
          </w:tcPr>
          <w:p>
            <w:pPr>
              <w:spacing w:after="0"/>
              <w:rPr>
                <w:sz w:val="4"/>
                <w:szCs w:val="4"/>
                <w:color w:val="auto"/>
              </w:rPr>
            </w:pPr>
          </w:p>
        </w:tc>
        <w:tc>
          <w:tcPr>
            <w:tcW w:w="580" w:type="dxa"/>
            <w:vAlign w:val="bottom"/>
            <w:gridSpan w:val="8"/>
            <w:vMerge w:val="restart"/>
          </w:tcPr>
          <w:p>
            <w:pPr>
              <w:ind w:left="140"/>
              <w:spacing w:after="0" w:line="192" w:lineRule="auto"/>
              <w:rPr>
                <w:sz w:val="20"/>
                <w:szCs w:val="20"/>
                <w:color w:val="auto"/>
              </w:rPr>
            </w:pPr>
            <w:r>
              <w:rPr>
                <w:rFonts w:ascii="Arial" w:cs="Arial" w:eastAsia="Arial" w:hAnsi="Arial"/>
                <w:sz w:val="11"/>
                <w:szCs w:val="11"/>
                <w:b w:val="1"/>
                <w:bCs w:val="1"/>
                <w:color w:val="131413"/>
              </w:rPr>
              <w:t>B</w:t>
            </w:r>
          </w:p>
        </w:tc>
        <w:tc>
          <w:tcPr>
            <w:tcW w:w="300" w:type="dxa"/>
            <w:vAlign w:val="bottom"/>
            <w:gridSpan w:val="3"/>
            <w:vMerge w:val="continue"/>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580" w:type="dxa"/>
            <w:vAlign w:val="bottom"/>
            <w:gridSpan w:val="6"/>
            <w:vMerge w:val="continue"/>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500" w:type="dxa"/>
            <w:vAlign w:val="bottom"/>
            <w:gridSpan w:val="8"/>
          </w:tcPr>
          <w:p>
            <w:pPr>
              <w:ind w:left="20"/>
              <w:spacing w:after="0" w:line="212" w:lineRule="auto"/>
              <w:rPr>
                <w:sz w:val="20"/>
                <w:szCs w:val="20"/>
                <w:color w:val="auto"/>
              </w:rPr>
            </w:pPr>
            <w:r>
              <w:rPr>
                <w:rFonts w:ascii="Arial" w:cs="Arial" w:eastAsia="Arial" w:hAnsi="Arial"/>
                <w:sz w:val="5"/>
                <w:szCs w:val="5"/>
                <w:b w:val="1"/>
                <w:bCs w:val="1"/>
                <w:color w:val="131413"/>
              </w:rPr>
              <w:t>at</w:t>
            </w:r>
          </w:p>
        </w:tc>
        <w:tc>
          <w:tcPr>
            <w:tcW w:w="400" w:type="dxa"/>
            <w:vAlign w:val="bottom"/>
            <w:gridSpan w:val="3"/>
            <w:vMerge w:val="continue"/>
          </w:tcPr>
          <w:p>
            <w:pPr>
              <w:spacing w:after="0"/>
              <w:rPr>
                <w:sz w:val="4"/>
                <w:szCs w:val="4"/>
                <w:color w:val="auto"/>
              </w:rPr>
            </w:pPr>
          </w:p>
        </w:tc>
        <w:tc>
          <w:tcPr>
            <w:tcW w:w="640" w:type="dxa"/>
            <w:vAlign w:val="bottom"/>
            <w:gridSpan w:val="7"/>
            <w:vMerge w:val="continue"/>
          </w:tcPr>
          <w:p>
            <w:pPr>
              <w:spacing w:after="0"/>
              <w:rPr>
                <w:sz w:val="4"/>
                <w:szCs w:val="4"/>
                <w:color w:val="auto"/>
              </w:rPr>
            </w:pPr>
          </w:p>
        </w:tc>
        <w:tc>
          <w:tcPr>
            <w:tcW w:w="140" w:type="dxa"/>
            <w:vAlign w:val="bottom"/>
          </w:tcPr>
          <w:p>
            <w:pPr>
              <w:spacing w:after="0"/>
              <w:rPr>
                <w:sz w:val="4"/>
                <w:szCs w:val="4"/>
                <w:color w:val="auto"/>
              </w:rPr>
            </w:pPr>
          </w:p>
        </w:tc>
        <w:tc>
          <w:tcPr>
            <w:tcW w:w="580" w:type="dxa"/>
            <w:vAlign w:val="bottom"/>
            <w:gridSpan w:val="8"/>
            <w:vMerge w:val="continue"/>
          </w:tcPr>
          <w:p>
            <w:pPr>
              <w:spacing w:after="0"/>
              <w:rPr>
                <w:sz w:val="4"/>
                <w:szCs w:val="4"/>
                <w:color w:val="auto"/>
              </w:rPr>
            </w:pPr>
          </w:p>
        </w:tc>
        <w:tc>
          <w:tcPr>
            <w:tcW w:w="300" w:type="dxa"/>
            <w:vAlign w:val="bottom"/>
            <w:gridSpan w:val="3"/>
            <w:vMerge w:val="continue"/>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94"/>
        </w:trPr>
        <w:tc>
          <w:tcPr>
            <w:tcW w:w="840" w:type="dxa"/>
            <w:vAlign w:val="bottom"/>
            <w:gridSpan w:val="10"/>
          </w:tcPr>
          <w:p>
            <w:pPr>
              <w:ind w:left="140"/>
              <w:spacing w:after="0"/>
              <w:rPr>
                <w:sz w:val="20"/>
                <w:szCs w:val="20"/>
                <w:color w:val="auto"/>
              </w:rPr>
            </w:pPr>
            <w:r>
              <w:rPr>
                <w:rFonts w:ascii="Arial" w:cs="Arial" w:eastAsia="Arial" w:hAnsi="Arial"/>
                <w:sz w:val="11"/>
                <w:szCs w:val="11"/>
                <w:b w:val="1"/>
                <w:bCs w:val="1"/>
                <w:color w:val="131413"/>
              </w:rPr>
              <w:t>Ne</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40" w:type="dxa"/>
            <w:vAlign w:val="bottom"/>
            <w:gridSpan w:val="7"/>
            <w:vMerge w:val="continue"/>
          </w:tcPr>
          <w:p>
            <w:pPr>
              <w:spacing w:after="0"/>
              <w:rPr>
                <w:sz w:val="24"/>
                <w:szCs w:val="24"/>
                <w:color w:val="auto"/>
              </w:rPr>
            </w:pPr>
          </w:p>
        </w:tc>
        <w:tc>
          <w:tcPr>
            <w:tcW w:w="720" w:type="dxa"/>
            <w:vAlign w:val="bottom"/>
            <w:gridSpan w:val="9"/>
          </w:tcPr>
          <w:p>
            <w:pPr>
              <w:ind w:left="20"/>
              <w:spacing w:after="0"/>
              <w:rPr>
                <w:sz w:val="20"/>
                <w:szCs w:val="20"/>
                <w:color w:val="auto"/>
              </w:rPr>
            </w:pPr>
            <w:r>
              <w:rPr>
                <w:rFonts w:ascii="Arial" w:cs="Arial" w:eastAsia="Arial" w:hAnsi="Arial"/>
                <w:sz w:val="11"/>
                <w:szCs w:val="11"/>
                <w:b w:val="1"/>
                <w:bCs w:val="1"/>
                <w:color w:val="131413"/>
              </w:rPr>
              <w:t>SMC</w:t>
            </w: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332740</wp:posOffset>
                </wp:positionH>
                <wp:positionV relativeFrom="paragraph">
                  <wp:posOffset>-666115</wp:posOffset>
                </wp:positionV>
                <wp:extent cx="12446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4460" cy="4763"/>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pt,-52.4499pt" to="36pt,-52.44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-730250</wp:posOffset>
                </wp:positionV>
                <wp:extent cx="12446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4460" cy="4763"/>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57.4999pt" to="153.8pt,-57.49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1891030</wp:posOffset>
                </wp:positionH>
                <wp:positionV relativeFrom="paragraph">
                  <wp:posOffset>-741045</wp:posOffset>
                </wp:positionV>
                <wp:extent cx="0" cy="5524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245"/>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9pt,-58.3499pt" to="148.9pt,-54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2202815</wp:posOffset>
                </wp:positionH>
                <wp:positionV relativeFrom="paragraph">
                  <wp:posOffset>-1032510</wp:posOffset>
                </wp:positionV>
                <wp:extent cx="12446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4460" cy="4763"/>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45pt,-81.2999pt" to="183.25pt,-81.29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2265045</wp:posOffset>
                </wp:positionH>
                <wp:positionV relativeFrom="paragraph">
                  <wp:posOffset>-1043305</wp:posOffset>
                </wp:positionV>
                <wp:extent cx="0" cy="9017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170"/>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35pt,-82.1499pt" to="178.35pt,-75.04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1080770</wp:posOffset>
                </wp:positionH>
                <wp:positionV relativeFrom="paragraph">
                  <wp:posOffset>-1113790</wp:posOffset>
                </wp:positionV>
                <wp:extent cx="12446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4460" cy="4763"/>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1pt,-87.6999pt" to="94.9pt,-87.69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1143000</wp:posOffset>
                </wp:positionH>
                <wp:positionV relativeFrom="paragraph">
                  <wp:posOffset>-1125220</wp:posOffset>
                </wp:positionV>
                <wp:extent cx="0" cy="11112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1125"/>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pt,-88.5999pt" to="90pt,-79.84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1454785</wp:posOffset>
                </wp:positionH>
                <wp:positionV relativeFrom="paragraph">
                  <wp:posOffset>-659765</wp:posOffset>
                </wp:positionV>
                <wp:extent cx="12446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4460" cy="4763"/>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55pt,-51.9499pt" to="124.35pt,-51.9499pt" o:allowincell="f" strokecolor="#131413" strokeweight="1.758pt"/>
            </w:pict>
          </mc:Fallback>
        </mc:AlternateContent>
        <mc:AlternateContent>
          <mc:Choice Requires="wps">
            <w:drawing>
              <wp:anchor simplePos="0" relativeHeight="251657728" behindDoc="1" locked="0" layoutInCell="0" allowOverlap="1">
                <wp:simplePos x="0" y="0"/>
                <wp:positionH relativeFrom="column">
                  <wp:posOffset>1517015</wp:posOffset>
                </wp:positionH>
                <wp:positionV relativeFrom="paragraph">
                  <wp:posOffset>-671195</wp:posOffset>
                </wp:positionV>
                <wp:extent cx="0" cy="5588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5880"/>
                        </a:xfrm>
                        <a:prstGeom prst="line">
                          <a:avLst/>
                        </a:prstGeom>
                        <a:solidFill>
                          <a:srgbClr val="FFFFFF"/>
                        </a:solidFill>
                        <a:ln w="22326">
                          <a:solidFill>
                            <a:srgbClr val="13141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5pt,-52.8499pt" to="119.45pt,-48.4499pt" o:allowincell="f" strokecolor="#131413" strokeweight="1.758pt"/>
            </w:pict>
          </mc:Fallback>
        </mc:AlternateContent>
        <w:drawing>
          <wp:anchor simplePos="0" relativeHeight="251657728" behindDoc="1" locked="0" layoutInCell="0" allowOverlap="1">
            <wp:simplePos x="0" y="0"/>
            <wp:positionH relativeFrom="column">
              <wp:posOffset>1031875</wp:posOffset>
            </wp:positionH>
            <wp:positionV relativeFrom="paragraph">
              <wp:posOffset>-487680</wp:posOffset>
            </wp:positionV>
            <wp:extent cx="134620" cy="133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extLst>
                    </a:blip>
                    <a:srcRect/>
                    <a:stretch>
                      <a:fillRect/>
                    </a:stretch>
                  </pic:blipFill>
                  <pic:spPr bwMode="auto">
                    <a:xfrm>
                      <a:off x="0" y="0"/>
                      <a:ext cx="134620" cy="133350"/>
                    </a:xfrm>
                    <a:prstGeom prst="rect">
                      <a:avLst/>
                    </a:prstGeom>
                    <a:noFill/>
                  </pic:spPr>
                </pic:pic>
              </a:graphicData>
            </a:graphic>
          </wp:anchor>
        </w:drawing>
        <w:drawing>
          <wp:anchor simplePos="0" relativeHeight="251657728" behindDoc="1" locked="0" layoutInCell="0" allowOverlap="1">
            <wp:simplePos x="0" y="0"/>
            <wp:positionH relativeFrom="column">
              <wp:posOffset>1397000</wp:posOffset>
            </wp:positionH>
            <wp:positionV relativeFrom="paragraph">
              <wp:posOffset>-496570</wp:posOffset>
            </wp:positionV>
            <wp:extent cx="152400" cy="1517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extLst>
                    </a:blip>
                    <a:srcRect/>
                    <a:stretch>
                      <a:fillRect/>
                    </a:stretch>
                  </pic:blipFill>
                  <pic:spPr bwMode="auto">
                    <a:xfrm>
                      <a:off x="0" y="0"/>
                      <a:ext cx="152400" cy="1517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1260"/>
        </w:trPr>
        <w:tc>
          <w:tcPr>
            <w:tcW w:w="184" w:type="dxa"/>
            <w:vAlign w:val="bottom"/>
            <w:textDirection w:val="btLr"/>
          </w:tcPr>
          <w:p>
            <w:pPr>
              <w:spacing w:after="0"/>
              <w:rPr>
                <w:sz w:val="20"/>
                <w:szCs w:val="20"/>
                <w:color w:val="auto"/>
              </w:rPr>
            </w:pPr>
            <w:r>
              <w:rPr>
                <w:rFonts w:ascii="Arial" w:cs="Arial" w:eastAsia="Arial" w:hAnsi="Arial"/>
                <w:sz w:val="16"/>
                <w:szCs w:val="16"/>
                <w:b w:val="1"/>
                <w:bCs w:val="1"/>
                <w:color w:val="131413"/>
              </w:rPr>
              <w:t>Nitrite Oxide(%)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6"/>
        </w:trPr>
        <w:tc>
          <w:tcPr>
            <w:tcW w:w="260" w:type="dxa"/>
            <w:vAlign w:val="bottom"/>
            <w:vMerge w:val="restart"/>
          </w:tcPr>
          <w:p>
            <w:pPr>
              <w:jc w:val="right"/>
              <w:spacing w:after="0"/>
              <w:rPr>
                <w:sz w:val="20"/>
                <w:szCs w:val="20"/>
                <w:color w:val="auto"/>
              </w:rPr>
            </w:pPr>
            <w:r>
              <w:rPr>
                <w:rFonts w:ascii="Arial" w:cs="Arial" w:eastAsia="Arial" w:hAnsi="Arial"/>
                <w:sz w:val="15"/>
                <w:szCs w:val="15"/>
                <w:b w:val="1"/>
                <w:bCs w:val="1"/>
                <w:color w:val="131413"/>
                <w:w w:val="87"/>
              </w:rPr>
              <w:t>150</w:t>
            </w:r>
          </w:p>
        </w:tc>
        <w:tc>
          <w:tcPr>
            <w:tcW w:w="80" w:type="dxa"/>
            <w:vAlign w:val="bottom"/>
            <w:tcBorders>
              <w:bottom w:val="single" w:sz="8" w:color="131413"/>
            </w:tcBorders>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0" w:type="dxa"/>
            <w:vAlign w:val="bottom"/>
            <w:gridSpan w:val="7"/>
            <w:vMerge w:val="restart"/>
          </w:tcPr>
          <w:p>
            <w:pPr>
              <w:jc w:val="right"/>
              <w:ind w:right="40"/>
              <w:spacing w:after="0"/>
              <w:rPr>
                <w:sz w:val="20"/>
                <w:szCs w:val="20"/>
                <w:color w:val="auto"/>
              </w:rPr>
            </w:pPr>
            <w:r>
              <w:rPr>
                <w:rFonts w:ascii="Arial" w:cs="Arial" w:eastAsia="Arial" w:hAnsi="Arial"/>
                <w:sz w:val="24"/>
                <w:szCs w:val="24"/>
                <w:b w:val="1"/>
                <w:bCs w:val="1"/>
                <w:color w:val="131413"/>
              </w:rPr>
              <w:t>(B)</w:t>
            </w: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1"/>
        </w:trPr>
        <w:tc>
          <w:tcPr>
            <w:tcW w:w="260" w:type="dxa"/>
            <w:vAlign w:val="bottom"/>
            <w:vMerge w:val="continue"/>
          </w:tcPr>
          <w:p>
            <w:pPr>
              <w:spacing w:after="0"/>
              <w:rPr>
                <w:sz w:val="7"/>
                <w:szCs w:val="7"/>
                <w:color w:val="auto"/>
              </w:rPr>
            </w:pPr>
          </w:p>
        </w:tc>
        <w:tc>
          <w:tcPr>
            <w:tcW w:w="80" w:type="dxa"/>
            <w:vAlign w:val="bottom"/>
            <w:tcBorders>
              <w:right w:val="single" w:sz="8" w:color="131413"/>
            </w:tcBorders>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gridSpan w:val="7"/>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0"/>
        </w:trPr>
        <w:tc>
          <w:tcPr>
            <w:tcW w:w="260" w:type="dxa"/>
            <w:vAlign w:val="bottom"/>
          </w:tcPr>
          <w:p>
            <w:pPr>
              <w:spacing w:after="0"/>
              <w:rPr>
                <w:sz w:val="21"/>
                <w:szCs w:val="21"/>
                <w:color w:val="auto"/>
              </w:rPr>
            </w:pPr>
          </w:p>
        </w:tc>
        <w:tc>
          <w:tcPr>
            <w:tcW w:w="80" w:type="dxa"/>
            <w:vAlign w:val="bottom"/>
            <w:tcBorders>
              <w:right w:val="single" w:sz="8" w:color="131413"/>
            </w:tcBorders>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0" w:type="dxa"/>
            <w:vAlign w:val="bottom"/>
            <w:gridSpan w:val="7"/>
            <w:vMerge w:val="continue"/>
          </w:tcPr>
          <w:p>
            <w:pPr>
              <w:spacing w:after="0"/>
              <w:rPr>
                <w:sz w:val="21"/>
                <w:szCs w:val="21"/>
                <w:color w:val="auto"/>
              </w:rPr>
            </w:pPr>
          </w:p>
        </w:tc>
        <w:tc>
          <w:tcPr>
            <w:tcW w:w="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5"/>
        </w:trPr>
        <w:tc>
          <w:tcPr>
            <w:tcW w:w="260" w:type="dxa"/>
            <w:vAlign w:val="bottom"/>
            <w:vMerge w:val="restart"/>
          </w:tcPr>
          <w:p>
            <w:pPr>
              <w:jc w:val="right"/>
              <w:spacing w:after="0"/>
              <w:rPr>
                <w:sz w:val="20"/>
                <w:szCs w:val="20"/>
                <w:color w:val="auto"/>
              </w:rPr>
            </w:pPr>
            <w:r>
              <w:rPr>
                <w:rFonts w:ascii="Arial" w:cs="Arial" w:eastAsia="Arial" w:hAnsi="Arial"/>
                <w:sz w:val="15"/>
                <w:szCs w:val="15"/>
                <w:b w:val="1"/>
                <w:bCs w:val="1"/>
                <w:color w:val="131413"/>
                <w:w w:val="87"/>
              </w:rPr>
              <w:t>100</w:t>
            </w:r>
          </w:p>
        </w:tc>
        <w:tc>
          <w:tcPr>
            <w:tcW w:w="80" w:type="dxa"/>
            <w:vAlign w:val="bottom"/>
            <w:tcBorders>
              <w:right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Borders>
              <w:bottom w:val="single" w:sz="8" w:color="131413"/>
            </w:tcBorders>
          </w:tcPr>
          <w:p>
            <w:pPr>
              <w:spacing w:after="0"/>
              <w:rPr>
                <w:sz w:val="24"/>
                <w:szCs w:val="24"/>
                <w:color w:val="auto"/>
              </w:rPr>
            </w:pPr>
          </w:p>
        </w:tc>
        <w:tc>
          <w:tcPr>
            <w:tcW w:w="40" w:type="dxa"/>
            <w:vAlign w:val="bottom"/>
            <w:tcBorders>
              <w:bottom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gridSpan w:val="3"/>
            <w:vMerge w:val="restart"/>
          </w:tcPr>
          <w:p>
            <w:pPr>
              <w:jc w:val="right"/>
              <w:ind w:right="80"/>
              <w:spacing w:after="0"/>
              <w:rPr>
                <w:sz w:val="20"/>
                <w:szCs w:val="20"/>
                <w:color w:val="auto"/>
              </w:rPr>
            </w:pPr>
            <w:r>
              <w:rPr>
                <w:rFonts w:ascii="Arial" w:cs="Arial" w:eastAsia="Arial" w:hAnsi="Arial"/>
                <w:sz w:val="15"/>
                <w:szCs w:val="15"/>
                <w:color w:val="131413"/>
                <w:w w:val="71"/>
              </w:rPr>
              <w:t>a</w:t>
            </w: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gridSpan w:val="5"/>
            <w:vMerge w:val="restart"/>
          </w:tcPr>
          <w:p>
            <w:pPr>
              <w:jc w:val="right"/>
              <w:ind w:right="40"/>
              <w:spacing w:after="0"/>
              <w:rPr>
                <w:sz w:val="20"/>
                <w:szCs w:val="20"/>
                <w:color w:val="auto"/>
              </w:rPr>
            </w:pPr>
            <w:r>
              <w:rPr>
                <w:rFonts w:ascii="Arial" w:cs="Arial" w:eastAsia="Arial" w:hAnsi="Arial"/>
                <w:sz w:val="15"/>
                <w:szCs w:val="15"/>
                <w:color w:val="131413"/>
                <w:w w:val="95"/>
              </w:rPr>
              <w:t>ab</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60" w:type="dxa"/>
            <w:vAlign w:val="bottom"/>
            <w:vMerge w:val="continue"/>
          </w:tcPr>
          <w:p>
            <w:pPr>
              <w:spacing w:after="0"/>
              <w:rPr>
                <w:sz w:val="20"/>
                <w:szCs w:val="20"/>
                <w:color w:val="auto"/>
              </w:rPr>
            </w:pPr>
          </w:p>
        </w:tc>
        <w:tc>
          <w:tcPr>
            <w:tcW w:w="80" w:type="dxa"/>
            <w:vAlign w:val="bottom"/>
            <w:tcBorders>
              <w:bottom w:val="single" w:sz="8" w:color="131413"/>
              <w:right w:val="single" w:sz="8" w:color="131413"/>
            </w:tcBorders>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Borders>
              <w:bottom w:val="single" w:sz="8" w:color="131413"/>
            </w:tcBorders>
          </w:tcPr>
          <w:p>
            <w:pPr>
              <w:spacing w:after="0"/>
              <w:rPr>
                <w:sz w:val="20"/>
                <w:szCs w:val="20"/>
                <w:color w:val="auto"/>
              </w:rPr>
            </w:pPr>
          </w:p>
        </w:tc>
        <w:tc>
          <w:tcPr>
            <w:tcW w:w="60" w:type="dxa"/>
            <w:vAlign w:val="bottom"/>
            <w:tcBorders>
              <w:bottom w:val="single" w:sz="8" w:color="131413"/>
              <w:right w:val="single" w:sz="8" w:color="131413"/>
            </w:tcBorders>
          </w:tcPr>
          <w:p>
            <w:pPr>
              <w:spacing w:after="0"/>
              <w:rPr>
                <w:sz w:val="20"/>
                <w:szCs w:val="20"/>
                <w:color w:val="auto"/>
              </w:rPr>
            </w:pPr>
          </w:p>
        </w:tc>
        <w:tc>
          <w:tcPr>
            <w:tcW w:w="40" w:type="dxa"/>
            <w:vAlign w:val="bottom"/>
            <w:tcBorders>
              <w:bottom w:val="single" w:sz="8" w:color="131413"/>
            </w:tcBorders>
          </w:tcPr>
          <w:p>
            <w:pPr>
              <w:spacing w:after="0"/>
              <w:rPr>
                <w:sz w:val="20"/>
                <w:szCs w:val="20"/>
                <w:color w:val="auto"/>
              </w:rPr>
            </w:pPr>
          </w:p>
        </w:tc>
        <w:tc>
          <w:tcPr>
            <w:tcW w:w="60" w:type="dxa"/>
            <w:vAlign w:val="bottom"/>
            <w:tcBorders>
              <w:bottom w:val="single" w:sz="8" w:color="131413"/>
            </w:tcBorders>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60" w:type="dxa"/>
            <w:vAlign w:val="bottom"/>
            <w:gridSpan w:val="3"/>
            <w:vMerge w:val="continue"/>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gridSpan w:val="5"/>
            <w:vMerge w:val="continue"/>
          </w:tcPr>
          <w:p>
            <w:pPr>
              <w:spacing w:after="0"/>
              <w:rPr>
                <w:sz w:val="20"/>
                <w:szCs w:val="20"/>
                <w:color w:val="auto"/>
              </w:rPr>
            </w:pP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6"/>
        </w:trPr>
        <w:tc>
          <w:tcPr>
            <w:tcW w:w="260" w:type="dxa"/>
            <w:vAlign w:val="bottom"/>
          </w:tcPr>
          <w:p>
            <w:pPr>
              <w:spacing w:after="0"/>
              <w:rPr>
                <w:sz w:val="15"/>
                <w:szCs w:val="15"/>
                <w:color w:val="auto"/>
              </w:rPr>
            </w:pPr>
          </w:p>
        </w:tc>
        <w:tc>
          <w:tcPr>
            <w:tcW w:w="80" w:type="dxa"/>
            <w:vAlign w:val="bottom"/>
            <w:tcBorders>
              <w:right w:val="single" w:sz="8" w:color="131413"/>
            </w:tcBorders>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Borders>
              <w:right w:val="single" w:sz="8" w:color="131413"/>
            </w:tcBorders>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Borders>
              <w:right w:val="single" w:sz="8" w:color="131413"/>
            </w:tcBorders>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gridSpan w:val="6"/>
          </w:tcPr>
          <w:p>
            <w:pPr>
              <w:jc w:val="center"/>
              <w:ind w:right="160"/>
              <w:spacing w:after="0" w:line="161" w:lineRule="exact"/>
              <w:rPr>
                <w:sz w:val="20"/>
                <w:szCs w:val="20"/>
                <w:color w:val="auto"/>
              </w:rPr>
            </w:pPr>
            <w:r>
              <w:rPr>
                <w:rFonts w:ascii="Arial" w:cs="Arial" w:eastAsia="Arial" w:hAnsi="Arial"/>
                <w:sz w:val="15"/>
                <w:szCs w:val="15"/>
                <w:color w:val="131413"/>
              </w:rPr>
              <w:t>bc</w:t>
            </w:r>
          </w:p>
        </w:tc>
        <w:tc>
          <w:tcPr>
            <w:tcW w:w="40" w:type="dxa"/>
            <w:vAlign w:val="bottom"/>
            <w:tcBorders>
              <w:bottom w:val="single" w:sz="8" w:color="131413"/>
            </w:tcBorders>
          </w:tcPr>
          <w:p>
            <w:pPr>
              <w:spacing w:after="0"/>
              <w:rPr>
                <w:sz w:val="15"/>
                <w:szCs w:val="15"/>
                <w:color w:val="auto"/>
              </w:rPr>
            </w:pPr>
          </w:p>
        </w:tc>
        <w:tc>
          <w:tcPr>
            <w:tcW w:w="160" w:type="dxa"/>
            <w:vAlign w:val="bottom"/>
            <w:tcBorders>
              <w:bottom w:val="single" w:sz="8" w:color="131413"/>
            </w:tcBorders>
            <w:gridSpan w:val="3"/>
          </w:tcPr>
          <w:p>
            <w:pPr>
              <w:jc w:val="right"/>
              <w:ind w:right="80"/>
              <w:spacing w:after="0" w:line="92" w:lineRule="exact"/>
              <w:rPr>
                <w:sz w:val="20"/>
                <w:szCs w:val="20"/>
                <w:color w:val="auto"/>
              </w:rPr>
            </w:pPr>
            <w:r>
              <w:rPr>
                <w:rFonts w:ascii="Arial" w:cs="Arial" w:eastAsia="Arial" w:hAnsi="Arial"/>
                <w:sz w:val="9"/>
                <w:szCs w:val="9"/>
                <w:color w:val="131413"/>
              </w:rPr>
              <w:t>*</w:t>
            </w: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20" w:type="dxa"/>
            <w:vAlign w:val="bottom"/>
            <w:gridSpan w:val="3"/>
          </w:tcPr>
          <w:p>
            <w:pPr>
              <w:spacing w:after="0"/>
              <w:rPr>
                <w:sz w:val="15"/>
                <w:szCs w:val="15"/>
                <w:color w:val="auto"/>
              </w:rPr>
            </w:pPr>
          </w:p>
        </w:tc>
        <w:tc>
          <w:tcPr>
            <w:tcW w:w="100" w:type="dxa"/>
            <w:vAlign w:val="bottom"/>
            <w:gridSpan w:val="3"/>
          </w:tcPr>
          <w:p>
            <w:pPr>
              <w:spacing w:after="0" w:line="107" w:lineRule="exact"/>
              <w:rPr>
                <w:sz w:val="20"/>
                <w:szCs w:val="20"/>
                <w:color w:val="auto"/>
              </w:rPr>
            </w:pPr>
            <w:r>
              <w:rPr>
                <w:rFonts w:ascii="Arial" w:cs="Arial" w:eastAsia="Arial" w:hAnsi="Arial"/>
                <w:sz w:val="12"/>
                <w:szCs w:val="12"/>
                <w:color w:val="131413"/>
                <w:w w:val="85"/>
              </w:rPr>
              <w:t>**</w:t>
            </w: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20"/>
        </w:trPr>
        <w:tc>
          <w:tcPr>
            <w:tcW w:w="260" w:type="dxa"/>
            <w:vAlign w:val="bottom"/>
          </w:tcPr>
          <w:p>
            <w:pPr>
              <w:spacing w:after="0"/>
              <w:rPr>
                <w:sz w:val="10"/>
                <w:szCs w:val="10"/>
                <w:color w:val="auto"/>
              </w:rPr>
            </w:pPr>
          </w:p>
        </w:tc>
        <w:tc>
          <w:tcPr>
            <w:tcW w:w="80" w:type="dxa"/>
            <w:vAlign w:val="bottom"/>
            <w:tcBorders>
              <w:right w:val="single" w:sz="8" w:color="131413"/>
            </w:tcBorders>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Borders>
              <w:right w:val="single" w:sz="8" w:color="131413"/>
            </w:tcBorders>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80" w:type="dxa"/>
            <w:vAlign w:val="bottom"/>
            <w:gridSpan w:val="3"/>
          </w:tcPr>
          <w:p>
            <w:pPr>
              <w:jc w:val="right"/>
              <w:ind w:right="80"/>
              <w:spacing w:after="0" w:line="120" w:lineRule="exact"/>
              <w:rPr>
                <w:sz w:val="20"/>
                <w:szCs w:val="20"/>
                <w:color w:val="auto"/>
              </w:rPr>
            </w:pPr>
            <w:r>
              <w:rPr>
                <w:rFonts w:ascii="Arial" w:cs="Arial" w:eastAsia="Arial" w:hAnsi="Arial"/>
                <w:sz w:val="13"/>
                <w:szCs w:val="13"/>
                <w:color w:val="131413"/>
              </w:rPr>
              <w:t>d</w:t>
            </w: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0" w:type="dxa"/>
            <w:vAlign w:val="bottom"/>
            <w:gridSpan w:val="3"/>
          </w:tcPr>
          <w:p>
            <w:pPr>
              <w:jc w:val="center"/>
              <w:ind w:right="20"/>
              <w:spacing w:after="0" w:line="120" w:lineRule="exact"/>
              <w:rPr>
                <w:sz w:val="20"/>
                <w:szCs w:val="20"/>
                <w:color w:val="auto"/>
              </w:rPr>
            </w:pPr>
            <w:r>
              <w:rPr>
                <w:rFonts w:ascii="Arial" w:cs="Arial" w:eastAsia="Arial" w:hAnsi="Arial"/>
                <w:sz w:val="13"/>
                <w:szCs w:val="13"/>
                <w:color w:val="131413"/>
              </w:rPr>
              <w:t>cd</w:t>
            </w:r>
          </w:p>
        </w:tc>
        <w:tc>
          <w:tcPr>
            <w:tcW w:w="120" w:type="dxa"/>
            <w:vAlign w:val="bottom"/>
          </w:tcPr>
          <w:p>
            <w:pPr>
              <w:spacing w:after="0"/>
              <w:rPr>
                <w:sz w:val="10"/>
                <w:szCs w:val="10"/>
                <w:color w:val="auto"/>
              </w:rPr>
            </w:pPr>
          </w:p>
        </w:tc>
        <w:tc>
          <w:tcPr>
            <w:tcW w:w="40" w:type="dxa"/>
            <w:vAlign w:val="bottom"/>
            <w:tcBorders>
              <w:bottom w:val="single" w:sz="8" w:color="131413"/>
            </w:tcBorders>
          </w:tcPr>
          <w:p>
            <w:pPr>
              <w:spacing w:after="0"/>
              <w:rPr>
                <w:sz w:val="10"/>
                <w:szCs w:val="10"/>
                <w:color w:val="auto"/>
              </w:rPr>
            </w:pPr>
          </w:p>
        </w:tc>
        <w:tc>
          <w:tcPr>
            <w:tcW w:w="100" w:type="dxa"/>
            <w:vAlign w:val="bottom"/>
            <w:tcBorders>
              <w:bottom w:val="single" w:sz="8" w:color="131413"/>
            </w:tcBorders>
            <w:gridSpan w:val="3"/>
          </w:tcPr>
          <w:p>
            <w:pPr>
              <w:jc w:val="right"/>
              <w:spacing w:after="0" w:line="97" w:lineRule="exact"/>
              <w:rPr>
                <w:sz w:val="20"/>
                <w:szCs w:val="20"/>
                <w:color w:val="auto"/>
              </w:rPr>
            </w:pPr>
            <w:r>
              <w:rPr>
                <w:rFonts w:ascii="Arial" w:cs="Arial" w:eastAsia="Arial" w:hAnsi="Arial"/>
                <w:sz w:val="9"/>
                <w:szCs w:val="9"/>
                <w:color w:val="131413"/>
                <w:w w:val="75"/>
              </w:rPr>
              <w:t>***</w:t>
            </w:r>
          </w:p>
        </w:tc>
        <w:tc>
          <w:tcPr>
            <w:tcW w:w="60" w:type="dxa"/>
            <w:vAlign w:val="bottom"/>
            <w:tcBorders>
              <w:bottom w:val="single" w:sz="8" w:color="131413"/>
            </w:tcBorders>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1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gridSpan w:val="3"/>
          </w:tcPr>
          <w:p>
            <w:pPr>
              <w:ind w:left="40"/>
              <w:spacing w:after="0" w:line="120" w:lineRule="exact"/>
              <w:rPr>
                <w:sz w:val="20"/>
                <w:szCs w:val="20"/>
                <w:color w:val="auto"/>
              </w:rPr>
            </w:pPr>
            <w:r>
              <w:rPr>
                <w:rFonts w:ascii="Arial" w:cs="Arial" w:eastAsia="Arial" w:hAnsi="Arial"/>
                <w:sz w:val="13"/>
                <w:szCs w:val="13"/>
                <w:color w:val="131413"/>
                <w:w w:val="82"/>
              </w:rPr>
              <w:t>d</w:t>
            </w:r>
          </w:p>
        </w:tc>
        <w:tc>
          <w:tcPr>
            <w:tcW w:w="80" w:type="dxa"/>
            <w:vAlign w:val="bottom"/>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40" w:type="dxa"/>
            <w:vAlign w:val="bottom"/>
            <w:tcBorders>
              <w:top w:val="single" w:sz="8" w:color="131413"/>
            </w:tcBorders>
          </w:tcPr>
          <w:p>
            <w:pPr>
              <w:spacing w:after="0"/>
              <w:rPr>
                <w:sz w:val="10"/>
                <w:szCs w:val="10"/>
                <w:color w:val="auto"/>
              </w:rPr>
            </w:pPr>
          </w:p>
        </w:tc>
        <w:tc>
          <w:tcPr>
            <w:tcW w:w="40" w:type="dxa"/>
            <w:vAlign w:val="bottom"/>
            <w:tcBorders>
              <w:top w:val="single" w:sz="8" w:color="131413"/>
            </w:tcBorders>
          </w:tcPr>
          <w:p>
            <w:pPr>
              <w:spacing w:after="0"/>
              <w:rPr>
                <w:sz w:val="10"/>
                <w:szCs w:val="10"/>
                <w:color w:val="auto"/>
              </w:rPr>
            </w:pPr>
          </w:p>
        </w:tc>
        <w:tc>
          <w:tcPr>
            <w:tcW w:w="20" w:type="dxa"/>
            <w:vAlign w:val="bottom"/>
            <w:tcBorders>
              <w:top w:val="single" w:sz="8" w:color="131413"/>
            </w:tcBorders>
          </w:tcPr>
          <w:p>
            <w:pPr>
              <w:spacing w:after="0"/>
              <w:rPr>
                <w:sz w:val="10"/>
                <w:szCs w:val="10"/>
                <w:color w:val="auto"/>
              </w:rPr>
            </w:pPr>
          </w:p>
        </w:tc>
        <w:tc>
          <w:tcPr>
            <w:tcW w:w="40" w:type="dxa"/>
            <w:vAlign w:val="bottom"/>
            <w:tcBorders>
              <w:top w:val="single" w:sz="8" w:color="131413"/>
            </w:tcBorders>
          </w:tcPr>
          <w:p>
            <w:pPr>
              <w:spacing w:after="0"/>
              <w:rPr>
                <w:sz w:val="10"/>
                <w:szCs w:val="10"/>
                <w:color w:val="auto"/>
              </w:rPr>
            </w:pPr>
          </w:p>
        </w:tc>
        <w:tc>
          <w:tcPr>
            <w:tcW w:w="80" w:type="dxa"/>
            <w:vAlign w:val="bottom"/>
            <w:tcBorders>
              <w:top w:val="single" w:sz="8" w:color="131413"/>
              <w:right w:val="single" w:sz="8" w:color="131413"/>
            </w:tcBorders>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09"/>
        </w:trPr>
        <w:tc>
          <w:tcPr>
            <w:tcW w:w="260" w:type="dxa"/>
            <w:vAlign w:val="bottom"/>
          </w:tcPr>
          <w:p>
            <w:pPr>
              <w:jc w:val="right"/>
              <w:spacing w:after="0"/>
              <w:rPr>
                <w:sz w:val="20"/>
                <w:szCs w:val="20"/>
                <w:color w:val="auto"/>
              </w:rPr>
            </w:pPr>
            <w:r>
              <w:rPr>
                <w:rFonts w:ascii="Arial" w:cs="Arial" w:eastAsia="Arial" w:hAnsi="Arial"/>
                <w:sz w:val="15"/>
                <w:szCs w:val="15"/>
                <w:b w:val="1"/>
                <w:bCs w:val="1"/>
                <w:color w:val="131413"/>
              </w:rPr>
              <w:t>50</w:t>
            </w:r>
          </w:p>
        </w:tc>
        <w:tc>
          <w:tcPr>
            <w:tcW w:w="80" w:type="dxa"/>
            <w:vAlign w:val="bottom"/>
            <w:tcBorders>
              <w:right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Borders>
              <w:right w:val="single" w:sz="8" w:color="131413"/>
            </w:tcBorders>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gridSpan w:val="3"/>
          </w:tcPr>
          <w:p>
            <w:pPr>
              <w:jc w:val="right"/>
              <w:ind w:right="80"/>
              <w:spacing w:after="0"/>
              <w:rPr>
                <w:sz w:val="20"/>
                <w:szCs w:val="20"/>
                <w:color w:val="auto"/>
              </w:rPr>
            </w:pPr>
            <w:r>
              <w:rPr>
                <w:rFonts w:ascii="Arial" w:cs="Arial" w:eastAsia="Arial" w:hAnsi="Arial"/>
                <w:sz w:val="9"/>
                <w:szCs w:val="9"/>
                <w:color w:val="131413"/>
                <w:w w:val="75"/>
              </w:rPr>
              <w:t>***</w:t>
            </w: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80" w:type="dxa"/>
            <w:vAlign w:val="bottom"/>
            <w:gridSpan w:val="4"/>
          </w:tcPr>
          <w:p>
            <w:pPr>
              <w:jc w:val="right"/>
              <w:ind w:right="80"/>
              <w:spacing w:after="0"/>
              <w:rPr>
                <w:sz w:val="20"/>
                <w:szCs w:val="20"/>
                <w:color w:val="auto"/>
              </w:rPr>
            </w:pPr>
            <w:r>
              <w:rPr>
                <w:rFonts w:ascii="Arial" w:cs="Arial" w:eastAsia="Arial" w:hAnsi="Arial"/>
                <w:sz w:val="15"/>
                <w:szCs w:val="15"/>
                <w:color w:val="131413"/>
                <w:w w:val="95"/>
              </w:rPr>
              <w:t>e</w:t>
            </w:r>
          </w:p>
        </w:tc>
        <w:tc>
          <w:tcPr>
            <w:tcW w:w="100" w:type="dxa"/>
            <w:vAlign w:val="bottom"/>
          </w:tcPr>
          <w:p>
            <w:pPr>
              <w:spacing w:after="0"/>
              <w:rPr>
                <w:sz w:val="24"/>
                <w:szCs w:val="24"/>
                <w:color w:val="auto"/>
              </w:rPr>
            </w:pPr>
          </w:p>
        </w:tc>
        <w:tc>
          <w:tcPr>
            <w:tcW w:w="200" w:type="dxa"/>
            <w:vAlign w:val="bottom"/>
            <w:tcBorders>
              <w:bottom w:val="single" w:sz="8" w:color="131413"/>
            </w:tcBorders>
            <w:gridSpan w:val="3"/>
          </w:tcPr>
          <w:p>
            <w:pPr>
              <w:jc w:val="right"/>
              <w:ind w:right="60"/>
              <w:spacing w:after="0" w:line="113" w:lineRule="exact"/>
              <w:rPr>
                <w:sz w:val="20"/>
                <w:szCs w:val="20"/>
                <w:color w:val="auto"/>
              </w:rPr>
            </w:pPr>
            <w:r>
              <w:rPr>
                <w:rFonts w:ascii="Arial" w:cs="Arial" w:eastAsia="Arial" w:hAnsi="Arial"/>
                <w:sz w:val="13"/>
                <w:szCs w:val="13"/>
                <w:color w:val="131413"/>
                <w:w w:val="78"/>
              </w:rPr>
              <w:t>***</w:t>
            </w:r>
          </w:p>
        </w:tc>
        <w:tc>
          <w:tcPr>
            <w:tcW w:w="12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Borders>
              <w:right w:val="single" w:sz="8" w:color="131413"/>
            </w:tcBorders>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gridSpan w:val="3"/>
          </w:tcPr>
          <w:p>
            <w:pPr>
              <w:jc w:val="center"/>
              <w:ind w:right="40"/>
              <w:spacing w:after="0"/>
              <w:rPr>
                <w:sz w:val="20"/>
                <w:szCs w:val="20"/>
                <w:color w:val="auto"/>
              </w:rPr>
            </w:pPr>
            <w:r>
              <w:rPr>
                <w:rFonts w:ascii="Arial" w:cs="Arial" w:eastAsia="Arial" w:hAnsi="Arial"/>
                <w:sz w:val="15"/>
                <w:szCs w:val="15"/>
                <w:color w:val="131413"/>
                <w:w w:val="95"/>
              </w:rPr>
              <w:t>e</w:t>
            </w:r>
          </w:p>
        </w:tc>
        <w:tc>
          <w:tcPr>
            <w:tcW w:w="120" w:type="dxa"/>
            <w:vAlign w:val="bottom"/>
          </w:tcPr>
          <w:p>
            <w:pPr>
              <w:spacing w:after="0"/>
              <w:rPr>
                <w:sz w:val="24"/>
                <w:szCs w:val="24"/>
                <w:color w:val="auto"/>
              </w:rPr>
            </w:pPr>
          </w:p>
        </w:tc>
        <w:tc>
          <w:tcPr>
            <w:tcW w:w="120" w:type="dxa"/>
            <w:vAlign w:val="bottom"/>
            <w:gridSpan w:val="3"/>
          </w:tcPr>
          <w:p>
            <w:pPr>
              <w:ind w:left="20"/>
              <w:spacing w:after="0"/>
              <w:rPr>
                <w:sz w:val="20"/>
                <w:szCs w:val="20"/>
                <w:color w:val="auto"/>
              </w:rPr>
            </w:pPr>
            <w:r>
              <w:rPr>
                <w:rFonts w:ascii="Arial" w:cs="Arial" w:eastAsia="Arial" w:hAnsi="Arial"/>
                <w:sz w:val="9"/>
                <w:szCs w:val="9"/>
                <w:color w:val="131413"/>
                <w:w w:val="75"/>
              </w:rPr>
              <w:t>***</w:t>
            </w:r>
          </w:p>
        </w:tc>
        <w:tc>
          <w:tcPr>
            <w:tcW w:w="80" w:type="dxa"/>
            <w:vAlign w:val="bottom"/>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Borders>
              <w:right w:val="single" w:sz="8" w:color="131413"/>
            </w:tcBorders>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260" w:type="dxa"/>
            <w:vAlign w:val="bottom"/>
          </w:tcPr>
          <w:p>
            <w:pPr>
              <w:spacing w:after="0"/>
              <w:rPr>
                <w:sz w:val="13"/>
                <w:szCs w:val="13"/>
                <w:color w:val="auto"/>
              </w:rPr>
            </w:pPr>
          </w:p>
        </w:tc>
        <w:tc>
          <w:tcPr>
            <w:tcW w:w="80" w:type="dxa"/>
            <w:vAlign w:val="bottom"/>
            <w:tcBorders>
              <w:top w:val="single" w:sz="8" w:color="131413"/>
              <w:right w:val="single" w:sz="8" w:color="131413"/>
            </w:tcBorders>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gridSpan w:val="3"/>
            <w:vMerge w:val="restart"/>
          </w:tcPr>
          <w:p>
            <w:pPr>
              <w:jc w:val="right"/>
              <w:spacing w:after="0"/>
              <w:rPr>
                <w:sz w:val="20"/>
                <w:szCs w:val="20"/>
                <w:color w:val="auto"/>
              </w:rPr>
            </w:pPr>
            <w:r>
              <w:rPr>
                <w:rFonts w:ascii="Arial" w:cs="Arial" w:eastAsia="Arial" w:hAnsi="Arial"/>
                <w:sz w:val="9"/>
                <w:szCs w:val="9"/>
                <w:color w:val="131413"/>
                <w:w w:val="75"/>
              </w:rPr>
              <w:t>***</w:t>
            </w:r>
          </w:p>
        </w:tc>
        <w:tc>
          <w:tcPr>
            <w:tcW w:w="60" w:type="dxa"/>
            <w:vAlign w:val="bottom"/>
          </w:tcPr>
          <w:p>
            <w:pPr>
              <w:spacing w:after="0"/>
              <w:rPr>
                <w:sz w:val="13"/>
                <w:szCs w:val="13"/>
                <w:color w:val="auto"/>
              </w:rPr>
            </w:pPr>
          </w:p>
        </w:tc>
        <w:tc>
          <w:tcPr>
            <w:tcW w:w="120" w:type="dxa"/>
            <w:vAlign w:val="bottom"/>
            <w:tcBorders>
              <w:right w:val="single" w:sz="8" w:color="131413"/>
            </w:tcBorders>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Borders>
              <w:right w:val="single" w:sz="8" w:color="131413"/>
            </w:tcBorders>
          </w:tcPr>
          <w:p>
            <w:pPr>
              <w:spacing w:after="0"/>
              <w:rPr>
                <w:sz w:val="13"/>
                <w:szCs w:val="13"/>
                <w:color w:val="auto"/>
              </w:rPr>
            </w:pPr>
          </w:p>
        </w:tc>
        <w:tc>
          <w:tcPr>
            <w:tcW w:w="120" w:type="dxa"/>
            <w:vAlign w:val="bottom"/>
          </w:tcPr>
          <w:p>
            <w:pPr>
              <w:spacing w:after="0"/>
              <w:rPr>
                <w:sz w:val="13"/>
                <w:szCs w:val="13"/>
                <w:color w:val="auto"/>
              </w:rPr>
            </w:pPr>
          </w:p>
        </w:tc>
        <w:tc>
          <w:tcPr>
            <w:tcW w:w="200" w:type="dxa"/>
            <w:vAlign w:val="bottom"/>
            <w:gridSpan w:val="3"/>
            <w:vMerge w:val="restart"/>
          </w:tcPr>
          <w:p>
            <w:pPr>
              <w:jc w:val="center"/>
              <w:ind w:right="40"/>
              <w:spacing w:after="0"/>
              <w:rPr>
                <w:sz w:val="20"/>
                <w:szCs w:val="20"/>
                <w:color w:val="auto"/>
              </w:rPr>
            </w:pPr>
            <w:r>
              <w:rPr>
                <w:rFonts w:ascii="Arial" w:cs="Arial" w:eastAsia="Arial" w:hAnsi="Arial"/>
                <w:sz w:val="15"/>
                <w:szCs w:val="15"/>
                <w:color w:val="131413"/>
                <w:w w:val="94"/>
              </w:rPr>
              <w:t>f</w:t>
            </w:r>
          </w:p>
        </w:tc>
        <w:tc>
          <w:tcPr>
            <w:tcW w:w="100" w:type="dxa"/>
            <w:vAlign w:val="bottom"/>
            <w:tcBorders>
              <w:right w:val="single" w:sz="8" w:color="131413"/>
            </w:tcBorders>
          </w:tcPr>
          <w:p>
            <w:pPr>
              <w:spacing w:after="0"/>
              <w:rPr>
                <w:sz w:val="13"/>
                <w:szCs w:val="13"/>
                <w:color w:val="auto"/>
              </w:rPr>
            </w:pPr>
          </w:p>
        </w:tc>
        <w:tc>
          <w:tcPr>
            <w:tcW w:w="40" w:type="dxa"/>
            <w:vAlign w:val="bottom"/>
            <w:tcBorders>
              <w:top w:val="single" w:sz="8" w:color="131413"/>
            </w:tcBorders>
          </w:tcPr>
          <w:p>
            <w:pPr>
              <w:spacing w:after="0"/>
              <w:rPr>
                <w:sz w:val="13"/>
                <w:szCs w:val="13"/>
                <w:color w:val="auto"/>
              </w:rPr>
            </w:pPr>
          </w:p>
        </w:tc>
        <w:tc>
          <w:tcPr>
            <w:tcW w:w="40" w:type="dxa"/>
            <w:vAlign w:val="bottom"/>
            <w:tcBorders>
              <w:top w:val="single" w:sz="8" w:color="131413"/>
            </w:tcBorders>
          </w:tcPr>
          <w:p>
            <w:pPr>
              <w:spacing w:after="0"/>
              <w:rPr>
                <w:sz w:val="13"/>
                <w:szCs w:val="13"/>
                <w:color w:val="auto"/>
              </w:rPr>
            </w:pPr>
          </w:p>
        </w:tc>
        <w:tc>
          <w:tcPr>
            <w:tcW w:w="20" w:type="dxa"/>
            <w:vAlign w:val="bottom"/>
            <w:tcBorders>
              <w:top w:val="single" w:sz="8" w:color="131413"/>
            </w:tcBorders>
          </w:tcPr>
          <w:p>
            <w:pPr>
              <w:spacing w:after="0"/>
              <w:rPr>
                <w:sz w:val="13"/>
                <w:szCs w:val="13"/>
                <w:color w:val="auto"/>
              </w:rPr>
            </w:pPr>
          </w:p>
        </w:tc>
        <w:tc>
          <w:tcPr>
            <w:tcW w:w="120" w:type="dxa"/>
            <w:vAlign w:val="bottom"/>
            <w:tcBorders>
              <w:top w:val="single" w:sz="8" w:color="131413"/>
              <w:right w:val="single" w:sz="8" w:color="131413"/>
            </w:tcBorders>
          </w:tcPr>
          <w:p>
            <w:pPr>
              <w:spacing w:after="0"/>
              <w:rPr>
                <w:sz w:val="13"/>
                <w:szCs w:val="13"/>
                <w:color w:val="auto"/>
              </w:rPr>
            </w:pPr>
          </w:p>
        </w:tc>
        <w:tc>
          <w:tcPr>
            <w:tcW w:w="140" w:type="dxa"/>
            <w:vAlign w:val="bottom"/>
            <w:gridSpan w:val="2"/>
          </w:tcPr>
          <w:p>
            <w:pPr>
              <w:spacing w:after="0"/>
              <w:rPr>
                <w:sz w:val="13"/>
                <w:szCs w:val="13"/>
                <w:color w:val="auto"/>
              </w:rPr>
            </w:pPr>
          </w:p>
        </w:tc>
        <w:tc>
          <w:tcPr>
            <w:tcW w:w="100" w:type="dxa"/>
            <w:vAlign w:val="bottom"/>
            <w:gridSpan w:val="3"/>
          </w:tcPr>
          <w:p>
            <w:pPr>
              <w:jc w:val="right"/>
              <w:spacing w:after="0"/>
              <w:rPr>
                <w:sz w:val="20"/>
                <w:szCs w:val="20"/>
                <w:color w:val="auto"/>
              </w:rPr>
            </w:pPr>
            <w:r>
              <w:rPr>
                <w:rFonts w:ascii="Arial" w:cs="Arial" w:eastAsia="Arial" w:hAnsi="Arial"/>
                <w:sz w:val="9"/>
                <w:szCs w:val="9"/>
                <w:color w:val="131413"/>
                <w:w w:val="75"/>
              </w:rPr>
              <w:t>***</w:t>
            </w:r>
          </w:p>
        </w:tc>
        <w:tc>
          <w:tcPr>
            <w:tcW w:w="80" w:type="dxa"/>
            <w:vAlign w:val="bottom"/>
          </w:tcPr>
          <w:p>
            <w:pPr>
              <w:spacing w:after="0"/>
              <w:rPr>
                <w:sz w:val="13"/>
                <w:szCs w:val="13"/>
                <w:color w:val="auto"/>
              </w:rPr>
            </w:pPr>
          </w:p>
        </w:tc>
        <w:tc>
          <w:tcPr>
            <w:tcW w:w="100" w:type="dxa"/>
            <w:vAlign w:val="bottom"/>
            <w:tcBorders>
              <w:right w:val="single" w:sz="8" w:color="131413"/>
            </w:tcBorders>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Borders>
              <w:right w:val="single" w:sz="8" w:color="131413"/>
            </w:tcBorders>
          </w:tcPr>
          <w:p>
            <w:pPr>
              <w:spacing w:after="0"/>
              <w:rPr>
                <w:sz w:val="13"/>
                <w:szCs w:val="13"/>
                <w:color w:val="auto"/>
              </w:rPr>
            </w:pPr>
          </w:p>
        </w:tc>
        <w:tc>
          <w:tcPr>
            <w:tcW w:w="120" w:type="dxa"/>
            <w:vAlign w:val="bottom"/>
            <w:tcBorders>
              <w:right w:val="single" w:sz="8" w:color="131413"/>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Borders>
              <w:right w:val="single" w:sz="8" w:color="131413"/>
            </w:tcBorders>
          </w:tcPr>
          <w:p>
            <w:pPr>
              <w:spacing w:after="0"/>
              <w:rPr>
                <w:sz w:val="13"/>
                <w:szCs w:val="13"/>
                <w:color w:val="auto"/>
              </w:rPr>
            </w:pPr>
          </w:p>
        </w:tc>
        <w:tc>
          <w:tcPr>
            <w:tcW w:w="120" w:type="dxa"/>
            <w:vAlign w:val="bottom"/>
            <w:tcBorders>
              <w:right w:val="single" w:sz="8" w:color="131413"/>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Borders>
              <w:right w:val="single" w:sz="8" w:color="131413"/>
            </w:tcBorders>
          </w:tcPr>
          <w:p>
            <w:pPr>
              <w:spacing w:after="0"/>
              <w:rPr>
                <w:sz w:val="13"/>
                <w:szCs w:val="13"/>
                <w:color w:val="auto"/>
              </w:rPr>
            </w:pPr>
          </w:p>
        </w:tc>
        <w:tc>
          <w:tcPr>
            <w:tcW w:w="120" w:type="dxa"/>
            <w:vAlign w:val="bottom"/>
          </w:tcPr>
          <w:p>
            <w:pPr>
              <w:spacing w:after="0"/>
              <w:rPr>
                <w:sz w:val="13"/>
                <w:szCs w:val="13"/>
                <w:color w:val="auto"/>
              </w:rPr>
            </w:pPr>
          </w:p>
        </w:tc>
        <w:tc>
          <w:tcPr>
            <w:tcW w:w="200" w:type="dxa"/>
            <w:vAlign w:val="bottom"/>
            <w:tcBorders>
              <w:bottom w:val="single" w:sz="8" w:color="131413"/>
            </w:tcBorders>
            <w:gridSpan w:val="3"/>
          </w:tcPr>
          <w:p>
            <w:pPr>
              <w:jc w:val="center"/>
              <w:ind w:right="20"/>
              <w:spacing w:after="0" w:line="94" w:lineRule="exact"/>
              <w:rPr>
                <w:sz w:val="20"/>
                <w:szCs w:val="20"/>
                <w:color w:val="auto"/>
              </w:rPr>
            </w:pPr>
            <w:r>
              <w:rPr>
                <w:rFonts w:ascii="Arial" w:cs="Arial" w:eastAsia="Arial" w:hAnsi="Arial"/>
                <w:sz w:val="9"/>
                <w:szCs w:val="9"/>
                <w:color w:val="131413"/>
              </w:rPr>
              <w:t>*</w:t>
            </w:r>
            <w:r>
              <w:rPr>
                <w:rFonts w:ascii="Arial" w:cs="Arial" w:eastAsia="Arial" w:hAnsi="Arial"/>
                <w:sz w:val="9"/>
                <w:szCs w:val="9"/>
                <w:color w:val="131413"/>
                <w:strike w:val="1"/>
              </w:rPr>
              <w:t>*</w:t>
            </w:r>
            <w:r>
              <w:rPr>
                <w:rFonts w:ascii="Arial" w:cs="Arial" w:eastAsia="Arial" w:hAnsi="Arial"/>
                <w:sz w:val="9"/>
                <w:szCs w:val="9"/>
                <w:color w:val="131413"/>
              </w:rPr>
              <w:t>*</w:t>
            </w:r>
          </w:p>
        </w:tc>
        <w:tc>
          <w:tcPr>
            <w:tcW w:w="120" w:type="dxa"/>
            <w:vAlign w:val="bottom"/>
            <w:tcBorders>
              <w:right w:val="single" w:sz="8" w:color="131413"/>
            </w:tcBorders>
          </w:tcPr>
          <w:p>
            <w:pPr>
              <w:spacing w:after="0"/>
              <w:rPr>
                <w:sz w:val="13"/>
                <w:szCs w:val="13"/>
                <w:color w:val="auto"/>
              </w:rPr>
            </w:pPr>
          </w:p>
        </w:tc>
        <w:tc>
          <w:tcPr>
            <w:tcW w:w="60" w:type="dxa"/>
            <w:vAlign w:val="bottom"/>
            <w:tcBorders>
              <w:top w:val="single" w:sz="8" w:color="131413"/>
            </w:tcBorders>
          </w:tcPr>
          <w:p>
            <w:pPr>
              <w:spacing w:after="0"/>
              <w:rPr>
                <w:sz w:val="13"/>
                <w:szCs w:val="13"/>
                <w:color w:val="auto"/>
              </w:rPr>
            </w:pPr>
          </w:p>
        </w:tc>
        <w:tc>
          <w:tcPr>
            <w:tcW w:w="40" w:type="dxa"/>
            <w:vAlign w:val="bottom"/>
            <w:tcBorders>
              <w:top w:val="single" w:sz="8" w:color="131413"/>
            </w:tcBorders>
          </w:tcPr>
          <w:p>
            <w:pPr>
              <w:spacing w:after="0"/>
              <w:rPr>
                <w:sz w:val="13"/>
                <w:szCs w:val="13"/>
                <w:color w:val="auto"/>
              </w:rPr>
            </w:pPr>
          </w:p>
        </w:tc>
        <w:tc>
          <w:tcPr>
            <w:tcW w:w="20" w:type="dxa"/>
            <w:vAlign w:val="bottom"/>
            <w:tcBorders>
              <w:top w:val="single" w:sz="8" w:color="131413"/>
            </w:tcBorders>
          </w:tcPr>
          <w:p>
            <w:pPr>
              <w:spacing w:after="0"/>
              <w:rPr>
                <w:sz w:val="13"/>
                <w:szCs w:val="13"/>
                <w:color w:val="auto"/>
              </w:rPr>
            </w:pPr>
          </w:p>
        </w:tc>
        <w:tc>
          <w:tcPr>
            <w:tcW w:w="80" w:type="dxa"/>
            <w:vAlign w:val="bottom"/>
            <w:tcBorders>
              <w:top w:val="single" w:sz="8" w:color="131413"/>
              <w:right w:val="single" w:sz="8" w:color="131413"/>
            </w:tcBorders>
          </w:tcPr>
          <w:p>
            <w:pPr>
              <w:spacing w:after="0"/>
              <w:rPr>
                <w:sz w:val="13"/>
                <w:szCs w:val="13"/>
                <w:color w:val="auto"/>
              </w:rPr>
            </w:pPr>
          </w:p>
        </w:tc>
        <w:tc>
          <w:tcPr>
            <w:tcW w:w="100" w:type="dxa"/>
            <w:vAlign w:val="bottom"/>
            <w:tcBorders>
              <w:right w:val="single" w:sz="8" w:color="131413"/>
            </w:tcBorders>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Borders>
              <w:right w:val="single" w:sz="8" w:color="131413"/>
            </w:tcBorders>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22"/>
        </w:trPr>
        <w:tc>
          <w:tcPr>
            <w:tcW w:w="260" w:type="dxa"/>
            <w:vAlign w:val="bottom"/>
          </w:tcPr>
          <w:p>
            <w:pPr>
              <w:spacing w:after="0"/>
              <w:rPr>
                <w:sz w:val="24"/>
                <w:szCs w:val="24"/>
                <w:color w:val="auto"/>
              </w:rPr>
            </w:pPr>
          </w:p>
        </w:tc>
        <w:tc>
          <w:tcPr>
            <w:tcW w:w="80" w:type="dxa"/>
            <w:vAlign w:val="bottom"/>
            <w:tcBorders>
              <w:right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gridSpan w:val="3"/>
            <w:vMerge w:val="continue"/>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Borders>
              <w:right w:val="single" w:sz="8" w:color="131413"/>
            </w:tcBorders>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gridSpan w:val="3"/>
            <w:vMerge w:val="continue"/>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40" w:type="dxa"/>
            <w:vAlign w:val="bottom"/>
            <w:tcBorders>
              <w:top w:val="single" w:sz="8" w:color="131413"/>
            </w:tcBorders>
          </w:tcPr>
          <w:p>
            <w:pPr>
              <w:spacing w:after="0"/>
              <w:rPr>
                <w:sz w:val="24"/>
                <w:szCs w:val="24"/>
                <w:color w:val="auto"/>
              </w:rPr>
            </w:pPr>
          </w:p>
        </w:tc>
        <w:tc>
          <w:tcPr>
            <w:tcW w:w="40" w:type="dxa"/>
            <w:vAlign w:val="bottom"/>
            <w:tcBorders>
              <w:top w:val="single" w:sz="8" w:color="131413"/>
            </w:tcBorders>
          </w:tcPr>
          <w:p>
            <w:pPr>
              <w:spacing w:after="0"/>
              <w:rPr>
                <w:sz w:val="24"/>
                <w:szCs w:val="24"/>
                <w:color w:val="auto"/>
              </w:rPr>
            </w:pPr>
          </w:p>
        </w:tc>
        <w:tc>
          <w:tcPr>
            <w:tcW w:w="20" w:type="dxa"/>
            <w:vAlign w:val="bottom"/>
            <w:tcBorders>
              <w:top w:val="single" w:sz="8" w:color="131413"/>
            </w:tcBorders>
          </w:tcPr>
          <w:p>
            <w:pPr>
              <w:spacing w:after="0"/>
              <w:rPr>
                <w:sz w:val="24"/>
                <w:szCs w:val="24"/>
                <w:color w:val="auto"/>
              </w:rPr>
            </w:pPr>
          </w:p>
        </w:tc>
        <w:tc>
          <w:tcPr>
            <w:tcW w:w="40" w:type="dxa"/>
            <w:vAlign w:val="bottom"/>
            <w:tcBorders>
              <w:top w:val="single" w:sz="8" w:color="131413"/>
            </w:tcBorders>
          </w:tcPr>
          <w:p>
            <w:pPr>
              <w:spacing w:after="0"/>
              <w:rPr>
                <w:sz w:val="24"/>
                <w:szCs w:val="24"/>
                <w:color w:val="auto"/>
              </w:rPr>
            </w:pPr>
          </w:p>
        </w:tc>
        <w:tc>
          <w:tcPr>
            <w:tcW w:w="80" w:type="dxa"/>
            <w:vAlign w:val="bottom"/>
            <w:tcBorders>
              <w:top w:val="single" w:sz="8" w:color="131413"/>
              <w:right w:val="single" w:sz="8" w:color="131413"/>
            </w:tcBorders>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Borders>
              <w:right w:val="single" w:sz="8" w:color="131413"/>
            </w:tcBorders>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80" w:type="dxa"/>
            <w:vAlign w:val="bottom"/>
            <w:tcBorders>
              <w:top w:val="single" w:sz="8" w:color="131413"/>
            </w:tcBorders>
          </w:tcPr>
          <w:p>
            <w:pPr>
              <w:spacing w:after="0"/>
              <w:rPr>
                <w:sz w:val="24"/>
                <w:szCs w:val="24"/>
                <w:color w:val="auto"/>
              </w:rPr>
            </w:pPr>
          </w:p>
        </w:tc>
        <w:tc>
          <w:tcPr>
            <w:tcW w:w="20" w:type="dxa"/>
            <w:vAlign w:val="bottom"/>
            <w:tcBorders>
              <w:top w:val="single" w:sz="8" w:color="131413"/>
            </w:tcBorders>
          </w:tcPr>
          <w:p>
            <w:pPr>
              <w:spacing w:after="0"/>
              <w:rPr>
                <w:sz w:val="24"/>
                <w:szCs w:val="24"/>
                <w:color w:val="auto"/>
              </w:rPr>
            </w:pPr>
          </w:p>
        </w:tc>
        <w:tc>
          <w:tcPr>
            <w:tcW w:w="100" w:type="dxa"/>
            <w:vAlign w:val="bottom"/>
            <w:tcBorders>
              <w:top w:val="single" w:sz="8" w:color="131413"/>
              <w:right w:val="single" w:sz="8" w:color="131413"/>
            </w:tcBorders>
          </w:tcPr>
          <w:p>
            <w:pPr>
              <w:spacing w:after="0"/>
              <w:rPr>
                <w:sz w:val="24"/>
                <w:szCs w:val="24"/>
                <w:color w:val="auto"/>
              </w:rPr>
            </w:pPr>
          </w:p>
        </w:tc>
        <w:tc>
          <w:tcPr>
            <w:tcW w:w="120" w:type="dxa"/>
            <w:vAlign w:val="bottom"/>
            <w:tcBorders>
              <w:right w:val="single" w:sz="8" w:color="131413"/>
            </w:tcBorders>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right w:val="single" w:sz="8" w:color="131413"/>
            </w:tcBorders>
          </w:tcPr>
          <w:p>
            <w:pPr>
              <w:spacing w:after="0"/>
              <w:rPr>
                <w:sz w:val="24"/>
                <w:szCs w:val="24"/>
                <w:color w:val="auto"/>
              </w:rPr>
            </w:pPr>
          </w:p>
        </w:tc>
        <w:tc>
          <w:tcPr>
            <w:tcW w:w="100" w:type="dxa"/>
            <w:vAlign w:val="bottom"/>
            <w:tcBorders>
              <w:right w:val="single" w:sz="8" w:color="131413"/>
            </w:tcBorders>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Borders>
              <w:right w:val="single" w:sz="8" w:color="131413"/>
            </w:tcBorders>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9"/>
        </w:trPr>
        <w:tc>
          <w:tcPr>
            <w:tcW w:w="260" w:type="dxa"/>
            <w:vAlign w:val="bottom"/>
            <w:vMerge w:val="restart"/>
          </w:tcPr>
          <w:p>
            <w:pPr>
              <w:jc w:val="right"/>
              <w:spacing w:after="0"/>
              <w:rPr>
                <w:sz w:val="20"/>
                <w:szCs w:val="20"/>
                <w:color w:val="auto"/>
              </w:rPr>
            </w:pPr>
            <w:r>
              <w:rPr>
                <w:rFonts w:ascii="Arial" w:cs="Arial" w:eastAsia="Arial" w:hAnsi="Arial"/>
                <w:sz w:val="15"/>
                <w:szCs w:val="15"/>
                <w:b w:val="1"/>
                <w:bCs w:val="1"/>
                <w:color w:val="131413"/>
              </w:rPr>
              <w:t>0</w:t>
            </w:r>
          </w:p>
        </w:tc>
        <w:tc>
          <w:tcPr>
            <w:tcW w:w="80" w:type="dxa"/>
            <w:vAlign w:val="bottom"/>
            <w:tcBorders>
              <w:right w:val="single" w:sz="8" w:color="131413"/>
            </w:tcBorders>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Borders>
              <w:bottom w:val="single" w:sz="8" w:color="131413"/>
            </w:tcBorders>
          </w:tcPr>
          <w:p>
            <w:pPr>
              <w:spacing w:after="0"/>
              <w:rPr>
                <w:sz w:val="10"/>
                <w:szCs w:val="10"/>
                <w:color w:val="auto"/>
              </w:rPr>
            </w:pPr>
          </w:p>
        </w:tc>
        <w:tc>
          <w:tcPr>
            <w:tcW w:w="100" w:type="dxa"/>
            <w:vAlign w:val="bottom"/>
            <w:tcBorders>
              <w:bottom w:val="single" w:sz="8" w:color="131413"/>
            </w:tcBorders>
            <w:gridSpan w:val="3"/>
            <w:vMerge w:val="continue"/>
          </w:tcPr>
          <w:p>
            <w:pPr>
              <w:spacing w:after="0"/>
              <w:rPr>
                <w:sz w:val="10"/>
                <w:szCs w:val="10"/>
                <w:color w:val="auto"/>
              </w:rPr>
            </w:pPr>
          </w:p>
        </w:tc>
        <w:tc>
          <w:tcPr>
            <w:tcW w:w="60" w:type="dxa"/>
            <w:vAlign w:val="bottom"/>
            <w:tcBorders>
              <w:bottom w:val="single" w:sz="8" w:color="131413"/>
            </w:tcBorders>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Borders>
              <w:right w:val="single" w:sz="8" w:color="131413"/>
            </w:tcBorders>
          </w:tcPr>
          <w:p>
            <w:pPr>
              <w:spacing w:after="0"/>
              <w:rPr>
                <w:sz w:val="10"/>
                <w:szCs w:val="10"/>
                <w:color w:val="auto"/>
              </w:rPr>
            </w:pPr>
          </w:p>
        </w:tc>
        <w:tc>
          <w:tcPr>
            <w:tcW w:w="120" w:type="dxa"/>
            <w:vAlign w:val="bottom"/>
          </w:tcPr>
          <w:p>
            <w:pPr>
              <w:spacing w:after="0"/>
              <w:rPr>
                <w:sz w:val="10"/>
                <w:szCs w:val="10"/>
                <w:color w:val="auto"/>
              </w:rPr>
            </w:pPr>
          </w:p>
        </w:tc>
        <w:tc>
          <w:tcPr>
            <w:tcW w:w="200" w:type="dxa"/>
            <w:vAlign w:val="bottom"/>
            <w:gridSpan w:val="3"/>
          </w:tcPr>
          <w:p>
            <w:pPr>
              <w:jc w:val="center"/>
              <w:ind w:right="20"/>
              <w:spacing w:after="0" w:line="104" w:lineRule="exact"/>
              <w:rPr>
                <w:sz w:val="20"/>
                <w:szCs w:val="20"/>
                <w:color w:val="auto"/>
              </w:rPr>
            </w:pPr>
            <w:r>
              <w:rPr>
                <w:rFonts w:ascii="Arial" w:cs="Arial" w:eastAsia="Arial" w:hAnsi="Arial"/>
                <w:sz w:val="12"/>
                <w:szCs w:val="12"/>
                <w:color w:val="131413"/>
                <w:w w:val="99"/>
              </w:rPr>
              <w:t>*</w:t>
            </w:r>
            <w:r>
              <w:rPr>
                <w:rFonts w:ascii="Arial" w:cs="Arial" w:eastAsia="Arial" w:hAnsi="Arial"/>
                <w:sz w:val="12"/>
                <w:szCs w:val="12"/>
                <w:color w:val="131413"/>
                <w:strike w:val="1"/>
                <w:w w:val="99"/>
              </w:rPr>
              <w:t>*</w:t>
            </w:r>
            <w:r>
              <w:rPr>
                <w:rFonts w:ascii="Arial" w:cs="Arial" w:eastAsia="Arial" w:hAnsi="Arial"/>
                <w:sz w:val="12"/>
                <w:szCs w:val="12"/>
                <w:color w:val="131413"/>
                <w:w w:val="99"/>
              </w:rPr>
              <w:t>*</w:t>
            </w:r>
          </w:p>
        </w:tc>
        <w:tc>
          <w:tcPr>
            <w:tcW w:w="10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Borders>
              <w:right w:val="single" w:sz="8" w:color="131413"/>
            </w:tcBorders>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Borders>
              <w:right w:val="single" w:sz="8" w:color="131413"/>
            </w:tcBorders>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120" w:type="dxa"/>
            <w:vAlign w:val="bottom"/>
            <w:tcBorders>
              <w:right w:val="single" w:sz="8" w:color="131413"/>
            </w:tcBorders>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Borders>
              <w:right w:val="single" w:sz="8" w:color="131413"/>
            </w:tcBorders>
          </w:tcPr>
          <w:p>
            <w:pPr>
              <w:spacing w:after="0"/>
              <w:rPr>
                <w:sz w:val="10"/>
                <w:szCs w:val="10"/>
                <w:color w:val="auto"/>
              </w:rPr>
            </w:pPr>
          </w:p>
        </w:tc>
        <w:tc>
          <w:tcPr>
            <w:tcW w:w="100" w:type="dxa"/>
            <w:vAlign w:val="bottom"/>
            <w:tcBorders>
              <w:right w:val="single" w:sz="8" w:color="131413"/>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Borders>
              <w:right w:val="single" w:sz="8" w:color="131413"/>
            </w:tcBorders>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3"/>
        </w:trPr>
        <w:tc>
          <w:tcPr>
            <w:tcW w:w="260" w:type="dxa"/>
            <w:vAlign w:val="bottom"/>
            <w:vMerge w:val="continue"/>
          </w:tcPr>
          <w:p>
            <w:pPr>
              <w:spacing w:after="0"/>
              <w:rPr>
                <w:sz w:val="14"/>
                <w:szCs w:val="14"/>
                <w:color w:val="auto"/>
              </w:rPr>
            </w:pPr>
          </w:p>
        </w:tc>
        <w:tc>
          <w:tcPr>
            <w:tcW w:w="80" w:type="dxa"/>
            <w:vAlign w:val="bottom"/>
            <w:tcBorders>
              <w:bottom w:val="single" w:sz="8" w:color="131413"/>
              <w:right w:val="single" w:sz="8" w:color="131413"/>
            </w:tcBorders>
          </w:tcPr>
          <w:p>
            <w:pPr>
              <w:spacing w:after="0"/>
              <w:rPr>
                <w:sz w:val="14"/>
                <w:szCs w:val="14"/>
                <w:color w:val="auto"/>
              </w:rPr>
            </w:pPr>
          </w:p>
        </w:tc>
        <w:tc>
          <w:tcPr>
            <w:tcW w:w="6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5"/>
          </w:tcPr>
          <w:p>
            <w:pPr>
              <w:spacing w:after="0"/>
              <w:rPr>
                <w:sz w:val="14"/>
                <w:szCs w:val="14"/>
                <w:color w:val="auto"/>
              </w:rPr>
            </w:pPr>
          </w:p>
        </w:tc>
        <w:tc>
          <w:tcPr>
            <w:tcW w:w="12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4"/>
          </w:tcPr>
          <w:p>
            <w:pPr>
              <w:spacing w:after="0"/>
              <w:rPr>
                <w:sz w:val="14"/>
                <w:szCs w:val="14"/>
                <w:color w:val="auto"/>
              </w:rPr>
            </w:pPr>
          </w:p>
        </w:tc>
        <w:tc>
          <w:tcPr>
            <w:tcW w:w="12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3"/>
          </w:tcPr>
          <w:p>
            <w:pPr>
              <w:spacing w:after="0"/>
              <w:rPr>
                <w:sz w:val="14"/>
                <w:szCs w:val="14"/>
                <w:color w:val="auto"/>
              </w:rPr>
            </w:pPr>
          </w:p>
        </w:tc>
        <w:tc>
          <w:tcPr>
            <w:tcW w:w="100" w:type="dxa"/>
            <w:vAlign w:val="bottom"/>
            <w:tcBorders>
              <w:bottom w:val="single" w:sz="8" w:color="131413"/>
              <w:right w:val="single" w:sz="8" w:color="131413"/>
            </w:tcBorders>
          </w:tcPr>
          <w:p>
            <w:pPr>
              <w:spacing w:after="0"/>
              <w:rPr>
                <w:sz w:val="14"/>
                <w:szCs w:val="14"/>
                <w:color w:val="auto"/>
              </w:rPr>
            </w:pPr>
          </w:p>
        </w:tc>
        <w:tc>
          <w:tcPr>
            <w:tcW w:w="220" w:type="dxa"/>
            <w:vAlign w:val="bottom"/>
            <w:tcBorders>
              <w:bottom w:val="single" w:sz="8" w:color="131413"/>
              <w:right w:val="single" w:sz="8" w:color="131413"/>
            </w:tcBorders>
            <w:gridSpan w:val="4"/>
          </w:tcPr>
          <w:p>
            <w:pPr>
              <w:spacing w:after="0"/>
              <w:rPr>
                <w:sz w:val="14"/>
                <w:szCs w:val="14"/>
                <w:color w:val="auto"/>
              </w:rPr>
            </w:pPr>
          </w:p>
        </w:tc>
        <w:tc>
          <w:tcPr>
            <w:tcW w:w="100" w:type="dxa"/>
            <w:vAlign w:val="bottom"/>
            <w:tcBorders>
              <w:bottom w:val="single" w:sz="8" w:color="131413"/>
              <w:right w:val="single" w:sz="8" w:color="131413"/>
            </w:tcBorders>
          </w:tcPr>
          <w:p>
            <w:pPr>
              <w:spacing w:after="0"/>
              <w:rPr>
                <w:sz w:val="14"/>
                <w:szCs w:val="14"/>
                <w:color w:val="auto"/>
              </w:rPr>
            </w:pPr>
          </w:p>
        </w:tc>
        <w:tc>
          <w:tcPr>
            <w:tcW w:w="220" w:type="dxa"/>
            <w:vAlign w:val="bottom"/>
            <w:tcBorders>
              <w:bottom w:val="single" w:sz="8" w:color="131413"/>
              <w:right w:val="single" w:sz="8" w:color="131413"/>
            </w:tcBorders>
            <w:gridSpan w:val="5"/>
          </w:tcPr>
          <w:p>
            <w:pPr>
              <w:spacing w:after="0"/>
              <w:rPr>
                <w:sz w:val="14"/>
                <w:szCs w:val="14"/>
                <w:color w:val="auto"/>
              </w:rPr>
            </w:pPr>
          </w:p>
        </w:tc>
        <w:tc>
          <w:tcPr>
            <w:tcW w:w="10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3"/>
          </w:tcPr>
          <w:p>
            <w:pPr>
              <w:spacing w:after="0"/>
              <w:rPr>
                <w:sz w:val="14"/>
                <w:szCs w:val="14"/>
                <w:color w:val="auto"/>
              </w:rPr>
            </w:pPr>
          </w:p>
        </w:tc>
        <w:tc>
          <w:tcPr>
            <w:tcW w:w="12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5"/>
          </w:tcPr>
          <w:p>
            <w:pPr>
              <w:spacing w:after="0"/>
              <w:rPr>
                <w:sz w:val="14"/>
                <w:szCs w:val="14"/>
                <w:color w:val="auto"/>
              </w:rPr>
            </w:pPr>
          </w:p>
        </w:tc>
        <w:tc>
          <w:tcPr>
            <w:tcW w:w="12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4"/>
          </w:tcPr>
          <w:p>
            <w:pPr>
              <w:spacing w:after="0"/>
              <w:rPr>
                <w:sz w:val="14"/>
                <w:szCs w:val="14"/>
                <w:color w:val="auto"/>
              </w:rPr>
            </w:pPr>
          </w:p>
        </w:tc>
        <w:tc>
          <w:tcPr>
            <w:tcW w:w="12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3"/>
          </w:tcPr>
          <w:p>
            <w:pPr>
              <w:spacing w:after="0"/>
              <w:rPr>
                <w:sz w:val="14"/>
                <w:szCs w:val="14"/>
                <w:color w:val="auto"/>
              </w:rPr>
            </w:pPr>
          </w:p>
        </w:tc>
        <w:tc>
          <w:tcPr>
            <w:tcW w:w="120" w:type="dxa"/>
            <w:vAlign w:val="bottom"/>
            <w:tcBorders>
              <w:bottom w:val="single" w:sz="8" w:color="131413"/>
              <w:right w:val="single" w:sz="8" w:color="131413"/>
            </w:tcBorders>
          </w:tcPr>
          <w:p>
            <w:pPr>
              <w:spacing w:after="0"/>
              <w:rPr>
                <w:sz w:val="14"/>
                <w:szCs w:val="14"/>
                <w:color w:val="auto"/>
              </w:rPr>
            </w:pPr>
          </w:p>
        </w:tc>
        <w:tc>
          <w:tcPr>
            <w:tcW w:w="200" w:type="dxa"/>
            <w:vAlign w:val="bottom"/>
            <w:tcBorders>
              <w:bottom w:val="single" w:sz="8" w:color="131413"/>
              <w:right w:val="single" w:sz="8" w:color="131413"/>
            </w:tcBorders>
            <w:gridSpan w:val="4"/>
          </w:tcPr>
          <w:p>
            <w:pPr>
              <w:spacing w:after="0"/>
              <w:rPr>
                <w:sz w:val="14"/>
                <w:szCs w:val="14"/>
                <w:color w:val="auto"/>
              </w:rPr>
            </w:pPr>
          </w:p>
        </w:tc>
        <w:tc>
          <w:tcPr>
            <w:tcW w:w="100" w:type="dxa"/>
            <w:vAlign w:val="bottom"/>
            <w:tcBorders>
              <w:bottom w:val="single" w:sz="8" w:color="131413"/>
              <w:right w:val="single" w:sz="8" w:color="131413"/>
            </w:tcBorders>
          </w:tcPr>
          <w:p>
            <w:pPr>
              <w:spacing w:after="0"/>
              <w:rPr>
                <w:sz w:val="14"/>
                <w:szCs w:val="14"/>
                <w:color w:val="auto"/>
              </w:rPr>
            </w:pPr>
          </w:p>
        </w:tc>
        <w:tc>
          <w:tcPr>
            <w:tcW w:w="220" w:type="dxa"/>
            <w:vAlign w:val="bottom"/>
            <w:tcBorders>
              <w:bottom w:val="single" w:sz="8" w:color="131413"/>
              <w:right w:val="single" w:sz="8" w:color="131413"/>
            </w:tcBorders>
            <w:gridSpan w:val="5"/>
          </w:tcPr>
          <w:p>
            <w:pPr>
              <w:spacing w:after="0"/>
              <w:rPr>
                <w:sz w:val="14"/>
                <w:szCs w:val="14"/>
                <w:color w:val="auto"/>
              </w:rPr>
            </w:pPr>
          </w:p>
        </w:tc>
        <w:tc>
          <w:tcPr>
            <w:tcW w:w="20" w:type="dxa"/>
            <w:vAlign w:val="bottom"/>
            <w:tcBorders>
              <w:bottom w:val="single" w:sz="8" w:color="131413"/>
            </w:tcBorders>
          </w:tcPr>
          <w:p>
            <w:pPr>
              <w:spacing w:after="0"/>
              <w:rPr>
                <w:sz w:val="14"/>
                <w:szCs w:val="14"/>
                <w:color w:val="auto"/>
              </w:rPr>
            </w:pPr>
          </w:p>
        </w:tc>
        <w:tc>
          <w:tcPr>
            <w:tcW w:w="0" w:type="dxa"/>
            <w:vAlign w:val="bottom"/>
          </w:tcPr>
          <w:p>
            <w:pPr>
              <w:spacing w:after="0"/>
              <w:rPr>
                <w:sz w:val="1"/>
                <w:szCs w:val="1"/>
                <w:color w:val="auto"/>
              </w:rPr>
            </w:pPr>
          </w:p>
        </w:tc>
      </w:tr>
      <w:tr>
        <w:trPr>
          <w:trHeight w:val="255"/>
        </w:trPr>
        <w:tc>
          <w:tcPr>
            <w:tcW w:w="600" w:type="dxa"/>
            <w:vAlign w:val="bottom"/>
            <w:gridSpan w:val="8"/>
            <w:vMerge w:val="restart"/>
          </w:tcPr>
          <w:p>
            <w:pPr>
              <w:ind w:left="20"/>
              <w:spacing w:after="0"/>
              <w:rPr>
                <w:sz w:val="20"/>
                <w:szCs w:val="20"/>
                <w:color w:val="auto"/>
              </w:rPr>
            </w:pPr>
            <w:r>
              <w:rPr>
                <w:rFonts w:ascii="Arial" w:cs="Arial" w:eastAsia="Arial" w:hAnsi="Arial"/>
                <w:sz w:val="12"/>
                <w:szCs w:val="12"/>
                <w:b w:val="1"/>
                <w:bCs w:val="1"/>
                <w:color w:val="131413"/>
                <w:w w:val="91"/>
              </w:rPr>
              <w:t>Negative</w:t>
            </w:r>
          </w:p>
        </w:tc>
        <w:tc>
          <w:tcPr>
            <w:tcW w:w="320" w:type="dxa"/>
            <w:vAlign w:val="bottom"/>
            <w:gridSpan w:val="5"/>
            <w:vMerge w:val="restart"/>
          </w:tcPr>
          <w:p>
            <w:pPr>
              <w:spacing w:after="0"/>
              <w:rPr>
                <w:sz w:val="20"/>
                <w:szCs w:val="20"/>
                <w:color w:val="auto"/>
              </w:rPr>
            </w:pPr>
            <w:r>
              <w:rPr>
                <w:rFonts w:ascii="Arial" w:cs="Arial" w:eastAsia="Arial" w:hAnsi="Arial"/>
                <w:sz w:val="12"/>
                <w:szCs w:val="12"/>
                <w:b w:val="1"/>
                <w:bCs w:val="1"/>
                <w:color w:val="131413"/>
                <w:w w:val="85"/>
              </w:rPr>
              <w:t>LPS</w:t>
            </w:r>
          </w:p>
        </w:tc>
        <w:tc>
          <w:tcPr>
            <w:tcW w:w="320" w:type="dxa"/>
            <w:vAlign w:val="bottom"/>
            <w:gridSpan w:val="4"/>
            <w:vMerge w:val="restart"/>
          </w:tcPr>
          <w:p>
            <w:pPr>
              <w:ind w:left="40"/>
              <w:spacing w:after="0"/>
              <w:rPr>
                <w:sz w:val="20"/>
                <w:szCs w:val="20"/>
                <w:color w:val="auto"/>
              </w:rPr>
            </w:pPr>
            <w:r>
              <w:rPr>
                <w:rFonts w:ascii="Arial" w:cs="Arial" w:eastAsia="Arial" w:hAnsi="Arial"/>
                <w:sz w:val="12"/>
                <w:szCs w:val="12"/>
                <w:b w:val="1"/>
                <w:bCs w:val="1"/>
                <w:color w:val="131413"/>
                <w:w w:val="95"/>
              </w:rPr>
              <w:t>SA</w:t>
            </w:r>
          </w:p>
        </w:tc>
        <w:tc>
          <w:tcPr>
            <w:tcW w:w="100" w:type="dxa"/>
            <w:vAlign w:val="bottom"/>
          </w:tcPr>
          <w:p>
            <w:pPr>
              <w:spacing w:after="0"/>
              <w:rPr>
                <w:sz w:val="22"/>
                <w:szCs w:val="22"/>
                <w:color w:val="auto"/>
              </w:rPr>
            </w:pPr>
          </w:p>
        </w:tc>
        <w:tc>
          <w:tcPr>
            <w:tcW w:w="220" w:type="dxa"/>
            <w:vAlign w:val="bottom"/>
            <w:gridSpan w:val="4"/>
          </w:tcPr>
          <w:p>
            <w:pPr>
              <w:jc w:val="right"/>
              <w:ind w:right="120"/>
              <w:spacing w:after="0"/>
              <w:rPr>
                <w:sz w:val="20"/>
                <w:szCs w:val="20"/>
                <w:color w:val="auto"/>
              </w:rPr>
            </w:pPr>
            <w:r>
              <w:rPr>
                <w:rFonts w:ascii="Arial" w:cs="Arial" w:eastAsia="Arial" w:hAnsi="Arial"/>
                <w:sz w:val="12"/>
                <w:szCs w:val="12"/>
                <w:b w:val="1"/>
                <w:bCs w:val="1"/>
                <w:color w:val="131413"/>
              </w:rPr>
              <w:t>L</w:t>
            </w:r>
          </w:p>
        </w:tc>
        <w:tc>
          <w:tcPr>
            <w:tcW w:w="100" w:type="dxa"/>
            <w:vAlign w:val="bottom"/>
          </w:tcPr>
          <w:p>
            <w:pPr>
              <w:spacing w:after="0"/>
              <w:rPr>
                <w:sz w:val="22"/>
                <w:szCs w:val="22"/>
                <w:color w:val="auto"/>
              </w:rPr>
            </w:pPr>
          </w:p>
        </w:tc>
        <w:tc>
          <w:tcPr>
            <w:tcW w:w="220" w:type="dxa"/>
            <w:vAlign w:val="bottom"/>
            <w:gridSpan w:val="5"/>
          </w:tcPr>
          <w:p>
            <w:pPr>
              <w:ind w:left="20"/>
              <w:spacing w:after="0"/>
              <w:rPr>
                <w:sz w:val="20"/>
                <w:szCs w:val="20"/>
                <w:color w:val="auto"/>
              </w:rPr>
            </w:pPr>
            <w:r>
              <w:rPr>
                <w:rFonts w:ascii="Arial" w:cs="Arial" w:eastAsia="Arial" w:hAnsi="Arial"/>
                <w:sz w:val="12"/>
                <w:szCs w:val="12"/>
                <w:b w:val="1"/>
                <w:bCs w:val="1"/>
                <w:color w:val="131413"/>
                <w:w w:val="91"/>
              </w:rPr>
              <w:t>A</w:t>
            </w:r>
          </w:p>
        </w:tc>
        <w:tc>
          <w:tcPr>
            <w:tcW w:w="300" w:type="dxa"/>
            <w:vAlign w:val="bottom"/>
            <w:gridSpan w:val="4"/>
            <w:vMerge w:val="restart"/>
          </w:tcPr>
          <w:p>
            <w:pPr>
              <w:ind w:left="40"/>
              <w:spacing w:after="0"/>
              <w:rPr>
                <w:sz w:val="20"/>
                <w:szCs w:val="20"/>
                <w:color w:val="auto"/>
              </w:rPr>
            </w:pPr>
            <w:r>
              <w:rPr>
                <w:rFonts w:ascii="Arial" w:cs="Arial" w:eastAsia="Arial" w:hAnsi="Arial"/>
                <w:sz w:val="12"/>
                <w:szCs w:val="12"/>
                <w:b w:val="1"/>
                <w:bCs w:val="1"/>
                <w:color w:val="131413"/>
                <w:w w:val="95"/>
              </w:rPr>
              <w:t>KP</w:t>
            </w:r>
          </w:p>
        </w:tc>
        <w:tc>
          <w:tcPr>
            <w:tcW w:w="640" w:type="dxa"/>
            <w:vAlign w:val="bottom"/>
            <w:gridSpan w:val="11"/>
            <w:vMerge w:val="restart"/>
          </w:tcPr>
          <w:p>
            <w:pPr>
              <w:jc w:val="right"/>
              <w:ind w:right="120"/>
              <w:spacing w:after="0"/>
              <w:rPr>
                <w:sz w:val="20"/>
                <w:szCs w:val="20"/>
                <w:color w:val="auto"/>
              </w:rPr>
            </w:pPr>
            <w:r>
              <w:rPr>
                <w:rFonts w:ascii="Arial" w:cs="Arial" w:eastAsia="Arial" w:hAnsi="Arial"/>
                <w:sz w:val="12"/>
                <w:szCs w:val="12"/>
                <w:b w:val="1"/>
                <w:bCs w:val="1"/>
                <w:color w:val="131413"/>
              </w:rPr>
              <w:t>CU PGA</w:t>
            </w:r>
          </w:p>
        </w:tc>
        <w:tc>
          <w:tcPr>
            <w:tcW w:w="320" w:type="dxa"/>
            <w:vAlign w:val="bottom"/>
            <w:gridSpan w:val="4"/>
            <w:vMerge w:val="restart"/>
          </w:tcPr>
          <w:p>
            <w:pPr>
              <w:ind w:left="40"/>
              <w:spacing w:after="0"/>
              <w:rPr>
                <w:sz w:val="20"/>
                <w:szCs w:val="20"/>
                <w:color w:val="auto"/>
              </w:rPr>
            </w:pPr>
            <w:r>
              <w:rPr>
                <w:rFonts w:ascii="Arial" w:cs="Arial" w:eastAsia="Arial" w:hAnsi="Arial"/>
                <w:sz w:val="12"/>
                <w:szCs w:val="12"/>
                <w:b w:val="1"/>
                <w:bCs w:val="1"/>
                <w:color w:val="131413"/>
                <w:w w:val="88"/>
              </w:rPr>
              <w:t>GU</w:t>
            </w:r>
          </w:p>
        </w:tc>
        <w:tc>
          <w:tcPr>
            <w:tcW w:w="120" w:type="dxa"/>
            <w:vAlign w:val="bottom"/>
          </w:tcPr>
          <w:p>
            <w:pPr>
              <w:spacing w:after="0"/>
              <w:rPr>
                <w:sz w:val="22"/>
                <w:szCs w:val="22"/>
                <w:color w:val="auto"/>
              </w:rPr>
            </w:pPr>
          </w:p>
        </w:tc>
        <w:tc>
          <w:tcPr>
            <w:tcW w:w="120" w:type="dxa"/>
            <w:vAlign w:val="bottom"/>
            <w:gridSpan w:val="3"/>
          </w:tcPr>
          <w:p>
            <w:pPr>
              <w:spacing w:after="0"/>
              <w:rPr>
                <w:sz w:val="20"/>
                <w:szCs w:val="20"/>
                <w:color w:val="auto"/>
              </w:rPr>
            </w:pPr>
            <w:r>
              <w:rPr>
                <w:rFonts w:ascii="Arial" w:cs="Arial" w:eastAsia="Arial" w:hAnsi="Arial"/>
                <w:sz w:val="12"/>
                <w:szCs w:val="12"/>
                <w:b w:val="1"/>
                <w:bCs w:val="1"/>
                <w:color w:val="131413"/>
                <w:w w:val="85"/>
              </w:rPr>
              <w:t>G</w:t>
            </w: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gridSpan w:val="5"/>
          </w:tcPr>
          <w:p>
            <w:pPr>
              <w:ind w:left="20"/>
              <w:spacing w:after="0"/>
              <w:rPr>
                <w:sz w:val="20"/>
                <w:szCs w:val="20"/>
                <w:color w:val="auto"/>
              </w:rPr>
            </w:pPr>
            <w:r>
              <w:rPr>
                <w:rFonts w:ascii="Arial" w:cs="Arial" w:eastAsia="Arial" w:hAnsi="Arial"/>
                <w:sz w:val="12"/>
                <w:szCs w:val="12"/>
                <w:b w:val="1"/>
                <w:bCs w:val="1"/>
                <w:color w:val="131413"/>
              </w:rPr>
              <w:t>J</w:t>
            </w: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4"/>
        </w:trPr>
        <w:tc>
          <w:tcPr>
            <w:tcW w:w="600" w:type="dxa"/>
            <w:vAlign w:val="bottom"/>
            <w:gridSpan w:val="8"/>
            <w:vMerge w:val="continue"/>
          </w:tcPr>
          <w:p>
            <w:pPr>
              <w:spacing w:after="0"/>
              <w:rPr>
                <w:sz w:val="9"/>
                <w:szCs w:val="9"/>
                <w:color w:val="auto"/>
              </w:rPr>
            </w:pPr>
          </w:p>
        </w:tc>
        <w:tc>
          <w:tcPr>
            <w:tcW w:w="320" w:type="dxa"/>
            <w:vAlign w:val="bottom"/>
            <w:gridSpan w:val="5"/>
            <w:vMerge w:val="continue"/>
          </w:tcPr>
          <w:p>
            <w:pPr>
              <w:spacing w:after="0"/>
              <w:rPr>
                <w:sz w:val="9"/>
                <w:szCs w:val="9"/>
                <w:color w:val="auto"/>
              </w:rPr>
            </w:pPr>
          </w:p>
        </w:tc>
        <w:tc>
          <w:tcPr>
            <w:tcW w:w="320" w:type="dxa"/>
            <w:vAlign w:val="bottom"/>
            <w:gridSpan w:val="4"/>
            <w:vMerge w:val="continue"/>
          </w:tcPr>
          <w:p>
            <w:pPr>
              <w:spacing w:after="0"/>
              <w:rPr>
                <w:sz w:val="9"/>
                <w:szCs w:val="9"/>
                <w:color w:val="auto"/>
              </w:rPr>
            </w:pPr>
          </w:p>
        </w:tc>
        <w:tc>
          <w:tcPr>
            <w:tcW w:w="320" w:type="dxa"/>
            <w:vAlign w:val="bottom"/>
            <w:gridSpan w:val="5"/>
            <w:vMerge w:val="restart"/>
          </w:tcPr>
          <w:p>
            <w:pPr>
              <w:jc w:val="right"/>
              <w:ind w:right="180"/>
              <w:spacing w:after="0"/>
              <w:rPr>
                <w:sz w:val="20"/>
                <w:szCs w:val="20"/>
                <w:color w:val="auto"/>
              </w:rPr>
            </w:pPr>
            <w:r>
              <w:rPr>
                <w:rFonts w:ascii="Arial" w:cs="Arial" w:eastAsia="Arial" w:hAnsi="Arial"/>
                <w:sz w:val="12"/>
                <w:szCs w:val="12"/>
                <w:b w:val="1"/>
                <w:bCs w:val="1"/>
                <w:color w:val="131413"/>
                <w:w w:val="99"/>
              </w:rPr>
              <w:t>P</w:t>
            </w:r>
          </w:p>
        </w:tc>
        <w:tc>
          <w:tcPr>
            <w:tcW w:w="320" w:type="dxa"/>
            <w:vAlign w:val="bottom"/>
            <w:gridSpan w:val="6"/>
          </w:tcPr>
          <w:p>
            <w:pPr>
              <w:ind w:left="40"/>
              <w:spacing w:after="0" w:line="197" w:lineRule="auto"/>
              <w:rPr>
                <w:sz w:val="20"/>
                <w:szCs w:val="20"/>
                <w:color w:val="auto"/>
              </w:rPr>
            </w:pPr>
            <w:r>
              <w:rPr>
                <w:rFonts w:ascii="Arial" w:cs="Arial" w:eastAsia="Arial" w:hAnsi="Arial"/>
                <w:sz w:val="12"/>
                <w:szCs w:val="12"/>
                <w:b w:val="1"/>
                <w:bCs w:val="1"/>
                <w:color w:val="131413"/>
                <w:w w:val="99"/>
              </w:rPr>
              <w:t>P</w:t>
            </w:r>
          </w:p>
        </w:tc>
        <w:tc>
          <w:tcPr>
            <w:tcW w:w="300" w:type="dxa"/>
            <w:vAlign w:val="bottom"/>
            <w:gridSpan w:val="4"/>
            <w:vMerge w:val="continue"/>
          </w:tcPr>
          <w:p>
            <w:pPr>
              <w:spacing w:after="0"/>
              <w:rPr>
                <w:sz w:val="9"/>
                <w:szCs w:val="9"/>
                <w:color w:val="auto"/>
              </w:rPr>
            </w:pPr>
          </w:p>
        </w:tc>
        <w:tc>
          <w:tcPr>
            <w:tcW w:w="640" w:type="dxa"/>
            <w:vAlign w:val="bottom"/>
            <w:gridSpan w:val="11"/>
            <w:vMerge w:val="continue"/>
          </w:tcPr>
          <w:p>
            <w:pPr>
              <w:spacing w:after="0"/>
              <w:rPr>
                <w:sz w:val="9"/>
                <w:szCs w:val="9"/>
                <w:color w:val="auto"/>
              </w:rPr>
            </w:pPr>
          </w:p>
        </w:tc>
        <w:tc>
          <w:tcPr>
            <w:tcW w:w="320" w:type="dxa"/>
            <w:vAlign w:val="bottom"/>
            <w:gridSpan w:val="4"/>
            <w:vMerge w:val="continue"/>
          </w:tcPr>
          <w:p>
            <w:pPr>
              <w:spacing w:after="0"/>
              <w:rPr>
                <w:sz w:val="9"/>
                <w:szCs w:val="9"/>
                <w:color w:val="auto"/>
              </w:rPr>
            </w:pPr>
          </w:p>
        </w:tc>
        <w:tc>
          <w:tcPr>
            <w:tcW w:w="240" w:type="dxa"/>
            <w:vAlign w:val="bottom"/>
            <w:gridSpan w:val="4"/>
          </w:tcPr>
          <w:p>
            <w:pPr>
              <w:ind w:left="40"/>
              <w:spacing w:after="0" w:line="197" w:lineRule="auto"/>
              <w:rPr>
                <w:sz w:val="20"/>
                <w:szCs w:val="20"/>
                <w:color w:val="auto"/>
              </w:rPr>
            </w:pPr>
            <w:r>
              <w:rPr>
                <w:rFonts w:ascii="Arial" w:cs="Arial" w:eastAsia="Arial" w:hAnsi="Arial"/>
                <w:sz w:val="12"/>
                <w:szCs w:val="12"/>
                <w:b w:val="1"/>
                <w:bCs w:val="1"/>
                <w:color w:val="131413"/>
                <w:w w:val="99"/>
              </w:rPr>
              <w:t>P</w:t>
            </w:r>
          </w:p>
        </w:tc>
        <w:tc>
          <w:tcPr>
            <w:tcW w:w="80" w:type="dxa"/>
            <w:vAlign w:val="bottom"/>
          </w:tcPr>
          <w:p>
            <w:pPr>
              <w:spacing w:after="0"/>
              <w:rPr>
                <w:sz w:val="9"/>
                <w:szCs w:val="9"/>
                <w:color w:val="auto"/>
              </w:rPr>
            </w:pPr>
          </w:p>
        </w:tc>
        <w:tc>
          <w:tcPr>
            <w:tcW w:w="320" w:type="dxa"/>
            <w:vAlign w:val="bottom"/>
            <w:gridSpan w:val="6"/>
            <w:vMerge w:val="restart"/>
          </w:tcPr>
          <w:p>
            <w:pPr>
              <w:jc w:val="right"/>
              <w:ind w:right="180"/>
              <w:spacing w:after="0"/>
              <w:rPr>
                <w:sz w:val="20"/>
                <w:szCs w:val="20"/>
                <w:color w:val="auto"/>
              </w:rPr>
            </w:pPr>
            <w:r>
              <w:rPr>
                <w:rFonts w:ascii="Arial" w:cs="Arial" w:eastAsia="Arial" w:hAnsi="Arial"/>
                <w:sz w:val="12"/>
                <w:szCs w:val="12"/>
                <w:b w:val="1"/>
                <w:bCs w:val="1"/>
                <w:color w:val="131413"/>
              </w:rPr>
              <w:t>Z</w:t>
            </w: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4"/>
        </w:trPr>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gridSpan w:val="5"/>
            <w:vMerge w:val="continue"/>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gridSpan w:val="6"/>
            <w:vMerge w:val="continue"/>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274955</wp:posOffset>
                </wp:positionH>
                <wp:positionV relativeFrom="paragraph">
                  <wp:posOffset>-405130</wp:posOffset>
                </wp:positionV>
                <wp:extent cx="666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5pt,-31.8999pt" to="26.9pt,-31.8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297180</wp:posOffset>
                </wp:positionH>
                <wp:positionV relativeFrom="paragraph">
                  <wp:posOffset>-396875</wp:posOffset>
                </wp:positionV>
                <wp:extent cx="2222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225" cy="4763"/>
                        </a:xfrm>
                        <a:prstGeom prst="line">
                          <a:avLst/>
                        </a:prstGeom>
                        <a:solidFill>
                          <a:srgbClr val="FFFFFF"/>
                        </a:solidFill>
                        <a:ln w="16179">
                          <a:solidFill>
                            <a:srgbClr val="13141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31.2499pt" to="25.15pt,-31.2499pt" o:allowincell="f" strokecolor="#131413" strokeweight="1.2739pt"/>
            </w:pict>
          </mc:Fallback>
        </mc:AlternateContent>
        <mc:AlternateContent>
          <mc:Choice Requires="wps">
            <w:drawing>
              <wp:anchor simplePos="0" relativeHeight="251657728" behindDoc="1" locked="0" layoutInCell="0" allowOverlap="1">
                <wp:simplePos x="0" y="0"/>
                <wp:positionH relativeFrom="column">
                  <wp:posOffset>633095</wp:posOffset>
                </wp:positionH>
                <wp:positionV relativeFrom="paragraph">
                  <wp:posOffset>-389255</wp:posOffset>
                </wp:positionV>
                <wp:extent cx="1536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70"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5pt,-30.6499pt" to="61.95pt,-30.6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699135</wp:posOffset>
                </wp:positionH>
                <wp:positionV relativeFrom="paragraph">
                  <wp:posOffset>-393700</wp:posOffset>
                </wp:positionV>
                <wp:extent cx="2222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225" cy="4763"/>
                        </a:xfrm>
                        <a:prstGeom prst="line">
                          <a:avLst/>
                        </a:prstGeom>
                        <a:solidFill>
                          <a:srgbClr val="FFFFFF"/>
                        </a:solidFill>
                        <a:ln w="9956">
                          <a:solidFill>
                            <a:srgbClr val="13141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05pt,-31pt" to="56.8pt,-31pt" o:allowincell="f" strokecolor="#131413" strokeweight="0.7839pt"/>
            </w:pict>
          </mc:Fallback>
        </mc:AlternateContent>
        <mc:AlternateContent>
          <mc:Choice Requires="wps">
            <w:drawing>
              <wp:anchor simplePos="0" relativeHeight="251657728" behindDoc="1" locked="0" layoutInCell="0" allowOverlap="1">
                <wp:simplePos x="0" y="0"/>
                <wp:positionH relativeFrom="column">
                  <wp:posOffset>878840</wp:posOffset>
                </wp:positionH>
                <wp:positionV relativeFrom="paragraph">
                  <wp:posOffset>-930275</wp:posOffset>
                </wp:positionV>
                <wp:extent cx="6604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2pt,-73.2499pt" to="74.4pt,-73.2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911860</wp:posOffset>
                </wp:positionH>
                <wp:positionV relativeFrom="paragraph">
                  <wp:posOffset>-941705</wp:posOffset>
                </wp:positionV>
                <wp:extent cx="0" cy="9080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805"/>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8pt,-74.1499pt" to="71.8pt,-67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1079500</wp:posOffset>
                </wp:positionH>
                <wp:positionV relativeFrom="paragraph">
                  <wp:posOffset>-706120</wp:posOffset>
                </wp:positionV>
                <wp:extent cx="6667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55.5999pt" to="90.25pt,-55.5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1112520</wp:posOffset>
                </wp:positionH>
                <wp:positionV relativeFrom="paragraph">
                  <wp:posOffset>-717550</wp:posOffset>
                </wp:positionV>
                <wp:extent cx="0" cy="4699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990"/>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6pt,-56.4999pt" to="87.6pt,-52.7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1280795</wp:posOffset>
                </wp:positionH>
                <wp:positionV relativeFrom="paragraph">
                  <wp:posOffset>-936625</wp:posOffset>
                </wp:positionV>
                <wp:extent cx="6604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85pt,-73.7499pt" to="106.05pt,-73.7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1313815</wp:posOffset>
                </wp:positionH>
                <wp:positionV relativeFrom="paragraph">
                  <wp:posOffset>-948055</wp:posOffset>
                </wp:positionV>
                <wp:extent cx="0" cy="5016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45pt,-74.6499pt" to="103.45pt,-70.6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1482090</wp:posOffset>
                </wp:positionH>
                <wp:positionV relativeFrom="paragraph">
                  <wp:posOffset>-1032510</wp:posOffset>
                </wp:positionV>
                <wp:extent cx="6604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7pt,-81.2999pt" to="121.9pt,-81.2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1515110</wp:posOffset>
                </wp:positionH>
                <wp:positionV relativeFrom="paragraph">
                  <wp:posOffset>-1043940</wp:posOffset>
                </wp:positionV>
                <wp:extent cx="0" cy="4635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355"/>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3pt,-82.1999pt" to="119.3pt,-78.5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1683385</wp:posOffset>
                </wp:positionH>
                <wp:positionV relativeFrom="paragraph">
                  <wp:posOffset>-1167130</wp:posOffset>
                </wp:positionV>
                <wp:extent cx="6604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5pt,-91.8999pt" to="137.75pt,-91.8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1716405</wp:posOffset>
                </wp:positionH>
                <wp:positionV relativeFrom="paragraph">
                  <wp:posOffset>-1177925</wp:posOffset>
                </wp:positionV>
                <wp:extent cx="0" cy="5334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340"/>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15pt,-92.7499pt" to="135.15pt,-88.5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1906270</wp:posOffset>
                </wp:positionH>
                <wp:positionV relativeFrom="paragraph">
                  <wp:posOffset>-710565</wp:posOffset>
                </wp:positionV>
                <wp:extent cx="2222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225" cy="4763"/>
                        </a:xfrm>
                        <a:prstGeom prst="line">
                          <a:avLst/>
                        </a:prstGeom>
                        <a:solidFill>
                          <a:srgbClr val="FFFFFF"/>
                        </a:solidFill>
                        <a:ln w="21158">
                          <a:solidFill>
                            <a:srgbClr val="131413"/>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1pt,-55.9499pt" to="151.85pt,-55.9499pt" o:allowincell="f" strokecolor="#131413" strokeweight="1.666pt"/>
            </w:pict>
          </mc:Fallback>
        </mc:AlternateContent>
        <mc:AlternateContent>
          <mc:Choice Requires="wps">
            <w:drawing>
              <wp:anchor simplePos="0" relativeHeight="251657728" behindDoc="1" locked="0" layoutInCell="0" allowOverlap="1">
                <wp:simplePos x="0" y="0"/>
                <wp:positionH relativeFrom="column">
                  <wp:posOffset>2085340</wp:posOffset>
                </wp:positionH>
                <wp:positionV relativeFrom="paragraph">
                  <wp:posOffset>-920750</wp:posOffset>
                </wp:positionV>
                <wp:extent cx="6667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75"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2pt,-72.4999pt" to="169.45pt,-72.49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2118360</wp:posOffset>
                </wp:positionH>
                <wp:positionV relativeFrom="paragraph">
                  <wp:posOffset>-931545</wp:posOffset>
                </wp:positionV>
                <wp:extent cx="0" cy="635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500"/>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8pt,-73.3499pt" to="166.8pt,-68.3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2286635</wp:posOffset>
                </wp:positionH>
                <wp:positionV relativeFrom="paragraph">
                  <wp:posOffset>-1136015</wp:posOffset>
                </wp:positionV>
                <wp:extent cx="6604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4763"/>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05pt,-89.4499pt" to="185.25pt,-89.4499pt" o:allowincell="f" strokecolor="#131413" strokeweight="1.7509pt"/>
            </w:pict>
          </mc:Fallback>
        </mc:AlternateContent>
        <mc:AlternateContent>
          <mc:Choice Requires="wps">
            <w:drawing>
              <wp:anchor simplePos="0" relativeHeight="251657728" behindDoc="1" locked="0" layoutInCell="0" allowOverlap="1">
                <wp:simplePos x="0" y="0"/>
                <wp:positionH relativeFrom="column">
                  <wp:posOffset>2319655</wp:posOffset>
                </wp:positionH>
                <wp:positionV relativeFrom="paragraph">
                  <wp:posOffset>-1146810</wp:posOffset>
                </wp:positionV>
                <wp:extent cx="0" cy="6540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405"/>
                        </a:xfrm>
                        <a:prstGeom prst="line">
                          <a:avLst/>
                        </a:prstGeom>
                        <a:solidFill>
                          <a:srgbClr val="FFFFFF"/>
                        </a:solidFill>
                        <a:ln w="22237">
                          <a:solidFill>
                            <a:srgbClr val="13141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65pt,-90.2999pt" to="182.65pt,-85.1499pt" o:allowincell="f" strokecolor="#131413" strokeweight="1.7509pt"/>
            </w:pict>
          </mc:Fallback>
        </mc:AlternateContent>
      </w:r>
    </w:p>
    <w:p>
      <w:pPr>
        <w:spacing w:after="0" w:line="451" w:lineRule="exact"/>
        <w:rPr>
          <w:sz w:val="20"/>
          <w:szCs w:val="20"/>
          <w:color w:val="auto"/>
        </w:rPr>
      </w:pPr>
    </w:p>
    <w:p>
      <w:pPr>
        <w:sectPr>
          <w:pgSz w:w="11900" w:h="15817" w:orient="portrait"/>
          <w:cols w:equalWidth="0" w:num="4">
            <w:col w:w="875" w:space="65"/>
            <w:col w:w="3860" w:space="299"/>
            <w:col w:w="184" w:space="57"/>
            <w:col w:w="4520"/>
          </w:cols>
          <w:pgMar w:left="1020" w:top="639" w:right="1026" w:bottom="318" w:gutter="0" w:footer="0" w:header="0"/>
          <w:type w:val="continuous"/>
        </w:sectPr>
      </w:pPr>
    </w:p>
    <w:p>
      <w:pPr>
        <w:spacing w:after="0" w:line="21"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17"/>
          <w:szCs w:val="17"/>
          <w:color w:val="auto"/>
        </w:rPr>
        <w:t xml:space="preserve">Fig. 1 The effect of stick-type medicinal concentrated beverages and medicinal plant extracts on LPS-induced NO production in RAW 264.7 cells; (A) stick-type medicinal concentrated beverages; (B) medicinal plant extracts. </w:t>
      </w:r>
      <w:r>
        <w:rPr>
          <w:rFonts w:ascii="Times New Roman" w:cs="Times New Roman" w:eastAsia="Times New Roman" w:hAnsi="Times New Roman"/>
          <w:sz w:val="22"/>
          <w:szCs w:val="22"/>
          <w:color w:val="auto"/>
          <w:vertAlign w:val="superscript"/>
        </w:rPr>
        <w:t>*</w:t>
      </w:r>
      <w:r>
        <w:rPr>
          <w:rFonts w:ascii="Times New Roman" w:cs="Times New Roman" w:eastAsia="Times New Roman" w:hAnsi="Times New Roman"/>
          <w:sz w:val="17"/>
          <w:szCs w:val="17"/>
          <w:color w:val="auto"/>
        </w:rPr>
        <w:t>Significant difference between LPS</w:t>
      </w:r>
    </w:p>
    <w:p>
      <w:pPr>
        <w:spacing w:after="0" w:line="20" w:lineRule="exact"/>
        <w:rPr>
          <w:sz w:val="20"/>
          <w:szCs w:val="20"/>
          <w:color w:val="auto"/>
        </w:rPr>
      </w:pPr>
      <w:r>
        <w:rPr>
          <w:sz w:val="20"/>
          <w:szCs w:val="20"/>
          <w:color w:val="auto"/>
        </w:rPr>
        <w:br w:type="column"/>
      </w:r>
    </w:p>
    <w:p>
      <w:pPr>
        <w:jc w:val="both"/>
        <w:spacing w:after="0" w:line="215" w:lineRule="auto"/>
        <w:rPr>
          <w:sz w:val="20"/>
          <w:szCs w:val="20"/>
          <w:color w:val="auto"/>
        </w:rPr>
      </w:pPr>
      <w:r>
        <w:rPr>
          <w:rFonts w:ascii="Times New Roman" w:cs="Times New Roman" w:eastAsia="Times New Roman" w:hAnsi="Times New Roman"/>
          <w:sz w:val="17"/>
          <w:szCs w:val="17"/>
          <w:color w:val="auto"/>
        </w:rPr>
        <w:t xml:space="preserve">and each medicinal plants (***p \ 0.001; **p \ 0.01; *p \ 0.05). </w:t>
      </w:r>
      <w:r>
        <w:rPr>
          <w:rFonts w:ascii="Times New Roman" w:cs="Times New Roman" w:eastAsia="Times New Roman" w:hAnsi="Times New Roman"/>
          <w:sz w:val="22"/>
          <w:szCs w:val="22"/>
          <w:color w:val="auto"/>
          <w:vertAlign w:val="superscript"/>
        </w:rPr>
        <w:t>a–e</w:t>
      </w:r>
      <w:r>
        <w:rPr>
          <w:rFonts w:ascii="Times New Roman" w:cs="Times New Roman" w:eastAsia="Times New Roman" w:hAnsi="Times New Roman"/>
          <w:sz w:val="17"/>
          <w:szCs w:val="17"/>
          <w:color w:val="auto"/>
        </w:rPr>
        <w:t>Means with different letters on the bars are significant different among the medicinal plants or among the medicinal concentrated extract (p \ 0.05)</w:t>
      </w:r>
    </w:p>
    <w:p>
      <w:pPr>
        <w:spacing w:after="0" w:line="207"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53"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8" w:name="page9"/>
    <w:bookmarkEnd w:id="8"/>
    <w:p>
      <w:pPr>
        <w:spacing w:after="0"/>
        <w:rPr>
          <w:sz w:val="20"/>
          <w:szCs w:val="20"/>
          <w:color w:val="auto"/>
        </w:rPr>
      </w:pPr>
      <w:r>
        <w:rPr>
          <w:rFonts w:ascii="Times New Roman" w:cs="Times New Roman" w:eastAsia="Times New Roman" w:hAnsi="Times New Roman"/>
          <w:sz w:val="17"/>
          <w:szCs w:val="17"/>
          <w:color w:val="auto"/>
        </w:rPr>
        <w:t>Functional effect of medicinal plants and beverage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46" w:lineRule="exact"/>
        <w:rPr>
          <w:sz w:val="20"/>
          <w:szCs w:val="20"/>
          <w:color w:val="auto"/>
        </w:rPr>
      </w:pPr>
    </w:p>
    <w:p>
      <w:pPr>
        <w:jc w:val="both"/>
        <w:spacing w:after="0" w:line="22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antioxidant activity, the higher the inhibitory effect on NO production (Table </w:t>
      </w:r>
      <w:hyperlink w:anchor="page8">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auto"/>
        </w:rPr>
        <w:t>).</w:t>
      </w:r>
    </w:p>
    <w:p>
      <w:pPr>
        <w:spacing w:after="0" w:line="63" w:lineRule="exact"/>
        <w:rPr>
          <w:sz w:val="20"/>
          <w:szCs w:val="20"/>
          <w:color w:val="auto"/>
        </w:rPr>
      </w:pPr>
    </w:p>
    <w:p>
      <w:pPr>
        <w:jc w:val="both"/>
        <w:ind w:firstLine="227"/>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anti-inflammatory activity of SA has been reported by the phenolic compounds, eugenol and its derivatives, that exert an inhibitory effect on the activity of the pro-inflammatory enzymes cyclooxygenase-2 (COX-2) and lipoxygenase (LOX) (Leem et al., </w:t>
      </w:r>
      <w:hyperlink w:anchor="page11">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auto"/>
        </w:rPr>
        <w:t xml:space="preserve">). Plantamajoside in PA is a well-known polyphenolic compound that exhibits anti-inflammatory activity (Ravn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xml:space="preserve">), and ethanolic extracts of PA exhibited inhibitory effect of NO production by suppressing the mRNA expression of pro-inflammatory mediators (IL-1b, IL-6, iNOS, COX-2 and NF-jB) in macrophages (Ay et al., </w:t>
      </w:r>
      <w:hyperlink w:anchor="page11">
        <w:r>
          <w:rPr>
            <w:rFonts w:ascii="Times New Roman" w:cs="Times New Roman" w:eastAsia="Times New Roman" w:hAnsi="Times New Roman"/>
            <w:sz w:val="20"/>
            <w:szCs w:val="20"/>
            <w:color w:val="0000FF"/>
          </w:rPr>
          <w:t>2017</w:t>
        </w:r>
      </w:hyperlink>
      <w:r>
        <w:rPr>
          <w:rFonts w:ascii="Times New Roman" w:cs="Times New Roman" w:eastAsia="Times New Roman" w:hAnsi="Times New Roman"/>
          <w:sz w:val="20"/>
          <w:szCs w:val="20"/>
          <w:color w:val="auto"/>
        </w:rPr>
        <w:t xml:space="preserve">). For GU, the major component glycyrrihizin and the minor constituents, isoliquiritigenin, isoliquiritin and liquiritigene, were shown to suppress NO production in IL-1b-treated rat hepatocytes (Tanemoto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The PG-specific saponins are ginsenosides, among which the PPD-based saponins (gin-senoside-Rb</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20"/>
          <w:szCs w:val="20"/>
          <w:color w:val="auto"/>
        </w:rPr>
        <w:t>, Rb</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Rc, Rd, etc.) can inhibit NO production and suppress the expression of inflammatory cytokines (Lee et al., </w:t>
      </w:r>
      <w:hyperlink w:anchor="page11">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w:t>
      </w:r>
    </w:p>
    <w:p>
      <w:pPr>
        <w:spacing w:after="0" w:line="54" w:lineRule="exact"/>
        <w:rPr>
          <w:rFonts w:ascii="Times New Roman" w:cs="Times New Roman" w:eastAsia="Times New Roman" w:hAnsi="Times New Roman"/>
          <w:sz w:val="20"/>
          <w:szCs w:val="20"/>
          <w:color w:val="auto"/>
        </w:rPr>
      </w:pPr>
    </w:p>
    <w:p>
      <w:pPr>
        <w:jc w:val="both"/>
        <w:ind w:firstLine="227"/>
        <w:spacing w:after="0" w:line="238" w:lineRule="auto"/>
        <w:rPr>
          <w:sz w:val="20"/>
          <w:szCs w:val="20"/>
          <w:color w:val="auto"/>
        </w:rPr>
      </w:pPr>
      <w:r>
        <w:rPr>
          <w:rFonts w:ascii="Times New Roman" w:cs="Times New Roman" w:eastAsia="Times New Roman" w:hAnsi="Times New Roman"/>
          <w:sz w:val="19"/>
          <w:szCs w:val="19"/>
          <w:color w:val="auto"/>
        </w:rPr>
        <w:t>The inhibitory effect of medicinal concentrated bever-age on NO production showed the following order: SMCB-</w:t>
      </w:r>
    </w:p>
    <w:p>
      <w:pPr>
        <w:spacing w:after="0" w:line="30" w:lineRule="exact"/>
        <w:rPr>
          <w:rFonts w:ascii="Times New Roman" w:cs="Times New Roman" w:eastAsia="Times New Roman" w:hAnsi="Times New Roman"/>
          <w:sz w:val="20"/>
          <w:szCs w:val="20"/>
          <w:color w:val="auto"/>
        </w:rPr>
      </w:pPr>
    </w:p>
    <w:p>
      <w:pPr>
        <w:jc w:val="both"/>
        <w:spacing w:after="0" w:line="259" w:lineRule="auto"/>
        <w:tabs>
          <w:tab w:leader="none" w:pos="167"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CGB [ CPGB [ SMCB-I (Fig. </w:t>
      </w:r>
      <w:hyperlink w:anchor="page8">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xml:space="preserve">). The significantly higher inhibitory effect on NO production from SMCB-II than SMCB-I appears to be due to the considerably higher anti-inflammatory activity of SA used as a material in SMCB-II preparation. In addition, CGB (100% red gin-seng) showed a higher level of inhibition on NO production than SMCB-I (using platycodon, PA, PG, ZJ, and GU) and CPGB (90% platycodon 90% and 3.4% red ginseng), which could be due to the use of 100% red ginseng pro-duced from PG processing as the source material that effectively inhibits NO production. Ginseng is divided into white ginseng after a process of drying and red ginseng after a process of steaming and drying. The PG used in the preparation of SMCBs was white ginseng. Both white ginseng and red ginseng have anti-inflammatory effects, although red ginseng has been reported to more effectively inhibit NO and IFN-c production, compared to white gin-seng (Hyun et al., </w:t>
      </w:r>
      <w:hyperlink w:anchor="page11">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w:t>
      </w:r>
    </w:p>
    <w:p>
      <w:pPr>
        <w:spacing w:after="0" w:line="254"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Antibacterial activity</w:t>
      </w:r>
    </w:p>
    <w:p>
      <w:pPr>
        <w:spacing w:after="0" w:line="314" w:lineRule="exact"/>
        <w:rPr>
          <w:rFonts w:ascii="Times New Roman" w:cs="Times New Roman" w:eastAsia="Times New Roman" w:hAnsi="Times New Roman"/>
          <w:sz w:val="20"/>
          <w:szCs w:val="20"/>
          <w:color w:val="auto"/>
        </w:rPr>
      </w:pPr>
    </w:p>
    <w:p>
      <w:pPr>
        <w:jc w:val="both"/>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antibacterial effects of medicinal plant extracts and medicinal concentrated beverages were evaluated based on the MIC for S. aureus, C. diphtheriae, S. pyogenes, Mycobacterium sp., and E. coli, the bacteria commonly isolated from the phlegm of patients with a bronchial dis-ease (Table </w:t>
      </w:r>
      <w:hyperlink w:anchor="page10">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auto"/>
        </w:rPr>
        <w:t>).</w:t>
      </w:r>
    </w:p>
    <w:p>
      <w:pPr>
        <w:spacing w:after="0" w:line="57" w:lineRule="exact"/>
        <w:rPr>
          <w:rFonts w:ascii="Times New Roman" w:cs="Times New Roman" w:eastAsia="Times New Roman" w:hAnsi="Times New Roman"/>
          <w:sz w:val="20"/>
          <w:szCs w:val="20"/>
          <w:color w:val="auto"/>
        </w:rPr>
      </w:pPr>
    </w:p>
    <w:p>
      <w:pPr>
        <w:jc w:val="both"/>
        <w:ind w:firstLine="227"/>
        <w:spacing w:after="0" w:line="237" w:lineRule="auto"/>
        <w:rPr>
          <w:sz w:val="20"/>
          <w:szCs w:val="20"/>
          <w:color w:val="auto"/>
        </w:rPr>
      </w:pPr>
      <w:r>
        <w:rPr>
          <w:rFonts w:ascii="Times New Roman" w:cs="Times New Roman" w:eastAsia="Times New Roman" w:hAnsi="Times New Roman"/>
          <w:sz w:val="20"/>
          <w:szCs w:val="20"/>
          <w:color w:val="auto"/>
        </w:rPr>
        <w:t>SA extract showed markedly low MIC (1–8 mg/mL) for all the bacteria, with higher antibacterial activity compared to other medicinal plants. The antibacterial effect of SA</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16" w:lineRule="exact"/>
        <w:rPr>
          <w:rFonts w:ascii="Times New Roman" w:cs="Times New Roman" w:eastAsia="Times New Roman" w:hAnsi="Times New Roman"/>
          <w:sz w:val="20"/>
          <w:szCs w:val="20"/>
          <w:color w:val="auto"/>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extract showed the following order: S. aureus, C. diph-theriae [ Mycobacterium sp. [ S. pyogenes [ E. coli, with an inhibitory effect on the growth of bacteria that induce bronchial diseases at B 4 mg/mL. According to Xu et al. (</w:t>
      </w:r>
      <w:hyperlink w:anchor="page11">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auto"/>
        </w:rPr>
        <w:t xml:space="preserve">), strong antibacterial activity against S. aureus was exhibited by the essential oil of SA (MIC = 0.625 mg/ mL). It was suggested that SA essential oil destroys bac-terial cell wall and membrane, which causes the loss of vital intracellular materials and ultimately leads to bacterial death; alternatively, the essential oil may penetrate through the cytomembrane to cause cell structure destruction and inhibit the normal synthesis of DNA and proteins required for bacterial growth. The main component responsible for the antimicrobial activity of SA is eugenol, and the pos-sible antibacterial mechanism against S. aureus may be by the simultaneous disruption of the cellular membrane and ROS generation, which induce membrane collapse, resulting in cellular decomposition and eventually bacterial death (Das et al., </w:t>
      </w:r>
      <w:hyperlink w:anchor="page11">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auto"/>
        </w:rPr>
        <w:t>).</w:t>
      </w:r>
    </w:p>
    <w:p>
      <w:pPr>
        <w:spacing w:after="0" w:line="62" w:lineRule="exact"/>
        <w:rPr>
          <w:sz w:val="20"/>
          <w:szCs w:val="20"/>
          <w:color w:val="auto"/>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antibacterial activity of PA and GU extracts against S. aureus, S. diphtheriae, and Mycobacterium sp. was outstanding (MIC, 0.5–6 mg/mL), but it was low against S. pyogenes and E. coli (MIC, 320–640 mg/mL). For GU, triterpene (glycyrrhizin) and flavones (18b-glycyrrhetinic acid, liquiritigenin, licochalcone A and E, and glabridin) decrease the expression of microbe genes, inhibit microbe growth and reduce the production of microbe toxins (Wang et al., </w:t>
      </w:r>
      <w:hyperlink w:anchor="page11">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Ravn and Brimer (</w:t>
      </w:r>
      <w:hyperlink w:anchor="page11">
        <w:r>
          <w:rPr>
            <w:rFonts w:ascii="Times New Roman" w:cs="Times New Roman" w:eastAsia="Times New Roman" w:hAnsi="Times New Roman"/>
            <w:sz w:val="20"/>
            <w:szCs w:val="20"/>
            <w:color w:val="0000FF"/>
          </w:rPr>
          <w:t>1988</w:t>
        </w:r>
      </w:hyperlink>
      <w:r>
        <w:rPr>
          <w:rFonts w:ascii="Times New Roman" w:cs="Times New Roman" w:eastAsia="Times New Roman" w:hAnsi="Times New Roman"/>
          <w:sz w:val="20"/>
          <w:szCs w:val="20"/>
          <w:color w:val="auto"/>
        </w:rPr>
        <w:t>) reported that the antibacterial activity of PA comes from plantamajoside (a phenylethanoid), and the MIC for S. aureus and E. coli was 2.0 mg/mL and [ 2.5 mg/mL, respectively, showing an outstanding antibacterial effect against S. aureus, which was in line with the result in this study. KP extract showed an overall high level of antibacterial activity based on a MIC of 10–40 mg/mL, leading to the effective growth inhibition of all bacteria. CU extracts showed substantially higher antibacterial activity against Mycobacterium sp. (MIC, 6 mg/mL) than against other strains (MIC, 160 mg/ mL). PG extracts led to growth inhibition with MIC of 40–160 mg/mL where the antibacterial activity was higher against S. aureus and Mycobacterium sp. The antibacterial activity of PL was the lowest among the medicinal plants.</w:t>
      </w:r>
    </w:p>
    <w:p>
      <w:pPr>
        <w:spacing w:after="0" w:line="65" w:lineRule="exact"/>
        <w:rPr>
          <w:sz w:val="20"/>
          <w:szCs w:val="20"/>
          <w:color w:val="auto"/>
        </w:rPr>
      </w:pPr>
    </w:p>
    <w:p>
      <w:pPr>
        <w:jc w:val="both"/>
        <w:ind w:firstLine="227"/>
        <w:spacing w:after="0" w:line="254"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Many saponins are known to be antimicrobial and pro-tect plants from insect attack. Saponins consist of a sugar moiety (glucose, galactose, glucuronic acid, xylose, rhamnose etc.) linked to a hydrophobic aglycone (sa-pogenin) which are a steroid and triterpenoid (Desai et al., </w:t>
      </w:r>
      <w:hyperlink w:anchor="page11">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000000"/>
        </w:rPr>
        <w:t>). The antimicrobial effects of saponins has been</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associated with microbial cell membrane permeability, and this action is the result of the affinity of the aglycone moiety for the phospholipids in the cell membrane (Desai et al., </w:t>
      </w:r>
      <w:hyperlink w:anchor="page11">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000000"/>
        </w:rPr>
        <w:t>).</w:t>
      </w:r>
    </w:p>
    <w:p>
      <w:pPr>
        <w:spacing w:after="0" w:line="439"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74" w:lineRule="exact"/>
        <w:rPr>
          <w:sz w:val="20"/>
          <w:szCs w:val="20"/>
          <w:color w:val="auto"/>
        </w:rPr>
      </w:pPr>
    </w:p>
    <w:p>
      <w:pPr>
        <w:ind w:left="908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9" w:name="page10"/>
    <w:bookmarkEnd w:id="9"/>
    <w:p>
      <w:pPr>
        <w:ind w:left="8640"/>
        <w:spacing w:after="0"/>
        <w:rPr>
          <w:sz w:val="20"/>
          <w:szCs w:val="20"/>
          <w:color w:val="auto"/>
        </w:rPr>
      </w:pPr>
      <w:r>
        <w:rPr>
          <w:rFonts w:ascii="Times New Roman" w:cs="Times New Roman" w:eastAsia="Times New Roman" w:hAnsi="Times New Roman"/>
          <w:sz w:val="17"/>
          <w:szCs w:val="17"/>
          <w:color w:val="auto"/>
        </w:rPr>
        <w:t>H.-J. Chang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36"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17"/>
          <w:szCs w:val="17"/>
          <w:color w:val="auto"/>
        </w:rPr>
        <w:t>Table 5 Minimum inhibitory concentration (MIC) of medicinal plant extracts and stick-type medicinal concentrated beverages (SMCB)</w:t>
      </w:r>
    </w:p>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Sample</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S. aureus</w:t>
            </w:r>
            <w:r>
              <w:rPr>
                <w:rFonts w:ascii="Times New Roman" w:cs="Times New Roman" w:eastAsia="Times New Roman" w:hAnsi="Times New Roman"/>
                <w:sz w:val="22"/>
                <w:szCs w:val="22"/>
                <w:color w:val="auto"/>
                <w:vertAlign w:val="superscript"/>
              </w:rPr>
              <w:t>1</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C. diphtheriae</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S. pyogenes</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Mycobacterium sp.</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w w:val="99"/>
              </w:rPr>
              <w:t>E. coli</w:t>
            </w:r>
          </w:p>
        </w:tc>
      </w:tr>
      <w:tr>
        <w:trPr>
          <w:trHeight w:val="54"/>
        </w:trPr>
        <w:tc>
          <w:tcPr>
            <w:tcW w:w="3520" w:type="dxa"/>
            <w:vAlign w:val="bottom"/>
            <w:tcBorders>
              <w:bottom w:val="single" w:sz="8" w:color="auto"/>
            </w:tcBorders>
            <w:gridSpan w:val="3"/>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78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r>
      <w:tr>
        <w:trPr>
          <w:trHeight w:val="270"/>
        </w:trPr>
        <w:tc>
          <w:tcPr>
            <w:tcW w:w="352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Stick-type medicinal concentrated beverages</w:t>
            </w:r>
          </w:p>
        </w:tc>
        <w:tc>
          <w:tcPr>
            <w:tcW w:w="1300" w:type="dxa"/>
            <w:vAlign w:val="bottom"/>
          </w:tcPr>
          <w:p>
            <w:pPr>
              <w:spacing w:after="0"/>
              <w:rPr>
                <w:sz w:val="23"/>
                <w:szCs w:val="23"/>
                <w:color w:val="auto"/>
              </w:rPr>
            </w:pPr>
          </w:p>
        </w:tc>
        <w:tc>
          <w:tcPr>
            <w:tcW w:w="1780" w:type="dxa"/>
            <w:vAlign w:val="bottom"/>
          </w:tcPr>
          <w:p>
            <w:pPr>
              <w:spacing w:after="0"/>
              <w:rPr>
                <w:sz w:val="23"/>
                <w:szCs w:val="23"/>
                <w:color w:val="auto"/>
              </w:rPr>
            </w:pPr>
          </w:p>
        </w:tc>
        <w:tc>
          <w:tcPr>
            <w:tcW w:w="700" w:type="dxa"/>
            <w:vAlign w:val="bottom"/>
          </w:tcPr>
          <w:p>
            <w:pPr>
              <w:spacing w:after="0"/>
              <w:rPr>
                <w:sz w:val="23"/>
                <w:szCs w:val="23"/>
                <w:color w:val="auto"/>
              </w:rPr>
            </w:pPr>
          </w:p>
        </w:tc>
      </w:tr>
      <w:tr>
        <w:trPr>
          <w:trHeight w:val="257"/>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SMCB-I</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80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640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SMCB-II</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40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640</w:t>
            </w:r>
          </w:p>
        </w:tc>
      </w:tr>
      <w:tr>
        <w:trPr>
          <w:trHeight w:val="284"/>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CGB</w:t>
            </w:r>
            <w:r>
              <w:rPr>
                <w:rFonts w:ascii="Times New Roman" w:cs="Times New Roman" w:eastAsia="Times New Roman" w:hAnsi="Times New Roman"/>
                <w:sz w:val="22"/>
                <w:szCs w:val="22"/>
                <w:color w:val="auto"/>
                <w:vertAlign w:val="superscript"/>
              </w:rPr>
              <w:t>2</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1280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80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1280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80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1280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CPGB</w:t>
            </w:r>
            <w:r>
              <w:rPr>
                <w:rFonts w:ascii="Times New Roman" w:cs="Times New Roman" w:eastAsia="Times New Roman" w:hAnsi="Times New Roman"/>
                <w:sz w:val="22"/>
                <w:szCs w:val="22"/>
                <w:color w:val="auto"/>
                <w:vertAlign w:val="superscript"/>
              </w:rPr>
              <w:t>3</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640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320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1280</w:t>
            </w:r>
          </w:p>
        </w:tc>
      </w:tr>
      <w:tr>
        <w:trPr>
          <w:trHeight w:val="255"/>
        </w:trPr>
        <w:tc>
          <w:tcPr>
            <w:tcW w:w="204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Medicinal plants</w:t>
            </w:r>
            <w:r>
              <w:rPr>
                <w:rFonts w:ascii="Times New Roman" w:cs="Times New Roman" w:eastAsia="Times New Roman" w:hAnsi="Times New Roman"/>
                <w:sz w:val="22"/>
                <w:szCs w:val="22"/>
                <w:color w:val="auto"/>
                <w:vertAlign w:val="superscript"/>
              </w:rPr>
              <w:t>4</w:t>
            </w:r>
          </w:p>
        </w:tc>
        <w:tc>
          <w:tcPr>
            <w:tcW w:w="1480" w:type="dxa"/>
            <w:vAlign w:val="bottom"/>
          </w:tcPr>
          <w:p>
            <w:pPr>
              <w:spacing w:after="0"/>
              <w:rPr>
                <w:sz w:val="22"/>
                <w:szCs w:val="22"/>
                <w:color w:val="auto"/>
              </w:rPr>
            </w:pPr>
          </w:p>
        </w:tc>
        <w:tc>
          <w:tcPr>
            <w:tcW w:w="1300" w:type="dxa"/>
            <w:vAlign w:val="bottom"/>
          </w:tcPr>
          <w:p>
            <w:pPr>
              <w:spacing w:after="0"/>
              <w:rPr>
                <w:sz w:val="22"/>
                <w:szCs w:val="22"/>
                <w:color w:val="auto"/>
              </w:rPr>
            </w:pPr>
          </w:p>
        </w:tc>
        <w:tc>
          <w:tcPr>
            <w:tcW w:w="1780" w:type="dxa"/>
            <w:vAlign w:val="bottom"/>
          </w:tcPr>
          <w:p>
            <w:pPr>
              <w:spacing w:after="0"/>
              <w:rPr>
                <w:sz w:val="22"/>
                <w:szCs w:val="22"/>
                <w:color w:val="auto"/>
              </w:rPr>
            </w:pPr>
          </w:p>
        </w:tc>
        <w:tc>
          <w:tcPr>
            <w:tcW w:w="700" w:type="dxa"/>
            <w:vAlign w:val="bottom"/>
          </w:tcPr>
          <w:p>
            <w:pPr>
              <w:spacing w:after="0"/>
              <w:rPr>
                <w:sz w:val="22"/>
                <w:szCs w:val="22"/>
                <w:color w:val="auto"/>
              </w:rPr>
            </w:pP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SA</w:t>
            </w:r>
            <w:r>
              <w:rPr>
                <w:rFonts w:ascii="Times New Roman" w:cs="Times New Roman" w:eastAsia="Times New Roman" w:hAnsi="Times New Roman"/>
                <w:sz w:val="22"/>
                <w:szCs w:val="22"/>
                <w:color w:val="auto"/>
                <w:vertAlign w:val="superscript"/>
              </w:rPr>
              <w:t>5</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4</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2</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8</w:t>
            </w:r>
          </w:p>
        </w:tc>
      </w:tr>
      <w:tr>
        <w:trPr>
          <w:trHeight w:val="244"/>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PL</w:t>
            </w:r>
          </w:p>
        </w:tc>
        <w:tc>
          <w:tcPr>
            <w:tcW w:w="118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[ 320</w:t>
            </w:r>
          </w:p>
        </w:tc>
        <w:tc>
          <w:tcPr>
            <w:tcW w:w="148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[ 320</w:t>
            </w:r>
          </w:p>
        </w:tc>
        <w:tc>
          <w:tcPr>
            <w:tcW w:w="13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[ 320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700" w:type="dxa"/>
            <w:vAlign w:val="bottom"/>
          </w:tcPr>
          <w:p>
            <w:pPr>
              <w:ind w:left="220"/>
              <w:spacing w:after="0"/>
              <w:rPr>
                <w:sz w:val="20"/>
                <w:szCs w:val="20"/>
                <w:color w:val="auto"/>
              </w:rPr>
            </w:pPr>
            <w:r>
              <w:rPr>
                <w:rFonts w:ascii="Times New Roman" w:cs="Times New Roman" w:eastAsia="Times New Roman" w:hAnsi="Times New Roman"/>
                <w:sz w:val="17"/>
                <w:szCs w:val="17"/>
                <w:color w:val="auto"/>
              </w:rPr>
              <w:t>[ 320</w:t>
            </w:r>
          </w:p>
        </w:tc>
      </w:tr>
      <w:tr>
        <w:trPr>
          <w:trHeight w:val="237"/>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PA</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2</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640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KP</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40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40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20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CU</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160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PGA</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160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GU</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0.5</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2</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PG</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80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160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40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r>
      <w:tr>
        <w:trPr>
          <w:trHeight w:val="255"/>
        </w:trPr>
        <w:tc>
          <w:tcPr>
            <w:tcW w:w="860" w:type="dxa"/>
            <w:vAlign w:val="bottom"/>
          </w:tcPr>
          <w:p>
            <w:pPr>
              <w:spacing w:after="0"/>
              <w:rPr>
                <w:sz w:val="20"/>
                <w:szCs w:val="20"/>
                <w:color w:val="auto"/>
              </w:rPr>
            </w:pPr>
            <w:r>
              <w:rPr>
                <w:rFonts w:ascii="Times New Roman" w:cs="Times New Roman" w:eastAsia="Times New Roman" w:hAnsi="Times New Roman"/>
                <w:sz w:val="17"/>
                <w:szCs w:val="17"/>
                <w:color w:val="auto"/>
              </w:rPr>
              <w:t>ZJ</w:t>
            </w:r>
          </w:p>
        </w:tc>
        <w:tc>
          <w:tcPr>
            <w:tcW w:w="11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80</w:t>
            </w:r>
          </w:p>
        </w:tc>
        <w:tc>
          <w:tcPr>
            <w:tcW w:w="1480" w:type="dxa"/>
            <w:vAlign w:val="bottom"/>
          </w:tcPr>
          <w:p>
            <w:pPr>
              <w:ind w:left="260"/>
              <w:spacing w:after="0"/>
              <w:rPr>
                <w:sz w:val="20"/>
                <w:szCs w:val="20"/>
                <w:color w:val="auto"/>
              </w:rPr>
            </w:pPr>
            <w:r>
              <w:rPr>
                <w:rFonts w:ascii="Times New Roman" w:cs="Times New Roman" w:eastAsia="Times New Roman" w:hAnsi="Times New Roman"/>
                <w:sz w:val="17"/>
                <w:szCs w:val="17"/>
                <w:color w:val="auto"/>
              </w:rPr>
              <w:t>160</w:t>
            </w:r>
          </w:p>
        </w:tc>
        <w:tc>
          <w:tcPr>
            <w:tcW w:w="13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c>
          <w:tcPr>
            <w:tcW w:w="178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160</w:t>
            </w:r>
          </w:p>
        </w:tc>
        <w:tc>
          <w:tcPr>
            <w:tcW w:w="7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-2658745</wp:posOffset>
                </wp:positionV>
                <wp:extent cx="46437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4375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09.3499pt" to="365.25pt,-209.3499pt" o:allowincell="f" strokecolor="#000000" strokeweight="0.5669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52705</wp:posOffset>
                </wp:positionV>
                <wp:extent cx="464375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4375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4.15pt" to="365.25pt,4.15pt" o:allowincell="f" strokecolor="#000000" strokeweight="0.5669pt"/>
            </w:pict>
          </mc:Fallback>
        </mc:AlternateContent>
      </w:r>
    </w:p>
    <w:p>
      <w:pPr>
        <w:spacing w:after="0" w:line="114" w:lineRule="exact"/>
        <w:rPr>
          <w:sz w:val="20"/>
          <w:szCs w:val="20"/>
          <w:color w:val="auto"/>
        </w:rPr>
      </w:pPr>
    </w:p>
    <w:p>
      <w:pPr>
        <w:jc w:val="both"/>
        <w:spacing w:after="0" w:line="209" w:lineRule="auto"/>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7"/>
          <w:szCs w:val="17"/>
          <w:color w:val="auto"/>
        </w:rPr>
        <w:t>S. aureus, Staphylococcus aureus; C. diphtheriae, Corynebacterium diphtheriae; S. pyogens, Strepto-coccus pyogenes; E. coli, Escherichia coli (n = 2)</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Commercial red ginseng concentrated beverage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7"/>
          <w:szCs w:val="17"/>
          <w:color w:val="auto"/>
        </w:rPr>
        <w:t>Commercial platycodon red ginseng concentrated beverage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7"/>
          <w:szCs w:val="17"/>
          <w:color w:val="auto"/>
        </w:rPr>
        <w:t>Freeze-dried water extract of medicinal plants</w:t>
      </w:r>
    </w:p>
    <w:p>
      <w:pPr>
        <w:spacing w:after="0" w:line="2" w:lineRule="exact"/>
        <w:rPr>
          <w:sz w:val="20"/>
          <w:szCs w:val="20"/>
          <w:color w:val="auto"/>
        </w:rPr>
      </w:pPr>
    </w:p>
    <w:p>
      <w:pPr>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7"/>
          <w:szCs w:val="17"/>
          <w:color w:val="auto"/>
        </w:rPr>
        <w:t xml:space="preserve">The medial plant of the abbreviation is the same as Table </w:t>
      </w:r>
      <w:hyperlink w:anchor="page3">
        <w:r>
          <w:rPr>
            <w:rFonts w:ascii="Times New Roman" w:cs="Times New Roman" w:eastAsia="Times New Roman" w:hAnsi="Times New Roman"/>
            <w:sz w:val="17"/>
            <w:szCs w:val="17"/>
            <w:color w:val="0000FF"/>
          </w:rPr>
          <w:t>1</w:t>
        </w:r>
      </w:hyperlink>
    </w:p>
    <w:p>
      <w:pPr>
        <w:spacing w:after="0" w:line="200" w:lineRule="exact"/>
        <w:rPr>
          <w:sz w:val="20"/>
          <w:szCs w:val="20"/>
          <w:color w:val="auto"/>
        </w:rPr>
      </w:pPr>
    </w:p>
    <w:p>
      <w:pPr>
        <w:sectPr>
          <w:pgSz w:w="11900" w:h="15817" w:orient="portrait"/>
          <w:cols w:equalWidth="0" w:num="2">
            <w:col w:w="2220" w:space="340"/>
            <w:col w:w="7300"/>
          </w:cols>
          <w:pgMar w:left="1020" w:top="639" w:right="1026" w:bottom="318" w:gutter="0" w:footer="0" w:header="0"/>
          <w:type w:val="continuous"/>
        </w:sectPr>
      </w:pPr>
    </w:p>
    <w:p>
      <w:pPr>
        <w:spacing w:after="0" w:line="265" w:lineRule="exact"/>
        <w:rPr>
          <w:sz w:val="20"/>
          <w:szCs w:val="20"/>
          <w:color w:val="auto"/>
        </w:rPr>
      </w:pPr>
    </w:p>
    <w:p>
      <w:pPr>
        <w:jc w:val="both"/>
        <w:ind w:firstLine="227"/>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SMCBs showed higher antibacterial activity than CGB or CPGB against S. aureus, C. diphtheriae, S. pyo-gens, and E. coli, but the highest activity against My-cobacterium sp. was shown by CGB (Table </w:t>
      </w:r>
      <w:hyperlink w:anchor="page10">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auto"/>
        </w:rPr>
        <w:t>). SMCB-I had the strongest effect against S. aureus, while SMCB-II had the strongest effect against C. diphtheriae and S. pyogens. SMCBs were prepared with medicinal plants such as SA, PA, KP, and GU that exhibit outstanding antibac-terial activity; this may account for the higher antimicro-bial effects, since CGB is solely composed of red ginseng and CPGB is mostly composed of platycodon.</w:t>
      </w:r>
    </w:p>
    <w:p>
      <w:pPr>
        <w:spacing w:after="0" w:line="53" w:lineRule="exact"/>
        <w:rPr>
          <w:sz w:val="20"/>
          <w:szCs w:val="20"/>
          <w:color w:val="auto"/>
        </w:rPr>
      </w:pPr>
    </w:p>
    <w:p>
      <w:pPr>
        <w:jc w:val="both"/>
        <w:ind w:firstLine="227"/>
        <w:spacing w:after="0" w:line="271" w:lineRule="auto"/>
        <w:rPr>
          <w:sz w:val="20"/>
          <w:szCs w:val="20"/>
          <w:color w:val="auto"/>
        </w:rPr>
      </w:pPr>
      <w:r>
        <w:rPr>
          <w:rFonts w:ascii="Times New Roman" w:cs="Times New Roman" w:eastAsia="Times New Roman" w:hAnsi="Times New Roman"/>
          <w:sz w:val="19"/>
          <w:szCs w:val="19"/>
          <w:color w:val="auto"/>
        </w:rPr>
        <w:t>Medicinal plants were evaluated on antioxidant, anti-inflammatory and antibacterial effects, and then SMCBs were prepared with the different composition ratio of medicinal plants, and their efficacies were determined. The medicinal plants with higher TPC, TFC and saponin con-tent showed a higher level of antioxidant activity and the stronger the inhibitory effect on NO production, which indicated higher anti-inflammatory activity. The antibac-terial effect was outstanding for SA against all bacteria strains, while PA, KP, and GU showed great effects against the bronchial disease-causing bacteria (S. aureus, C. diphtheriae, S. pyogenes, and Mycobacterium sp.). For preparation of SMCBs, PGA, PA, PG, GU, and ZJ were used as the basic ingredients. SMCB-II was prepared by addition of PL, KP and SA with high levels of TPC, TFC and saponin content while SMCB-I was prepared by adding</w:t>
      </w:r>
    </w:p>
    <w:p>
      <w:pPr>
        <w:spacing w:after="0" w:line="20" w:lineRule="exact"/>
        <w:rPr>
          <w:sz w:val="20"/>
          <w:szCs w:val="20"/>
          <w:color w:val="auto"/>
        </w:rPr>
      </w:pPr>
      <w:r>
        <w:rPr>
          <w:sz w:val="20"/>
          <w:szCs w:val="20"/>
          <w:color w:val="auto"/>
        </w:rPr>
        <w:br w:type="column"/>
      </w:r>
    </w:p>
    <w:p>
      <w:pPr>
        <w:spacing w:after="0" w:line="244"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CU. SMCB-II showed higher antioxidant, NO production inhibitory, and antimicrobial effects than SMCB-I, how-ever SMBC-II has unique bitterness and flavor of herbal medicine stronger than SMCB-I. SMCBs, compared to commercial medicinal beverages, showed higher TPC, TFC and saponin content, as well as antioxidant activity, NO production inhibition, and antibacterial activity. This study could contribute to the need for medicinal products to combat the rise in respiratory illnesses due to particulate matter air pollution and smoking. The medicinal com-pounds in SCMB-I and SCMB-II have highly effective antioxidant and antibacterial properties, and are superior to the current commercial products. The SMCBs are antici-pated to be an easy-to-carry, easy-to-consume and high value-added health beverage for the health of the modern people, with outstanding antioxidant, anti-inflammatory, and antimicrobial effects.</w:t>
      </w:r>
    </w:p>
    <w:p>
      <w:pPr>
        <w:spacing w:after="0" w:line="259"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7"/>
          <w:szCs w:val="17"/>
          <w:color w:val="auto"/>
        </w:rPr>
        <w:t>Acknowledgements This work (Grants No. S2601370) was sup-ported by project for Cooperative R&amp;D between Industry, Academy, and Research Institute funded Korea Ministry of SMEs and Startups in 2018.</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Compliance with ethical standards</w:t>
      </w:r>
    </w:p>
    <w:p>
      <w:pPr>
        <w:spacing w:after="0" w:line="212"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17"/>
          <w:szCs w:val="17"/>
          <w:color w:val="auto"/>
        </w:rPr>
        <w:t>Conflict of interest The authors declare no conflict of interest.</w:t>
      </w:r>
    </w:p>
    <w:p>
      <w:pPr>
        <w:spacing w:after="0" w:line="864"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287"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11900" w:h="15817" w:orient="portrait"/>
          <w:cols w:equalWidth="0" w:num="1">
            <w:col w:w="9860"/>
          </w:cols>
          <w:pgMar w:left="1020" w:top="639" w:right="1026" w:bottom="318"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17"/>
          <w:szCs w:val="17"/>
          <w:color w:val="auto"/>
        </w:rPr>
        <w:t>Functional effect of medicinal plants and beverage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References</w:t>
      </w:r>
    </w:p>
    <w:p>
      <w:pPr>
        <w:spacing w:after="0" w:line="28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Amakura Y, Yoshimura A, Yoshimura M, Yoshida T. Isolation and characterization of phenolic antioxidants from plantago Herb. Molecules 17: 5459-5466 (2012)</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Arao T, Kinjo J, Nohara T, Isobe R. Oleanene-type triterpene glycosidesfrom puerariae radix. IV. Six new saponins from Pueraria lobate. Chem. Pharm. Bull. 45: 362-366 (1997)</w:t>
      </w:r>
    </w:p>
    <w:p>
      <w:pPr>
        <w:spacing w:after="0" w:line="44"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Ay NV, Kh A, Enkhchimeg V, Baatartsogt O. Anti-inflammatory effect of Plantago sp. ethan-olc extract in murine RAW 264.7 macrophage cells. Mongr. J. Agric. Sci. 21: 35-42 (2017)</w:t>
      </w:r>
    </w:p>
    <w:p>
      <w:pPr>
        <w:spacing w:after="0" w:line="3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Belsey MA, Sinclair M, Roder MR, LeBlanc DR. Corynebacterium diphtheriae skin infections in Alabama and Louisiana: a factor in the epidemiology of diphtheria. N. Engl. J. Med. 280: 135-141 (1969)</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Bocco A, Cuvelier ME, Richard H, Berset C. Antioxidant activity and phenolic composition of citrus peel and seed extracts. J. Agric. Food Chem. 46: 2123-2129 (1998)</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Das B, Mandal D, Dash SK, Chattopadhyay S, Tripathy S, Dolai DP, Dey SK, Roy S. Eugenol provokes ROS-mediated membrane damage-associated antibacterial activity against clinically iso-lated multidrug-resistant Staphylococcus aureus strains. Infect. Dis. (Auckl.). 9: 11-19 (2016)</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Desai SD, Desai DG, Kaur H. Saponins and their biological activities. Pharm. Times. 41: 13-16 (2009)</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Emori TG, Gaynes RP. An overview of nosocomial infections, including the role of the microbiology laboratory. Clin. Micro-biol. Rev. 6: 428-442 (1993)</w:t>
      </w:r>
    </w:p>
    <w:p>
      <w:pPr>
        <w:spacing w:after="0" w:line="43" w:lineRule="exact"/>
        <w:rPr>
          <w:sz w:val="20"/>
          <w:szCs w:val="20"/>
          <w:color w:val="auto"/>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Ferrazzano GF, Cantile T, Roberto L, Ingenito A, Catania MR, Roscetto E, Palumbo G, Zarrelli A, Pollio A. Determination of the in vitro and in vivo antimicrobial activity on salivary streptococci and lactobacilli and chemical characterisation of the phenolic content of a Plantago lanceolate infusion. Biomed. Res. Int. 2015: 1-8 (2015)</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Hemalatha R, Nivetha P, Mohanaproya C, Sharmila G, Muthuku-maran C, Gopinath M. Phyrochemical composition, GC-MS analysis, in vitro antioxidant and antibacterial potential of clove flower bud (Eugenia caryophyllus) methanolic extract. J. Food Sci. Technol. 53: 1189-1198 (2016)</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Hyun MS, Hur JM, Shin YS, Song BJ, Mun YJ, Woo WH. Comparison study of white ginseng, red ginseng, and fermented red ginseng on the protective effect of LPS-induced inflamma-tion in RAW 264.7 cells. J. Appl. Biol. Chem. 52: 21-27 (2009)</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Kim MH, Kim JM, Yoon KY. Effects of blanching on antioxidant activity and total phenolic content according to type of medicinal plants. Food Sci. Biotechnol. 22: 817-823 (2013)</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Kubota T, Kitatani H, Hinoh H. The structure of platycogenic acids A, B, and C, further trter-penoid constituents of Platycodon grandiflorum A. De Candolle. J. Chem. Soc. D 19: 1313-1314 (1969)</w:t>
      </w:r>
    </w:p>
    <w:p>
      <w:pPr>
        <w:spacing w:after="0" w:line="3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Lee IS, Choi MC, Moon HY. Effect of Platycodon grandiflorum A. DC extract on the bronchus diseases bacteria. Korean J. Biotechnol. Bioeng. 15: 162-166 (2000)</w:t>
      </w:r>
    </w:p>
    <w:p>
      <w:pPr>
        <w:spacing w:after="0" w:line="43"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Lee WM, Kim SD, Kim KS, Song YB, Kwak YS, Cho JY, Park HJ, Oh JW, Rhee MH. Protopanaxadiol modulates LPS-induced inflammatory activity in murine macrophage RAW 264.7 cells. J. Ginseng. Res. 30: 181-187 (2006)</w:t>
      </w:r>
    </w:p>
    <w:p>
      <w:pPr>
        <w:spacing w:after="0" w:line="41"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Leem HH, Kim EO, Seo MJ, Choi SW. Antioxidant and anti-inflammatory activities of eugenol and its derivatives from clove (Eugenia caryophyllata Thunb.). J. Korean Soc. Food Sci. Nutr. 40: 1361-1370 (2011)</w:t>
      </w:r>
    </w:p>
    <w:p>
      <w:pPr>
        <w:spacing w:after="0" w:line="41"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Li RW, Theriault AG, Au K, Douglas TD, Casaschi A, Kurowska EM, Mukherjee R. Citrus polymethoxylated flavones improve lipid and glucose homeostasis and modulate adipocytokines in</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ind w:left="340"/>
        <w:spacing w:after="0" w:line="218" w:lineRule="auto"/>
        <w:rPr>
          <w:sz w:val="20"/>
          <w:szCs w:val="20"/>
          <w:color w:val="auto"/>
        </w:rPr>
      </w:pPr>
      <w:r>
        <w:rPr>
          <w:rFonts w:ascii="Times New Roman" w:cs="Times New Roman" w:eastAsia="Times New Roman" w:hAnsi="Times New Roman"/>
          <w:sz w:val="17"/>
          <w:szCs w:val="17"/>
          <w:color w:val="auto"/>
        </w:rPr>
        <w:t>fructose-induced insulin resistant hamsters. Life Sci. 79: 365-373 (2006)</w:t>
      </w:r>
    </w:p>
    <w:p>
      <w:pPr>
        <w:spacing w:after="0" w:line="43" w:lineRule="exact"/>
        <w:rPr>
          <w:sz w:val="20"/>
          <w:szCs w:val="20"/>
          <w:color w:val="auto"/>
        </w:rPr>
      </w:pPr>
    </w:p>
    <w:p>
      <w:pPr>
        <w:jc w:val="both"/>
        <w:ind w:left="340" w:hanging="339"/>
        <w:spacing w:after="0" w:line="23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MFDS (Ministry of Food and Drug Safety) and NFSI (National Food Safety Information Service). Information by function of health function food. Available from: </w:t>
      </w:r>
      <w:hyperlink r:id="rId19">
        <w:r>
          <w:rPr>
            <w:rFonts w:ascii="Times New Roman" w:cs="Times New Roman" w:eastAsia="Times New Roman" w:hAnsi="Times New Roman"/>
            <w:sz w:val="17"/>
            <w:szCs w:val="17"/>
            <w:color w:val="0000FF"/>
          </w:rPr>
          <w:t>https://www.foodsafetykorea.go.</w:t>
        </w:r>
      </w:hyperlink>
      <w:r>
        <w:rPr>
          <w:rFonts w:ascii="Times New Roman" w:cs="Times New Roman" w:eastAsia="Times New Roman" w:hAnsi="Times New Roman"/>
          <w:sz w:val="17"/>
          <w:szCs w:val="17"/>
          <w:color w:val="auto"/>
        </w:rPr>
        <w:t xml:space="preserve"> </w:t>
      </w:r>
      <w:hyperlink r:id="rId19">
        <w:r>
          <w:rPr>
            <w:rFonts w:ascii="Times New Roman" w:cs="Times New Roman" w:eastAsia="Times New Roman" w:hAnsi="Times New Roman"/>
            <w:sz w:val="17"/>
            <w:szCs w:val="17"/>
            <w:color w:val="0000FF"/>
          </w:rPr>
          <w:t>kr/</w:t>
        </w:r>
      </w:hyperlink>
    </w:p>
    <w:p>
      <w:pPr>
        <w:spacing w:after="0" w:line="4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Mittal M, Gupta N, Parashar P, Mehra V, Khatri M. Phytochemical evaluation and pharmacological activity of Syzygium aro-maticum: a comprehensive review. Int. J. Pharm. Pharm. Sci. 6: 67-72 (2014)</w:t>
      </w:r>
    </w:p>
    <w:p>
      <w:pPr>
        <w:spacing w:after="0" w:line="4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Na IS, Park MJ, Noh CH, Min JW, Bang MH, Yang DC. Production of flavonoid aglycone from Korean Glycyrrhizae radix by biofermentation process. J. Physiol. Pathol. Korean Med. 22: 569-574 (2008)</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Rafiq S, Kaul R, Sofi SA, Bashir N, Nazir F, Nayik GA. Citrus peel as a source of functional ingredient: a review. J. Saudi Soc. Agric. Sci. 17: 351-358 (2018)</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Ravn H, Brimer L. Structure and antibacterial activity of plantama-joside, A caffeic acid sugar ester from Plantago major subsp. major. Phytochemistry. 27: 3433-3437 (1988)</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Ravn HW, Mondolot L, Kelly MT, Lykke AM. Plantamajoside—a current review. Phytochem. Lett. 12: 42-53 (2015)</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Reppert A, Yousef GG, Rogers RB, Lila MA. Isolation of radiola-beled isoflavones from kudzu (Pueraria lobate) root culture. J. Agric. Food Chem. 59: 7860-7865 (2008)</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Sano K, Sanada S, Ida Y, Shoji J. Studies on the constituents of the bark of Kalopanax pictus Nakai. Chem. Pharm. Bull. 39: 865-870 (1991)</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Stevens DL. Invasive group A streptococcus infections. Clin. Infect. Dis. 14: 2-13 (1992)</w:t>
      </w:r>
    </w:p>
    <w:p>
      <w:pPr>
        <w:spacing w:after="0" w:line="41"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Stout JE, Koh WJ, Yew WW. Update on pulmonary disease due to non-tuberculous mycobacteria. Int. J. Infect. Dis. 45: 123-134 (2016)</w:t>
      </w:r>
    </w:p>
    <w:p>
      <w:pPr>
        <w:spacing w:after="0" w:line="44"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Sung WS, Lee DG. The combination effect of Korean Red ginseng saponins with kanamycin and cefotaxime against methicillin-resistant Staphylococcus aureus. Biol. Pharm. Bull. 31: 1614-1617 (2008)</w:t>
      </w:r>
    </w:p>
    <w:p>
      <w:pPr>
        <w:spacing w:after="0" w:line="4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Tanase C, Cosarca S, Muntean DL. A critical review of phenolic compounds extracted from the bark of woody vascular plants and their potential biological activity. Molecules 24: 1182-1199 (2019)</w:t>
      </w:r>
    </w:p>
    <w:p>
      <w:pPr>
        <w:spacing w:after="0" w:line="45" w:lineRule="exact"/>
        <w:rPr>
          <w:sz w:val="20"/>
          <w:szCs w:val="20"/>
          <w:color w:val="auto"/>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Tanemoto R, Okuyama T, Matsuo H, Okumura T, Ikeya Y, Nishizawa M. The constituesnts of licorice (Glycyrrhiza uralen-sis) differentially suppress nitric oxide production in inerleukin-1b-treated hepatocytes. Biochem. Biophys. Rep. 2: 153-159</w:t>
      </w:r>
    </w:p>
    <w:tbl>
      <w:tblPr>
        <w:tblLayout w:type="fixed"/>
        <w:tblInd w:w="0" w:type="dxa"/>
        <w:tblCellMar>
          <w:top w:w="0" w:type="dxa"/>
          <w:left w:w="0" w:type="dxa"/>
          <w:bottom w:w="0" w:type="dxa"/>
          <w:right w:w="0" w:type="dxa"/>
        </w:tblCellMar>
      </w:tblPr>
      <w:tr>
        <w:trPr>
          <w:trHeight w:val="185"/>
        </w:trPr>
        <w:tc>
          <w:tcPr>
            <w:tcW w:w="1960" w:type="dxa"/>
            <w:vAlign w:val="bottom"/>
            <w:gridSpan w:val="2"/>
          </w:tcPr>
          <w:p>
            <w:pPr>
              <w:jc w:val="right"/>
              <w:ind w:right="1091"/>
              <w:spacing w:after="0" w:line="185" w:lineRule="exact"/>
              <w:rPr>
                <w:sz w:val="20"/>
                <w:szCs w:val="20"/>
                <w:color w:val="auto"/>
              </w:rPr>
            </w:pPr>
            <w:r>
              <w:rPr>
                <w:rFonts w:ascii="Times New Roman" w:cs="Times New Roman" w:eastAsia="Times New Roman" w:hAnsi="Times New Roman"/>
                <w:sz w:val="17"/>
                <w:szCs w:val="17"/>
                <w:color w:val="auto"/>
              </w:rPr>
              <w:t>(2015)</w:t>
            </w:r>
          </w:p>
        </w:tc>
        <w:tc>
          <w:tcPr>
            <w:tcW w:w="2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42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w w:val="94"/>
              </w:rPr>
              <w:t>Tu¨rel</w:t>
            </w:r>
          </w:p>
        </w:tc>
        <w:tc>
          <w:tcPr>
            <w:tcW w:w="1540" w:type="dxa"/>
            <w:vAlign w:val="bottom"/>
          </w:tcPr>
          <w:p>
            <w:pPr>
              <w:jc w:val="right"/>
              <w:ind w:right="1111"/>
              <w:spacing w:after="0" w:line="125" w:lineRule="exact"/>
              <w:rPr>
                <w:sz w:val="20"/>
                <w:szCs w:val="20"/>
                <w:color w:val="auto"/>
              </w:rPr>
            </w:pPr>
            <w:r>
              <w:rPr>
                <w:rFonts w:ascii="Times New Roman" w:cs="Times New Roman" w:eastAsia="Times New Roman" w:hAnsi="Times New Roman"/>
                <w:sz w:val="14"/>
                <w:szCs w:val="14"/>
                <w:color w:val="auto"/>
              </w:rPr>
              <w:t>¨</w:t>
            </w:r>
          </w:p>
        </w:tc>
        <w:tc>
          <w:tcPr>
            <w:tcW w:w="2800" w:type="dxa"/>
            <w:vAlign w:val="bottom"/>
          </w:tcPr>
          <w:p>
            <w:pPr>
              <w:jc w:val="right"/>
              <w:ind w:right="2331"/>
              <w:spacing w:after="0" w:line="125" w:lineRule="exact"/>
              <w:rPr>
                <w:sz w:val="20"/>
                <w:szCs w:val="20"/>
                <w:color w:val="auto"/>
              </w:rPr>
            </w:pPr>
            <w:r>
              <w:rPr>
                <w:rFonts w:ascii="Times New Roman" w:cs="Times New Roman" w:eastAsia="Times New Roman" w:hAnsi="Times New Roman"/>
                <w:sz w:val="14"/>
                <w:szCs w:val="14"/>
                <w:color w:val="auto"/>
              </w:rPr>
              <w:t>¨</w:t>
            </w:r>
          </w:p>
        </w:tc>
        <w:tc>
          <w:tcPr>
            <w:tcW w:w="0" w:type="dxa"/>
            <w:vAlign w:val="bottom"/>
          </w:tcPr>
          <w:p>
            <w:pPr>
              <w:spacing w:after="0"/>
              <w:rPr>
                <w:sz w:val="1"/>
                <w:szCs w:val="1"/>
                <w:color w:val="auto"/>
              </w:rPr>
            </w:pPr>
          </w:p>
        </w:tc>
      </w:tr>
      <w:tr>
        <w:trPr>
          <w:trHeight w:val="122"/>
        </w:trPr>
        <w:tc>
          <w:tcPr>
            <w:tcW w:w="420" w:type="dxa"/>
            <w:vAlign w:val="bottom"/>
            <w:vMerge w:val="continue"/>
          </w:tcPr>
          <w:p>
            <w:pPr>
              <w:spacing w:after="0"/>
              <w:rPr>
                <w:sz w:val="10"/>
                <w:szCs w:val="10"/>
                <w:color w:val="auto"/>
              </w:rPr>
            </w:pPr>
          </w:p>
        </w:tc>
        <w:tc>
          <w:tcPr>
            <w:tcW w:w="1540" w:type="dxa"/>
            <w:vAlign w:val="bottom"/>
          </w:tcPr>
          <w:p>
            <w:pPr>
              <w:jc w:val="right"/>
              <w:spacing w:after="0" w:line="123" w:lineRule="exact"/>
              <w:rPr>
                <w:sz w:val="20"/>
                <w:szCs w:val="20"/>
                <w:color w:val="auto"/>
              </w:rPr>
            </w:pPr>
            <w:r>
              <w:rPr>
                <w:rFonts w:ascii="Times New Roman" w:cs="Times New Roman" w:eastAsia="Times New Roman" w:hAnsi="Times New Roman"/>
                <w:sz w:val="14"/>
                <w:szCs w:val="14"/>
                <w:color w:val="auto"/>
              </w:rPr>
              <w:t>I,  Ozbek  H,  Erten</w:t>
            </w:r>
          </w:p>
        </w:tc>
        <w:tc>
          <w:tcPr>
            <w:tcW w:w="2800" w:type="dxa"/>
            <w:vAlign w:val="bottom"/>
          </w:tcPr>
          <w:p>
            <w:pPr>
              <w:jc w:val="right"/>
              <w:spacing w:after="0" w:line="123" w:lineRule="exact"/>
              <w:rPr>
                <w:sz w:val="20"/>
                <w:szCs w:val="20"/>
                <w:color w:val="auto"/>
              </w:rPr>
            </w:pPr>
            <w:r>
              <w:rPr>
                <w:rFonts w:ascii="Times New Roman" w:cs="Times New Roman" w:eastAsia="Times New Roman" w:hAnsi="Times New Roman"/>
                <w:sz w:val="14"/>
                <w:szCs w:val="14"/>
                <w:color w:val="auto"/>
              </w:rPr>
              <w:t>R,  Oner  AC,  Cengiz  N,  Yilmaz  O.</w:t>
            </w:r>
          </w:p>
        </w:tc>
        <w:tc>
          <w:tcPr>
            <w:tcW w:w="0" w:type="dxa"/>
            <w:vAlign w:val="bottom"/>
          </w:tcPr>
          <w:p>
            <w:pPr>
              <w:spacing w:after="0"/>
              <w:rPr>
                <w:sz w:val="1"/>
                <w:szCs w:val="1"/>
                <w:color w:val="auto"/>
              </w:rPr>
            </w:pPr>
          </w:p>
        </w:tc>
      </w:tr>
    </w:tbl>
    <w:p>
      <w:pPr>
        <w:ind w:left="340"/>
        <w:spacing w:after="0" w:line="215" w:lineRule="auto"/>
        <w:rPr>
          <w:sz w:val="20"/>
          <w:szCs w:val="20"/>
          <w:color w:val="auto"/>
        </w:rPr>
      </w:pPr>
      <w:r>
        <w:rPr>
          <w:rFonts w:ascii="Times New Roman" w:cs="Times New Roman" w:eastAsia="Times New Roman" w:hAnsi="Times New Roman"/>
          <w:sz w:val="17"/>
          <w:szCs w:val="17"/>
          <w:color w:val="auto"/>
        </w:rPr>
        <w:t>Hepatoprotective and anti-inflammatory activities of Plantago major L. Indian J. Pharmacol. 41: 120-124 (2009)</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Wang L, Yang R, Yuan B, Liu Y, Liu C. The antiviral and antimicrobial activities of licorice, a widely-used Chinese herb. Acta. Pharm. Sin. B 5: 310-315 (2015)</w:t>
      </w:r>
    </w:p>
    <w:p>
      <w:pPr>
        <w:spacing w:after="0" w:line="44"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Watson RR, Preedy VR, Zibadi S. Polyphenols in Human Health and Disease. Academic Press, Cambridge, MA, USA. pp. 253-265 (2014)</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Xu JG, Liu T, Hu QP, Cao XM. Chemical composition, antibacterial properties and mechanism of action of essential oil from clove buds against Staphylococcus aureus. Molecules 21: 1194-1206 (2016)</w:t>
      </w:r>
    </w:p>
    <w:p>
      <w:pPr>
        <w:spacing w:after="0" w:line="200" w:lineRule="exact"/>
        <w:rPr>
          <w:sz w:val="20"/>
          <w:szCs w:val="20"/>
          <w:color w:val="auto"/>
        </w:rPr>
      </w:pPr>
    </w:p>
    <w:p>
      <w:pPr>
        <w:spacing w:after="0" w:line="255"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Publisher’s Note Springer Nature remains neutral with regard to jurisdictional claims in published maps and institutional affiliations.</w:t>
      </w:r>
    </w:p>
    <w:p>
      <w:pPr>
        <w:spacing w:after="0" w:line="461"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200" w:lineRule="exact"/>
        <w:rPr>
          <w:sz w:val="20"/>
          <w:szCs w:val="20"/>
          <w:color w:val="auto"/>
        </w:rPr>
      </w:pPr>
    </w:p>
    <w:p>
      <w:pPr>
        <w:spacing w:after="0" w:line="218" w:lineRule="exact"/>
        <w:rPr>
          <w:sz w:val="20"/>
          <w:szCs w:val="20"/>
          <w:color w:val="auto"/>
        </w:rPr>
      </w:pPr>
    </w:p>
    <w:p>
      <w:pPr>
        <w:ind w:left="9080"/>
        <w:spacing w:after="0"/>
        <w:rPr>
          <w:sz w:val="20"/>
          <w:szCs w:val="20"/>
          <w:color w:val="auto"/>
        </w:rPr>
      </w:pPr>
      <w:r>
        <w:rPr>
          <w:rFonts w:ascii="Arial" w:cs="Arial" w:eastAsia="Arial" w:hAnsi="Arial"/>
          <w:sz w:val="30"/>
          <w:szCs w:val="30"/>
          <w:color w:val="auto"/>
        </w:rPr>
        <w:t>123</w:t>
      </w:r>
    </w:p>
    <w:sectPr>
      <w:pgSz w:w="11900" w:h="15817" w:orient="portrait"/>
      <w:cols w:equalWidth="0" w:num="1">
        <w:col w:w="9860"/>
      </w:cols>
      <w:pgMar w:left="1020" w:top="639" w:right="1026" w:bottom="31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
      <w:numFmt w:val="bullet"/>
      <w:start w:val="1"/>
    </w:lvl>
  </w:abstractNum>
  <w:abstractNum w:abstractNumId="1">
    <w:nsid w:val="625558EC"/>
    <w:multiLevelType w:val="hybridMultilevel"/>
    <w:lvl w:ilvl="0">
      <w:lvlJc w:val="left"/>
      <w:lvlText w:val="&amp;"/>
      <w:numFmt w:val="bullet"/>
      <w:start w:val="1"/>
    </w:lvl>
  </w:abstractNum>
  <w:abstractNum w:abstractNumId="2">
    <w:nsid w:val="238E1F29"/>
    <w:multiLevelType w:val="hybridMultilevel"/>
    <w:lvl w:ilvl="0">
      <w:lvlJc w:val="left"/>
      <w:lvlText w:val="%1"/>
      <w:numFmt w:val="decimal"/>
      <w:start w:val="1"/>
    </w:lvl>
  </w:abstractNum>
  <w:abstractNum w:abstractNumId="3">
    <w:nsid w:val="46E87CCD"/>
    <w:multiLevelType w:val="hybridMultilevel"/>
    <w:lvl w:ilvl="0">
      <w:lvlJc w:val="left"/>
      <w:lvlText w:val="%1"/>
      <w:numFmt w:val="decimal"/>
      <w:start w:val="1"/>
    </w:lvl>
  </w:abstractNum>
  <w:abstractNum w:abstractNumId="4">
    <w:nsid w:val="3D1B58BA"/>
    <w:multiLevelType w:val="hybridMultilevel"/>
    <w:lvl w:ilvl="0">
      <w:lvlJc w:val="left"/>
      <w:lvlText w:val="%1"/>
      <w:numFmt w:val="lowerLetter"/>
      <w:start w:val="1"/>
    </w:lvl>
  </w:abstractNum>
  <w:abstractNum w:abstractNumId="5">
    <w:nsid w:val="507ED7AB"/>
    <w:multiLevelType w:val="hybridMultilevel"/>
    <w:lvl w:ilvl="0">
      <w:lvlJc w:val="left"/>
      <w:lvlText w:val="%1"/>
      <w:numFmt w:val="upperLetter"/>
      <w:start w:val="35"/>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9" Type="http://schemas.openxmlformats.org/officeDocument/2006/relationships/hyperlink" Target="https://doi.org/10.1007/s10068-020-00793-9" TargetMode="External"/><Relationship Id="rId19" Type="http://schemas.openxmlformats.org/officeDocument/2006/relationships/hyperlink" Target="https://www.foodsafetykorea.go.k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2020-09-15T04:16:27Z</dcterms:created>
  <dcterms:modified xsi:type="dcterms:W3CDTF">2020-09-15T04:16:27Z</dcterms:modified>
</cp:coreProperties>
</file>