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131413"/>
        </w:rPr>
        <w:t>Journal of Plant Pathology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https://doi.org/10.1007/s42161-020-00588-1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67945</wp:posOffset>
            </wp:positionV>
            <wp:extent cx="6283325" cy="7962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25" cy="79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131413"/>
        </w:rPr>
        <w:t>DISEASE NOTE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ind w:right="1920"/>
        <w:spacing w:after="0" w:line="2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131413"/>
        </w:rPr>
        <w:t>First report of Rhizoctonia solani AG-4 HG-I causing crown rot on Abelmoschus manihot in Italy</w:t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31413"/>
        </w:rPr>
        <w:t>Angelo Garibaldi</w:t>
      </w:r>
      <w:r>
        <w:rPr>
          <w:rFonts w:ascii="Arial" w:cs="Arial" w:eastAsia="Arial" w:hAnsi="Arial"/>
          <w:sz w:val="26"/>
          <w:szCs w:val="26"/>
          <w:color w:val="131413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</w:t>
      </w:r>
      <w:r>
        <w:rPr>
          <w:rFonts w:ascii="Arial" w:cs="Arial" w:eastAsia="Arial" w:hAnsi="Arial"/>
          <w:sz w:val="15"/>
          <w:szCs w:val="15"/>
          <w:color w:val="131413"/>
        </w:rPr>
        <w:t>&amp;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Giulia Tabone</w:t>
      </w:r>
      <w:r>
        <w:rPr>
          <w:rFonts w:ascii="Arial" w:cs="Arial" w:eastAsia="Arial" w:hAnsi="Arial"/>
          <w:sz w:val="26"/>
          <w:szCs w:val="26"/>
          <w:color w:val="131413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</w:t>
      </w:r>
      <w:r>
        <w:rPr>
          <w:rFonts w:ascii="Arial" w:cs="Arial" w:eastAsia="Arial" w:hAnsi="Arial"/>
          <w:sz w:val="15"/>
          <w:szCs w:val="15"/>
          <w:color w:val="131413"/>
        </w:rPr>
        <w:t>&amp;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Domenico Bertetti</w:t>
      </w:r>
      <w:r>
        <w:rPr>
          <w:rFonts w:ascii="Arial" w:cs="Arial" w:eastAsia="Arial" w:hAnsi="Arial"/>
          <w:sz w:val="26"/>
          <w:szCs w:val="26"/>
          <w:color w:val="131413"/>
          <w:vertAlign w:val="superscript"/>
        </w:rPr>
        <w:t>1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</w:t>
      </w:r>
      <w:r>
        <w:rPr>
          <w:rFonts w:ascii="Arial" w:cs="Arial" w:eastAsia="Arial" w:hAnsi="Arial"/>
          <w:sz w:val="15"/>
          <w:szCs w:val="15"/>
          <w:color w:val="131413"/>
        </w:rPr>
        <w:t>&amp;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Maria Lodovica Gullino</w:t>
      </w:r>
      <w:r>
        <w:rPr>
          <w:rFonts w:ascii="Arial" w:cs="Arial" w:eastAsia="Arial" w:hAnsi="Arial"/>
          <w:sz w:val="26"/>
          <w:szCs w:val="26"/>
          <w:color w:val="131413"/>
          <w:vertAlign w:val="superscript"/>
        </w:rPr>
        <w:t>1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131413"/>
        </w:rPr>
        <w:t>Received: 2 March 2020 / Accepted: 2 June 2020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220" w:hanging="220"/>
        <w:spacing w:after="0"/>
        <w:tabs>
          <w:tab w:leader="none" w:pos="220" w:val="left"/>
        </w:tabs>
        <w:numPr>
          <w:ilvl w:val="0"/>
          <w:numId w:val="1"/>
        </w:numPr>
        <w:rPr>
          <w:rFonts w:ascii="Arial" w:cs="Arial" w:eastAsia="Arial" w:hAnsi="Arial"/>
          <w:sz w:val="17"/>
          <w:szCs w:val="17"/>
          <w:color w:val="131413"/>
        </w:rPr>
      </w:pPr>
      <w:r>
        <w:rPr>
          <w:rFonts w:ascii="Arial" w:cs="Arial" w:eastAsia="Arial" w:hAnsi="Arial"/>
          <w:sz w:val="17"/>
          <w:szCs w:val="17"/>
          <w:color w:val="131413"/>
        </w:rPr>
        <w:t>Società Italiana di Patologia Vegetale (S.I.Pa.V.) 2020</w:t>
      </w:r>
    </w:p>
    <w:p>
      <w:pPr>
        <w:spacing w:after="0" w:line="16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31413"/>
        </w:rPr>
        <w:t xml:space="preserve">Keywords </w:t>
      </w:r>
      <w:r>
        <w:rPr>
          <w:rFonts w:ascii="Times New Roman" w:cs="Times New Roman" w:eastAsia="Times New Roman" w:hAnsi="Times New Roman"/>
          <w:sz w:val="20"/>
          <w:szCs w:val="20"/>
          <w:color w:val="131413"/>
        </w:rPr>
        <w:t>Ornamental plants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</w:t>
      </w:r>
      <w:r>
        <w:rPr>
          <w:rFonts w:ascii="Times New Roman" w:cs="Times New Roman" w:eastAsia="Times New Roman" w:hAnsi="Times New Roman"/>
          <w:sz w:val="39"/>
          <w:szCs w:val="39"/>
          <w:color w:val="131413"/>
          <w:vertAlign w:val="superscript"/>
        </w:rPr>
        <w:t>.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131413"/>
        </w:rPr>
        <w:t>Soil-borne pathogens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</w:t>
      </w:r>
      <w:r>
        <w:rPr>
          <w:rFonts w:ascii="Times New Roman" w:cs="Times New Roman" w:eastAsia="Times New Roman" w:hAnsi="Times New Roman"/>
          <w:sz w:val="39"/>
          <w:szCs w:val="39"/>
          <w:color w:val="131413"/>
          <w:vertAlign w:val="superscript"/>
        </w:rPr>
        <w:t>.</w:t>
      </w:r>
      <w:r>
        <w:rPr>
          <w:rFonts w:ascii="Arial" w:cs="Arial" w:eastAsia="Arial" w:hAnsi="Arial"/>
          <w:sz w:val="20"/>
          <w:szCs w:val="20"/>
          <w:color w:val="131413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131413"/>
        </w:rPr>
        <w:t>Anastomosis group (AGs)</w:t>
      </w:r>
    </w:p>
    <w:p>
      <w:pPr>
        <w:sectPr>
          <w:pgSz w:w="11900" w:h="15817" w:orient="portrait"/>
          <w:cols w:equalWidth="0" w:num="1">
            <w:col w:w="9860"/>
          </w:cols>
          <w:pgMar w:left="1020" w:top="640" w:right="1026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3" w:lineRule="exact"/>
        <w:rPr>
          <w:sz w:val="24"/>
          <w:szCs w:val="24"/>
          <w:color w:val="auto"/>
        </w:rPr>
      </w:pPr>
    </w:p>
    <w:p>
      <w:pPr>
        <w:jc w:val="both"/>
        <w:spacing w:after="0" w:line="273" w:lineRule="auto"/>
        <w:rPr>
          <w:rFonts w:ascii="Times New Roman" w:cs="Times New Roman" w:eastAsia="Times New Roman" w:hAnsi="Times New Roman"/>
          <w:sz w:val="19"/>
          <w:szCs w:val="19"/>
          <w:color w:val="131413"/>
        </w:rPr>
      </w:pPr>
      <w:r>
        <w:rPr>
          <w:rFonts w:ascii="Times New Roman" w:cs="Times New Roman" w:eastAsia="Times New Roman" w:hAnsi="Times New Roman"/>
          <w:sz w:val="19"/>
          <w:szCs w:val="19"/>
          <w:color w:val="131413"/>
        </w:rPr>
        <w:t xml:space="preserve">During the fall 2019, 25 out of 50 two-month-old plants of Abelmoschus manihot (Syn: Hibiscus manihot), Malvaceae family, grown in pots in an experimental greenhouse located in Grugliasco (Northern Italy) showed stunting, leaf wither-ing, crown rot and died seven days after the appearance of the first symptoms. Colonies of a fungus with the characteristics of Rhizoctonia solani (Sneh et al. </w:t>
      </w:r>
      <w:hyperlink w:anchor="page1">
        <w:r>
          <w:rPr>
            <w:rFonts w:ascii="Times New Roman" w:cs="Times New Roman" w:eastAsia="Times New Roman" w:hAnsi="Times New Roman"/>
            <w:sz w:val="19"/>
            <w:szCs w:val="19"/>
            <w:color w:val="0000FF"/>
          </w:rPr>
          <w:t>1991</w:t>
        </w:r>
      </w:hyperlink>
      <w:r>
        <w:rPr>
          <w:rFonts w:ascii="Times New Roman" w:cs="Times New Roman" w:eastAsia="Times New Roman" w:hAnsi="Times New Roman"/>
          <w:sz w:val="19"/>
          <w:szCs w:val="19"/>
          <w:color w:val="131413"/>
        </w:rPr>
        <w:t xml:space="preserve">) were isolated with a frequency of 90%. Colonies grown on PDA for 30 days showed a light brown, compact mycelium with hyphae devel-oping radially. Sclerotia developed after 20 days and they were few, small (1.1 mm in diameter), rounded, dark-brown with rusty surfaces. The anastomosis group was determined by pairing (three replicates/pairing) the isolate 19/61 with R. solani isolates belonging to the groups AG-1, AG-2, AG-4, AG-7, AG-11. The isolate 19/61 formed anastomosis only with R. solani AG-4 group with a low fusion frequency (&lt;30%). A PCR was carried out with primers ITS1/ITS4 (GenBank Accession No. MN822713) and the sequence, an-alyzed using BLASTn, showed 100% homology with R. solani AG-4 HG-I (MN106332). The morphological char-acteristics of the sclerotia and the high DNA base sequence homology determined that the isolate 19/61 belongs to the subgroup HG-I of R. solani AG-4 (Sherwood </w:t>
      </w:r>
      <w:hyperlink w:anchor="page1">
        <w:r>
          <w:rPr>
            <w:rFonts w:ascii="Times New Roman" w:cs="Times New Roman" w:eastAsia="Times New Roman" w:hAnsi="Times New Roman"/>
            <w:sz w:val="19"/>
            <w:szCs w:val="19"/>
            <w:color w:val="0000FF"/>
          </w:rPr>
          <w:t>1969</w:t>
        </w:r>
      </w:hyperlink>
      <w:r>
        <w:rPr>
          <w:rFonts w:ascii="Times New Roman" w:cs="Times New Roman" w:eastAsia="Times New Roman" w:hAnsi="Times New Roman"/>
          <w:sz w:val="19"/>
          <w:szCs w:val="19"/>
          <w:color w:val="131413"/>
        </w:rPr>
        <w:t>). Three repeated pathogenicity tests (6 plants for each test), were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374650</wp:posOffset>
                </wp:positionV>
                <wp:extent cx="303022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176">
                          <a:solidFill>
                            <a:srgbClr val="13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29.5pt" to="238.6pt,29.5pt" o:allowincell="f" strokecolor="#131413" strokeweight="1.50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374650</wp:posOffset>
                </wp:positionV>
                <wp:extent cx="1206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476">
                          <a:solidFill>
                            <a:srgbClr val="13141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4499pt,29.5pt" to="0.5pt,29.5pt" o:allowincell="f" strokecolor="#131413" strokeweight="0.50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320" w:right="2980" w:hanging="320"/>
        <w:spacing w:after="0" w:line="258" w:lineRule="auto"/>
        <w:tabs>
          <w:tab w:leader="none" w:pos="32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6"/>
          <w:szCs w:val="16"/>
          <w:color w:val="131413"/>
        </w:rPr>
      </w:pPr>
      <w:r>
        <w:rPr>
          <w:rFonts w:ascii="Times New Roman" w:cs="Times New Roman" w:eastAsia="Times New Roman" w:hAnsi="Times New Roman"/>
          <w:sz w:val="16"/>
          <w:szCs w:val="16"/>
          <w:color w:val="131413"/>
        </w:rPr>
        <w:t xml:space="preserve">Giulia Tabone </w:t>
      </w:r>
      <w:hyperlink r:id="rId9">
        <w:r>
          <w:rPr>
            <w:rFonts w:ascii="Times New Roman" w:cs="Times New Roman" w:eastAsia="Times New Roman" w:hAnsi="Times New Roman"/>
            <w:sz w:val="16"/>
            <w:szCs w:val="16"/>
            <w:color w:val="131413"/>
          </w:rPr>
          <w:t>giulia.tabone@unito.it</w:t>
        </w:r>
      </w:hyperlink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280" w:hanging="280"/>
        <w:spacing w:after="0" w:line="212" w:lineRule="auto"/>
        <w:tabs>
          <w:tab w:leader="none" w:pos="2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131413"/>
          <w:vertAlign w:val="superscript"/>
        </w:rPr>
      </w:pPr>
      <w:r>
        <w:rPr>
          <w:rFonts w:ascii="Times New Roman" w:cs="Times New Roman" w:eastAsia="Times New Roman" w:hAnsi="Times New Roman"/>
          <w:sz w:val="17"/>
          <w:szCs w:val="17"/>
          <w:color w:val="131413"/>
        </w:rPr>
        <w:t>Centre of Competence for the Innovation in the Agro-Environmental Sector (AGROINNOVA), University of Torino, Largo Paolo Braccini 2, 10095 Grugliasco, Torino, Italy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918845</wp:posOffset>
            </wp:positionV>
            <wp:extent cx="1676400" cy="136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jc w:val="both"/>
        <w:spacing w:after="0" w:line="259" w:lineRule="auto"/>
        <w:rPr>
          <w:rFonts w:ascii="Times New Roman" w:cs="Times New Roman" w:eastAsia="Times New Roman" w:hAnsi="Times New Roman"/>
          <w:sz w:val="20"/>
          <w:szCs w:val="20"/>
          <w:color w:val="131413"/>
        </w:rPr>
      </w:pPr>
      <w:r>
        <w:rPr>
          <w:rFonts w:ascii="Times New Roman" w:cs="Times New Roman" w:eastAsia="Times New Roman" w:hAnsi="Times New Roman"/>
          <w:sz w:val="20"/>
          <w:szCs w:val="20"/>
          <w:color w:val="131413"/>
        </w:rPr>
        <w:t xml:space="preserve">carried out on 30-day-old plants of A. manihot. Two mycelial plugs (8 mm in diameter) of the isolate 19/61 were placed at the crown of the plants that were main-tained in a greenhouse at temperatures ranging from 20 to 25 °C. For each trial, six plants were treated with sterile PDA plugs and used as controls. After seven days, the inoculated plants died while the controls remained healthy. R. solani AG-4 HG-I was reisolated with a fre-quency of &gt;90%. R. solani was reported on several spe-cies of Hibiscus (Farr and Rossman </w:t>
      </w:r>
      <w:hyperlink w:anchor="page1">
        <w:r>
          <w:rPr>
            <w:rFonts w:ascii="Times New Roman" w:cs="Times New Roman" w:eastAsia="Times New Roman" w:hAnsi="Times New Roman"/>
            <w:sz w:val="20"/>
            <w:szCs w:val="20"/>
            <w:color w:val="0000FF"/>
          </w:rPr>
          <w:t>2020</w:t>
        </w:r>
      </w:hyperlink>
      <w:r>
        <w:rPr>
          <w:rFonts w:ascii="Times New Roman" w:cs="Times New Roman" w:eastAsia="Times New Roman" w:hAnsi="Times New Roman"/>
          <w:sz w:val="20"/>
          <w:szCs w:val="20"/>
          <w:color w:val="131413"/>
        </w:rPr>
        <w:t>). This is the first report of R. solani on A. manihot in Italy. The spread of R. solani on Hibiscus spp. could represent a serious problem for their cultivation, in particular for H. syriacus widely used in hedges.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131413"/>
        </w:rPr>
        <w:t>References</w: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both"/>
        <w:ind w:left="340" w:hanging="338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131413"/>
        </w:rPr>
        <w:t>Farr DF, Rossman AY (2020) Fungal Databases, U.S. National Fungus Collections, ARS, USDA. Retrieved February 25, 2020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both"/>
        <w:ind w:left="340" w:hanging="338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131413"/>
        </w:rPr>
        <w:t>Sherwood RT (1969) Morphology and physiology in four anastomosis groups of Thanatephorus cucumeris. Phytopathology 59:1924</w:t>
      </w:r>
      <w:r>
        <w:rPr>
          <w:rFonts w:ascii="Arial" w:cs="Arial" w:eastAsia="Arial" w:hAnsi="Arial"/>
          <w:sz w:val="17"/>
          <w:szCs w:val="17"/>
          <w:color w:val="131413"/>
        </w:rPr>
        <w:t>–</w:t>
      </w:r>
      <w:r>
        <w:rPr>
          <w:rFonts w:ascii="Times New Roman" w:cs="Times New Roman" w:eastAsia="Times New Roman" w:hAnsi="Times New Roman"/>
          <w:sz w:val="17"/>
          <w:szCs w:val="17"/>
          <w:color w:val="131413"/>
        </w:rPr>
        <w:t xml:space="preserve"> 1929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340" w:hanging="338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131413"/>
        </w:rPr>
        <w:t>Sneh B, Burpee L, Ogoshi A (1991) Identification of Rhizoctonia species. APS, St Paul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both"/>
        <w:spacing w:after="0" w:line="23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131413"/>
        </w:rPr>
        <w:t xml:space="preserve">Publisher’s note </w:t>
      </w:r>
      <w:r>
        <w:rPr>
          <w:rFonts w:ascii="Times New Roman" w:cs="Times New Roman" w:eastAsia="Times New Roman" w:hAnsi="Times New Roman"/>
          <w:sz w:val="17"/>
          <w:szCs w:val="17"/>
          <w:color w:val="131413"/>
        </w:rPr>
        <w:t>Springer Nature remains neutral with regard to jurisdic-tional claims in published maps and institutional affiliations.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2526030</wp:posOffset>
            </wp:positionH>
            <wp:positionV relativeFrom="paragraph">
              <wp:posOffset>1896110</wp:posOffset>
            </wp:positionV>
            <wp:extent cx="483870" cy="1384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13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5817" w:orient="portrait"/>
      <w:cols w:equalWidth="0" w:num="2">
        <w:col w:w="4760" w:space="340"/>
        <w:col w:w="4760"/>
      </w:cols>
      <w:pgMar w:left="1020" w:top="640" w:right="1026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#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*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%1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9" Type="http://schemas.openxmlformats.org/officeDocument/2006/relationships/hyperlink" Target="mailto:giulia.tabone@unito.it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2020-09-15T04:09:10Z</dcterms:created>
  <dcterms:modified xsi:type="dcterms:W3CDTF">2020-09-15T04:09:10Z</dcterms:modified>
</cp:coreProperties>
</file>