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
        <w:spacing w:after="0"/>
        <w:rPr>
          <w:sz w:val="20"/>
          <w:szCs w:val="20"/>
          <w:color w:val="auto"/>
        </w:rPr>
      </w:pPr>
      <w:r>
        <w:rPr>
          <w:rFonts w:ascii="Times New Roman" w:cs="Times New Roman" w:eastAsia="Times New Roman" w:hAnsi="Times New Roman"/>
          <w:sz w:val="17"/>
          <w:szCs w:val="17"/>
          <w:color w:val="131413"/>
        </w:rPr>
        <w:t>Plant Soil</w:t>
      </w:r>
    </w:p>
    <w:p>
      <w:pPr>
        <w:spacing w:after="0" w:line="31"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131413"/>
        </w:rPr>
        <w:t>https://doi.org/10.1007/s11104-020-04658-2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83820</wp:posOffset>
                </wp:positionV>
                <wp:extent cx="2735580" cy="25209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252095"/>
                        </a:xfrm>
                        <a:prstGeom prst="rect">
                          <a:avLst/>
                        </a:prstGeom>
                        <a:solidFill>
                          <a:srgbClr val="C3C4C4"/>
                        </a:solidFill>
                      </wps:spPr>
                      <wps:bodyPr/>
                    </wps:wsp>
                  </a:graphicData>
                </a:graphic>
              </wp:anchor>
            </w:drawing>
          </mc:Choice>
          <mc:Fallback>
            <w:pict>
              <v:rect id="Shape 1" o:spid="_x0000_s1026" style="position:absolute;margin-left:0pt;margin-top:6.6pt;width:215.4pt;height:19.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3C4C4" stroked="f"/>
            </w:pict>
          </mc:Fallback>
        </mc:AlternateContent>
        <mc:AlternateContent>
          <mc:Choice Requires="wps">
            <w:drawing>
              <wp:anchor simplePos="0" relativeHeight="251657728" behindDoc="1" locked="0" layoutInCell="0" allowOverlap="1">
                <wp:simplePos x="0" y="0"/>
                <wp:positionH relativeFrom="column">
                  <wp:posOffset>2735580</wp:posOffset>
                </wp:positionH>
                <wp:positionV relativeFrom="paragraph">
                  <wp:posOffset>95885</wp:posOffset>
                </wp:positionV>
                <wp:extent cx="0" cy="24638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12700">
                          <a:solidFill>
                            <a:srgbClr val="C3C4C4"/>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4pt,7.55pt" to="215.4pt,26.95pt" o:allowincell="f" strokecolor="#C3C4C4"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83820</wp:posOffset>
                </wp:positionV>
                <wp:extent cx="0" cy="2584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12700">
                          <a:solidFill>
                            <a:srgbClr val="C3C4C4"/>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pt" to="0pt,26.95pt" o:allowincell="f" strokecolor="#C3C4C4"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77470</wp:posOffset>
                </wp:positionV>
                <wp:extent cx="0" cy="127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C3C4C4"/>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0pt,7.1pt" o:allowincell="f" strokecolor="#C3C4C4" strokeweight="0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335915</wp:posOffset>
                </wp:positionV>
                <wp:extent cx="2747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7645" cy="4763"/>
                        </a:xfrm>
                        <a:prstGeom prst="line">
                          <a:avLst/>
                        </a:prstGeom>
                        <a:solidFill>
                          <a:srgbClr val="FFFFFF"/>
                        </a:solidFill>
                        <a:ln w="12700">
                          <a:solidFill>
                            <a:srgbClr val="C3C4C4"/>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45pt" to="215.9pt,26.45pt" o:allowincell="f" strokecolor="#C3C4C4"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89535</wp:posOffset>
                </wp:positionV>
                <wp:extent cx="57651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165" cy="4763"/>
                        </a:xfrm>
                        <a:prstGeom prst="line">
                          <a:avLst/>
                        </a:prstGeom>
                        <a:solidFill>
                          <a:srgbClr val="FFFFFF"/>
                        </a:solidFill>
                        <a:ln w="24940">
                          <a:solidFill>
                            <a:srgbClr val="131413"/>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05pt" to="453.5pt,7.05pt" o:allowincell="f" strokecolor="#131413" strokeweight="1.9638pt"/>
            </w:pict>
          </mc:Fallback>
        </mc:AlternateContent>
        <mc:AlternateContent>
          <mc:Choice Requires="wps">
            <w:drawing>
              <wp:anchor simplePos="0" relativeHeight="251657728" behindDoc="1" locked="0" layoutInCell="0" allowOverlap="1">
                <wp:simplePos x="0" y="0"/>
                <wp:positionH relativeFrom="column">
                  <wp:posOffset>5753100</wp:posOffset>
                </wp:positionH>
                <wp:positionV relativeFrom="paragraph">
                  <wp:posOffset>89535</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0">
                          <a:solidFill>
                            <a:srgbClr val="13141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pt,7.05pt" to="454pt,7.05pt" o:allowincell="f" strokecolor="#131413" strokeweight="0.9638pt"/>
            </w:pict>
          </mc:Fallback>
        </mc:AlternateContent>
      </w:r>
    </w:p>
    <w:p>
      <w:pPr>
        <w:spacing w:after="0" w:line="177" w:lineRule="exact"/>
        <w:rPr>
          <w:sz w:val="24"/>
          <w:szCs w:val="24"/>
          <w:color w:val="auto"/>
        </w:rPr>
      </w:pPr>
    </w:p>
    <w:p>
      <w:pPr>
        <w:ind w:left="105"/>
        <w:spacing w:after="0"/>
        <w:rPr>
          <w:sz w:val="20"/>
          <w:szCs w:val="20"/>
          <w:color w:val="auto"/>
        </w:rPr>
      </w:pPr>
      <w:r>
        <w:rPr>
          <w:rFonts w:ascii="Times New Roman" w:cs="Times New Roman" w:eastAsia="Times New Roman" w:hAnsi="Times New Roman"/>
          <w:sz w:val="21"/>
          <w:szCs w:val="21"/>
          <w:color w:val="131413"/>
        </w:rPr>
        <w:t>REGULAR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5061585</wp:posOffset>
            </wp:positionH>
            <wp:positionV relativeFrom="paragraph">
              <wp:posOffset>-107315</wp:posOffset>
            </wp:positionV>
            <wp:extent cx="697865" cy="6972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extLst>
                    </a:blip>
                    <a:srcRect/>
                    <a:stretch>
                      <a:fillRect/>
                    </a:stretch>
                  </pic:blipFill>
                  <pic:spPr bwMode="auto">
                    <a:xfrm>
                      <a:off x="0" y="0"/>
                      <a:ext cx="697865" cy="697230"/>
                    </a:xfrm>
                    <a:prstGeom prst="rect">
                      <a:avLst/>
                    </a:prstGeom>
                    <a:noFill/>
                  </pic:spPr>
                </pic:pic>
              </a:graphicData>
            </a:graphic>
          </wp:anchor>
        </w:drawing>
      </w:r>
    </w:p>
    <w:p>
      <w:pPr>
        <w:spacing w:after="0" w:line="200" w:lineRule="exact"/>
        <w:rPr>
          <w:sz w:val="24"/>
          <w:szCs w:val="24"/>
          <w:color w:val="auto"/>
        </w:rPr>
      </w:pPr>
    </w:p>
    <w:p>
      <w:pPr>
        <w:spacing w:after="0" w:line="382" w:lineRule="exact"/>
        <w:rPr>
          <w:sz w:val="24"/>
          <w:szCs w:val="24"/>
          <w:color w:val="auto"/>
        </w:rPr>
      </w:pPr>
    </w:p>
    <w:p>
      <w:pPr>
        <w:ind w:left="5" w:right="1620"/>
        <w:spacing w:after="0" w:line="222" w:lineRule="auto"/>
        <w:rPr>
          <w:sz w:val="20"/>
          <w:szCs w:val="20"/>
          <w:color w:val="auto"/>
        </w:rPr>
      </w:pPr>
      <w:r>
        <w:rPr>
          <w:rFonts w:ascii="Times New Roman" w:cs="Times New Roman" w:eastAsia="Times New Roman" w:hAnsi="Times New Roman"/>
          <w:sz w:val="32"/>
          <w:szCs w:val="32"/>
          <w:color w:val="131413"/>
        </w:rPr>
        <w:t xml:space="preserve">Nutrient availability measurement techniques in arctic tundra soils: </w:t>
      </w:r>
      <w:r>
        <w:rPr>
          <w:rFonts w:ascii="Arial" w:cs="Arial" w:eastAsia="Arial" w:hAnsi="Arial"/>
          <w:sz w:val="32"/>
          <w:szCs w:val="32"/>
          <w:color w:val="131413"/>
        </w:rPr>
        <w:t>in situ</w:t>
      </w:r>
      <w:r>
        <w:rPr>
          <w:rFonts w:ascii="Times New Roman" w:cs="Times New Roman" w:eastAsia="Times New Roman" w:hAnsi="Times New Roman"/>
          <w:sz w:val="32"/>
          <w:szCs w:val="32"/>
          <w:color w:val="131413"/>
        </w:rPr>
        <w:t xml:space="preserve"> ion exchange membranes compared to direct extraction</w:t>
      </w:r>
    </w:p>
    <w:p>
      <w:pPr>
        <w:sectPr>
          <w:pgSz w:w="10940" w:h="14740" w:orient="portrait"/>
          <w:cols w:equalWidth="0" w:num="1">
            <w:col w:w="9065"/>
          </w:cols>
          <w:pgMar w:left="935" w:top="636" w:right="942" w:bottom="882" w:gutter="0" w:footer="0" w:header="0"/>
        </w:sectPr>
      </w:pPr>
    </w:p>
    <w:p>
      <w:pPr>
        <w:spacing w:after="0" w:line="341" w:lineRule="exact"/>
        <w:rPr>
          <w:sz w:val="24"/>
          <w:szCs w:val="24"/>
          <w:color w:val="auto"/>
        </w:rPr>
      </w:pPr>
    </w:p>
    <w:p>
      <w:pPr>
        <w:ind w:left="5"/>
        <w:spacing w:after="0"/>
        <w:rPr>
          <w:sz w:val="20"/>
          <w:szCs w:val="20"/>
          <w:color w:val="auto"/>
        </w:rPr>
      </w:pPr>
      <w:r>
        <w:rPr>
          <w:rFonts w:ascii="Times New Roman" w:cs="Times New Roman" w:eastAsia="Times New Roman" w:hAnsi="Times New Roman"/>
          <w:sz w:val="20"/>
          <w:szCs w:val="20"/>
          <w:color w:val="131413"/>
        </w:rPr>
        <w:t xml:space="preserve">Qian Gu </w:t>
      </w:r>
      <w:r>
        <w:rPr>
          <w:rFonts w:ascii="Arial" w:cs="Arial" w:eastAsia="Arial" w:hAnsi="Arial"/>
          <w:sz w:val="15"/>
          <w:szCs w:val="15"/>
          <w:color w:val="131413"/>
        </w:rPr>
        <w:t>&amp;</w:t>
      </w:r>
      <w:r>
        <w:rPr>
          <w:rFonts w:ascii="Times New Roman" w:cs="Times New Roman" w:eastAsia="Times New Roman" w:hAnsi="Times New Roman"/>
          <w:sz w:val="20"/>
          <w:szCs w:val="20"/>
          <w:color w:val="131413"/>
        </w:rPr>
        <w:t xml:space="preserve">  Paul Grogan</w:t>
      </w: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131413"/>
        </w:rPr>
        <w:t>Received: 8 January 2020 / Accepted: 29 July 2020</w:t>
      </w:r>
    </w:p>
    <w:p>
      <w:pPr>
        <w:spacing w:after="0" w:line="2" w:lineRule="exact"/>
        <w:rPr>
          <w:sz w:val="24"/>
          <w:szCs w:val="24"/>
          <w:color w:val="auto"/>
        </w:rPr>
      </w:pPr>
    </w:p>
    <w:p>
      <w:pPr>
        <w:ind w:left="225" w:hanging="225"/>
        <w:spacing w:after="0"/>
        <w:tabs>
          <w:tab w:leader="none" w:pos="225" w:val="left"/>
        </w:tabs>
        <w:numPr>
          <w:ilvl w:val="0"/>
          <w:numId w:val="1"/>
        </w:numPr>
        <w:rPr>
          <w:rFonts w:ascii="Arial" w:cs="Arial" w:eastAsia="Arial" w:hAnsi="Arial"/>
          <w:sz w:val="17"/>
          <w:szCs w:val="17"/>
          <w:color w:val="131413"/>
        </w:rPr>
      </w:pPr>
      <w:r>
        <w:rPr>
          <w:rFonts w:ascii="Times New Roman" w:cs="Times New Roman" w:eastAsia="Times New Roman" w:hAnsi="Times New Roman"/>
          <w:sz w:val="17"/>
          <w:szCs w:val="17"/>
          <w:color w:val="131413"/>
        </w:rPr>
        <w:t>Springer Nature Switzerland AG 2020</w:t>
      </w:r>
    </w:p>
    <w:p>
      <w:pPr>
        <w:spacing w:after="0" w:line="338" w:lineRule="exact"/>
        <w:rPr>
          <w:sz w:val="24"/>
          <w:szCs w:val="24"/>
          <w:color w:val="auto"/>
        </w:rPr>
      </w:pPr>
    </w:p>
    <w:p>
      <w:pPr>
        <w:ind w:left="5"/>
        <w:spacing w:after="0"/>
        <w:rPr>
          <w:sz w:val="20"/>
          <w:szCs w:val="20"/>
          <w:color w:val="auto"/>
        </w:rPr>
      </w:pPr>
      <w:r>
        <w:rPr>
          <w:rFonts w:ascii="Times New Roman" w:cs="Times New Roman" w:eastAsia="Times New Roman" w:hAnsi="Times New Roman"/>
          <w:sz w:val="20"/>
          <w:szCs w:val="20"/>
          <w:color w:val="131413"/>
        </w:rPr>
        <w:t>Abstract</w:t>
      </w:r>
    </w:p>
    <w:p>
      <w:pPr>
        <w:spacing w:after="0" w:line="9" w:lineRule="exact"/>
        <w:rPr>
          <w:sz w:val="24"/>
          <w:szCs w:val="24"/>
          <w:color w:val="auto"/>
        </w:rPr>
      </w:pPr>
    </w:p>
    <w:p>
      <w:pPr>
        <w:jc w:val="both"/>
        <w:ind w:left="5"/>
        <w:spacing w:after="0" w:line="272" w:lineRule="auto"/>
        <w:rPr>
          <w:sz w:val="20"/>
          <w:szCs w:val="20"/>
          <w:color w:val="auto"/>
        </w:rPr>
      </w:pPr>
      <w:r>
        <w:rPr>
          <w:rFonts w:ascii="Times New Roman" w:cs="Times New Roman" w:eastAsia="Times New Roman" w:hAnsi="Times New Roman"/>
          <w:sz w:val="19"/>
          <w:szCs w:val="19"/>
          <w:color w:val="131413"/>
        </w:rPr>
        <w:t>Aims The use of ion exchange membranes (IEMs) as an alternative to direct chemical extractions for measuring soil nutrient availability has many theoretical advan-tages but was not well-investigated in the arctic. We compared the two methods in a low Arctic tundra eco-system, and investigated the applicability of IEMs to determine experimental treatment effects on soil fertility and plant nutrient acquisition.</w:t>
      </w:r>
    </w:p>
    <w:p>
      <w:pPr>
        <w:spacing w:after="0" w:line="1" w:lineRule="exact"/>
        <w:rPr>
          <w:sz w:val="24"/>
          <w:szCs w:val="24"/>
          <w:color w:val="auto"/>
        </w:rPr>
      </w:pPr>
    </w:p>
    <w:p>
      <w:pPr>
        <w:jc w:val="both"/>
        <w:ind w:left="5"/>
        <w:spacing w:after="0" w:line="258" w:lineRule="auto"/>
        <w:rPr>
          <w:sz w:val="20"/>
          <w:szCs w:val="20"/>
          <w:color w:val="auto"/>
        </w:rPr>
      </w:pPr>
      <w:r>
        <w:rPr>
          <w:rFonts w:ascii="Times New Roman" w:cs="Times New Roman" w:eastAsia="Times New Roman" w:hAnsi="Times New Roman"/>
          <w:sz w:val="20"/>
          <w:szCs w:val="20"/>
          <w:color w:val="131413"/>
        </w:rPr>
        <w:t>Methods We compared IEM incubation and soil sample water-extraction methods to assess the intra-seasonal availabilities of ammonium, nitrate, and phosphate in tundra soils from experimental fertilization treatments. We determined plant species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foliar nutrient concentra-tions in those treatments to evaluate the effectiveness of the two methods in predicting plant nutrient acquisition. We also incubated IEMs in summer greenhouse warming and snowfence treatment soils and investigat-ed the corresponding plant community biomass responses.</w:t>
      </w:r>
    </w:p>
    <w:p>
      <w:pPr>
        <w:spacing w:after="0" w:line="1" w:lineRule="exact"/>
        <w:rPr>
          <w:sz w:val="24"/>
          <w:szCs w:val="24"/>
          <w:color w:val="auto"/>
        </w:rPr>
      </w:pPr>
    </w:p>
    <w:p>
      <w:pPr>
        <w:jc w:val="both"/>
        <w:ind w:left="5"/>
        <w:spacing w:after="0" w:line="222" w:lineRule="auto"/>
        <w:rPr>
          <w:sz w:val="20"/>
          <w:szCs w:val="20"/>
          <w:color w:val="auto"/>
        </w:rPr>
      </w:pPr>
      <w:r>
        <w:rPr>
          <w:rFonts w:ascii="Times New Roman" w:cs="Times New Roman" w:eastAsia="Times New Roman" w:hAnsi="Times New Roman"/>
          <w:sz w:val="19"/>
          <w:szCs w:val="19"/>
          <w:color w:val="131413"/>
        </w:rPr>
        <w:t>Results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accumulations on IEMs across the fer-tilization treatments were closely correlated to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pools obtained by soil extraction. However, the IEM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27419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1930" cy="4763"/>
                        </a:xfrm>
                        <a:prstGeom prst="line">
                          <a:avLst/>
                        </a:prstGeom>
                        <a:solidFill>
                          <a:srgbClr val="FFFFFF"/>
                        </a:solidFill>
                        <a:ln w="19180">
                          <a:solidFill>
                            <a:srgbClr val="13141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215.9pt,13.35pt" o:allowincell="f" strokecolor="#131413" strokeweight="1.5102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169545</wp:posOffset>
                </wp:positionV>
                <wp:extent cx="12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13141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3.35pt" to="0.5pt,13.35pt" o:allowincell="f" strokecolor="#131413" strokeweight="0.5102pt"/>
            </w:pict>
          </mc:Fallback>
        </mc:AlternateContent>
      </w:r>
    </w:p>
    <w:p>
      <w:pPr>
        <w:spacing w:after="0" w:line="371"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131413"/>
        </w:rPr>
        <w:t>Responsible Editor: Peter J. Gregory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wp:posOffset>
                </wp:positionV>
                <wp:extent cx="27419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1930" cy="4763"/>
                        </a:xfrm>
                        <a:prstGeom prst="line">
                          <a:avLst/>
                        </a:prstGeom>
                        <a:solidFill>
                          <a:srgbClr val="FFFFFF"/>
                        </a:solidFill>
                        <a:ln w="18460">
                          <a:solidFill>
                            <a:srgbClr val="13141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pt" to="215.9pt,1.6pt" o:allowincell="f" strokecolor="#131413"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20320</wp:posOffset>
                </wp:positionV>
                <wp:extent cx="120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13141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6pt" to="0.5pt,1.6pt" o:allowincell="f" strokecolor="#131413" strokeweight="0.4535pt"/>
            </w:pict>
          </mc:Fallback>
        </mc:AlternateContent>
      </w:r>
    </w:p>
    <w:p>
      <w:pPr>
        <w:spacing w:after="0" w:line="146" w:lineRule="exact"/>
        <w:rPr>
          <w:sz w:val="24"/>
          <w:szCs w:val="24"/>
          <w:color w:val="auto"/>
        </w:rPr>
      </w:pPr>
    </w:p>
    <w:p>
      <w:pPr>
        <w:ind w:left="5" w:right="80"/>
        <w:spacing w:after="0" w:line="26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Electronic supplementary material The online version of this article (</w:t>
      </w:r>
      <w:hyperlink r:id="rId9">
        <w:r>
          <w:rPr>
            <w:rFonts w:ascii="Times New Roman" w:cs="Times New Roman" w:eastAsia="Times New Roman" w:hAnsi="Times New Roman"/>
            <w:sz w:val="16"/>
            <w:szCs w:val="16"/>
            <w:color w:val="0000FF"/>
          </w:rPr>
          <w:t>https://doi.org/10.1007/s11104-020-04658-2</w:t>
        </w:r>
      </w:hyperlink>
      <w:r>
        <w:rPr>
          <w:rFonts w:ascii="Times New Roman" w:cs="Times New Roman" w:eastAsia="Times New Roman" w:hAnsi="Times New Roman"/>
          <w:sz w:val="16"/>
          <w:szCs w:val="16"/>
          <w:color w:val="131413"/>
        </w:rPr>
        <w:t>) contains supplementary material, which is available to authorized users.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wp:posOffset>
                </wp:positionV>
                <wp:extent cx="27419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1930" cy="4763"/>
                        </a:xfrm>
                        <a:prstGeom prst="line">
                          <a:avLst/>
                        </a:prstGeom>
                        <a:solidFill>
                          <a:srgbClr val="FFFFFF"/>
                        </a:solidFill>
                        <a:ln w="18460">
                          <a:solidFill>
                            <a:srgbClr val="131413"/>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85pt" to="215.9pt,0.85pt" o:allowincell="f" strokecolor="#131413"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10795</wp:posOffset>
                </wp:positionV>
                <wp:extent cx="120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13141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85pt" to="0.5pt,0.85pt" o:allowincell="f" strokecolor="#131413" strokeweight="0.4535pt"/>
            </w:pict>
          </mc:Fallback>
        </mc:AlternateContent>
      </w:r>
    </w:p>
    <w:p>
      <w:pPr>
        <w:ind w:left="5"/>
        <w:spacing w:after="0" w:line="193" w:lineRule="auto"/>
        <w:rPr>
          <w:sz w:val="20"/>
          <w:szCs w:val="20"/>
          <w:color w:val="auto"/>
        </w:rPr>
      </w:pPr>
      <w:r>
        <w:rPr>
          <w:rFonts w:ascii="Times New Roman" w:cs="Times New Roman" w:eastAsia="Times New Roman" w:hAnsi="Times New Roman"/>
          <w:sz w:val="17"/>
          <w:szCs w:val="17"/>
          <w:color w:val="131413"/>
        </w:rPr>
        <w:t>Q. Gu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w:t>
      </w:r>
      <w:r>
        <w:rPr>
          <w:rFonts w:ascii="Arial" w:cs="Arial" w:eastAsia="Arial" w:hAnsi="Arial"/>
          <w:sz w:val="47"/>
          <w:szCs w:val="47"/>
          <w:color w:val="131413"/>
          <w:vertAlign w:val="superscript"/>
        </w:rPr>
        <w:t>:</w:t>
      </w:r>
      <w:r>
        <w:rPr>
          <w:rFonts w:ascii="Times New Roman" w:cs="Times New Roman" w:eastAsia="Times New Roman" w:hAnsi="Times New Roman"/>
          <w:sz w:val="17"/>
          <w:szCs w:val="17"/>
          <w:color w:val="131413"/>
        </w:rPr>
        <w:t xml:space="preserve"> P. Grogan</w:t>
      </w:r>
    </w:p>
    <w:p>
      <w:pPr>
        <w:spacing w:after="0" w:line="1" w:lineRule="exact"/>
        <w:rPr>
          <w:sz w:val="24"/>
          <w:szCs w:val="24"/>
          <w:color w:val="auto"/>
        </w:rPr>
      </w:pPr>
    </w:p>
    <w:p>
      <w:pPr>
        <w:ind w:left="5" w:right="620"/>
        <w:spacing w:after="0" w:line="235" w:lineRule="auto"/>
        <w:rPr>
          <w:sz w:val="20"/>
          <w:szCs w:val="20"/>
          <w:color w:val="auto"/>
        </w:rPr>
      </w:pPr>
      <w:r>
        <w:rPr>
          <w:rFonts w:ascii="Times New Roman" w:cs="Times New Roman" w:eastAsia="Times New Roman" w:hAnsi="Times New Roman"/>
          <w:sz w:val="17"/>
          <w:szCs w:val="17"/>
          <w:color w:val="131413"/>
        </w:rPr>
        <w:t>Department of Biology, Queen</w:t>
      </w:r>
      <w:r>
        <w:rPr>
          <w:rFonts w:ascii="Arial" w:cs="Arial" w:eastAsia="Arial" w:hAnsi="Arial"/>
          <w:sz w:val="17"/>
          <w:szCs w:val="17"/>
          <w:color w:val="131413"/>
        </w:rPr>
        <w:t>’</w:t>
      </w:r>
      <w:r>
        <w:rPr>
          <w:rFonts w:ascii="Times New Roman" w:cs="Times New Roman" w:eastAsia="Times New Roman" w:hAnsi="Times New Roman"/>
          <w:sz w:val="17"/>
          <w:szCs w:val="17"/>
          <w:color w:val="131413"/>
        </w:rPr>
        <w:t>s University, 116 Barrie StreetOntario K7L 3N6 Kingston, Canada e-mail: 15qg1@queensu.ca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241935</wp:posOffset>
            </wp:positionV>
            <wp:extent cx="1676400" cy="136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131413"/>
        </w:rPr>
        <w:t>method was more sensitive and so was able to detect effects of low level fertilization that corresponded with increases in plant foliar nutrient concentrations. Further-more, temporal pattern of IEM nutrient fluxes differed from the nutrient pools. The warming treatment en-hanced phosphate but not ammonium fluxes, although plant community biomass increased. The snowfence treatment had no effects on either flux, and the overwin-ter fluxes of both nutrients were extremely low com-pared to the growing season.</w:t>
      </w:r>
    </w:p>
    <w:p>
      <w:pPr>
        <w:spacing w:after="0" w:line="9" w:lineRule="exact"/>
        <w:rPr>
          <w:sz w:val="24"/>
          <w:szCs w:val="24"/>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131413"/>
        </w:rPr>
        <w:t>Conclusions We conclude that the IEM method is a relatively sensitive, simple, and effective method for measuring nutrient availability in tundra soils.</w:t>
      </w:r>
    </w:p>
    <w:p>
      <w:pPr>
        <w:spacing w:after="0" w:line="294" w:lineRule="exact"/>
        <w:rPr>
          <w:sz w:val="24"/>
          <w:szCs w:val="24"/>
          <w:color w:val="auto"/>
        </w:rPr>
      </w:pPr>
    </w:p>
    <w:p>
      <w:pPr>
        <w:ind w:right="240"/>
        <w:spacing w:after="0" w:line="200" w:lineRule="auto"/>
        <w:rPr>
          <w:sz w:val="20"/>
          <w:szCs w:val="20"/>
          <w:color w:val="auto"/>
        </w:rPr>
      </w:pPr>
      <w:r>
        <w:rPr>
          <w:rFonts w:ascii="Times New Roman" w:cs="Times New Roman" w:eastAsia="Times New Roman" w:hAnsi="Times New Roman"/>
          <w:sz w:val="18"/>
          <w:szCs w:val="18"/>
          <w:color w:val="131413"/>
        </w:rPr>
        <w:t xml:space="preserve">Keywords Nitrogen </w:t>
      </w:r>
      <w:r>
        <w:rPr>
          <w:rFonts w:ascii="Times New Roman" w:cs="Times New Roman" w:eastAsia="Times New Roman" w:hAnsi="Times New Roman"/>
          <w:sz w:val="35"/>
          <w:szCs w:val="35"/>
          <w:color w:val="131413"/>
          <w:vertAlign w:val="superscript"/>
        </w:rPr>
        <w:t>.</w:t>
      </w:r>
      <w:r>
        <w:rPr>
          <w:rFonts w:ascii="Times New Roman" w:cs="Times New Roman" w:eastAsia="Times New Roman" w:hAnsi="Times New Roman"/>
          <w:sz w:val="18"/>
          <w:szCs w:val="18"/>
          <w:color w:val="131413"/>
        </w:rPr>
        <w:t xml:space="preserve"> Phosphorus </w:t>
      </w:r>
      <w:r>
        <w:rPr>
          <w:rFonts w:ascii="Times New Roman" w:cs="Times New Roman" w:eastAsia="Times New Roman" w:hAnsi="Times New Roman"/>
          <w:sz w:val="35"/>
          <w:szCs w:val="35"/>
          <w:color w:val="131413"/>
          <w:vertAlign w:val="superscript"/>
        </w:rPr>
        <w:t>.</w:t>
      </w:r>
      <w:r>
        <w:rPr>
          <w:rFonts w:ascii="Times New Roman" w:cs="Times New Roman" w:eastAsia="Times New Roman" w:hAnsi="Times New Roman"/>
          <w:sz w:val="18"/>
          <w:szCs w:val="18"/>
          <w:color w:val="131413"/>
        </w:rPr>
        <w:t xml:space="preserve"> Fertilization </w:t>
      </w:r>
      <w:r>
        <w:rPr>
          <w:rFonts w:ascii="Times New Roman" w:cs="Times New Roman" w:eastAsia="Times New Roman" w:hAnsi="Times New Roman"/>
          <w:sz w:val="35"/>
          <w:szCs w:val="35"/>
          <w:color w:val="131413"/>
          <w:vertAlign w:val="superscript"/>
        </w:rPr>
        <w:t>.</w:t>
      </w:r>
      <w:r>
        <w:rPr>
          <w:rFonts w:ascii="Times New Roman" w:cs="Times New Roman" w:eastAsia="Times New Roman" w:hAnsi="Times New Roman"/>
          <w:sz w:val="18"/>
          <w:szCs w:val="18"/>
          <w:color w:val="131413"/>
        </w:rPr>
        <w:t xml:space="preserve"> Climate warming </w:t>
      </w:r>
      <w:r>
        <w:rPr>
          <w:rFonts w:ascii="Times New Roman" w:cs="Times New Roman" w:eastAsia="Times New Roman" w:hAnsi="Times New Roman"/>
          <w:sz w:val="35"/>
          <w:szCs w:val="35"/>
          <w:color w:val="131413"/>
          <w:vertAlign w:val="superscript"/>
        </w:rPr>
        <w:t>.</w:t>
      </w:r>
      <w:r>
        <w:rPr>
          <w:rFonts w:ascii="Times New Roman" w:cs="Times New Roman" w:eastAsia="Times New Roman" w:hAnsi="Times New Roman"/>
          <w:sz w:val="18"/>
          <w:szCs w:val="18"/>
          <w:color w:val="131413"/>
        </w:rPr>
        <w:t xml:space="preserve"> Deepened snow </w:t>
      </w:r>
      <w:r>
        <w:rPr>
          <w:rFonts w:ascii="Times New Roman" w:cs="Times New Roman" w:eastAsia="Times New Roman" w:hAnsi="Times New Roman"/>
          <w:sz w:val="35"/>
          <w:szCs w:val="35"/>
          <w:color w:val="131413"/>
          <w:vertAlign w:val="superscript"/>
        </w:rPr>
        <w:t>.</w:t>
      </w:r>
      <w:r>
        <w:rPr>
          <w:rFonts w:ascii="Times New Roman" w:cs="Times New Roman" w:eastAsia="Times New Roman" w:hAnsi="Times New Roman"/>
          <w:sz w:val="18"/>
          <w:szCs w:val="18"/>
          <w:color w:val="131413"/>
        </w:rPr>
        <w:t xml:space="preserve"> Plants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response</w:t>
      </w: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131413"/>
        </w:rPr>
        <w:t>Introduction</w:t>
      </w:r>
    </w:p>
    <w:p>
      <w:pPr>
        <w:spacing w:after="0" w:line="283" w:lineRule="exact"/>
        <w:rPr>
          <w:sz w:val="24"/>
          <w:szCs w:val="24"/>
          <w:color w:val="auto"/>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Soil nutrient availability to plants is a fundamental de-terminant of terrestrial ecosystem structure and func-tioning (Chapin III et al. </w:t>
      </w:r>
      <w:hyperlink w:anchor="page18">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131413"/>
        </w:rPr>
        <w:t>), and therefore, choosing a suitable measuring method to determine this availabil-ity is very important. Two major factors determine the availability of nutrient ions to the plant root systems: (1) the concentrations of ions in the soil solution within the plant rhizosphere (i.e. the pool of ions immediately accessible by plants); and (2) supply of additional ions from outside the rhizosphere to the root surface (i.e. ion fluxes from the bulk soil via diffusion and mass flow that replenish the rhizosphere pools), which is affected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2253615</wp:posOffset>
            </wp:positionH>
            <wp:positionV relativeFrom="paragraph">
              <wp:posOffset>194310</wp:posOffset>
            </wp:positionV>
            <wp:extent cx="483870" cy="138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5" w:space="460"/>
            <w:col w:w="4300"/>
          </w:cols>
          <w:pgMar w:left="935" w:top="636" w:right="942" w:bottom="882" w:gutter="0" w:footer="0" w:header="0"/>
          <w:type w:val="continuous"/>
        </w:sectPr>
      </w:pPr>
    </w:p>
    <w:bookmarkStart w:id="1" w:name="page2"/>
    <w:bookmarkEnd w:id="1"/>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80" w:gutter="0" w:footer="0" w:header="0"/>
        </w:sectPr>
      </w:pPr>
    </w:p>
    <w:p>
      <w:pPr>
        <w:spacing w:after="0" w:line="263" w:lineRule="exact"/>
        <w:rPr>
          <w:sz w:val="20"/>
          <w:szCs w:val="20"/>
          <w:color w:val="auto"/>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by soil moisture, soil pH, temperature, etc. (Abrams and Jarrell </w:t>
      </w:r>
      <w:hyperlink w:anchor="page18">
        <w:r>
          <w:rPr>
            <w:rFonts w:ascii="Times New Roman" w:cs="Times New Roman" w:eastAsia="Times New Roman" w:hAnsi="Times New Roman"/>
            <w:sz w:val="19"/>
            <w:szCs w:val="19"/>
            <w:color w:val="0000FF"/>
          </w:rPr>
          <w:t>1992</w:t>
        </w:r>
      </w:hyperlink>
      <w:r>
        <w:rPr>
          <w:rFonts w:ascii="Times New Roman" w:cs="Times New Roman" w:eastAsia="Times New Roman" w:hAnsi="Times New Roman"/>
          <w:sz w:val="19"/>
          <w:szCs w:val="19"/>
          <w:color w:val="131413"/>
        </w:rPr>
        <w:t xml:space="preserve">; Barber </w:t>
      </w:r>
      <w:hyperlink w:anchor="page18">
        <w:r>
          <w:rPr>
            <w:rFonts w:ascii="Times New Roman" w:cs="Times New Roman" w:eastAsia="Times New Roman" w:hAnsi="Times New Roman"/>
            <w:sz w:val="19"/>
            <w:szCs w:val="19"/>
            <w:color w:val="0000FF"/>
          </w:rPr>
          <w:t>1962</w:t>
        </w:r>
      </w:hyperlink>
      <w:r>
        <w:rPr>
          <w:rFonts w:ascii="Times New Roman" w:cs="Times New Roman" w:eastAsia="Times New Roman" w:hAnsi="Times New Roman"/>
          <w:sz w:val="19"/>
          <w:szCs w:val="19"/>
          <w:color w:val="131413"/>
        </w:rPr>
        <w:t xml:space="preserve">; Chapin </w:t>
      </w:r>
      <w:hyperlink w:anchor="page18">
        <w:r>
          <w:rPr>
            <w:rFonts w:ascii="Times New Roman" w:cs="Times New Roman" w:eastAsia="Times New Roman" w:hAnsi="Times New Roman"/>
            <w:sz w:val="19"/>
            <w:szCs w:val="19"/>
            <w:color w:val="0000FF"/>
          </w:rPr>
          <w:t>1980</w:t>
        </w:r>
      </w:hyperlink>
      <w:r>
        <w:rPr>
          <w:rFonts w:ascii="Times New Roman" w:cs="Times New Roman" w:eastAsia="Times New Roman" w:hAnsi="Times New Roman"/>
          <w:sz w:val="19"/>
          <w:szCs w:val="19"/>
          <w:color w:val="131413"/>
        </w:rPr>
        <w:t xml:space="preserve">; Yang et al. </w:t>
      </w:r>
      <w:hyperlink w:anchor="page18">
        <w:r>
          <w:rPr>
            <w:rFonts w:ascii="Times New Roman" w:cs="Times New Roman" w:eastAsia="Times New Roman" w:hAnsi="Times New Roman"/>
            <w:sz w:val="19"/>
            <w:szCs w:val="19"/>
            <w:color w:val="0000FF"/>
          </w:rPr>
          <w:t>1991</w:t>
        </w:r>
      </w:hyperlink>
      <w:r>
        <w:rPr>
          <w:rFonts w:ascii="Times New Roman" w:cs="Times New Roman" w:eastAsia="Times New Roman" w:hAnsi="Times New Roman"/>
          <w:sz w:val="19"/>
          <w:szCs w:val="19"/>
          <w:color w:val="131413"/>
        </w:rPr>
        <w:t>). A good measurement method should encompass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these key factors influencing nutrient availability to plants, and also be relatively easy to apply (Schinner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Additional methodological issues include disturbance and degradation of the habitat caused by sampling, the labor involved in sampling and process-ing, and logistical issues such as transportation and sample storage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xml:space="preserve">; Weih </w:t>
      </w:r>
      <w:hyperlink w:anchor="page18">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131413"/>
        </w:rPr>
        <w:t>).</w:t>
      </w:r>
    </w:p>
    <w:p>
      <w:pPr>
        <w:spacing w:after="0" w:line="255" w:lineRule="exact"/>
        <w:rPr>
          <w:rFonts w:ascii="Times New Roman" w:cs="Times New Roman" w:eastAsia="Times New Roman" w:hAnsi="Times New Roman"/>
          <w:sz w:val="19"/>
          <w:szCs w:val="19"/>
          <w:color w:val="131413"/>
        </w:rPr>
      </w:pPr>
    </w:p>
    <w:p>
      <w:pPr>
        <w:jc w:val="both"/>
        <w:spacing w:after="0" w:line="244" w:lineRule="auto"/>
        <w:rPr>
          <w:sz w:val="20"/>
          <w:szCs w:val="20"/>
          <w:color w:val="auto"/>
        </w:rPr>
      </w:pPr>
      <w:r>
        <w:rPr>
          <w:rFonts w:ascii="Times New Roman" w:cs="Times New Roman" w:eastAsia="Times New Roman" w:hAnsi="Times New Roman"/>
          <w:sz w:val="20"/>
          <w:szCs w:val="20"/>
          <w:color w:val="131413"/>
        </w:rPr>
        <w:t>Direct extraction compared to ion exchange as methods to determine soil nutrient availability</w:t>
      </w:r>
    </w:p>
    <w:p>
      <w:pPr>
        <w:spacing w:after="0" w:line="280" w:lineRule="exact"/>
        <w:rPr>
          <w:rFonts w:ascii="Times New Roman" w:cs="Times New Roman" w:eastAsia="Times New Roman" w:hAnsi="Times New Roman"/>
          <w:sz w:val="19"/>
          <w:szCs w:val="19"/>
          <w:color w:val="131413"/>
        </w:rPr>
      </w:pPr>
    </w:p>
    <w:p>
      <w:pPr>
        <w:jc w:val="both"/>
        <w:spacing w:after="0" w:line="289"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The direct chemical extraction method has been the most commonly used method for estimating soil nutri-ent availability (Gregorich and Carter </w:t>
      </w:r>
      <w:hyperlink w:anchor="page18">
        <w:r>
          <w:rPr>
            <w:rFonts w:ascii="Times New Roman" w:cs="Times New Roman" w:eastAsia="Times New Roman" w:hAnsi="Times New Roman"/>
            <w:sz w:val="18"/>
            <w:szCs w:val="18"/>
            <w:color w:val="0000FF"/>
          </w:rPr>
          <w:t>2007</w:t>
        </w:r>
      </w:hyperlink>
      <w:r>
        <w:rPr>
          <w:rFonts w:ascii="Times New Roman" w:cs="Times New Roman" w:eastAsia="Times New Roman" w:hAnsi="Times New Roman"/>
          <w:sz w:val="18"/>
          <w:szCs w:val="18"/>
          <w:color w:val="131413"/>
        </w:rPr>
        <w:t xml:space="preserve">; Kuo et al. </w:t>
      </w:r>
      <w:hyperlink w:anchor="page18">
        <w:r>
          <w:rPr>
            <w:rFonts w:ascii="Times New Roman" w:cs="Times New Roman" w:eastAsia="Times New Roman" w:hAnsi="Times New Roman"/>
            <w:sz w:val="18"/>
            <w:szCs w:val="18"/>
            <w:color w:val="0000FF"/>
          </w:rPr>
          <w:t>1996</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Mulvaney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1996</w:t>
        </w:r>
      </w:hyperlink>
      <w:r>
        <w:rPr>
          <w:rFonts w:ascii="Times New Roman" w:cs="Times New Roman" w:eastAsia="Times New Roman" w:hAnsi="Times New Roman"/>
          <w:sz w:val="18"/>
          <w:szCs w:val="18"/>
          <w:color w:val="131413"/>
        </w:rPr>
        <w:t xml:space="preserve">). For this method, a repre-sentative number of soil samples to a certain depth are taken from an area under investigation. These samples are combined and homogenized to a bulk sample after removing the coarse materials (rocks, roots, etc.). Soil nutrient pools in that bulk sample are determined by extraction with one of a variety of chemical solutions depending on the ion of interest (Gregorich and Carter </w:t>
      </w:r>
      <w:hyperlink w:anchor="page18">
        <w:r>
          <w:rPr>
            <w:rFonts w:ascii="Times New Roman" w:cs="Times New Roman" w:eastAsia="Times New Roman" w:hAnsi="Times New Roman"/>
            <w:sz w:val="18"/>
            <w:szCs w:val="18"/>
            <w:color w:val="0000FF"/>
          </w:rPr>
          <w:t>2007</w:t>
        </w:r>
      </w:hyperlink>
      <w:r>
        <w:rPr>
          <w:rFonts w:ascii="Times New Roman" w:cs="Times New Roman" w:eastAsia="Times New Roman" w:hAnsi="Times New Roman"/>
          <w:sz w:val="18"/>
          <w:szCs w:val="18"/>
          <w:color w:val="131413"/>
        </w:rPr>
        <w:t>). Although it has been widely used, there are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several problems associated with this method. The first major concern is the interpretation of the results, be-cause data based on this method are operationally de-fined by the chemical extractant used rather than by nutrient availability to plants. Second, these data reflect static nutrient pools and accordingly can only provide an instantaneous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snapshot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of soil available nutrient status (Abrams and Jarrell </w:t>
      </w:r>
      <w:hyperlink w:anchor="page18">
        <w:r>
          <w:rPr>
            <w:rFonts w:ascii="Times New Roman" w:cs="Times New Roman" w:eastAsia="Times New Roman" w:hAnsi="Times New Roman"/>
            <w:sz w:val="18"/>
            <w:szCs w:val="18"/>
            <w:color w:val="0000FF"/>
          </w:rPr>
          <w:t>1992</w:t>
        </w:r>
      </w:hyperlink>
      <w:r>
        <w:rPr>
          <w:rFonts w:ascii="Times New Roman" w:cs="Times New Roman" w:eastAsia="Times New Roman" w:hAnsi="Times New Roman"/>
          <w:sz w:val="18"/>
          <w:szCs w:val="18"/>
          <w:color w:val="131413"/>
        </w:rPr>
        <w:t xml:space="preserve">; Curtin et al. </w:t>
      </w:r>
      <w:hyperlink w:anchor="page18">
        <w:r>
          <w:rPr>
            <w:rFonts w:ascii="Times New Roman" w:cs="Times New Roman" w:eastAsia="Times New Roman" w:hAnsi="Times New Roman"/>
            <w:sz w:val="18"/>
            <w:szCs w:val="18"/>
            <w:color w:val="0000FF"/>
          </w:rPr>
          <w:t>1987</w:t>
        </w:r>
      </w:hyperlink>
      <w:r>
        <w:rPr>
          <w:rFonts w:ascii="Times New Roman" w:cs="Times New Roman" w:eastAsia="Times New Roman" w:hAnsi="Times New Roman"/>
          <w:sz w:val="18"/>
          <w:szCs w:val="18"/>
          <w:color w:val="131413"/>
        </w:rPr>
        <w:t xml:space="preserve">). Since soil nutrient availability can vary substantially over time scales of days or even hours (Buckeridge and Grogan </w:t>
      </w:r>
      <w:hyperlink w:anchor="page18">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Pedersen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Vandecar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it is</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often inappropriate to extrapolate these data across time periods. Third, for repeated (i.e. time series) measure-ments, this method introduces the potential error asso-ciated with spatial variation among successive samples from the same plot. This error due to spatial heteroge-neity can be very significant as soil biogeochemical variables (especially those associated with instantaneous nutrient availability) can vary substantially over dis-tances of only a few centimeters (Frankland et al. </w:t>
      </w:r>
      <w:hyperlink w:anchor="page18">
        <w:r>
          <w:rPr>
            <w:rFonts w:ascii="Times New Roman" w:cs="Times New Roman" w:eastAsia="Times New Roman" w:hAnsi="Times New Roman"/>
            <w:sz w:val="18"/>
            <w:szCs w:val="18"/>
            <w:color w:val="0000FF"/>
          </w:rPr>
          <w:t>1963</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Lechowicz and Bell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1991</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Pedersen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Snaydon </w:t>
      </w:r>
      <w:hyperlink w:anchor="page18">
        <w:r>
          <w:rPr>
            <w:rFonts w:ascii="Times New Roman" w:cs="Times New Roman" w:eastAsia="Times New Roman" w:hAnsi="Times New Roman"/>
            <w:sz w:val="18"/>
            <w:szCs w:val="18"/>
            <w:color w:val="0000FF"/>
          </w:rPr>
          <w:t>1962</w:t>
        </w:r>
      </w:hyperlink>
      <w:r>
        <w:rPr>
          <w:rFonts w:ascii="Times New Roman" w:cs="Times New Roman" w:eastAsia="Times New Roman" w:hAnsi="Times New Roman"/>
          <w:sz w:val="18"/>
          <w:szCs w:val="18"/>
          <w:color w:val="131413"/>
        </w:rPr>
        <w:t xml:space="preserve">; Wijesinghe and Hutchings </w:t>
      </w:r>
      <w:hyperlink w:anchor="page18">
        <w:r>
          <w:rPr>
            <w:rFonts w:ascii="Times New Roman" w:cs="Times New Roman" w:eastAsia="Times New Roman" w:hAnsi="Times New Roman"/>
            <w:sz w:val="18"/>
            <w:szCs w:val="18"/>
            <w:color w:val="0000FF"/>
          </w:rPr>
          <w:t>1997</w:t>
        </w:r>
      </w:hyperlink>
      <w:r>
        <w:rPr>
          <w:rFonts w:ascii="Times New Roman" w:cs="Times New Roman" w:eastAsia="Times New Roman" w:hAnsi="Times New Roman"/>
          <w:sz w:val="18"/>
          <w:szCs w:val="18"/>
          <w:color w:val="131413"/>
        </w:rPr>
        <w:t>). Fourth, direct soil extraction is a destructive data</w:t>
      </w:r>
    </w:p>
    <w:p>
      <w:pPr>
        <w:spacing w:after="0" w:line="20" w:lineRule="exact"/>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0000FF"/>
        </w:rPr>
        <w:drawing>
          <wp:anchor simplePos="0" relativeHeight="251657728" behindDoc="1" locked="0" layoutInCell="0" allowOverlap="1">
            <wp:simplePos x="0" y="0"/>
            <wp:positionH relativeFrom="column">
              <wp:posOffset>-2540</wp:posOffset>
            </wp:positionH>
            <wp:positionV relativeFrom="paragraph">
              <wp:posOffset>343535</wp:posOffset>
            </wp:positionV>
            <wp:extent cx="483870" cy="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0000FF"/>
        </w:rPr>
        <w:br w:type="column"/>
      </w:r>
    </w:p>
    <w:p>
      <w:pPr>
        <w:spacing w:after="0" w:line="242" w:lineRule="exact"/>
        <w:rPr>
          <w:rFonts w:ascii="Times New Roman" w:cs="Times New Roman" w:eastAsia="Times New Roman" w:hAnsi="Times New Roman"/>
          <w:sz w:val="18"/>
          <w:szCs w:val="18"/>
          <w:color w:val="0000FF"/>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collection method that removes soil and inevitably causes disturbances to the field sampling area that may be scientifically undesirable (Ehrenfeld et al. </w:t>
      </w:r>
      <w:hyperlink w:anchor="page18">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131413"/>
        </w:rPr>
        <w:t xml:space="preserve">; Iversen et al. </w:t>
      </w:r>
      <w:hyperlink w:anchor="page18">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131413"/>
        </w:rPr>
        <w:t xml:space="preserve">; Raison et al. </w:t>
      </w:r>
      <w:hyperlink w:anchor="page18">
        <w:r>
          <w:rPr>
            <w:rFonts w:ascii="Times New Roman" w:cs="Times New Roman" w:eastAsia="Times New Roman" w:hAnsi="Times New Roman"/>
            <w:sz w:val="19"/>
            <w:szCs w:val="19"/>
            <w:color w:val="0000FF"/>
          </w:rPr>
          <w:t>1987</w:t>
        </w:r>
      </w:hyperlink>
      <w:r>
        <w:rPr>
          <w:rFonts w:ascii="Times New Roman" w:cs="Times New Roman" w:eastAsia="Times New Roman" w:hAnsi="Times New Roman"/>
          <w:sz w:val="19"/>
          <w:szCs w:val="19"/>
          <w:color w:val="131413"/>
        </w:rPr>
        <w:t xml:space="preserve">; Schinner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Schmidt et al.</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131413"/>
        </w:rPr>
        <w:t xml:space="preserve">). Lastly, this method is time-restricted in terms of sample processing because soil biochemical characteristics can significantly change over time scales of hours to days (Pedersen et al. </w:t>
      </w:r>
      <w:hyperlink w:anchor="page18">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and such changes may be exacerbated by chang-es in the physical environment once the sample is re-moved from its in situ field location. Accordingly, soil samples need to be transported and stored at a constant cool temperature (e.g. 4 °C) and processed and extracted as soon as possible (normally within one to two days) after being collected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xml:space="preserve">). How-ever, these requirements may be difficult to achieve routinely when sampling in remote field areas such as tundra. Despite these drawbacks, the direct extraction method is still very widely used, mainly because it has been well established (Bremner and Keeney </w:t>
      </w:r>
      <w:hyperlink w:anchor="page18">
        <w:r>
          <w:rPr>
            <w:rFonts w:ascii="Times New Roman" w:cs="Times New Roman" w:eastAsia="Times New Roman" w:hAnsi="Times New Roman"/>
            <w:sz w:val="19"/>
            <w:szCs w:val="19"/>
            <w:color w:val="0000FF"/>
          </w:rPr>
          <w:t>1966</w:t>
        </w:r>
      </w:hyperlink>
      <w:r>
        <w:rPr>
          <w:rFonts w:ascii="Times New Roman" w:cs="Times New Roman" w:eastAsia="Times New Roman" w:hAnsi="Times New Roman"/>
          <w:sz w:val="19"/>
          <w:szCs w:val="19"/>
          <w:color w:val="131413"/>
        </w:rPr>
        <w:t xml:space="preserve">;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w:t>
      </w:r>
    </w:p>
    <w:p>
      <w:pPr>
        <w:spacing w:after="0" w:line="12" w:lineRule="exact"/>
        <w:rPr>
          <w:rFonts w:ascii="Times New Roman" w:cs="Times New Roman" w:eastAsia="Times New Roman" w:hAnsi="Times New Roman"/>
          <w:sz w:val="19"/>
          <w:szCs w:val="19"/>
          <w:color w:val="131413"/>
        </w:rPr>
      </w:pPr>
    </w:p>
    <w:p>
      <w:pPr>
        <w:jc w:val="both"/>
        <w:ind w:firstLine="227"/>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ion exchange resin bag (IEB) and the ion ex-change membrane (IEM) methods as alternatives for measuring soil nutrient availability have been developed in recent decades, especially in the tundra ecosystems (Abrams and Jarrell </w:t>
      </w:r>
      <w:hyperlink w:anchor="page18">
        <w:r>
          <w:rPr>
            <w:rFonts w:ascii="Times New Roman" w:cs="Times New Roman" w:eastAsia="Times New Roman" w:hAnsi="Times New Roman"/>
            <w:sz w:val="19"/>
            <w:szCs w:val="19"/>
            <w:color w:val="0000FF"/>
          </w:rPr>
          <w:t>1992</w:t>
        </w:r>
      </w:hyperlink>
      <w:r>
        <w:rPr>
          <w:rFonts w:ascii="Times New Roman" w:cs="Times New Roman" w:eastAsia="Times New Roman" w:hAnsi="Times New Roman"/>
          <w:sz w:val="19"/>
          <w:szCs w:val="19"/>
          <w:color w:val="131413"/>
        </w:rPr>
        <w:t xml:space="preserve">;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xml:space="preserve">;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xml:space="preserve">; Natali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Norby et al. </w:t>
      </w:r>
      <w:hyperlink w:anchor="page18">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131413"/>
        </w:rPr>
        <w:t xml:space="preserve">; Qian and Schoenau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131413"/>
        </w:rPr>
        <w:t xml:space="preserve">; Salmon et al. </w:t>
      </w:r>
      <w:hyperlink w:anchor="page18">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xml:space="preserve">). Most synthetic ion exchange resin bags (IEBs) and ion exchange membranes (IEMs) have similar chemical properties and operating principles, despite their different physical forms (Luqman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xml:space="preserve">). These ion exchange materials contain a backbone of solid organic hydrocarbon or fluorocarbon polymers to which fixed charge chemical groups (i.e.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functional groups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are covalently bound. Mobile ions (i.e.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counterions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are electrostatically bound to these func-tional groups, and can be exchanged for an equivalent number of target nutrient ions of similar charge from the surrounding medium if the electrostatic and concentra-tion gradients favor counterion displacement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xml:space="preserve">). Hence, the IEBs and IEMs function in a manner analogous to charged soil colloids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xml:space="preserve">; Luqman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w:t>
      </w:r>
    </w:p>
    <w:p>
      <w:pPr>
        <w:spacing w:after="0" w:line="10" w:lineRule="exact"/>
        <w:rPr>
          <w:rFonts w:ascii="Times New Roman" w:cs="Times New Roman" w:eastAsia="Times New Roman" w:hAnsi="Times New Roman"/>
          <w:sz w:val="19"/>
          <w:szCs w:val="19"/>
          <w:color w:val="131413"/>
        </w:rPr>
      </w:pPr>
    </w:p>
    <w:p>
      <w:pPr>
        <w:jc w:val="both"/>
        <w:ind w:firstLine="227"/>
        <w:spacing w:after="0" w:line="272" w:lineRule="auto"/>
        <w:rPr>
          <w:sz w:val="20"/>
          <w:szCs w:val="20"/>
          <w:color w:val="auto"/>
        </w:rPr>
      </w:pPr>
      <w:r>
        <w:rPr>
          <w:rFonts w:ascii="Times New Roman" w:cs="Times New Roman" w:eastAsia="Times New Roman" w:hAnsi="Times New Roman"/>
          <w:sz w:val="19"/>
          <w:szCs w:val="19"/>
          <w:color w:val="131413"/>
        </w:rPr>
        <w:t>Operationally, the IEB/IEM method differs from the direct extraction method in that a quantified volume of charged resin beads contained in porous nylon fabric</w:t>
      </w:r>
    </w:p>
    <w:p>
      <w:pPr>
        <w:sectPr>
          <w:pgSz w:w="10940" w:h="14740" w:orient="portrait"/>
          <w:cols w:equalWidth="0" w:num="2">
            <w:col w:w="4300" w:space="460"/>
            <w:col w:w="4300"/>
          </w:cols>
          <w:pgMar w:left="940" w:top="649" w:right="942" w:bottom="88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74" w:gutter="0" w:footer="0" w:header="0"/>
        </w:sectPr>
      </w:pPr>
    </w:p>
    <w:p>
      <w:pPr>
        <w:spacing w:after="0" w:line="263" w:lineRule="exact"/>
        <w:rPr>
          <w:sz w:val="20"/>
          <w:szCs w:val="20"/>
          <w:color w:val="auto"/>
        </w:rPr>
      </w:pPr>
    </w:p>
    <w:p>
      <w:pPr>
        <w:jc w:val="both"/>
        <w:spacing w:after="0" w:line="273"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 xml:space="preserve">bags, or a specified area of charged membranes (for the IEM method), are incubated in the field for a pre-determined amount of time. During incubation, the tar-get nutrient ions in the soil replace some of the initial counterions on the resin beads/membranes. At the end of the incubation, the resin bags/membranes are re-trieved from the field and processed by separating the resin beads/membranes from trapped soil particles, elut-ing the nutrient ions accumulated on the resin beads/ membranes using chemical solutions, and quantifying their amounts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xml:space="preserve">). The IEB/IEM method provides a novel way to estimate soil nutrient availability com-pared to the conventional soil extraction method, and has thus expanded our understanding of soil nutrient dynamics. Most importantly, the IEB/IEM method is sensitive to many critical in-situ factors (such as soil water content, soil pH, and soil temperature) that con-currently and dynamically affect soil nutrient availabil-ity during the period of incubation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xml:space="preserve">; Weih </w:t>
      </w:r>
      <w:hyperlink w:anchor="page18">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131413"/>
        </w:rPr>
        <w:t xml:space="preserve">). The ion exchange-derived nutrient flux results therefore reflect in situ real dynamic soil differences in: initial soil solution nutrient ion con-centrations; nutrient release rates from soil particles and active microbes; and movement of ions toward the resin beads via diffusion and mass flow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Skogley and Dobermann</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The IEB/IEM</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method also avoids the error of spatial variation for repeated measurements, because the same incubation spot can be used repeatedly. In addition, this method causes minimal soil disturbance since no soil needs to be removed from the sampling area. Lastly, it is much more logistically feasible as the resin bags/membranes are very easy to carry and can be stored indefinitely after removal from the incubation location, prior to chemical analysis.</w:t>
      </w:r>
    </w:p>
    <w:p>
      <w:pPr>
        <w:spacing w:after="0" w:line="20" w:lineRule="exact"/>
        <w:rPr>
          <w:rFonts w:ascii="Times New Roman" w:cs="Times New Roman" w:eastAsia="Times New Roman" w:hAnsi="Times New Roman"/>
          <w:sz w:val="19"/>
          <w:szCs w:val="19"/>
          <w:color w:val="131413"/>
        </w:rPr>
      </w:pPr>
    </w:p>
    <w:p>
      <w:pPr>
        <w:jc w:val="both"/>
        <w:ind w:firstLine="227"/>
        <w:spacing w:after="0" w:line="289"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131413"/>
        </w:rPr>
        <w:t xml:space="preserve">Compared with the IEB method, the IEM method provides additional advantages associated with the physical shape differences between the membranes and the resin bags. Specifically, compared with the three-dimensional resin bags, the thin, essentially two-dimensional membranes: (1) cause even less soil distur-bance during incubation deployment (Duran et al. </w:t>
      </w:r>
      <w:hyperlink w:anchor="page18">
        <w:r>
          <w:rPr>
            <w:rFonts w:ascii="Times New Roman" w:cs="Times New Roman" w:eastAsia="Times New Roman" w:hAnsi="Times New Roman"/>
            <w:sz w:val="18"/>
            <w:szCs w:val="18"/>
            <w:color w:val="0000FF"/>
          </w:rPr>
          <w:t>2008</w:t>
        </w:r>
      </w:hyperlink>
      <w:r>
        <w:rPr>
          <w:rFonts w:ascii="Times New Roman" w:cs="Times New Roman" w:eastAsia="Times New Roman" w:hAnsi="Times New Roman"/>
          <w:sz w:val="18"/>
          <w:szCs w:val="18"/>
          <w:color w:val="131413"/>
        </w:rPr>
        <w:t xml:space="preserve">; Raison et al. </w:t>
      </w:r>
      <w:hyperlink w:anchor="page18">
        <w:r>
          <w:rPr>
            <w:rFonts w:ascii="Times New Roman" w:cs="Times New Roman" w:eastAsia="Times New Roman" w:hAnsi="Times New Roman"/>
            <w:sz w:val="18"/>
            <w:szCs w:val="18"/>
            <w:color w:val="0000FF"/>
          </w:rPr>
          <w:t>1987</w:t>
        </w:r>
      </w:hyperlink>
      <w:r>
        <w:rPr>
          <w:rFonts w:ascii="Times New Roman" w:cs="Times New Roman" w:eastAsia="Times New Roman" w:hAnsi="Times New Roman"/>
          <w:sz w:val="18"/>
          <w:szCs w:val="18"/>
          <w:color w:val="131413"/>
        </w:rPr>
        <w:t xml:space="preserve">; Schmidt et al. </w:t>
      </w:r>
      <w:hyperlink w:anchor="page18">
        <w:r>
          <w:rPr>
            <w:rFonts w:ascii="Times New Roman" w:cs="Times New Roman" w:eastAsia="Times New Roman" w:hAnsi="Times New Roman"/>
            <w:sz w:val="18"/>
            <w:szCs w:val="18"/>
            <w:color w:val="0000FF"/>
          </w:rPr>
          <w:t>2002</w:t>
        </w:r>
      </w:hyperlink>
      <w:r>
        <w:rPr>
          <w:rFonts w:ascii="Times New Roman" w:cs="Times New Roman" w:eastAsia="Times New Roman" w:hAnsi="Times New Roman"/>
          <w:sz w:val="18"/>
          <w:szCs w:val="18"/>
          <w:color w:val="131413"/>
        </w:rPr>
        <w:t xml:space="preserve">); (2) have greater effective surface area contact with the soil solution and plant roots (Castillo-Monroy et al. </w:t>
      </w:r>
      <w:hyperlink w:anchor="page18">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131413"/>
        </w:rPr>
        <w:t xml:space="preserve">; Johnson et al. </w:t>
      </w:r>
      <w:hyperlink w:anchor="page18">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Schmidt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2002</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(3) can be processed more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easily as they eliminate the task of separating the resin beads and soil particles; and (4) have an easily defined</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br w:type="column"/>
      </w:r>
    </w:p>
    <w:p>
      <w:pPr>
        <w:spacing w:after="0" w:line="242" w:lineRule="exact"/>
        <w:rPr>
          <w:rFonts w:ascii="Times New Roman" w:cs="Times New Roman" w:eastAsia="Times New Roman" w:hAnsi="Times New Roman"/>
          <w:sz w:val="18"/>
          <w:szCs w:val="18"/>
          <w:color w:val="131413"/>
        </w:rPr>
      </w:pPr>
    </w:p>
    <w:p>
      <w:pPr>
        <w:jc w:val="both"/>
        <w:spacing w:after="0" w:line="25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and stable surface area, a feature that is critical to precision and comparison of values among and between samples (Qian and Schoenau </w:t>
      </w:r>
      <w:hyperlink w:anchor="page18">
        <w:r>
          <w:rPr>
            <w:rFonts w:ascii="Times New Roman" w:cs="Times New Roman" w:eastAsia="Times New Roman" w:hAnsi="Times New Roman"/>
            <w:sz w:val="20"/>
            <w:szCs w:val="20"/>
            <w:color w:val="0000FF"/>
          </w:rPr>
          <w:t>2002</w:t>
        </w:r>
      </w:hyperlink>
      <w:r>
        <w:rPr>
          <w:rFonts w:ascii="Times New Roman" w:cs="Times New Roman" w:eastAsia="Times New Roman" w:hAnsi="Times New Roman"/>
          <w:sz w:val="20"/>
          <w:szCs w:val="20"/>
          <w:color w:val="131413"/>
        </w:rPr>
        <w:t>). Over-all, compared with the direct soil extraction and the IEB methods, the IEM method is the most sensitive to factors that regulate plant available elements, has the fewest potentially confounding effects, is least destructive to the sampling areas, and is simplest to process.</w:t>
      </w:r>
    </w:p>
    <w:p>
      <w:pPr>
        <w:spacing w:after="0" w:line="266" w:lineRule="exact"/>
        <w:rPr>
          <w:rFonts w:ascii="Times New Roman" w:cs="Times New Roman" w:eastAsia="Times New Roman" w:hAnsi="Times New Roman"/>
          <w:sz w:val="18"/>
          <w:szCs w:val="18"/>
          <w:color w:val="131413"/>
        </w:rPr>
      </w:pPr>
    </w:p>
    <w:p>
      <w:pPr>
        <w:ind w:right="380"/>
        <w:spacing w:after="0" w:line="246" w:lineRule="auto"/>
        <w:rPr>
          <w:sz w:val="20"/>
          <w:szCs w:val="20"/>
          <w:color w:val="auto"/>
        </w:rPr>
      </w:pPr>
      <w:r>
        <w:rPr>
          <w:rFonts w:ascii="Times New Roman" w:cs="Times New Roman" w:eastAsia="Times New Roman" w:hAnsi="Times New Roman"/>
          <w:sz w:val="20"/>
          <w:szCs w:val="20"/>
          <w:color w:val="131413"/>
        </w:rPr>
        <w:t>Distinctive features of the use of IEMs to measure nutrient availability in tundra</w:t>
      </w:r>
    </w:p>
    <w:p>
      <w:pPr>
        <w:spacing w:after="0" w:line="276" w:lineRule="exact"/>
        <w:rPr>
          <w:rFonts w:ascii="Times New Roman" w:cs="Times New Roman" w:eastAsia="Times New Roman" w:hAnsi="Times New Roman"/>
          <w:sz w:val="18"/>
          <w:szCs w:val="18"/>
          <w:color w:val="131413"/>
        </w:rPr>
      </w:pPr>
    </w:p>
    <w:p>
      <w:pPr>
        <w:jc w:val="both"/>
        <w:spacing w:after="0" w:line="257"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Despite all the theoretical benefits of the IEM method outlined above, a side-by-side direct comparison be-tween it and the soil extraction method using experi-mental nutrient additions is necessary to demonstrate to what extent these two methods provide comparable results in terms of response linearity and sensitivity along a wide soil nutrient gradient. It is important to note that the IEM nutrient flux data are expressed as µg per cm</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of membrane surface (one-sided) per burial day (i.e. µg/cm</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/day), whereas the soil extraction nutrient pool data are expressed as µg/g dw soil, and therefore the data are not directly comparable in absolute terms. The IEM data indicate the mass of nutrient ions that in the soil solution that have been adsorbed to the surface of the membrane during a specified incubation period, but the mass or volume of soil that actually contributed to delivering these ions to the membrane is not known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Subler et al.</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Ziadi et al.</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 In contrast,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the mass or volume of soil that contributed to the nutri-ent pool is clearly defined for the soil extraction data. Nevertheless, soil nutrient availability from the two methods should correlate. As far as we know, only one study has specifically tested for such correlation, and only for soil nitrate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 xml:space="preserve">-N) in a temperate ecosystem (Ziadi et al. </w:t>
      </w:r>
      <w:hyperlink w:anchor="page18">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 Soil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concentrations as ex-tracted by water and by KCl solution were positively related to soil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fluxes based on the anion ex-change membrane (AEM) incubation method (slope = 14.2 with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 0.95, and slope = 2.6 with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 0.66, respectively) along a gradient of fertilization plots supporting forage or corn production (Ziadi et al. </w:t>
      </w:r>
      <w:hyperlink w:anchor="page18">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 Comparisons for other important soil nutrient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elements (e.g. ammonium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and phosphate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in temperate or other ecosystem-types howev-er, have yet to be investigated.</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drawing>
          <wp:anchor simplePos="0" relativeHeight="251657728" behindDoc="1" locked="0" layoutInCell="0" allowOverlap="1">
            <wp:simplePos x="0" y="0"/>
            <wp:positionH relativeFrom="column">
              <wp:posOffset>2253615</wp:posOffset>
            </wp:positionH>
            <wp:positionV relativeFrom="paragraph">
              <wp:posOffset>207010</wp:posOffset>
            </wp:positionV>
            <wp:extent cx="483870" cy="1384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874" w:gutter="0" w:footer="0" w:header="0"/>
          <w:type w:val="continuous"/>
        </w:sectPr>
      </w:pPr>
    </w:p>
    <w:bookmarkStart w:id="3" w:name="page4"/>
    <w:bookmarkEnd w:id="3"/>
    <w:p>
      <w:pPr>
        <w:ind w:left="8425"/>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27305</wp:posOffset>
                </wp:positionV>
                <wp:extent cx="0" cy="254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0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40005</wp:posOffset>
                </wp:positionV>
                <wp:extent cx="577151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151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15pt" to="454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5759450</wp:posOffset>
                </wp:positionH>
                <wp:positionV relativeFrom="paragraph">
                  <wp:posOffset>27305</wp:posOffset>
                </wp:positionV>
                <wp:extent cx="0" cy="25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2.15pt" to="453.5pt,4.15pt" o:allowincell="f" strokecolor="#131413" strokeweight="1pt"/>
            </w:pict>
          </mc:Fallback>
        </mc:AlternateContent>
      </w:r>
    </w:p>
    <w:p>
      <w:pPr>
        <w:sectPr>
          <w:pgSz w:w="10940" w:h="14740" w:orient="portrait"/>
          <w:cols w:equalWidth="0" w:num="1">
            <w:col w:w="9065"/>
          </w:cols>
          <w:pgMar w:left="935" w:top="649" w:right="942" w:bottom="880" w:gutter="0" w:footer="0" w:header="0"/>
        </w:sectPr>
      </w:pPr>
    </w:p>
    <w:p>
      <w:pPr>
        <w:spacing w:after="0" w:line="263" w:lineRule="exact"/>
        <w:rPr>
          <w:sz w:val="20"/>
          <w:szCs w:val="20"/>
          <w:color w:val="auto"/>
        </w:rPr>
      </w:pPr>
    </w:p>
    <w:p>
      <w:pPr>
        <w:jc w:val="both"/>
        <w:ind w:left="5" w:firstLine="227"/>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Besides the importance for methodological compar-isons, because of global climate warming (IPCC </w:t>
      </w:r>
      <w:hyperlink w:anchor="page18">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it is also meaningful to test whether the IEM method is sufficiently sensitive to detect effects of changes in one of the most important environmental factors - tempera-ture - on soil nutrient availabilities. Soil nutrient miner-alization, availability, and the resultant plant growth rates are exceptionally low in the arctic compared to other regions, mainly due to low soil temperatures both within the short growing season and during the long non-growing season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xml:space="preserve">; Semenchuk et al. </w:t>
      </w:r>
      <w:hyperlink w:anchor="page18">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131413"/>
        </w:rPr>
        <w:t xml:space="preserve">; Shaver and Chapin </w:t>
      </w:r>
      <w:hyperlink w:anchor="page18">
        <w:r>
          <w:rPr>
            <w:rFonts w:ascii="Times New Roman" w:cs="Times New Roman" w:eastAsia="Times New Roman" w:hAnsi="Times New Roman"/>
            <w:sz w:val="19"/>
            <w:szCs w:val="19"/>
            <w:color w:val="0000FF"/>
          </w:rPr>
          <w:t>1980</w:t>
        </w:r>
      </w:hyperlink>
      <w:r>
        <w:rPr>
          <w:rFonts w:ascii="Times New Roman" w:cs="Times New Roman" w:eastAsia="Times New Roman" w:hAnsi="Times New Roman"/>
          <w:sz w:val="19"/>
          <w:szCs w:val="19"/>
          <w:color w:val="131413"/>
        </w:rPr>
        <w:t xml:space="preserve">; Weintraub </w:t>
      </w:r>
      <w:hyperlink w:anchor="page18">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131413"/>
        </w:rPr>
        <w:t>). However, warmer air temperatures are raising</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summer soil temperatures and increasing winter precip-itation in many areas across the Arctic in recent decades (IPCC </w:t>
      </w:r>
      <w:hyperlink w:anchor="page18">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Deeper snowpack generates greater ther-mal insulation of the underlying soil, resulting in less soil cooling during winter (Mörsdorf et al. </w:t>
      </w:r>
      <w:hyperlink w:anchor="page18">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131413"/>
        </w:rPr>
        <w:t xml:space="preserve">). Both the summer and winter effects are projected to accelerate the organic matter decomposition and nutrient-mobilizing activities of soil microbes, resulting in en-hanced availabilities of soil nutrients, which strongly regulate plant growth (Buckeridge and Grogan </w:t>
      </w:r>
      <w:hyperlink w:anchor="page18">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131413"/>
        </w:rPr>
        <w:t xml:space="preserve">; Chapin et al. </w:t>
      </w:r>
      <w:hyperlink w:anchor="page18">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131413"/>
        </w:rPr>
        <w:t xml:space="preserve">; Edwards and Jefferies </w:t>
      </w:r>
      <w:hyperlink w:anchor="page18">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131413"/>
        </w:rPr>
        <w:t xml:space="preserve">; Mörsdorf et al. </w:t>
      </w:r>
      <w:hyperlink w:anchor="page18">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131413"/>
        </w:rPr>
        <w:t xml:space="preserve">; Schimel and Bennett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 xml:space="preserve">; Schinner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Schmidt and Lipson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 xml:space="preserve">; Semenchuk et al. </w:t>
      </w:r>
      <w:hyperlink w:anchor="page18">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131413"/>
        </w:rPr>
        <w:t xml:space="preserve">; Van Der Heijden et al.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131413"/>
        </w:rPr>
        <w:t xml:space="preserve">; Weih </w:t>
      </w:r>
      <w:hyperlink w:anchor="page18">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131413"/>
        </w:rPr>
        <w:t xml:space="preserve">). As a result, changes in both the magnitudes and the temporal patterns of soil fertility in arctic tundra due to a warmer environment may profoundly affect ecosystem structure, processes, services and climatic regulation (Chapin and Shaver </w:t>
      </w:r>
      <w:hyperlink w:anchor="page18">
        <w:r>
          <w:rPr>
            <w:rFonts w:ascii="Times New Roman" w:cs="Times New Roman" w:eastAsia="Times New Roman" w:hAnsi="Times New Roman"/>
            <w:sz w:val="19"/>
            <w:szCs w:val="19"/>
            <w:color w:val="0000FF"/>
          </w:rPr>
          <w:t>1989</w:t>
        </w:r>
      </w:hyperlink>
      <w:r>
        <w:rPr>
          <w:rFonts w:ascii="Times New Roman" w:cs="Times New Roman" w:eastAsia="Times New Roman" w:hAnsi="Times New Roman"/>
          <w:sz w:val="19"/>
          <w:szCs w:val="19"/>
          <w:color w:val="131413"/>
        </w:rPr>
        <w:t xml:space="preserve">; Elmendorf et al. </w:t>
      </w:r>
      <w:hyperlink w:anchor="page18">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Mörsdorf et al.</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Schimel et al.</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Zamin</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et al. </w:t>
      </w:r>
      <w:hyperlink w:anchor="page18">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131413"/>
        </w:rPr>
        <w:t>), yet they are not precisely investigated so far.</w:t>
      </w:r>
    </w:p>
    <w:p>
      <w:pPr>
        <w:spacing w:after="0" w:line="255" w:lineRule="exact"/>
        <w:rPr>
          <w:rFonts w:ascii="Times New Roman" w:cs="Times New Roman" w:eastAsia="Times New Roman" w:hAnsi="Times New Roman"/>
          <w:sz w:val="19"/>
          <w:szCs w:val="19"/>
          <w:color w:val="0000FF"/>
        </w:rPr>
      </w:pPr>
    </w:p>
    <w:p>
      <w:pPr>
        <w:ind w:left="5"/>
        <w:spacing w:after="0"/>
        <w:rPr>
          <w:sz w:val="20"/>
          <w:szCs w:val="20"/>
          <w:color w:val="auto"/>
        </w:rPr>
      </w:pPr>
      <w:r>
        <w:rPr>
          <w:rFonts w:ascii="Times New Roman" w:cs="Times New Roman" w:eastAsia="Times New Roman" w:hAnsi="Times New Roman"/>
          <w:sz w:val="20"/>
          <w:szCs w:val="20"/>
          <w:color w:val="131413"/>
        </w:rPr>
        <w:t>Research objectives and scientific questions</w:t>
      </w:r>
    </w:p>
    <w:p>
      <w:pPr>
        <w:spacing w:after="0" w:line="281" w:lineRule="exact"/>
        <w:rPr>
          <w:rFonts w:ascii="Times New Roman" w:cs="Times New Roman" w:eastAsia="Times New Roman" w:hAnsi="Times New Roman"/>
          <w:sz w:val="19"/>
          <w:szCs w:val="19"/>
          <w:color w:val="0000FF"/>
        </w:rPr>
      </w:pPr>
    </w:p>
    <w:p>
      <w:pPr>
        <w:jc w:val="both"/>
        <w:ind w:left="5"/>
        <w:spacing w:after="0" w:line="273" w:lineRule="auto"/>
        <w:rPr>
          <w:sz w:val="20"/>
          <w:szCs w:val="20"/>
          <w:color w:val="auto"/>
        </w:rPr>
      </w:pPr>
      <w:r>
        <w:rPr>
          <w:rFonts w:ascii="Times New Roman" w:cs="Times New Roman" w:eastAsia="Times New Roman" w:hAnsi="Times New Roman"/>
          <w:sz w:val="19"/>
          <w:szCs w:val="19"/>
          <w:color w:val="131413"/>
        </w:rPr>
        <w:t>The general objective of this study was to evaluate the potential of IEMs as an alternative and more effective method to direct soil extraction for determining soil nutrient availability and dynamics in arctic tundra. Our research addressed the following specific research ques-tions: (1) Are soil nutrient availabilities based on the IEM and the soil extraction methods positively correlat-ed, and do they reveal the same intra-seasonal patterns?</w:t>
      </w:r>
    </w:p>
    <w:p>
      <w:pPr>
        <w:spacing w:after="0" w:line="5" w:lineRule="exact"/>
        <w:rPr>
          <w:rFonts w:ascii="Times New Roman" w:cs="Times New Roman" w:eastAsia="Times New Roman" w:hAnsi="Times New Roman"/>
          <w:sz w:val="19"/>
          <w:szCs w:val="19"/>
          <w:color w:val="0000FF"/>
        </w:rPr>
      </w:pPr>
    </w:p>
    <w:p>
      <w:pPr>
        <w:jc w:val="both"/>
        <w:ind w:left="5" w:hanging="5"/>
        <w:spacing w:after="0" w:line="272" w:lineRule="auto"/>
        <w:tabs>
          <w:tab w:leader="none" w:pos="297" w:val="left"/>
        </w:tabs>
        <w:numPr>
          <w:ilvl w:val="0"/>
          <w:numId w:val="2"/>
        </w:numPr>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Do the IEM and extraction methods differ in their sensitivity to detect experimental increases in soil nutri-ent availability that are sufficient to enhance plant</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drawing>
          <wp:anchor simplePos="0" relativeHeight="251657728" behindDoc="1" locked="0" layoutInCell="0" allowOverlap="1">
            <wp:simplePos x="0" y="0"/>
            <wp:positionH relativeFrom="column">
              <wp:posOffset>0</wp:posOffset>
            </wp:positionH>
            <wp:positionV relativeFrom="paragraph">
              <wp:posOffset>193040</wp:posOffset>
            </wp:positionV>
            <wp:extent cx="483870" cy="138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br w:type="column"/>
      </w:r>
    </w:p>
    <w:p>
      <w:pPr>
        <w:spacing w:after="0" w:line="242" w:lineRule="exact"/>
        <w:rPr>
          <w:rFonts w:ascii="Times New Roman" w:cs="Times New Roman" w:eastAsia="Times New Roman" w:hAnsi="Times New Roman"/>
          <w:sz w:val="19"/>
          <w:szCs w:val="19"/>
          <w:color w:val="0000FF"/>
        </w:rPr>
      </w:pPr>
    </w:p>
    <w:p>
      <w:pPr>
        <w:jc w:val="both"/>
        <w:ind w:left="2"/>
        <w:spacing w:after="0" w:line="257" w:lineRule="auto"/>
        <w:rPr>
          <w:sz w:val="20"/>
          <w:szCs w:val="20"/>
          <w:color w:val="auto"/>
        </w:rPr>
      </w:pPr>
      <w:r>
        <w:rPr>
          <w:rFonts w:ascii="Times New Roman" w:cs="Times New Roman" w:eastAsia="Times New Roman" w:hAnsi="Times New Roman"/>
          <w:sz w:val="20"/>
          <w:szCs w:val="20"/>
          <w:color w:val="131413"/>
        </w:rPr>
        <w:t>species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nutrient concentrations? And (3) Do experi-mental summer warming and deepened snow treatments alter intra- and inter-seasonal soil nutrient availabilities as determined by the two methods, and if so, are there corresponding effects on aboveground plant community biomass?</w:t>
      </w:r>
    </w:p>
    <w:p>
      <w:pPr>
        <w:spacing w:after="0" w:line="200" w:lineRule="exact"/>
        <w:rPr>
          <w:rFonts w:ascii="Times New Roman" w:cs="Times New Roman" w:eastAsia="Times New Roman" w:hAnsi="Times New Roman"/>
          <w:sz w:val="19"/>
          <w:szCs w:val="19"/>
          <w:color w:val="0000FF"/>
        </w:rPr>
      </w:pPr>
    </w:p>
    <w:p>
      <w:pPr>
        <w:spacing w:after="0" w:line="301" w:lineRule="exact"/>
        <w:rPr>
          <w:rFonts w:ascii="Times New Roman" w:cs="Times New Roman" w:eastAsia="Times New Roman" w:hAnsi="Times New Roman"/>
          <w:sz w:val="19"/>
          <w:szCs w:val="19"/>
          <w:color w:val="0000FF"/>
        </w:rPr>
      </w:pPr>
    </w:p>
    <w:p>
      <w:pPr>
        <w:ind w:left="2"/>
        <w:spacing w:after="0"/>
        <w:rPr>
          <w:sz w:val="20"/>
          <w:szCs w:val="20"/>
          <w:color w:val="auto"/>
        </w:rPr>
      </w:pPr>
      <w:r>
        <w:rPr>
          <w:rFonts w:ascii="Times New Roman" w:cs="Times New Roman" w:eastAsia="Times New Roman" w:hAnsi="Times New Roman"/>
          <w:sz w:val="20"/>
          <w:szCs w:val="20"/>
          <w:color w:val="131413"/>
        </w:rPr>
        <w:t>Materials and methods</w:t>
      </w:r>
    </w:p>
    <w:p>
      <w:pPr>
        <w:spacing w:after="0" w:line="268" w:lineRule="exact"/>
        <w:rPr>
          <w:rFonts w:ascii="Times New Roman" w:cs="Times New Roman" w:eastAsia="Times New Roman" w:hAnsi="Times New Roman"/>
          <w:sz w:val="19"/>
          <w:szCs w:val="19"/>
          <w:color w:val="0000FF"/>
        </w:rPr>
      </w:pPr>
    </w:p>
    <w:p>
      <w:pPr>
        <w:ind w:left="2"/>
        <w:spacing w:after="0"/>
        <w:rPr>
          <w:sz w:val="20"/>
          <w:szCs w:val="20"/>
          <w:color w:val="auto"/>
        </w:rPr>
      </w:pPr>
      <w:r>
        <w:rPr>
          <w:rFonts w:ascii="Times New Roman" w:cs="Times New Roman" w:eastAsia="Times New Roman" w:hAnsi="Times New Roman"/>
          <w:sz w:val="20"/>
          <w:szCs w:val="20"/>
          <w:color w:val="131413"/>
        </w:rPr>
        <w:t>Study site and experimental manipulations</w:t>
      </w:r>
    </w:p>
    <w:p>
      <w:pPr>
        <w:spacing w:after="0" w:line="281" w:lineRule="exact"/>
        <w:rPr>
          <w:rFonts w:ascii="Times New Roman" w:cs="Times New Roman" w:eastAsia="Times New Roman" w:hAnsi="Times New Roman"/>
          <w:sz w:val="19"/>
          <w:szCs w:val="19"/>
          <w:color w:val="0000FF"/>
        </w:rPr>
      </w:pPr>
    </w:p>
    <w:p>
      <w:pPr>
        <w:jc w:val="both"/>
        <w:ind w:left="2"/>
        <w:spacing w:after="0" w:line="27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This study was conducted in mesic birch hummock tundra vegetation near the Tundra Ecosystem Research Station at Daring Lake, Northwest Territories, Canada (64° 52</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N, 111° 33</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W). This ecosystem is character-ized by hummocks 10</w:t>
      </w:r>
      <w:r>
        <w:rPr>
          <w:rFonts w:ascii="Arial" w:cs="Arial" w:eastAsia="Arial" w:hAnsi="Arial"/>
          <w:sz w:val="19"/>
          <w:szCs w:val="19"/>
          <w:color w:val="131413"/>
        </w:rPr>
        <w:t>–</w:t>
      </w:r>
      <w:r>
        <w:rPr>
          <w:rFonts w:ascii="Times New Roman" w:cs="Times New Roman" w:eastAsia="Times New Roman" w:hAnsi="Times New Roman"/>
          <w:sz w:val="19"/>
          <w:szCs w:val="19"/>
          <w:color w:val="131413"/>
        </w:rPr>
        <w:t>30 cm high and deciduous dwarf birch (Betula glandulosa Michx.) shrubs that are 10</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40 cm tall and make up ~ 14% community aboveground biomass (Qian Gu, unpublished data). The remaining cover is a mixture of mostly ericaceous shrubs (Vaccinium uliginosum L., Rhododendron subarcticum Harmaja [formerly Ledum decumbens] (Aiton) Lodd. ex Steud.], Vaccinium vitis-idaea L., and Andromeda polifolia L.), one graminoid species (Eriophorum vaginatum L.), and one forb species (Rubus chamaemorus L.). Besides vascular species, there is also a well-developed moss and lichen layer (see (Nobrega and Grogan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131413"/>
        </w:rPr>
        <w:t xml:space="preserve">) and (Zamin et al. </w:t>
      </w:r>
      <w:hyperlink w:anchor="page18">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131413"/>
        </w:rPr>
        <w:t>) for more details). The soil of this ecosystem-type is well-drained, with no surface water table or evidence of permafrost degradation, and is classified as an orthic dystric turbic cryosol. The top surface horizon (typically 5</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12 cm deep) is highly organic and contains most of the root biomass (Churchland et al. </w:t>
      </w:r>
      <w:hyperlink w:anchor="page18">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131413"/>
        </w:rPr>
        <w:t xml:space="preserve">), and lies above a mineral deposits that thaws each summer to at least 50 cm (Nobrega and Grogan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131413"/>
        </w:rPr>
        <w:t>). Data based on a one-time soil chemical extraction sampling (to 2</w:t>
      </w:r>
      <w:r>
        <w:rPr>
          <w:rFonts w:ascii="Arial" w:cs="Arial" w:eastAsia="Arial" w:hAnsi="Arial"/>
          <w:sz w:val="19"/>
          <w:szCs w:val="19"/>
          <w:color w:val="131413"/>
        </w:rPr>
        <w:t>–</w:t>
      </w:r>
      <w:r>
        <w:rPr>
          <w:rFonts w:ascii="Times New Roman" w:cs="Times New Roman" w:eastAsia="Times New Roman" w:hAnsi="Times New Roman"/>
          <w:sz w:val="19"/>
          <w:szCs w:val="19"/>
          <w:color w:val="131413"/>
        </w:rPr>
        <w:t>5 cm depth) in this ecosystem-type indicate a soil pH of 4.6 (SD = 0.2), a total soil carbon content of 36.2% (SD = 5.5), a total soil nitrogen (N) content of 1.79% (SD =</w:t>
      </w:r>
    </w:p>
    <w:p>
      <w:pPr>
        <w:spacing w:after="0" w:line="14" w:lineRule="exact"/>
        <w:rPr>
          <w:rFonts w:ascii="Times New Roman" w:cs="Times New Roman" w:eastAsia="Times New Roman" w:hAnsi="Times New Roman"/>
          <w:sz w:val="19"/>
          <w:szCs w:val="19"/>
          <w:color w:val="131413"/>
        </w:rPr>
      </w:pPr>
    </w:p>
    <w:p>
      <w:pPr>
        <w:ind w:left="2"/>
        <w:spacing w:after="0"/>
        <w:rPr>
          <w:sz w:val="20"/>
          <w:szCs w:val="20"/>
          <w:color w:val="auto"/>
        </w:rPr>
      </w:pPr>
      <w:r>
        <w:rPr>
          <w:rFonts w:ascii="Times New Roman" w:cs="Times New Roman" w:eastAsia="Times New Roman" w:hAnsi="Times New Roman"/>
          <w:sz w:val="19"/>
          <w:szCs w:val="19"/>
          <w:color w:val="131413"/>
        </w:rPr>
        <w:t>0.29), a dissolved organic carbon content of 789 mg kg</w:t>
      </w:r>
      <w:r>
        <w:rPr>
          <w:rFonts w:ascii="Arial" w:cs="Arial" w:eastAsia="Arial" w:hAnsi="Arial"/>
          <w:sz w:val="25"/>
          <w:szCs w:val="25"/>
          <w:color w:val="131413"/>
          <w:vertAlign w:val="superscript"/>
        </w:rPr>
        <w:t>−</w:t>
      </w:r>
    </w:p>
    <w:p>
      <w:pPr>
        <w:ind w:left="162" w:hanging="162"/>
        <w:spacing w:after="0" w:line="182" w:lineRule="auto"/>
        <w:tabs>
          <w:tab w:leader="none" w:pos="162" w:val="left"/>
        </w:tabs>
        <w:numPr>
          <w:ilvl w:val="0"/>
          <w:numId w:val="3"/>
        </w:numPr>
        <w:rPr>
          <w:rFonts w:ascii="Times New Roman" w:cs="Times New Roman" w:eastAsia="Times New Roman" w:hAnsi="Times New Roman"/>
          <w:sz w:val="26"/>
          <w:szCs w:val="26"/>
          <w:color w:val="131413"/>
          <w:vertAlign w:val="superscript"/>
        </w:rPr>
      </w:pPr>
      <w:r>
        <w:rPr>
          <w:rFonts w:ascii="Times New Roman" w:cs="Times New Roman" w:eastAsia="Times New Roman" w:hAnsi="Times New Roman"/>
          <w:sz w:val="19"/>
          <w:szCs w:val="19"/>
          <w:color w:val="131413"/>
        </w:rPr>
        <w:t>(SD = 133), and a dissolved organic N content of</w:t>
      </w:r>
    </w:p>
    <w:p>
      <w:pPr>
        <w:spacing w:after="0" w:line="35" w:lineRule="exact"/>
        <w:rPr>
          <w:rFonts w:ascii="Times New Roman" w:cs="Times New Roman" w:eastAsia="Times New Roman" w:hAnsi="Times New Roman"/>
          <w:sz w:val="26"/>
          <w:szCs w:val="26"/>
          <w:color w:val="131413"/>
          <w:vertAlign w:val="superscript"/>
        </w:rPr>
      </w:pPr>
    </w:p>
    <w:p>
      <w:pPr>
        <w:ind w:left="222" w:hanging="222"/>
        <w:spacing w:after="0" w:line="209" w:lineRule="auto"/>
        <w:tabs>
          <w:tab w:leader="none" w:pos="245" w:val="left"/>
        </w:tabs>
        <w:numPr>
          <w:ilvl w:val="0"/>
          <w:numId w:val="4"/>
        </w:numPr>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mg kg</w:t>
      </w:r>
      <w:r>
        <w:rPr>
          <w:rFonts w:ascii="Arial" w:cs="Arial" w:eastAsia="Arial" w:hAnsi="Arial"/>
          <w:sz w:val="26"/>
          <w:szCs w:val="26"/>
          <w:color w:val="131413"/>
          <w:vertAlign w:val="superscript"/>
        </w:rPr>
        <w:t>−</w:t>
      </w:r>
      <w:r>
        <w:rPr>
          <w:rFonts w:ascii="Times New Roman" w:cs="Times New Roman" w:eastAsia="Times New Roman" w:hAnsi="Times New Roman"/>
          <w:sz w:val="20"/>
          <w:szCs w:val="20"/>
          <w:color w:val="131413"/>
        </w:rPr>
        <w:t xml:space="preserve"> </w:t>
      </w:r>
      <w:r>
        <w:rPr>
          <w:rFonts w:ascii="Times New Roman" w:cs="Times New Roman" w:eastAsia="Times New Roman" w:hAnsi="Times New Roman"/>
          <w:sz w:val="26"/>
          <w:szCs w:val="26"/>
          <w:color w:val="131413"/>
          <w:vertAlign w:val="superscript"/>
        </w:rPr>
        <w:t>1</w:t>
      </w:r>
      <w:r>
        <w:rPr>
          <w:rFonts w:ascii="Times New Roman" w:cs="Times New Roman" w:eastAsia="Times New Roman" w:hAnsi="Times New Roman"/>
          <w:sz w:val="20"/>
          <w:szCs w:val="20"/>
          <w:color w:val="131413"/>
        </w:rPr>
        <w:t xml:space="preserve"> (SD = 11.9) (Chu and Grogan </w:t>
      </w:r>
      <w:hyperlink w:anchor="page18">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131413"/>
        </w:rPr>
        <w:t>). This study uses three field experimental manipula-</w:t>
      </w:r>
    </w:p>
    <w:p>
      <w:pPr>
        <w:spacing w:after="0" w:line="33" w:lineRule="exact"/>
        <w:rPr>
          <w:rFonts w:ascii="Times New Roman" w:cs="Times New Roman" w:eastAsia="Times New Roman" w:hAnsi="Times New Roman"/>
          <w:sz w:val="20"/>
          <w:szCs w:val="20"/>
          <w:color w:val="131413"/>
        </w:rPr>
      </w:pPr>
    </w:p>
    <w:p>
      <w:pPr>
        <w:jc w:val="both"/>
        <w:ind w:left="2"/>
        <w:spacing w:after="0" w:line="272"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tions: fertilization (at two levels); summer greenhouse warming; and snowfence treatments. All three manipu-lations were established in 2004 and have been main-tained annually ever since (see (Christiansen </w:t>
      </w:r>
      <w:hyperlink w:anchor="page18">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131413"/>
        </w:rPr>
        <w:t>;</w:t>
      </w:r>
    </w:p>
    <w:p>
      <w:pPr>
        <w:sectPr>
          <w:pgSz w:w="10940" w:h="14740" w:orient="portrait"/>
          <w:cols w:equalWidth="0" w:num="2">
            <w:col w:w="4305" w:space="458"/>
            <w:col w:w="4302"/>
          </w:cols>
          <w:pgMar w:left="935" w:top="649" w:right="942" w:bottom="880" w:gutter="0" w:footer="0" w:header="0"/>
          <w:type w:val="continuous"/>
        </w:sectPr>
      </w:pPr>
    </w:p>
    <w:bookmarkStart w:id="4" w:name="page5"/>
    <w:bookmarkEnd w:id="4"/>
    <w:p>
      <w:pPr>
        <w:ind w:left="5"/>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40005</wp:posOffset>
                </wp:positionV>
                <wp:extent cx="577151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151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15pt" to="454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27305</wp:posOffset>
                </wp:positionV>
                <wp:extent cx="0" cy="254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0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5759450</wp:posOffset>
                </wp:positionH>
                <wp:positionV relativeFrom="paragraph">
                  <wp:posOffset>27305</wp:posOffset>
                </wp:positionV>
                <wp:extent cx="0" cy="254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2.15pt" to="453.5pt,4.15pt" o:allowincell="f" strokecolor="#131413" strokeweight="1pt"/>
            </w:pict>
          </mc:Fallback>
        </mc:AlternateContent>
      </w:r>
    </w:p>
    <w:p>
      <w:pPr>
        <w:sectPr>
          <w:pgSz w:w="10940" w:h="14740" w:orient="portrait"/>
          <w:cols w:equalWidth="0" w:num="1">
            <w:col w:w="9065"/>
          </w:cols>
          <w:pgMar w:left="935" w:top="649" w:right="942" w:bottom="871" w:gutter="0" w:footer="0" w:header="0"/>
        </w:sectPr>
      </w:pPr>
    </w:p>
    <w:p>
      <w:pPr>
        <w:spacing w:after="0" w:line="263" w:lineRule="exact"/>
        <w:rPr>
          <w:sz w:val="20"/>
          <w:szCs w:val="20"/>
          <w:color w:val="auto"/>
        </w:rPr>
      </w:pPr>
    </w:p>
    <w:p>
      <w:pPr>
        <w:jc w:val="both"/>
        <w:ind w:left="5"/>
        <w:spacing w:after="0" w:line="269"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Zamin </w:t>
      </w:r>
      <w:hyperlink w:anchor="page18">
        <w:r>
          <w:rPr>
            <w:rFonts w:ascii="Times New Roman" w:cs="Times New Roman" w:eastAsia="Times New Roman" w:hAnsi="Times New Roman"/>
            <w:sz w:val="18"/>
            <w:szCs w:val="18"/>
            <w:color w:val="0000FF"/>
          </w:rPr>
          <w:t>2013</w:t>
        </w:r>
      </w:hyperlink>
      <w:r>
        <w:rPr>
          <w:rFonts w:ascii="Times New Roman" w:cs="Times New Roman" w:eastAsia="Times New Roman" w:hAnsi="Times New Roman"/>
          <w:sz w:val="18"/>
          <w:szCs w:val="18"/>
          <w:color w:val="131413"/>
        </w:rPr>
        <w:t xml:space="preserve">; Zamin et al. </w:t>
      </w:r>
      <w:hyperlink w:anchor="page18">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for full details). The only exception is the low level phosphorus (P) addition treatment, which was established in 2012. For each experimental manipulation, plots of representative and fairly homogenous birch hummock vegetation of similar gentle slope and aspect were selected and then randomly assigned to control and treatment. Briefly, soil nutrient availabilities were enhanced by implementing annual low level N (LN) (1 g N m</w:t>
      </w:r>
      <w:r>
        <w:rPr>
          <w:rFonts w:ascii="Arial" w:cs="Arial" w:eastAsia="Arial" w:hAnsi="Arial"/>
          <w:sz w:val="23"/>
          <w:szCs w:val="23"/>
          <w:color w:val="131413"/>
          <w:vertAlign w:val="superscript"/>
        </w:rPr>
        <w:t>−</w:t>
      </w:r>
      <w:r>
        <w:rPr>
          <w:rFonts w:ascii="Times New Roman" w:cs="Times New Roman" w:eastAsia="Times New Roman" w:hAnsi="Times New Roman"/>
          <w:sz w:val="18"/>
          <w:szCs w:val="18"/>
          <w:color w:val="131413"/>
        </w:rPr>
        <w:t xml:space="preserve"> </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per year), high level N (HN) (10 g N m</w:t>
      </w:r>
      <w:r>
        <w:rPr>
          <w:rFonts w:ascii="Arial" w:cs="Arial" w:eastAsia="Arial" w:hAnsi="Arial"/>
          <w:sz w:val="23"/>
          <w:szCs w:val="23"/>
          <w:color w:val="131413"/>
          <w:vertAlign w:val="superscript"/>
        </w:rPr>
        <w:t>−</w:t>
      </w:r>
      <w:r>
        <w:rPr>
          <w:rFonts w:ascii="Times New Roman" w:cs="Times New Roman" w:eastAsia="Times New Roman" w:hAnsi="Times New Roman"/>
          <w:sz w:val="18"/>
          <w:szCs w:val="18"/>
          <w:color w:val="131413"/>
        </w:rPr>
        <w:t xml:space="preserve"> </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per year), low level P (LP) (0.5 g P m</w:t>
      </w:r>
      <w:r>
        <w:rPr>
          <w:rFonts w:ascii="Arial" w:cs="Arial" w:eastAsia="Arial" w:hAnsi="Arial"/>
          <w:sz w:val="23"/>
          <w:szCs w:val="23"/>
          <w:color w:val="131413"/>
          <w:vertAlign w:val="superscript"/>
        </w:rPr>
        <w:t>−</w:t>
      </w:r>
      <w:r>
        <w:rPr>
          <w:rFonts w:ascii="Times New Roman" w:cs="Times New Roman" w:eastAsia="Times New Roman" w:hAnsi="Times New Roman"/>
          <w:sz w:val="18"/>
          <w:szCs w:val="18"/>
          <w:color w:val="131413"/>
        </w:rPr>
        <w:t xml:space="preserve"> </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per year), and high level P (HP) (5 g P m</w:t>
      </w:r>
      <w:r>
        <w:rPr>
          <w:rFonts w:ascii="Arial" w:cs="Arial" w:eastAsia="Arial" w:hAnsi="Arial"/>
          <w:sz w:val="23"/>
          <w:szCs w:val="23"/>
          <w:color w:val="131413"/>
          <w:vertAlign w:val="superscript"/>
        </w:rPr>
        <w:t>−</w:t>
      </w:r>
      <w:r>
        <w:rPr>
          <w:rFonts w:ascii="Times New Roman" w:cs="Times New Roman" w:eastAsia="Times New Roman" w:hAnsi="Times New Roman"/>
          <w:sz w:val="18"/>
          <w:szCs w:val="18"/>
          <w:color w:val="131413"/>
        </w:rPr>
        <w:t xml:space="preserve"> </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per year) additions to replicate plots (5 m x 7 m each; n =</w:t>
      </w:r>
    </w:p>
    <w:p>
      <w:pPr>
        <w:spacing w:after="0" w:line="8" w:lineRule="exact"/>
        <w:rPr>
          <w:sz w:val="20"/>
          <w:szCs w:val="20"/>
          <w:color w:val="auto"/>
        </w:rPr>
      </w:pPr>
    </w:p>
    <w:p>
      <w:pPr>
        <w:jc w:val="both"/>
        <w:ind w:left="5" w:hanging="5"/>
        <w:spacing w:after="0" w:line="289" w:lineRule="auto"/>
        <w:tabs>
          <w:tab w:leader="none" w:pos="316" w:val="left"/>
        </w:tabs>
        <w:numPr>
          <w:ilvl w:val="0"/>
          <w:numId w:val="5"/>
        </w:numPr>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for each nutrient treatment. To enhance summer air temperatures, A-frame greenhouses (1.8 m x 4.7 m each, n = 10) were covered with transparent plastic during each growing season. Triangle vents were cut out of the tops to avoid extreme maximum temperatures within the greenhouses and to reduce humidity differentials. These greenhouses warm the summer mean diel tem-perature of the air and the soil (from 0 to 10 cm depth) by 2.1</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2.4 °C compared to their associated control plots (Zamin et al. </w:t>
      </w:r>
      <w:hyperlink w:anchor="page18">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xml:space="preserve">). To manipulate winter snow depth, snowfences (15 m long, 1.2 m high each; n = 05) were set up perpendicular to the prevailing winter wind di-rection, which typically results in deepened snow patches extending out ~ 20 m from both sides of each fence (Christiansen </w:t>
      </w:r>
      <w:hyperlink w:anchor="page18">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131413"/>
        </w:rPr>
        <w:t xml:space="preserve">). In comparison to their asso-ciated control plots, these snowfences generally increase the ambient snow cover from 0.3 to 1.0 m (Christiansen </w:t>
      </w:r>
      <w:hyperlink w:anchor="page18">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and have several environmental impacts, includ-ing warmer soil temperatures during winter (Christiansen </w:t>
      </w:r>
      <w:hyperlink w:anchor="page18">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131413"/>
        </w:rPr>
        <w:t>), and a 1</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2 week delay in snowmelt and the start of the growing season (Buckeridge and Grogan </w:t>
      </w:r>
      <w:hyperlink w:anchor="page18">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131413"/>
        </w:rPr>
        <w:t xml:space="preserve">; Nobrega and Grogan </w:t>
      </w:r>
      <w:hyperlink w:anchor="page18">
        <w:r>
          <w:rPr>
            <w:rFonts w:ascii="Times New Roman" w:cs="Times New Roman" w:eastAsia="Times New Roman" w:hAnsi="Times New Roman"/>
            <w:sz w:val="18"/>
            <w:szCs w:val="18"/>
            <w:color w:val="0000FF"/>
          </w:rPr>
          <w:t>2008</w:t>
        </w:r>
      </w:hyperlink>
      <w:r>
        <w:rPr>
          <w:rFonts w:ascii="Times New Roman" w:cs="Times New Roman" w:eastAsia="Times New Roman" w:hAnsi="Times New Roman"/>
          <w:sz w:val="18"/>
          <w:szCs w:val="18"/>
          <w:color w:val="131413"/>
        </w:rPr>
        <w:t>).</w:t>
      </w:r>
    </w:p>
    <w:p>
      <w:pPr>
        <w:spacing w:after="0" w:line="200" w:lineRule="exact"/>
        <w:rPr>
          <w:rFonts w:ascii="Times New Roman" w:cs="Times New Roman" w:eastAsia="Times New Roman" w:hAnsi="Times New Roman"/>
          <w:sz w:val="18"/>
          <w:szCs w:val="18"/>
          <w:color w:val="131413"/>
        </w:rPr>
      </w:pPr>
    </w:p>
    <w:p>
      <w:pPr>
        <w:spacing w:after="0" w:line="278" w:lineRule="exact"/>
        <w:rPr>
          <w:rFonts w:ascii="Times New Roman" w:cs="Times New Roman" w:eastAsia="Times New Roman" w:hAnsi="Times New Roman"/>
          <w:sz w:val="18"/>
          <w:szCs w:val="18"/>
          <w:color w:val="131413"/>
        </w:rPr>
      </w:pPr>
    </w:p>
    <w:p>
      <w:pPr>
        <w:ind w:left="5"/>
        <w:spacing w:after="0"/>
        <w:rPr>
          <w:sz w:val="20"/>
          <w:szCs w:val="20"/>
          <w:color w:val="auto"/>
        </w:rPr>
      </w:pPr>
      <w:r>
        <w:rPr>
          <w:rFonts w:ascii="Times New Roman" w:cs="Times New Roman" w:eastAsia="Times New Roman" w:hAnsi="Times New Roman"/>
          <w:sz w:val="20"/>
          <w:szCs w:val="20"/>
          <w:color w:val="131413"/>
        </w:rPr>
        <w:t>IEM preparation</w:t>
      </w:r>
    </w:p>
    <w:p>
      <w:pPr>
        <w:spacing w:after="0" w:line="283" w:lineRule="exact"/>
        <w:rPr>
          <w:rFonts w:ascii="Times New Roman" w:cs="Times New Roman" w:eastAsia="Times New Roman" w:hAnsi="Times New Roman"/>
          <w:sz w:val="18"/>
          <w:szCs w:val="18"/>
          <w:color w:val="131413"/>
        </w:rPr>
      </w:pPr>
    </w:p>
    <w:p>
      <w:pPr>
        <w:jc w:val="both"/>
        <w:ind w:left="5"/>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IEMs (SUEZ Water Technologies &amp; Solutions, USA) were obtained in large sheet forms (18.25 cm x 40.25 cm) in two different types: cation exchange mem-branes (CEMs, ID: CR67HMR) and anion exchange membranes (AEMs, ID: AR204SZRA). The CEMs have sulfonic acid as the exchange group and an ex-change capacity of 2.1 meq/dry g resin. The AEMs have quaternary ammonium as the exchange group and an exchange capacity of 2.4 meq/dry g resin. The quater-nary ammonium has a strong ability to exclude cations and a high resistance to contamination by organic ma-terials (Ziadi et al. </w:t>
      </w:r>
      <w:hyperlink w:anchor="page18">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 The CEM and AEM sheets</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br w:type="column"/>
      </w:r>
    </w:p>
    <w:p>
      <w:pPr>
        <w:spacing w:after="0" w:line="242" w:lineRule="exact"/>
        <w:rPr>
          <w:rFonts w:ascii="Times New Roman" w:cs="Times New Roman" w:eastAsia="Times New Roman" w:hAnsi="Times New Roman"/>
          <w:sz w:val="18"/>
          <w:szCs w:val="18"/>
          <w:color w:val="131413"/>
        </w:rPr>
      </w:pPr>
    </w:p>
    <w:p>
      <w:pPr>
        <w:jc w:val="both"/>
        <w:spacing w:after="0" w:line="266"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were not charged with counterions, so we cut and charged them before applying them in the field. The CEMs and AEMs were prepared separately and charged using different solutions (0.5 M HCl and 0.5 M NaHCO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 xml:space="preserve"> respectively). Our choices of H</w:t>
      </w:r>
      <w:r>
        <w:rPr>
          <w:rFonts w:ascii="Times New Roman" w:cs="Times New Roman" w:eastAsia="Times New Roman" w:hAnsi="Times New Roman"/>
          <w:sz w:val="25"/>
          <w:szCs w:val="25"/>
          <w:color w:val="131413"/>
          <w:vertAlign w:val="superscript"/>
        </w:rPr>
        <w:t>+</w:t>
      </w:r>
      <w:r>
        <w:rPr>
          <w:rFonts w:ascii="Times New Roman" w:cs="Times New Roman" w:eastAsia="Times New Roman" w:hAnsi="Times New Roman"/>
          <w:sz w:val="19"/>
          <w:szCs w:val="19"/>
          <w:color w:val="131413"/>
        </w:rPr>
        <w:t xml:space="preserve"> as the coun-terions for the CEMs and of HCO</w:t>
      </w:r>
      <w:r>
        <w:rPr>
          <w:rFonts w:ascii="Times New Roman" w:cs="Times New Roman" w:eastAsia="Times New Roman" w:hAnsi="Times New Roman"/>
          <w:sz w:val="25"/>
          <w:szCs w:val="25"/>
          <w:color w:val="131413"/>
          <w:vertAlign w:val="subscript"/>
        </w:rPr>
        <w:t>3</w:t>
      </w:r>
      <w:r>
        <w:rPr>
          <w:rFonts w:ascii="Arial" w:cs="Arial" w:eastAsia="Arial" w:hAnsi="Arial"/>
          <w:sz w:val="25"/>
          <w:szCs w:val="25"/>
          <w:color w:val="131413"/>
          <w:vertAlign w:val="superscript"/>
        </w:rPr>
        <w:t>−</w:t>
      </w:r>
      <w:r>
        <w:rPr>
          <w:rFonts w:ascii="Times New Roman" w:cs="Times New Roman" w:eastAsia="Times New Roman" w:hAnsi="Times New Roman"/>
          <w:sz w:val="19"/>
          <w:szCs w:val="19"/>
          <w:color w:val="131413"/>
        </w:rPr>
        <w:t xml:space="preserve"> as the counterions for the AEMs have been shown to work well (Qian and Schoenau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131413"/>
        </w:rPr>
        <w:t xml:space="preserve">). The large IEM sheets were cut into 5 cm x 5 cm squares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a) and soaked immediately in distilled water. These IEM squares were then trans-ferred to another large plastic container and filled with sufficient charging solution to ensure that all of the membranes were totally covered by the solution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b). The container was covered with a lid and gently</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shook on the lab bench for 10 min and then let sit for one hour. Afterwards, the IEM squares were removed and placed in another container containing sufficient dis-tilled water to cover and soak them for 10 min, and then placed in another clean container containing fresh charging solution. This charging process was repeated three times using new charging solution each time and great caution was taken throughout the IEM preparation to avoid chemical contamination from the lab environ-ment. After the final shaking in distilled water, the membrane squares were stored in sealed bags in the freezer.</w:t>
      </w:r>
    </w:p>
    <w:p>
      <w:pPr>
        <w:spacing w:after="0" w:line="261" w:lineRule="exact"/>
        <w:rPr>
          <w:rFonts w:ascii="Times New Roman" w:cs="Times New Roman" w:eastAsia="Times New Roman" w:hAnsi="Times New Roman"/>
          <w:sz w:val="19"/>
          <w:szCs w:val="19"/>
          <w:color w:val="131413"/>
        </w:rPr>
      </w:pPr>
    </w:p>
    <w:p>
      <w:pPr>
        <w:spacing w:after="0"/>
        <w:rPr>
          <w:sz w:val="20"/>
          <w:szCs w:val="20"/>
          <w:color w:val="auto"/>
        </w:rPr>
      </w:pPr>
      <w:r>
        <w:rPr>
          <w:rFonts w:ascii="Times New Roman" w:cs="Times New Roman" w:eastAsia="Times New Roman" w:hAnsi="Times New Roman"/>
          <w:sz w:val="20"/>
          <w:szCs w:val="20"/>
          <w:color w:val="131413"/>
        </w:rPr>
        <w:t>IEM incubation in field</w:t>
      </w:r>
    </w:p>
    <w:p>
      <w:pPr>
        <w:spacing w:after="0" w:line="283" w:lineRule="exact"/>
        <w:rPr>
          <w:rFonts w:ascii="Times New Roman" w:cs="Times New Roman" w:eastAsia="Times New Roman" w:hAnsi="Times New Roman"/>
          <w:sz w:val="19"/>
          <w:szCs w:val="19"/>
          <w:color w:val="131413"/>
        </w:rPr>
      </w:pPr>
    </w:p>
    <w:p>
      <w:pPr>
        <w:jc w:val="both"/>
        <w:spacing w:after="0" w:line="289"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We developed a simple method for the rapid placement, retrieval, and handling of IEMs in the field. Prior to field deployment, we tagged one corner of each IEM with a plastic cloth barb (~ 10 cm long) using a clothes tag gun (Tech-It, USA) so that it could be easily located in the vegetation (Fig. </w:t>
      </w:r>
      <w:hyperlink w:anchor="page18">
        <w:r>
          <w:rPr>
            <w:rFonts w:ascii="Times New Roman" w:cs="Times New Roman" w:eastAsia="Times New Roman" w:hAnsi="Times New Roman"/>
            <w:sz w:val="18"/>
            <w:szCs w:val="18"/>
            <w:color w:val="0000FF"/>
          </w:rPr>
          <w:t>S1</w:t>
        </w:r>
      </w:hyperlink>
      <w:r>
        <w:rPr>
          <w:rFonts w:ascii="Times New Roman" w:cs="Times New Roman" w:eastAsia="Times New Roman" w:hAnsi="Times New Roman"/>
          <w:sz w:val="18"/>
          <w:szCs w:val="18"/>
          <w:color w:val="131413"/>
        </w:rPr>
        <w:t xml:space="preserve">c). Tagging of the IEMs in this way should not affect the membrane exchange capacity (Cain et al. </w:t>
      </w:r>
      <w:hyperlink w:anchor="page18">
        <w:r>
          <w:rPr>
            <w:rFonts w:ascii="Times New Roman" w:cs="Times New Roman" w:eastAsia="Times New Roman" w:hAnsi="Times New Roman"/>
            <w:sz w:val="18"/>
            <w:szCs w:val="18"/>
            <w:color w:val="0000FF"/>
          </w:rPr>
          <w:t>1999</w:t>
        </w:r>
      </w:hyperlink>
      <w:r>
        <w:rPr>
          <w:rFonts w:ascii="Times New Roman" w:cs="Times New Roman" w:eastAsia="Times New Roman" w:hAnsi="Times New Roman"/>
          <w:sz w:val="18"/>
          <w:szCs w:val="18"/>
          <w:color w:val="131413"/>
        </w:rPr>
        <w:t xml:space="preserve">; Duran et al. </w:t>
      </w:r>
      <w:hyperlink w:anchor="page18">
        <w:r>
          <w:rPr>
            <w:rFonts w:ascii="Times New Roman" w:cs="Times New Roman" w:eastAsia="Times New Roman" w:hAnsi="Times New Roman"/>
            <w:sz w:val="18"/>
            <w:szCs w:val="18"/>
            <w:color w:val="0000FF"/>
          </w:rPr>
          <w:t>2008</w:t>
        </w:r>
      </w:hyperlink>
      <w:r>
        <w:rPr>
          <w:rFonts w:ascii="Times New Roman" w:cs="Times New Roman" w:eastAsia="Times New Roman" w:hAnsi="Times New Roman"/>
          <w:sz w:val="18"/>
          <w:szCs w:val="18"/>
          <w:color w:val="131413"/>
        </w:rPr>
        <w:t xml:space="preserve">). In the field, we cut a vertical slit into the soil with a serrated knife and placed the IEM square at a uniform depth within the surface organic soil horizon (i.e. extending vertically from 2 to 7 cm underneath the soil surface measured relative to the green-brown transition in the moss/ vegetation ground cover layer) at each incubation loca-tion (Figs. </w:t>
      </w:r>
      <w:hyperlink w:anchor="page18">
        <w:r>
          <w:rPr>
            <w:rFonts w:ascii="Times New Roman" w:cs="Times New Roman" w:eastAsia="Times New Roman" w:hAnsi="Times New Roman"/>
            <w:sz w:val="18"/>
            <w:szCs w:val="18"/>
            <w:color w:val="0000FF"/>
          </w:rPr>
          <w:t>S1</w:t>
        </w:r>
      </w:hyperlink>
      <w:r>
        <w:rPr>
          <w:rFonts w:ascii="Times New Roman" w:cs="Times New Roman" w:eastAsia="Times New Roman" w:hAnsi="Times New Roman"/>
          <w:sz w:val="18"/>
          <w:szCs w:val="18"/>
          <w:color w:val="131413"/>
        </w:rPr>
        <w:t xml:space="preserve">d &amp; </w:t>
      </w:r>
      <w:hyperlink w:anchor="page18">
        <w:r>
          <w:rPr>
            <w:rFonts w:ascii="Times New Roman" w:cs="Times New Roman" w:eastAsia="Times New Roman" w:hAnsi="Times New Roman"/>
            <w:sz w:val="18"/>
            <w:szCs w:val="18"/>
            <w:color w:val="0000FF"/>
          </w:rPr>
          <w:t>S1</w:t>
        </w:r>
      </w:hyperlink>
      <w:r>
        <w:rPr>
          <w:rFonts w:ascii="Times New Roman" w:cs="Times New Roman" w:eastAsia="Times New Roman" w:hAnsi="Times New Roman"/>
          <w:sz w:val="18"/>
          <w:szCs w:val="18"/>
          <w:color w:val="131413"/>
        </w:rPr>
        <w:t>e). Vertical deployment of the IEMs avoids the confounding effect of ion accumulation on the membranes via gravitational solution flow. Within each sampling area of the replicate treatment plots, CEMs and AEMs were placed in pairs about 2 cm apart in inter-tussock microsite locations. The slits were then</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2253615</wp:posOffset>
            </wp:positionH>
            <wp:positionV relativeFrom="paragraph">
              <wp:posOffset>187325</wp:posOffset>
            </wp:positionV>
            <wp:extent cx="483870" cy="1384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5" w:space="460"/>
            <w:col w:w="4300"/>
          </w:cols>
          <w:pgMar w:left="935" w:top="649" w:right="942" w:bottom="871" w:gutter="0" w:footer="0" w:header="0"/>
          <w:type w:val="continuous"/>
        </w:sectPr>
      </w:pPr>
    </w:p>
    <w:bookmarkStart w:id="5" w:name="page6"/>
    <w:bookmarkEnd w:id="5"/>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82" w:gutter="0" w:footer="0" w:header="0"/>
        </w:sectPr>
      </w:pPr>
    </w:p>
    <w:p>
      <w:pPr>
        <w:spacing w:after="0" w:line="263" w:lineRule="exact"/>
        <w:rPr>
          <w:sz w:val="20"/>
          <w:szCs w:val="20"/>
          <w:color w:val="auto"/>
        </w:rPr>
      </w:pPr>
    </w:p>
    <w:p>
      <w:pPr>
        <w:jc w:val="both"/>
        <w:spacing w:after="0" w:line="269"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closed by gently pressing the soil surface on either side to ensure good contact between the membrane and the soil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f). Afterwards, we tied a piece of flagging tape to the cloth barb of each membrane as an easily visible marker to facilitate finding them later, and as a way to write a label for each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c). The membranes were left to incubate in the soil for a certain period (see below for specific time periods), and were then removed and replaced with new membranes in the same slits. One concern about using the same soil incubation spot is that repeated deployment of membranes may cause ion de-pletion to below ambient levels in the incubation spot over time. For example,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 xml:space="preserve">-N ion uptake rates by AEMs over seven days decreased significantly in a laboratory experiment using homogenized agricultural soil (Subler et al. </w:t>
      </w:r>
      <w:hyperlink w:anchor="page18">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131413"/>
        </w:rPr>
        <w:t xml:space="preserve">). However, a comparable field study on tundra soil found negligible ion depletion effects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perhaps because ongoing nutrient supply in the in situ field soil sufficiently replenished the soil solution pools in the incubation spot.</w:t>
      </w:r>
    </w:p>
    <w:p>
      <w:pPr>
        <w:spacing w:after="0" w:line="11" w:lineRule="exact"/>
        <w:rPr>
          <w:rFonts w:ascii="Times New Roman" w:cs="Times New Roman" w:eastAsia="Times New Roman" w:hAnsi="Times New Roman"/>
          <w:sz w:val="19"/>
          <w:szCs w:val="19"/>
          <w:color w:val="131413"/>
        </w:rPr>
      </w:pPr>
    </w:p>
    <w:p>
      <w:pPr>
        <w:jc w:val="both"/>
        <w:ind w:firstLine="227"/>
        <w:spacing w:after="0" w:line="273"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 xml:space="preserve">After removal, the IEM membranes in our study were immediately rinsed free of visible soil particles using a spray bottle containing distilled water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g), the cloth barb was cut off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h). Each group of anion or cation exchange membranes from within the same treat-ment sub-plot (i.e. the unit of experimental replication) were placed together in a clean labelled plastic bag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i),</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and transported to a freezer for storage prior to</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elution. Blank membranes were prepared and processed in exactly the same way except without being incubated in the soil (i.e. the only difference was that the blank membranes were stored in the refrigerator during the incubation periods).</w:t>
      </w:r>
    </w:p>
    <w:p>
      <w:pPr>
        <w:spacing w:after="0" w:line="256" w:lineRule="exact"/>
        <w:rPr>
          <w:rFonts w:ascii="Times New Roman" w:cs="Times New Roman" w:eastAsia="Times New Roman" w:hAnsi="Times New Roman"/>
          <w:sz w:val="19"/>
          <w:szCs w:val="19"/>
          <w:color w:val="131413"/>
        </w:rPr>
      </w:pPr>
    </w:p>
    <w:p>
      <w:pPr>
        <w:ind w:right="560"/>
        <w:spacing w:after="0" w:line="271" w:lineRule="auto"/>
        <w:rPr>
          <w:sz w:val="20"/>
          <w:szCs w:val="20"/>
          <w:color w:val="auto"/>
        </w:rPr>
      </w:pPr>
      <w:r>
        <w:rPr>
          <w:rFonts w:ascii="Times New Roman" w:cs="Times New Roman" w:eastAsia="Times New Roman" w:hAnsi="Times New Roman"/>
          <w:sz w:val="19"/>
          <w:szCs w:val="19"/>
          <w:color w:val="131413"/>
        </w:rPr>
        <w:t>IEM incubation, and soil sampling and analyses from the experimental fertilization plots</w:t>
      </w:r>
    </w:p>
    <w:p>
      <w:pPr>
        <w:spacing w:after="0" w:line="254" w:lineRule="exact"/>
        <w:rPr>
          <w:rFonts w:ascii="Times New Roman" w:cs="Times New Roman" w:eastAsia="Times New Roman" w:hAnsi="Times New Roman"/>
          <w:sz w:val="19"/>
          <w:szCs w:val="19"/>
          <w:color w:val="131413"/>
        </w:rPr>
      </w:pPr>
    </w:p>
    <w:p>
      <w:pPr>
        <w:jc w:val="both"/>
        <w:spacing w:after="0" w:line="273" w:lineRule="auto"/>
        <w:rPr>
          <w:sz w:val="20"/>
          <w:szCs w:val="20"/>
          <w:color w:val="auto"/>
        </w:rPr>
      </w:pPr>
      <w:r>
        <w:rPr>
          <w:rFonts w:ascii="Times New Roman" w:cs="Times New Roman" w:eastAsia="Times New Roman" w:hAnsi="Times New Roman"/>
          <w:sz w:val="19"/>
          <w:szCs w:val="19"/>
          <w:color w:val="131413"/>
        </w:rPr>
        <w:t>Each of the five experimental fertilization plots (5 m x 7 m) was visually divided into two subplots, generating 10 replicate subplots in total. Within each subplot, the IEM incubations and soil collections described below were conducted in a single marked sampling area (~ 40 cm x 40 cm) that was deliberately located at least two meters away from the corresponding marked sampling area in the other subplot, in order to minimize the likelihood of any possible spatial dependency in terms of soil nutrient availability between them. Within each sampling area of the replicate treatment subplots, CEMs</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-2540</wp:posOffset>
            </wp:positionH>
            <wp:positionV relativeFrom="paragraph">
              <wp:posOffset>194310</wp:posOffset>
            </wp:positionV>
            <wp:extent cx="483870" cy="13843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242" w:lineRule="exact"/>
        <w:rPr>
          <w:rFonts w:ascii="Times New Roman" w:cs="Times New Roman" w:eastAsia="Times New Roman" w:hAnsi="Times New Roman"/>
          <w:sz w:val="19"/>
          <w:szCs w:val="19"/>
          <w:color w:val="131413"/>
        </w:rPr>
      </w:pPr>
    </w:p>
    <w:p>
      <w:pPr>
        <w:jc w:val="both"/>
        <w:ind w:left="2"/>
        <w:spacing w:after="0" w:line="272" w:lineRule="auto"/>
        <w:rPr>
          <w:sz w:val="20"/>
          <w:szCs w:val="20"/>
          <w:color w:val="auto"/>
        </w:rPr>
      </w:pPr>
      <w:r>
        <w:rPr>
          <w:rFonts w:ascii="Times New Roman" w:cs="Times New Roman" w:eastAsia="Times New Roman" w:hAnsi="Times New Roman"/>
          <w:sz w:val="19"/>
          <w:szCs w:val="19"/>
          <w:color w:val="131413"/>
        </w:rPr>
        <w:t>and AEMs were placed in pairs about 2 cm apart in inter-tussock microsite locations. Four IEM pairs were used for each incubation, with each pair 20</w:t>
      </w:r>
      <w:r>
        <w:rPr>
          <w:rFonts w:ascii="Arial" w:cs="Arial" w:eastAsia="Arial" w:hAnsi="Arial"/>
          <w:sz w:val="19"/>
          <w:szCs w:val="19"/>
          <w:color w:val="131413"/>
        </w:rPr>
        <w:t>–</w:t>
      </w:r>
      <w:r>
        <w:rPr>
          <w:rFonts w:ascii="Times New Roman" w:cs="Times New Roman" w:eastAsia="Times New Roman" w:hAnsi="Times New Roman"/>
          <w:sz w:val="19"/>
          <w:szCs w:val="19"/>
          <w:color w:val="131413"/>
        </w:rPr>
        <w:t>30 cm apart from each other. Three 14-day incubations were con-ducted sequentially throughout the main growing sea-son in 2016. Our selection of three 14-day incubations was a tradeoff between logistical practicalities and an effort to encompass the main growing season. These individual incubation periods were: Round 1 (R1) from July 10/11 to July 24/25, R2 from July 24/25 to Aug 7/8, and R3 from Aug 7/8 to Aug 21/22. Soil samples were also collected three times (R1 on July 4, R2 on July 16, and R3 on August 1) within the same growing season. Note that the soil sampling dates did not always match with the IEM incubation periods, due to logistical re-strictions associated with conducting these two field experiments at the same time. Three organic soil sam-ples (0</w:t>
      </w:r>
      <w:r>
        <w:rPr>
          <w:rFonts w:ascii="Arial" w:cs="Arial" w:eastAsia="Arial" w:hAnsi="Arial"/>
          <w:sz w:val="19"/>
          <w:szCs w:val="19"/>
          <w:color w:val="131413"/>
        </w:rPr>
        <w:t>–</w:t>
      </w:r>
      <w:r>
        <w:rPr>
          <w:rFonts w:ascii="Times New Roman" w:cs="Times New Roman" w:eastAsia="Times New Roman" w:hAnsi="Times New Roman"/>
          <w:sz w:val="19"/>
          <w:szCs w:val="19"/>
          <w:color w:val="131413"/>
        </w:rPr>
        <w:t>7 cm depth; 5 cm x 5 cm in diameter) that were about 10 cm distant from the IEM incubation spots were cut out from inter-tussock microsites in each replicate marked sampling area and composited into a single sample. All aboveground plant materials were cut off, and then all coarse roots (&gt; 2 mm in diameter) and occasional stones were removed from each sample. The soil was then homogenized by hand and subsam-pled (10 g fresh weight each) to determine soil moisture and nutrient pools. Soils were kept at field moisture in plastic bags at 4 C° for no more than two days before processing and extraction at the field laboratory.</w:t>
      </w:r>
    </w:p>
    <w:p>
      <w:pPr>
        <w:ind w:left="222"/>
        <w:spacing w:after="0" w:line="230" w:lineRule="auto"/>
        <w:rPr>
          <w:sz w:val="20"/>
          <w:szCs w:val="20"/>
          <w:color w:val="auto"/>
        </w:rPr>
      </w:pPr>
      <w:r>
        <w:rPr>
          <w:rFonts w:ascii="Times New Roman" w:cs="Times New Roman" w:eastAsia="Times New Roman" w:hAnsi="Times New Roman"/>
          <w:sz w:val="19"/>
          <w:szCs w:val="19"/>
          <w:color w:val="131413"/>
        </w:rPr>
        <w:t>Three soil nutrient pools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w:t>
      </w:r>
    </w:p>
    <w:p>
      <w:pPr>
        <w:spacing w:after="0" w:line="14" w:lineRule="exact"/>
        <w:rPr>
          <w:rFonts w:ascii="Times New Roman" w:cs="Times New Roman" w:eastAsia="Times New Roman" w:hAnsi="Times New Roman"/>
          <w:sz w:val="19"/>
          <w:szCs w:val="19"/>
          <w:color w:val="131413"/>
        </w:rPr>
      </w:pPr>
    </w:p>
    <w:p>
      <w:pPr>
        <w:jc w:val="both"/>
        <w:ind w:left="2" w:hanging="2"/>
        <w:spacing w:after="0" w:line="264" w:lineRule="auto"/>
        <w:tabs>
          <w:tab w:leader="none" w:pos="230" w:val="left"/>
        </w:tabs>
        <w:numPr>
          <w:ilvl w:val="0"/>
          <w:numId w:val="6"/>
        </w:numPr>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were determined using the traditional extraction and chemical analyses procedure (Gregorich and Carter </w:t>
      </w:r>
      <w:hyperlink w:anchor="page18">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131413"/>
        </w:rPr>
        <w:t>). Each soil sample was placed in a specimen cup</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with 50 mL of distilled water and shaken manually every 15 min over the next hour, allowed to sit for another hour, and then vacuum-filtered through glass fibre filters (Fisher G4; 1.2 µm pore space). All extracts were kept frozen until analysis.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concentrations in the extracts were determined colorimetrically using automated flow analysis (Bran-Leubbe Autoanalyzer III, Norderstadt, Germany) and the indophenol, sulphanilamide (Mulvaney et al.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and molybdate</w:t>
      </w:r>
      <w:r>
        <w:rPr>
          <w:rFonts w:ascii="Times New Roman" w:cs="Times New Roman" w:eastAsia="Times New Roman" w:hAnsi="Times New Roman"/>
          <w:sz w:val="19"/>
          <w:szCs w:val="19"/>
          <w:color w:val="0000FF"/>
        </w:rPr>
        <w:t xml:space="preserve"> </w:t>
      </w:r>
      <w:r>
        <w:rPr>
          <w:rFonts w:ascii="Arial" w:cs="Arial" w:eastAsia="Arial" w:hAnsi="Arial"/>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ascorbic acid methods (Kuo</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et al.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respectively. Oven-dry weight conversion factors were determined by heating 10 g of fresh soil at 60 C° to a constant weight. These factors were used to correct the measured N and P concentrations in the extracts for dilution associated with initial soil moisture content in each individual sample, and to calculate the</w:t>
      </w:r>
    </w:p>
    <w:p>
      <w:pPr>
        <w:sectPr>
          <w:pgSz w:w="10940" w:h="14740" w:orient="portrait"/>
          <w:cols w:equalWidth="0" w:num="2">
            <w:col w:w="4300" w:space="458"/>
            <w:col w:w="4302"/>
          </w:cols>
          <w:pgMar w:left="940" w:top="649" w:right="942" w:bottom="882"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56" w:gutter="0" w:footer="0" w:header="0"/>
        </w:sectPr>
      </w:pPr>
    </w:p>
    <w:p>
      <w:pPr>
        <w:spacing w:after="0" w:line="213" w:lineRule="exact"/>
        <w:rPr>
          <w:sz w:val="20"/>
          <w:szCs w:val="20"/>
          <w:color w:val="auto"/>
        </w:rPr>
      </w:pPr>
    </w:p>
    <w:p>
      <w:pPr>
        <w:jc w:val="both"/>
        <w:spacing w:after="0" w:line="206" w:lineRule="auto"/>
        <w:rPr>
          <w:sz w:val="20"/>
          <w:szCs w:val="20"/>
          <w:color w:val="auto"/>
        </w:rPr>
      </w:pPr>
      <w:r>
        <w:rPr>
          <w:rFonts w:ascii="Times New Roman" w:cs="Times New Roman" w:eastAsia="Times New Roman" w:hAnsi="Times New Roman"/>
          <w:sz w:val="20"/>
          <w:szCs w:val="20"/>
          <w:color w:val="131413"/>
        </w:rPr>
        <w:t>concentrations on a dry soil weight basis (µg N/P g</w:t>
      </w:r>
      <w:r>
        <w:rPr>
          <w:rFonts w:ascii="Arial" w:cs="Arial" w:eastAsia="Arial" w:hAnsi="Arial"/>
          <w:sz w:val="26"/>
          <w:szCs w:val="26"/>
          <w:color w:val="131413"/>
          <w:vertAlign w:val="superscript"/>
        </w:rPr>
        <w:t>−</w:t>
      </w:r>
      <w:r>
        <w:rPr>
          <w:rFonts w:ascii="Times New Roman" w:cs="Times New Roman" w:eastAsia="Times New Roman" w:hAnsi="Times New Roman"/>
          <w:sz w:val="20"/>
          <w:szCs w:val="20"/>
          <w:color w:val="131413"/>
        </w:rPr>
        <w:t xml:space="preserve"> </w:t>
      </w:r>
      <w:r>
        <w:rPr>
          <w:rFonts w:ascii="Times New Roman" w:cs="Times New Roman" w:eastAsia="Times New Roman" w:hAnsi="Times New Roman"/>
          <w:sz w:val="26"/>
          <w:szCs w:val="26"/>
          <w:color w:val="131413"/>
          <w:vertAlign w:val="superscript"/>
        </w:rPr>
        <w:t>1</w:t>
      </w:r>
      <w:r>
        <w:rPr>
          <w:rFonts w:ascii="Times New Roman" w:cs="Times New Roman" w:eastAsia="Times New Roman" w:hAnsi="Times New Roman"/>
          <w:sz w:val="20"/>
          <w:szCs w:val="20"/>
          <w:color w:val="131413"/>
        </w:rPr>
        <w:t xml:space="preserve"> dry weight soil).</w:t>
      </w:r>
    </w:p>
    <w:p>
      <w:pPr>
        <w:spacing w:after="0" w:line="283" w:lineRule="exact"/>
        <w:rPr>
          <w:sz w:val="20"/>
          <w:szCs w:val="20"/>
          <w:color w:val="auto"/>
        </w:rPr>
      </w:pPr>
    </w:p>
    <w:p>
      <w:pPr>
        <w:ind w:right="80"/>
        <w:spacing w:after="0" w:line="246" w:lineRule="auto"/>
        <w:rPr>
          <w:sz w:val="20"/>
          <w:szCs w:val="20"/>
          <w:color w:val="auto"/>
        </w:rPr>
      </w:pPr>
      <w:r>
        <w:rPr>
          <w:rFonts w:ascii="Times New Roman" w:cs="Times New Roman" w:eastAsia="Times New Roman" w:hAnsi="Times New Roman"/>
          <w:sz w:val="20"/>
          <w:szCs w:val="20"/>
          <w:color w:val="131413"/>
        </w:rPr>
        <w:t>IEM incubations for the summer greenhouse warming and snowfence experiments</w:t>
      </w:r>
    </w:p>
    <w:p>
      <w:pPr>
        <w:spacing w:after="0" w:line="276" w:lineRule="exact"/>
        <w:rPr>
          <w:sz w:val="20"/>
          <w:szCs w:val="20"/>
          <w:color w:val="auto"/>
        </w:rPr>
      </w:pPr>
    </w:p>
    <w:p>
      <w:pPr>
        <w:jc w:val="right"/>
        <w:spacing w:after="0" w:line="273" w:lineRule="auto"/>
        <w:rPr>
          <w:sz w:val="20"/>
          <w:szCs w:val="20"/>
          <w:color w:val="auto"/>
        </w:rPr>
      </w:pPr>
      <w:r>
        <w:rPr>
          <w:rFonts w:ascii="Times New Roman" w:cs="Times New Roman" w:eastAsia="Times New Roman" w:hAnsi="Times New Roman"/>
          <w:sz w:val="19"/>
          <w:szCs w:val="19"/>
          <w:color w:val="131413"/>
        </w:rPr>
        <w:t xml:space="preserve">Six sequential sets of IEM incubations throughout the growing season and one single set during the following non-growing season were deployed in the summer greenhouse warming and associated control plots (n = 10). The growing season incubations were conducted in 2017, with individual incubation periods varying from nine to 17 days. Specifically, Round 1 (R1) was from June 25 to July 4, R2 July 4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July 13, R3 July 13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July 22, R4 July 22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July 31, R5 July 31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August 17, and R6 August 17 - August 26. The single long-term non-growing season incubation followed immediately after the R6 incubation from August 26, 2017 until June 29, 2018 (307 days in total). Three paired mem-branes of each type were installed within each replicate sampling area during each incubation for both the grow-ing season and non-growing season measurements, ex-cept for the last incubation round in the growing season (i.e. the R6 incubation), for which only two paired membranes were used due to a shortage of membranes. For the snowfence and associated control plots (n =</w:t>
      </w:r>
    </w:p>
    <w:p>
      <w:pPr>
        <w:spacing w:after="0" w:line="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9"/>
          <w:szCs w:val="19"/>
          <w:color w:val="131413"/>
        </w:rPr>
        <w:t>05), we first conducted a single long-term non-growing season incubation from August 17, 2016 until June 24, 2017 at which time the soil had completely thawed (311 days in total), followed by five sequential sets of incu-bations throughout the growing season in 2017. Dates of these five sequential sets correspond to the first five incubations in the greenhouse warming treatments as described above. Six paired membranes were installed in each replicate plot for the non-growing season incu-bation, whereas three paired membranes were installed for each incubation during the growing season measurements.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131413"/>
        </w:rPr>
        <w:t>IEM elution and chemical analyses</w:t>
      </w:r>
    </w:p>
    <w:p>
      <w:pPr>
        <w:spacing w:after="0" w:line="281" w:lineRule="exact"/>
        <w:rPr>
          <w:sz w:val="20"/>
          <w:szCs w:val="20"/>
          <w:color w:val="auto"/>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IEM membranes from within the same replicate sampling areas from each incubation round in each experimental manipulation were placed together for elu-tion and chemical analyses. Each pooled sample was placed in a single 50 mL petri dish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j). Mem-branes were then extracted with 2 M NaCl in 0.1 M HCl solution (Giblin et al.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 xml:space="preserve">) by shaking for 2 h on a shaker table (Fig.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k). The specific amounts of elution</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242" w:lineRule="exact"/>
        <w:rPr>
          <w:rFonts w:ascii="Times New Roman" w:cs="Times New Roman" w:eastAsia="Times New Roman" w:hAnsi="Times New Roman"/>
          <w:sz w:val="19"/>
          <w:szCs w:val="19"/>
          <w:color w:val="131413"/>
        </w:rPr>
      </w:pPr>
    </w:p>
    <w:p>
      <w:pPr>
        <w:jc w:val="both"/>
        <w:spacing w:after="0" w:line="263"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 xml:space="preserve">solution used varied according to the particular replicate numbers of the membranes and the specific experimen-tal treatments from which these membranes were re-trieved. As a rule, 5 mL of elution solution were used for each replicate group of membranes. However, for the extractions in each of the fertilization treatments (i.e. the LN, LP, HN, and HP treatments), we used 10 mL of elution solution (and larger containers) to avoid poten-tial saturation of the elution solution (i.e. ion exchange equilibrium when the rate of target nutrient ions leaving and returning the membrane polymer becomes equal). Moreover, for the membranes collected from the high level fertilization plots (i.e. the HN and HP plots), we repeated the elution process two to three times until concentrations in the last elutant solutions were negligi-ble. See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Fig. </w:t>
      </w:r>
      <w:hyperlink w:anchor="page18">
        <w:r>
          <w:rPr>
            <w:rFonts w:ascii="Times New Roman" w:cs="Times New Roman" w:eastAsia="Times New Roman" w:hAnsi="Times New Roman"/>
            <w:sz w:val="19"/>
            <w:szCs w:val="19"/>
            <w:color w:val="0000FF"/>
          </w:rPr>
          <w:t>S2</w:t>
        </w:r>
      </w:hyperlink>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in Supportive Information for the IEM elution efficiency equations for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(Fig.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a),</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(Fig.</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b),</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(Fig.</w:t>
      </w:r>
      <w:r>
        <w:rPr>
          <w:rFonts w:ascii="Times New Roman" w:cs="Times New Roman" w:eastAsia="Times New Roman" w:hAnsi="Times New Roman"/>
          <w:sz w:val="19"/>
          <w:szCs w:val="19"/>
          <w:color w:val="0000FF"/>
        </w:rPr>
        <w:t xml:space="preserve">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c),</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respec-tively. Elutant solutions were then vacuum-filtered through glass fibre filters (Fisher G4; 1.2 µm pore space) and subsequently stored in the freezer until chem-ical analyses. Tests of the blank membranes (i.e. those not incubated in soil) indicated contaminations of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and NO</w:t>
      </w:r>
      <w:r>
        <w:rPr>
          <w:rFonts w:ascii="Times New Roman" w:cs="Times New Roman" w:eastAsia="Times New Roman" w:hAnsi="Times New Roman"/>
          <w:sz w:val="25"/>
          <w:szCs w:val="25"/>
          <w:color w:val="131413"/>
          <w:vertAlign w:val="subscript"/>
        </w:rPr>
        <w:t>3</w:t>
      </w:r>
      <w:r>
        <w:rPr>
          <w:rFonts w:ascii="Times New Roman" w:cs="Times New Roman" w:eastAsia="Times New Roman" w:hAnsi="Times New Roman"/>
          <w:sz w:val="19"/>
          <w:szCs w:val="19"/>
          <w:color w:val="131413"/>
        </w:rPr>
        <w:t>-N on AEMs, and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on CEMs, were below our detection limits.</w:t>
      </w:r>
    </w:p>
    <w:p>
      <w:pPr>
        <w:spacing w:after="0" w:line="250" w:lineRule="exact"/>
        <w:rPr>
          <w:rFonts w:ascii="Times New Roman" w:cs="Times New Roman" w:eastAsia="Times New Roman" w:hAnsi="Times New Roman"/>
          <w:sz w:val="19"/>
          <w:szCs w:val="19"/>
          <w:color w:val="0000FF"/>
        </w:rPr>
      </w:pPr>
    </w:p>
    <w:p>
      <w:pPr>
        <w:spacing w:after="0"/>
        <w:rPr>
          <w:sz w:val="20"/>
          <w:szCs w:val="20"/>
          <w:color w:val="auto"/>
        </w:rPr>
      </w:pPr>
      <w:r>
        <w:rPr>
          <w:rFonts w:ascii="Times New Roman" w:cs="Times New Roman" w:eastAsia="Times New Roman" w:hAnsi="Times New Roman"/>
          <w:sz w:val="20"/>
          <w:szCs w:val="20"/>
          <w:color w:val="131413"/>
        </w:rPr>
        <w:t>IEM methodological sensitivity characterization</w:t>
      </w:r>
    </w:p>
    <w:p>
      <w:pPr>
        <w:spacing w:after="0" w:line="281" w:lineRule="exact"/>
        <w:rPr>
          <w:rFonts w:ascii="Times New Roman" w:cs="Times New Roman" w:eastAsia="Times New Roman" w:hAnsi="Times New Roman"/>
          <w:sz w:val="19"/>
          <w:szCs w:val="19"/>
          <w:color w:val="0000FF"/>
        </w:rPr>
      </w:pPr>
    </w:p>
    <w:p>
      <w:pPr>
        <w:jc w:val="both"/>
        <w:spacing w:after="0" w:line="25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Since soil nutrient mineralization rates and dissolved soil N and P pools are exceptionally low in Arctic tundra (Chapin and Shaver </w:t>
      </w:r>
      <w:hyperlink w:anchor="page18">
        <w:r>
          <w:rPr>
            <w:rFonts w:ascii="Times New Roman" w:cs="Times New Roman" w:eastAsia="Times New Roman" w:hAnsi="Times New Roman"/>
            <w:sz w:val="18"/>
            <w:szCs w:val="18"/>
            <w:color w:val="0000FF"/>
          </w:rPr>
          <w:t>1981</w:t>
        </w:r>
      </w:hyperlink>
      <w:r>
        <w:rPr>
          <w:rFonts w:ascii="Times New Roman" w:cs="Times New Roman" w:eastAsia="Times New Roman" w:hAnsi="Times New Roman"/>
          <w:sz w:val="18"/>
          <w:szCs w:val="18"/>
          <w:color w:val="131413"/>
        </w:rPr>
        <w:t xml:space="preserve">; Chapin III et al. </w:t>
      </w:r>
      <w:hyperlink w:anchor="page18">
        <w:r>
          <w:rPr>
            <w:rFonts w:ascii="Times New Roman" w:cs="Times New Roman" w:eastAsia="Times New Roman" w:hAnsi="Times New Roman"/>
            <w:sz w:val="18"/>
            <w:szCs w:val="18"/>
            <w:color w:val="0000FF"/>
          </w:rPr>
          <w:t>1978</w:t>
        </w:r>
      </w:hyperlink>
      <w:r>
        <w:rPr>
          <w:rFonts w:ascii="Times New Roman" w:cs="Times New Roman" w:eastAsia="Times New Roman" w:hAnsi="Times New Roman"/>
          <w:sz w:val="18"/>
          <w:szCs w:val="18"/>
          <w:color w:val="131413"/>
        </w:rPr>
        <w:t xml:space="preserve">; Giblin et al. </w:t>
      </w:r>
      <w:hyperlink w:anchor="page18">
        <w:r>
          <w:rPr>
            <w:rFonts w:ascii="Times New Roman" w:cs="Times New Roman" w:eastAsia="Times New Roman" w:hAnsi="Times New Roman"/>
            <w:sz w:val="18"/>
            <w:szCs w:val="18"/>
            <w:color w:val="0000FF"/>
          </w:rPr>
          <w:t>1991</w:t>
        </w:r>
      </w:hyperlink>
      <w:r>
        <w:rPr>
          <w:rFonts w:ascii="Times New Roman" w:cs="Times New Roman" w:eastAsia="Times New Roman" w:hAnsi="Times New Roman"/>
          <w:sz w:val="18"/>
          <w:szCs w:val="18"/>
          <w:color w:val="131413"/>
        </w:rPr>
        <w:t xml:space="preserve">; Jonasson et al. </w:t>
      </w:r>
      <w:hyperlink w:anchor="page18">
        <w:r>
          <w:rPr>
            <w:rFonts w:ascii="Times New Roman" w:cs="Times New Roman" w:eastAsia="Times New Roman" w:hAnsi="Times New Roman"/>
            <w:sz w:val="18"/>
            <w:szCs w:val="18"/>
            <w:color w:val="0000FF"/>
          </w:rPr>
          <w:t>1993</w:t>
        </w:r>
      </w:hyperlink>
      <w:r>
        <w:rPr>
          <w:rFonts w:ascii="Times New Roman" w:cs="Times New Roman" w:eastAsia="Times New Roman" w:hAnsi="Times New Roman"/>
          <w:sz w:val="18"/>
          <w:szCs w:val="18"/>
          <w:color w:val="131413"/>
        </w:rPr>
        <w:t>), we characterized the sensitivity of the IEMs in estimating low level mineral elemental fluxes in the laboratory before applying the IEM method in the field. Fresh pre-charged IEM mem-brane squares (n = 02 per individual solution) were im-mersed in a range of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NO</w:t>
      </w:r>
      <w:r>
        <w:rPr>
          <w:rFonts w:ascii="Times New Roman" w:cs="Times New Roman" w:eastAsia="Times New Roman" w:hAnsi="Times New Roman"/>
          <w:sz w:val="23"/>
          <w:szCs w:val="23"/>
          <w:color w:val="131413"/>
          <w:vertAlign w:val="subscript"/>
        </w:rPr>
        <w:t>3</w:t>
      </w:r>
      <w:r>
        <w:rPr>
          <w:rFonts w:ascii="Times New Roman" w:cs="Times New Roman" w:eastAsia="Times New Roman" w:hAnsi="Times New Roman"/>
          <w:sz w:val="18"/>
          <w:szCs w:val="18"/>
          <w:color w:val="131413"/>
        </w:rPr>
        <w:t>-N or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replicate solutions of known concentrations for 1 h (n = 06 for each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concentration, and n = 03 for each NO</w:t>
      </w:r>
      <w:r>
        <w:rPr>
          <w:rFonts w:ascii="Times New Roman" w:cs="Times New Roman" w:eastAsia="Times New Roman" w:hAnsi="Times New Roman"/>
          <w:sz w:val="23"/>
          <w:szCs w:val="23"/>
          <w:color w:val="131413"/>
          <w:vertAlign w:val="subscript"/>
        </w:rPr>
        <w:t>3</w:t>
      </w:r>
      <w:r>
        <w:rPr>
          <w:rFonts w:ascii="Times New Roman" w:cs="Times New Roman" w:eastAsia="Times New Roman" w:hAnsi="Times New Roman"/>
          <w:sz w:val="18"/>
          <w:szCs w:val="18"/>
          <w:color w:val="131413"/>
        </w:rPr>
        <w:t>-N concentration and each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concentration). These membranes were then eluted with 2 M NaCl in 0.1 M HCl solution for 2 h. Ion recoveries from the membranes into the eluted solutions were compared with the known concentrations in the initial immersion solutions. These sensitivity tests indicated that the membranes can detect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fluxes as low as 0.25 µg/cm</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(0.5 mg/L) with an accuracy of ± 7%, NO</w:t>
      </w:r>
      <w:r>
        <w:rPr>
          <w:rFonts w:ascii="Times New Roman" w:cs="Times New Roman" w:eastAsia="Times New Roman" w:hAnsi="Times New Roman"/>
          <w:sz w:val="23"/>
          <w:szCs w:val="23"/>
          <w:color w:val="131413"/>
          <w:vertAlign w:val="subscript"/>
        </w:rPr>
        <w:t>3</w:t>
      </w:r>
      <w:r>
        <w:rPr>
          <w:rFonts w:ascii="Times New Roman" w:cs="Times New Roman" w:eastAsia="Times New Roman" w:hAnsi="Times New Roman"/>
          <w:sz w:val="18"/>
          <w:szCs w:val="18"/>
          <w:color w:val="131413"/>
        </w:rPr>
        <w:t>-N fluxes as low as 0.05 µg/cm</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(0.1 mg/L) with an accuracy of ± 13%, and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fluxes as low as 0.05 µg/cm</w:t>
      </w:r>
      <w:r>
        <w:rPr>
          <w:rFonts w:ascii="Times New Roman" w:cs="Times New Roman" w:eastAsia="Times New Roman" w:hAnsi="Times New Roman"/>
          <w:sz w:val="23"/>
          <w:szCs w:val="23"/>
          <w:color w:val="131413"/>
          <w:vertAlign w:val="superscript"/>
        </w:rPr>
        <w:t>2</w:t>
      </w:r>
      <w:r>
        <w:rPr>
          <w:rFonts w:ascii="Times New Roman" w:cs="Times New Roman" w:eastAsia="Times New Roman" w:hAnsi="Times New Roman"/>
          <w:sz w:val="18"/>
          <w:szCs w:val="18"/>
          <w:color w:val="131413"/>
        </w:rPr>
        <w:t xml:space="preserve"> (0.1 mg/L) with an accuracy of ±</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2253615</wp:posOffset>
            </wp:positionH>
            <wp:positionV relativeFrom="paragraph">
              <wp:posOffset>177800</wp:posOffset>
            </wp:positionV>
            <wp:extent cx="483870" cy="1384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856" w:gutter="0" w:footer="0" w:header="0"/>
          <w:type w:val="continuous"/>
        </w:sectPr>
      </w:pPr>
    </w:p>
    <w:bookmarkStart w:id="7" w:name="page8"/>
    <w:bookmarkEnd w:id="7"/>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72" w:gutter="0" w:footer="0" w:header="0"/>
        </w:sectPr>
      </w:pPr>
    </w:p>
    <w:p>
      <w:pPr>
        <w:spacing w:after="0" w:line="263" w:lineRule="exact"/>
        <w:rPr>
          <w:sz w:val="20"/>
          <w:szCs w:val="20"/>
          <w:color w:val="auto"/>
        </w:rPr>
      </w:pPr>
    </w:p>
    <w:p>
      <w:pPr>
        <w:jc w:val="both"/>
        <w:spacing w:after="0" w:line="255"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20%, and furthermore that the accuracies for all three ions improve substantially for larger fluxes (see Fig. </w:t>
      </w:r>
      <w:hyperlink w:anchor="page18">
        <w:r>
          <w:rPr>
            <w:rFonts w:ascii="Times New Roman" w:cs="Times New Roman" w:eastAsia="Times New Roman" w:hAnsi="Times New Roman"/>
            <w:sz w:val="19"/>
            <w:szCs w:val="19"/>
            <w:color w:val="0000FF"/>
          </w:rPr>
          <w:t>S3</w:t>
        </w:r>
      </w:hyperlink>
      <w:r>
        <w:rPr>
          <w:rFonts w:ascii="Times New Roman" w:cs="Times New Roman" w:eastAsia="Times New Roman" w:hAnsi="Times New Roman"/>
          <w:sz w:val="19"/>
          <w:szCs w:val="19"/>
          <w:color w:val="131413"/>
        </w:rPr>
        <w:t xml:space="preserve"> and Table </w:t>
      </w:r>
      <w:hyperlink w:anchor="page18">
        <w:r>
          <w:rPr>
            <w:rFonts w:ascii="Times New Roman" w:cs="Times New Roman" w:eastAsia="Times New Roman" w:hAnsi="Times New Roman"/>
            <w:sz w:val="19"/>
            <w:szCs w:val="19"/>
            <w:color w:val="0000FF"/>
          </w:rPr>
          <w:t>S1</w:t>
        </w:r>
        <w:r>
          <w:rPr>
            <w:rFonts w:ascii="Times New Roman" w:cs="Times New Roman" w:eastAsia="Times New Roman" w:hAnsi="Times New Roman"/>
            <w:sz w:val="19"/>
            <w:szCs w:val="19"/>
            <w:color w:val="131413"/>
          </w:rPr>
          <w:t xml:space="preserve"> </w:t>
        </w:r>
      </w:hyperlink>
      <w:r>
        <w:rPr>
          <w:rFonts w:ascii="Times New Roman" w:cs="Times New Roman" w:eastAsia="Times New Roman" w:hAnsi="Times New Roman"/>
          <w:sz w:val="19"/>
          <w:szCs w:val="19"/>
          <w:color w:val="131413"/>
        </w:rPr>
        <w:t>in Supportive Information for full data). These minimum detection limits were well below the actual amounts accumulated on the field-incubated membranes for NH</w:t>
      </w:r>
      <w:r>
        <w:rPr>
          <w:rFonts w:ascii="Times New Roman" w:cs="Times New Roman" w:eastAsia="Times New Roman" w:hAnsi="Times New Roman"/>
          <w:sz w:val="24"/>
          <w:szCs w:val="24"/>
          <w:color w:val="131413"/>
          <w:vertAlign w:val="subscript"/>
        </w:rPr>
        <w:t>4</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4"/>
          <w:szCs w:val="24"/>
          <w:color w:val="131413"/>
          <w:vertAlign w:val="subscript"/>
        </w:rPr>
        <w:t>4</w:t>
      </w:r>
      <w:r>
        <w:rPr>
          <w:rFonts w:ascii="Times New Roman" w:cs="Times New Roman" w:eastAsia="Times New Roman" w:hAnsi="Times New Roman"/>
          <w:sz w:val="19"/>
          <w:szCs w:val="19"/>
          <w:color w:val="131413"/>
        </w:rPr>
        <w:t>-P. However only one-third of the membranes across all the field treatments accumulated NO</w:t>
      </w:r>
      <w:r>
        <w:rPr>
          <w:rFonts w:ascii="Times New Roman" w:cs="Times New Roman" w:eastAsia="Times New Roman" w:hAnsi="Times New Roman"/>
          <w:sz w:val="24"/>
          <w:szCs w:val="24"/>
          <w:color w:val="131413"/>
          <w:vertAlign w:val="subscript"/>
        </w:rPr>
        <w:t>3</w:t>
      </w:r>
      <w:r>
        <w:rPr>
          <w:rFonts w:ascii="Times New Roman" w:cs="Times New Roman" w:eastAsia="Times New Roman" w:hAnsi="Times New Roman"/>
          <w:sz w:val="19"/>
          <w:szCs w:val="19"/>
          <w:color w:val="131413"/>
        </w:rPr>
        <w:t>-N ions at rates above the minimum detection limit, and these were mostly from the later season incubations from the experimental fertilization settings. NO</w:t>
      </w:r>
      <w:r>
        <w:rPr>
          <w:rFonts w:ascii="Times New Roman" w:cs="Times New Roman" w:eastAsia="Times New Roman" w:hAnsi="Times New Roman"/>
          <w:sz w:val="24"/>
          <w:szCs w:val="24"/>
          <w:color w:val="131413"/>
          <w:vertAlign w:val="subscript"/>
        </w:rPr>
        <w:t>3</w:t>
      </w:r>
      <w:r>
        <w:rPr>
          <w:rFonts w:ascii="Times New Roman" w:cs="Times New Roman" w:eastAsia="Times New Roman" w:hAnsi="Times New Roman"/>
          <w:sz w:val="19"/>
          <w:szCs w:val="19"/>
          <w:color w:val="131413"/>
        </w:rPr>
        <w:t>-N flux only accounted for 5.9% -14.3% of total inorganic N (NH</w:t>
      </w:r>
      <w:r>
        <w:rPr>
          <w:rFonts w:ascii="Times New Roman" w:cs="Times New Roman" w:eastAsia="Times New Roman" w:hAnsi="Times New Roman"/>
          <w:sz w:val="24"/>
          <w:szCs w:val="24"/>
          <w:color w:val="131413"/>
          <w:vertAlign w:val="subscript"/>
        </w:rPr>
        <w:t>4</w:t>
      </w:r>
      <w:r>
        <w:rPr>
          <w:rFonts w:ascii="Times New Roman" w:cs="Times New Roman" w:eastAsia="Times New Roman" w:hAnsi="Times New Roman"/>
          <w:sz w:val="19"/>
          <w:szCs w:val="19"/>
          <w:color w:val="131413"/>
        </w:rPr>
        <w:t>-N + NO</w:t>
      </w:r>
      <w:r>
        <w:rPr>
          <w:rFonts w:ascii="Times New Roman" w:cs="Times New Roman" w:eastAsia="Times New Roman" w:hAnsi="Times New Roman"/>
          <w:sz w:val="24"/>
          <w:szCs w:val="24"/>
          <w:color w:val="131413"/>
          <w:vertAlign w:val="subscript"/>
        </w:rPr>
        <w:t>3</w:t>
      </w:r>
      <w:r>
        <w:rPr>
          <w:rFonts w:ascii="Times New Roman" w:cs="Times New Roman" w:eastAsia="Times New Roman" w:hAnsi="Times New Roman"/>
          <w:sz w:val="19"/>
          <w:szCs w:val="19"/>
          <w:color w:val="131413"/>
        </w:rPr>
        <w:t xml:space="preserve">-N) measured during the growing season in the control plots associated with fertilization treatment. This percentage range is similar to a buried bag soil incubation experiment in the tussock tundra (Nadelhoffer et al. </w:t>
      </w:r>
      <w:hyperlink w:anchor="page18">
        <w:r>
          <w:rPr>
            <w:rFonts w:ascii="Times New Roman" w:cs="Times New Roman" w:eastAsia="Times New Roman" w:hAnsi="Times New Roman"/>
            <w:sz w:val="19"/>
            <w:szCs w:val="19"/>
            <w:color w:val="0000FF"/>
          </w:rPr>
          <w:t>1991</w:t>
        </w:r>
      </w:hyperlink>
      <w:r>
        <w:rPr>
          <w:rFonts w:ascii="Times New Roman" w:cs="Times New Roman" w:eastAsia="Times New Roman" w:hAnsi="Times New Roman"/>
          <w:sz w:val="19"/>
          <w:szCs w:val="19"/>
          <w:color w:val="131413"/>
        </w:rPr>
        <w:t xml:space="preserve">). Therefore, we excluded this variable from our main analysis and only reported the results of sensitivity test (Table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 and elution efficiency from the HN addition plots (Fig.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b). On the other hand, the fact that we did detect reliable NO</w:t>
      </w:r>
      <w:r>
        <w:rPr>
          <w:rFonts w:ascii="Times New Roman" w:cs="Times New Roman" w:eastAsia="Times New Roman" w:hAnsi="Times New Roman"/>
          <w:sz w:val="24"/>
          <w:szCs w:val="24"/>
          <w:color w:val="131413"/>
          <w:vertAlign w:val="subscript"/>
        </w:rPr>
        <w:t>3</w:t>
      </w:r>
      <w:r>
        <w:rPr>
          <w:rFonts w:ascii="Times New Roman" w:cs="Times New Roman" w:eastAsia="Times New Roman" w:hAnsi="Times New Roman"/>
          <w:sz w:val="19"/>
          <w:szCs w:val="19"/>
          <w:color w:val="131413"/>
        </w:rPr>
        <w:t xml:space="preserve">-N fluxes from the ambient soils provides evidence that a low soil pH (4.6 at our study site) does not prevent nitrification by soil microbes, which is most effective at a higher pH of ~ 7.5 to 8.0 (Pietri and Brookes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131413"/>
        </w:rPr>
        <w:t>). Overall, based on the above sensitivity tests, we con-clude that all the NH</w:t>
      </w:r>
      <w:r>
        <w:rPr>
          <w:rFonts w:ascii="Times New Roman" w:cs="Times New Roman" w:eastAsia="Times New Roman" w:hAnsi="Times New Roman"/>
          <w:sz w:val="24"/>
          <w:szCs w:val="24"/>
          <w:color w:val="131413"/>
          <w:vertAlign w:val="subscript"/>
        </w:rPr>
        <w:t>4</w:t>
      </w:r>
      <w:r>
        <w:rPr>
          <w:rFonts w:ascii="Times New Roman" w:cs="Times New Roman" w:eastAsia="Times New Roman" w:hAnsi="Times New Roman"/>
          <w:sz w:val="19"/>
          <w:szCs w:val="19"/>
          <w:color w:val="131413"/>
        </w:rPr>
        <w:t>-N, NO</w:t>
      </w:r>
      <w:r>
        <w:rPr>
          <w:rFonts w:ascii="Times New Roman" w:cs="Times New Roman" w:eastAsia="Times New Roman" w:hAnsi="Times New Roman"/>
          <w:sz w:val="24"/>
          <w:szCs w:val="24"/>
          <w:color w:val="131413"/>
          <w:vertAlign w:val="subscript"/>
        </w:rPr>
        <w:t>3</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4"/>
          <w:szCs w:val="24"/>
          <w:color w:val="131413"/>
          <w:vertAlign w:val="subscript"/>
        </w:rPr>
        <w:t>4</w:t>
      </w:r>
      <w:r>
        <w:rPr>
          <w:rFonts w:ascii="Times New Roman" w:cs="Times New Roman" w:eastAsia="Times New Roman" w:hAnsi="Times New Roman"/>
          <w:sz w:val="19"/>
          <w:szCs w:val="19"/>
          <w:color w:val="131413"/>
        </w:rPr>
        <w:t>-P flux data reported in this study are robust.</w:t>
      </w:r>
    </w:p>
    <w:p>
      <w:pPr>
        <w:spacing w:after="0" w:line="265" w:lineRule="exact"/>
        <w:rPr>
          <w:rFonts w:ascii="Times New Roman" w:cs="Times New Roman" w:eastAsia="Times New Roman" w:hAnsi="Times New Roman"/>
          <w:sz w:val="19"/>
          <w:szCs w:val="19"/>
          <w:color w:val="131413"/>
        </w:rPr>
      </w:pPr>
    </w:p>
    <w:p>
      <w:pPr>
        <w:spacing w:after="0"/>
        <w:rPr>
          <w:sz w:val="20"/>
          <w:szCs w:val="20"/>
          <w:color w:val="auto"/>
        </w:rPr>
      </w:pPr>
      <w:r>
        <w:rPr>
          <w:rFonts w:ascii="Times New Roman" w:cs="Times New Roman" w:eastAsia="Times New Roman" w:hAnsi="Times New Roman"/>
          <w:sz w:val="20"/>
          <w:szCs w:val="20"/>
          <w:color w:val="131413"/>
        </w:rPr>
        <w:t>Vegetation sampling and analyses</w:t>
      </w:r>
    </w:p>
    <w:p>
      <w:pPr>
        <w:spacing w:after="0" w:line="281" w:lineRule="exact"/>
        <w:rPr>
          <w:rFonts w:ascii="Times New Roman" w:cs="Times New Roman" w:eastAsia="Times New Roman" w:hAnsi="Times New Roman"/>
          <w:sz w:val="19"/>
          <w:szCs w:val="19"/>
          <w:color w:val="131413"/>
        </w:rPr>
      </w:pPr>
    </w:p>
    <w:p>
      <w:pPr>
        <w:jc w:val="both"/>
        <w:spacing w:after="0" w:line="289"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We determined foliar N and P concentrations for the seven principal vascular plant species in the experimen-tal fertilization treatments. Healthy and mature leaf sam-ples (~ 20 g dry weight) for each plant species were collected on July 27/28 in 2016. These foliar samples were first air-dried, and later fully dried at 60 °C in a fan-assisted oven for 24 h before grinding mechanically (IKA MF 10 Microfine grinder, Staufen, Germany) or with a pestle and mortar, depending on the texture of the specific samples. Total N concentrations (% of dry mass) were analysed by combustion and gaseous N detection (Elementar,Hanau, Germany). Total P con-centrations were determined using the sulfuric acid/ hydrogen peroxide/lithium sulfate/selenium digestion method (Parkinson and Allen </w:t>
      </w:r>
      <w:hyperlink w:anchor="page18">
        <w:r>
          <w:rPr>
            <w:rFonts w:ascii="Times New Roman" w:cs="Times New Roman" w:eastAsia="Times New Roman" w:hAnsi="Times New Roman"/>
            <w:sz w:val="18"/>
            <w:szCs w:val="18"/>
            <w:color w:val="0000FF"/>
          </w:rPr>
          <w:t>1975</w:t>
        </w:r>
      </w:hyperlink>
      <w:r>
        <w:rPr>
          <w:rFonts w:ascii="Times New Roman" w:cs="Times New Roman" w:eastAsia="Times New Roman" w:hAnsi="Times New Roman"/>
          <w:sz w:val="18"/>
          <w:szCs w:val="18"/>
          <w:color w:val="131413"/>
        </w:rPr>
        <w:t>). We also measured aboveground biomass of all vascular plant species in the summer greenhouse warming, the snowfence, and their associated control plots during the growing season in 2017 using the non-destructive point framing method</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-2540</wp:posOffset>
            </wp:positionH>
            <wp:positionV relativeFrom="paragraph">
              <wp:posOffset>187960</wp:posOffset>
            </wp:positionV>
            <wp:extent cx="483870" cy="1384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242" w:lineRule="exact"/>
        <w:rPr>
          <w:rFonts w:ascii="Times New Roman" w:cs="Times New Roman" w:eastAsia="Times New Roman" w:hAnsi="Times New Roman"/>
          <w:sz w:val="19"/>
          <w:szCs w:val="19"/>
          <w:color w:val="131413"/>
        </w:rPr>
      </w:pPr>
    </w:p>
    <w:p>
      <w:pPr>
        <w:jc w:val="both"/>
        <w:spacing w:after="0" w:line="257"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(Alatalo et al. </w:t>
      </w:r>
      <w:hyperlink w:anchor="page18">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131413"/>
        </w:rPr>
        <w:t xml:space="preserve">; Jonasson </w:t>
      </w:r>
      <w:hyperlink w:anchor="page18">
        <w:r>
          <w:rPr>
            <w:rFonts w:ascii="Times New Roman" w:cs="Times New Roman" w:eastAsia="Times New Roman" w:hAnsi="Times New Roman"/>
            <w:sz w:val="20"/>
            <w:szCs w:val="20"/>
            <w:color w:val="0000FF"/>
          </w:rPr>
          <w:t>1988</w:t>
        </w:r>
      </w:hyperlink>
      <w:r>
        <w:rPr>
          <w:rFonts w:ascii="Times New Roman" w:cs="Times New Roman" w:eastAsia="Times New Roman" w:hAnsi="Times New Roman"/>
          <w:sz w:val="20"/>
          <w:szCs w:val="20"/>
          <w:color w:val="131413"/>
        </w:rPr>
        <w:t xml:space="preserve">; Schuur et al. </w:t>
      </w:r>
      <w:hyperlink w:anchor="page18">
        <w:r>
          <w:rPr>
            <w:rFonts w:ascii="Times New Roman" w:cs="Times New Roman" w:eastAsia="Times New Roman" w:hAnsi="Times New Roman"/>
            <w:sz w:val="20"/>
            <w:szCs w:val="20"/>
            <w:color w:val="0000FF"/>
          </w:rPr>
          <w:t>2007</w:t>
        </w:r>
      </w:hyperlink>
      <w:r>
        <w:rPr>
          <w:rFonts w:ascii="Times New Roman" w:cs="Times New Roman" w:eastAsia="Times New Roman" w:hAnsi="Times New Roman"/>
          <w:sz w:val="20"/>
          <w:szCs w:val="20"/>
          <w:color w:val="131413"/>
        </w:rPr>
        <w:t xml:space="preserve">; Walker </w:t>
      </w:r>
      <w:hyperlink w:anchor="page18">
        <w:r>
          <w:rPr>
            <w:rFonts w:ascii="Times New Roman" w:cs="Times New Roman" w:eastAsia="Times New Roman" w:hAnsi="Times New Roman"/>
            <w:sz w:val="20"/>
            <w:szCs w:val="20"/>
            <w:color w:val="0000FF"/>
          </w:rPr>
          <w:t>1996</w:t>
        </w:r>
      </w:hyperlink>
      <w:r>
        <w:rPr>
          <w:rFonts w:ascii="Times New Roman" w:cs="Times New Roman" w:eastAsia="Times New Roman" w:hAnsi="Times New Roman"/>
          <w:sz w:val="20"/>
          <w:szCs w:val="20"/>
          <w:color w:val="131413"/>
        </w:rPr>
        <w:t xml:space="preserve">; Zamin </w:t>
      </w:r>
      <w:hyperlink w:anchor="page18">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131413"/>
        </w:rPr>
        <w:t xml:space="preserve">; Zamin et al. </w:t>
      </w:r>
      <w:hyperlink w:anchor="page18">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131413"/>
        </w:rPr>
        <w:t>). This method records plant species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hit data and we use pre-viously established regressions from our site (see Gu and Grogan (</w:t>
      </w:r>
      <w:hyperlink w:anchor="page18">
        <w:r>
          <w:rPr>
            <w:rFonts w:ascii="Times New Roman" w:cs="Times New Roman" w:eastAsia="Times New Roman" w:hAnsi="Times New Roman"/>
            <w:sz w:val="20"/>
            <w:szCs w:val="20"/>
            <w:color w:val="0000FF"/>
          </w:rPr>
          <w:t>in review</w:t>
        </w:r>
      </w:hyperlink>
      <w:r>
        <w:rPr>
          <w:rFonts w:ascii="Times New Roman" w:cs="Times New Roman" w:eastAsia="Times New Roman" w:hAnsi="Times New Roman"/>
          <w:sz w:val="20"/>
          <w:szCs w:val="20"/>
          <w:color w:val="131413"/>
        </w:rPr>
        <w:t>), and Zamin et al. (</w:t>
      </w:r>
      <w:hyperlink w:anchor="page18">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131413"/>
        </w:rPr>
        <w:t>) for details) to infer shoot biomass.</w:t>
      </w:r>
    </w:p>
    <w:p>
      <w:pPr>
        <w:spacing w:after="0" w:line="252" w:lineRule="exact"/>
        <w:rPr>
          <w:rFonts w:ascii="Times New Roman" w:cs="Times New Roman" w:eastAsia="Times New Roman" w:hAnsi="Times New Roman"/>
          <w:sz w:val="20"/>
          <w:szCs w:val="20"/>
          <w:color w:val="131413"/>
        </w:rPr>
      </w:pPr>
    </w:p>
    <w:p>
      <w:pPr>
        <w:spacing w:after="0"/>
        <w:rPr>
          <w:sz w:val="20"/>
          <w:szCs w:val="20"/>
          <w:color w:val="auto"/>
        </w:rPr>
      </w:pPr>
      <w:r>
        <w:rPr>
          <w:rFonts w:ascii="Times New Roman" w:cs="Times New Roman" w:eastAsia="Times New Roman" w:hAnsi="Times New Roman"/>
          <w:sz w:val="20"/>
          <w:szCs w:val="20"/>
          <w:color w:val="131413"/>
        </w:rPr>
        <w:t>Statistical analyses</w:t>
      </w:r>
    </w:p>
    <w:p>
      <w:pPr>
        <w:spacing w:after="0" w:line="281" w:lineRule="exact"/>
        <w:rPr>
          <w:rFonts w:ascii="Times New Roman" w:cs="Times New Roman" w:eastAsia="Times New Roman" w:hAnsi="Times New Roman"/>
          <w:sz w:val="20"/>
          <w:szCs w:val="20"/>
          <w:color w:val="131413"/>
        </w:rPr>
      </w:pPr>
    </w:p>
    <w:p>
      <w:pPr>
        <w:jc w:val="both"/>
        <w:spacing w:after="0" w:line="254"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Separate linear mixed models were used to determine the regression relationships between IEM fluxes and pools across levels of fertilization treatments for each of the two nutrients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with IEM fluxes as the dependent variable, extractable nutrient pools as the independent variable, and treatment as the grouping factor (i.e. random effect), for the averaged datasets (i.e. the average daily IEM nutrient flux across the full 42 days calculated by summing the flux values of the three 14-day incubations; and the average of the three extraction nutrient pool data sets for each individ-ual replicate subplot). Note that because the date of the first soil sample collection did not overlap with that of the first IEM incubation, we did not include those data in the regression test.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lmer()</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function from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lme4</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package was used for these analyses, and we</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calculated the corresponding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values using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r.squaredGLMM()</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function from the</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MuMIn</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pack-age, and report both the marginal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m, variance explained by fixed factors only), and the conditional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c, variance explained by both fixed and random factors) values (Nakagawa and Schielzeth </w:t>
      </w:r>
      <w:hyperlink w:anchor="page18">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w:t>
      </w:r>
    </w:p>
    <w:p>
      <w:pPr>
        <w:spacing w:after="0" w:line="25" w:lineRule="exact"/>
        <w:rPr>
          <w:rFonts w:ascii="Times New Roman" w:cs="Times New Roman" w:eastAsia="Times New Roman" w:hAnsi="Times New Roman"/>
          <w:sz w:val="20"/>
          <w:szCs w:val="20"/>
          <w:color w:val="131413"/>
        </w:rPr>
      </w:pPr>
    </w:p>
    <w:p>
      <w:pPr>
        <w:jc w:val="both"/>
        <w:ind w:firstLine="227"/>
        <w:spacing w:after="0" w:line="268" w:lineRule="auto"/>
        <w:rPr>
          <w:sz w:val="20"/>
          <w:szCs w:val="20"/>
          <w:color w:val="auto"/>
        </w:rPr>
      </w:pPr>
      <w:r>
        <w:rPr>
          <w:rFonts w:ascii="Times New Roman" w:cs="Times New Roman" w:eastAsia="Times New Roman" w:hAnsi="Times New Roman"/>
          <w:sz w:val="19"/>
          <w:szCs w:val="19"/>
          <w:color w:val="131413"/>
        </w:rPr>
        <w:t>Separate one-way repeated measure ANOVAs were used to test for overall effects of the individual fertilizer additions (LN, LP, HN, and HP additions), of the sum-mer greenhouse warming, and of the snowfence treat-ments, on the time series of IEM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fluxes/pools across the whole growing season. Specifi-cally,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lme()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function from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nlme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package was used for this purpose, and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glht()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function from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multcomp</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package was used to perform post-hoc</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pairwise tests between incubation sampling periods if the one-way repeated measures ANOVA indicated sig-nificant differences. To address the potential for tempo-ral autocorrelation within the series of incubations, we performed the ANOVA analyses for each nutrient both with and without considering the temporal autocorrela-tion, and compared the AICs and the corresponding P-values between these two competing models. In most cases, these two models yielded AICs that were not</w:t>
      </w:r>
    </w:p>
    <w:p>
      <w:pPr>
        <w:sectPr>
          <w:pgSz w:w="10940" w:h="14740" w:orient="portrait"/>
          <w:cols w:equalWidth="0" w:num="2">
            <w:col w:w="4300" w:space="460"/>
            <w:col w:w="4300"/>
          </w:cols>
          <w:pgMar w:left="940" w:top="649" w:right="942" w:bottom="872" w:gutter="0" w:footer="0" w:header="0"/>
          <w:type w:val="continuous"/>
        </w:sectPr>
      </w:pPr>
    </w:p>
    <w:bookmarkStart w:id="8" w:name="page9"/>
    <w:bookmarkEnd w:id="8"/>
    <w:p>
      <w:pPr>
        <w:ind w:left="5"/>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27305</wp:posOffset>
                </wp:positionV>
                <wp:extent cx="0" cy="254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0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40005</wp:posOffset>
                </wp:positionV>
                <wp:extent cx="577151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151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15pt" to="454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5759450</wp:posOffset>
                </wp:positionH>
                <wp:positionV relativeFrom="paragraph">
                  <wp:posOffset>27305</wp:posOffset>
                </wp:positionV>
                <wp:extent cx="0" cy="254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2.15pt" to="453.5pt,4.15pt" o:allowincell="f" strokecolor="#131413" strokeweight="1pt"/>
            </w:pict>
          </mc:Fallback>
        </mc:AlternateContent>
      </w:r>
    </w:p>
    <w:p>
      <w:pPr>
        <w:sectPr>
          <w:pgSz w:w="10940" w:h="14740" w:orient="portrait"/>
          <w:cols w:equalWidth="0" w:num="1">
            <w:col w:w="9065"/>
          </w:cols>
          <w:pgMar w:left="935" w:top="649" w:right="942" w:bottom="884" w:gutter="0" w:footer="0" w:header="0"/>
        </w:sectPr>
      </w:pPr>
    </w:p>
    <w:p>
      <w:pPr>
        <w:spacing w:after="0" w:line="216" w:lineRule="exact"/>
        <w:rPr>
          <w:sz w:val="20"/>
          <w:szCs w:val="20"/>
          <w:color w:val="auto"/>
        </w:rPr>
      </w:pPr>
    </w:p>
    <w:p>
      <w:pPr>
        <w:jc w:val="both"/>
        <w:ind w:left="5"/>
        <w:spacing w:after="0" w:line="235"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significantly different, indicating that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and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 xml:space="preserve">-P fluxes at a specific soil location were generally highly variable over time (Cain et al. </w:t>
      </w:r>
      <w:hyperlink w:anchor="page18">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131413"/>
        </w:rPr>
        <w:t xml:space="preserve">; Lee et al. </w:t>
      </w:r>
      <w:hyperlink w:anchor="page18">
        <w:r>
          <w:rPr>
            <w:rFonts w:ascii="Times New Roman" w:cs="Times New Roman" w:eastAsia="Times New Roman" w:hAnsi="Times New Roman"/>
            <w:sz w:val="20"/>
            <w:szCs w:val="20"/>
            <w:color w:val="0000FF"/>
          </w:rPr>
          <w:t>1983</w:t>
        </w:r>
      </w:hyperlink>
      <w:r>
        <w:rPr>
          <w:rFonts w:ascii="Times New Roman" w:cs="Times New Roman" w:eastAsia="Times New Roman" w:hAnsi="Times New Roman"/>
          <w:sz w:val="20"/>
          <w:szCs w:val="20"/>
          <w:color w:val="131413"/>
        </w:rPr>
        <w:t>). However, in two cases (i.e. the snowfence effect on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-P flux and the greenhouse warming effect on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flux) the model that included temporal autocor-relation had significantly lower AICs than the model without. Accordingly, all results reported in this study are based on the more conservative statistics (i.e. the model that includes consideration of temporal autocorrelation).</w:t>
      </w:r>
    </w:p>
    <w:p>
      <w:pPr>
        <w:spacing w:after="0" w:line="36" w:lineRule="exact"/>
        <w:rPr>
          <w:sz w:val="20"/>
          <w:szCs w:val="20"/>
          <w:color w:val="auto"/>
        </w:rPr>
      </w:pPr>
    </w:p>
    <w:p>
      <w:pPr>
        <w:ind w:left="225"/>
        <w:spacing w:after="0"/>
        <w:rPr>
          <w:sz w:val="20"/>
          <w:szCs w:val="20"/>
          <w:color w:val="auto"/>
        </w:rPr>
      </w:pPr>
      <w:r>
        <w:rPr>
          <w:rFonts w:ascii="Times New Roman" w:cs="Times New Roman" w:eastAsia="Times New Roman" w:hAnsi="Times New Roman"/>
          <w:sz w:val="19"/>
          <w:szCs w:val="19"/>
          <w:color w:val="131413"/>
        </w:rPr>
        <w:t>Student</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t-tests were used to examine the impacts of:</w:t>
      </w:r>
    </w:p>
    <w:p>
      <w:pPr>
        <w:spacing w:after="0" w:line="32" w:lineRule="exact"/>
        <w:rPr>
          <w:sz w:val="20"/>
          <w:szCs w:val="20"/>
          <w:color w:val="auto"/>
        </w:rPr>
      </w:pPr>
    </w:p>
    <w:p>
      <w:pPr>
        <w:jc w:val="both"/>
        <w:ind w:left="5" w:hanging="5"/>
        <w:spacing w:after="0" w:line="271" w:lineRule="auto"/>
        <w:tabs>
          <w:tab w:leader="none" w:pos="294" w:val="left"/>
        </w:tabs>
        <w:numPr>
          <w:ilvl w:val="0"/>
          <w:numId w:val="7"/>
        </w:numPr>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individual fertilization treatments on IEM nutrient fluxes/pools for individual incubation/sampling periods;</w:t>
      </w:r>
    </w:p>
    <w:p>
      <w:pPr>
        <w:spacing w:after="0" w:line="5" w:lineRule="exact"/>
        <w:rPr>
          <w:rFonts w:ascii="Times New Roman" w:cs="Times New Roman" w:eastAsia="Times New Roman" w:hAnsi="Times New Roman"/>
          <w:sz w:val="19"/>
          <w:szCs w:val="19"/>
          <w:color w:val="131413"/>
        </w:rPr>
      </w:pPr>
    </w:p>
    <w:p>
      <w:pPr>
        <w:jc w:val="both"/>
        <w:ind w:left="5" w:hanging="5"/>
        <w:spacing w:after="0" w:line="288" w:lineRule="auto"/>
        <w:tabs>
          <w:tab w:leader="none" w:pos="314" w:val="left"/>
        </w:tabs>
        <w:numPr>
          <w:ilvl w:val="0"/>
          <w:numId w:val="7"/>
        </w:numPr>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the summer greenhouse warming and snowfence treatments on IEM nutrient fluxes for individual incu-bation periods; (c) individual fertilization treatment ef-fects on plant species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foliar N and P concentrations; and</w:t>
      </w:r>
    </w:p>
    <w:p>
      <w:pPr>
        <w:spacing w:after="0" w:line="1" w:lineRule="exact"/>
        <w:rPr>
          <w:rFonts w:ascii="Times New Roman" w:cs="Times New Roman" w:eastAsia="Times New Roman" w:hAnsi="Times New Roman"/>
          <w:sz w:val="18"/>
          <w:szCs w:val="18"/>
          <w:color w:val="131413"/>
        </w:rPr>
      </w:pPr>
    </w:p>
    <w:p>
      <w:pPr>
        <w:jc w:val="both"/>
        <w:ind w:left="5" w:hanging="5"/>
        <w:spacing w:after="0" w:line="257" w:lineRule="auto"/>
        <w:tabs>
          <w:tab w:leader="none" w:pos="277" w:val="left"/>
        </w:tabs>
        <w:numPr>
          <w:ilvl w:val="0"/>
          <w:numId w:val="8"/>
        </w:numPr>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the summer greenhouse warming and snowfence on community aboveground biomass. Data were natural log transformed when necessary to meet the assump-tions of constant variance and normality, and a Wilcoxon test was performed when the assumptions for the t test were not met even after transformation. All statistically significant results (P </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0.05) and trends (P </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0.10) for all analyses are reported directly in the text.</w:t>
      </w:r>
    </w:p>
    <w:p>
      <w:pPr>
        <w:spacing w:after="0" w:line="200" w:lineRule="exact"/>
        <w:rPr>
          <w:sz w:val="20"/>
          <w:szCs w:val="20"/>
          <w:color w:val="auto"/>
        </w:rPr>
      </w:pPr>
    </w:p>
    <w:p>
      <w:pPr>
        <w:spacing w:after="0" w:line="30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131413"/>
        </w:rPr>
        <w:t>Results</w:t>
      </w:r>
    </w:p>
    <w:p>
      <w:pPr>
        <w:spacing w:after="0" w:line="281" w:lineRule="exact"/>
        <w:rPr>
          <w:sz w:val="20"/>
          <w:szCs w:val="20"/>
          <w:color w:val="auto"/>
        </w:rPr>
      </w:pPr>
    </w:p>
    <w:p>
      <w:pPr>
        <w:ind w:left="5" w:right="560"/>
        <w:spacing w:after="0" w:line="246" w:lineRule="auto"/>
        <w:rPr>
          <w:sz w:val="20"/>
          <w:szCs w:val="20"/>
          <w:color w:val="auto"/>
        </w:rPr>
      </w:pPr>
      <w:r>
        <w:rPr>
          <w:rFonts w:ascii="Times New Roman" w:cs="Times New Roman" w:eastAsia="Times New Roman" w:hAnsi="Times New Roman"/>
          <w:sz w:val="20"/>
          <w:szCs w:val="20"/>
          <w:color w:val="131413"/>
        </w:rPr>
        <w:t>Comparison between IEM incubation and direct extraction nutrient measurements</w:t>
      </w:r>
    </w:p>
    <w:p>
      <w:pPr>
        <w:spacing w:after="0" w:line="276" w:lineRule="exact"/>
        <w:rPr>
          <w:sz w:val="20"/>
          <w:szCs w:val="20"/>
          <w:color w:val="auto"/>
        </w:rPr>
      </w:pPr>
    </w:p>
    <w:p>
      <w:pPr>
        <w:jc w:val="both"/>
        <w:ind w:left="5"/>
        <w:spacing w:after="0" w:line="247"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IEM nutrient fluxes and water-extractable nutrient pools across the whole growing season were closely and positively correlated for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(equation: log (flux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 0.91 x log (extractable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2.38;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1a</w:t>
        </w:r>
      </w:hyperlink>
      <w:r>
        <w:rPr>
          <w:rFonts w:ascii="Times New Roman" w:cs="Times New Roman" w:eastAsia="Times New Roman" w:hAnsi="Times New Roman"/>
          <w:sz w:val="19"/>
          <w:szCs w:val="19"/>
          <w:color w:val="131413"/>
        </w:rPr>
        <w:t>), but not for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1b</w:t>
        </w:r>
      </w:hyperlink>
      <w:r>
        <w:rPr>
          <w:rFonts w:ascii="Times New Roman" w:cs="Times New Roman" w:eastAsia="Times New Roman" w:hAnsi="Times New Roman"/>
          <w:sz w:val="19"/>
          <w:szCs w:val="19"/>
          <w:color w:val="131413"/>
        </w:rPr>
        <w:t>). The lower value for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m compared to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c indicates that the strength of this overall regression was substantially influenced by the fertilization treat-ments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1a</w:t>
        </w:r>
      </w:hyperlink>
      <w:r>
        <w:rPr>
          <w:rFonts w:ascii="Times New Roman" w:cs="Times New Roman" w:eastAsia="Times New Roman" w:hAnsi="Times New Roman"/>
          <w:sz w:val="19"/>
          <w:szCs w:val="19"/>
          <w:color w:val="131413"/>
        </w:rPr>
        <w:t xml:space="preserve">; see </w:t>
      </w:r>
      <w:hyperlink w:anchor="page18">
        <w:r>
          <w:rPr>
            <w:rFonts w:ascii="Times New Roman" w:cs="Times New Roman" w:eastAsia="Times New Roman" w:hAnsi="Times New Roman"/>
            <w:sz w:val="19"/>
            <w:szCs w:val="19"/>
            <w:color w:val="0000FF"/>
          </w:rPr>
          <w:t>Materials and methods</w:t>
        </w:r>
        <w:r>
          <w:rPr>
            <w:rFonts w:ascii="Times New Roman" w:cs="Times New Roman" w:eastAsia="Times New Roman" w:hAnsi="Times New Roman"/>
            <w:sz w:val="19"/>
            <w:szCs w:val="19"/>
            <w:color w:val="131413"/>
          </w:rPr>
          <w:t xml:space="preserve"> </w:t>
        </w:r>
      </w:hyperlink>
      <w:r>
        <w:rPr>
          <w:rFonts w:ascii="Times New Roman" w:cs="Times New Roman" w:eastAsia="Times New Roman" w:hAnsi="Times New Roman"/>
          <w:sz w:val="19"/>
          <w:szCs w:val="19"/>
          <w:color w:val="131413"/>
        </w:rPr>
        <w:t>for full explanation). Moreover, when considering the lower end data only (i.e. data from the control and the low level fertilization plots) - which are expected to be more realistic of the normal natural range of nutrient availabilities in tundra ecosystems, there was a weaker but still significant regression for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196" w:lineRule="exact"/>
        <w:rPr>
          <w:rFonts w:ascii="Times New Roman" w:cs="Times New Roman" w:eastAsia="Times New Roman" w:hAnsi="Times New Roman"/>
          <w:sz w:val="19"/>
          <w:szCs w:val="19"/>
          <w:color w:val="131413"/>
        </w:rPr>
      </w:pPr>
    </w:p>
    <w:p>
      <w:pPr>
        <w:jc w:val="both"/>
        <w:ind w:left="2" w:hanging="2"/>
        <w:spacing w:after="0" w:line="243" w:lineRule="auto"/>
        <w:tabs>
          <w:tab w:leader="none" w:pos="212" w:val="left"/>
        </w:tabs>
        <w:numPr>
          <w:ilvl w:val="0"/>
          <w:numId w:val="9"/>
        </w:numPr>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(equation: log (flux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 1.34 x log (extract-able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3.05;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1a</w:t>
        </w:r>
      </w:hyperlink>
      <w:r>
        <w:rPr>
          <w:rFonts w:ascii="Times New Roman" w:cs="Times New Roman" w:eastAsia="Times New Roman" w:hAnsi="Times New Roman"/>
          <w:sz w:val="19"/>
          <w:szCs w:val="19"/>
          <w:color w:val="131413"/>
        </w:rPr>
        <w:t>), but not for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1b</w:t>
        </w:r>
      </w:hyperlink>
      <w:r>
        <w:rPr>
          <w:rFonts w:ascii="Times New Roman" w:cs="Times New Roman" w:eastAsia="Times New Roman" w:hAnsi="Times New Roman"/>
          <w:sz w:val="19"/>
          <w:szCs w:val="19"/>
          <w:color w:val="131413"/>
        </w:rPr>
        <w:t>). Furthermore, the identical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m and R</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c values indicate that the fertilization treat-ments did not affect the regression of these low fertil-ity range data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1a</w:t>
        </w:r>
      </w:hyperlink>
      <w:r>
        <w:rPr>
          <w:rFonts w:ascii="Times New Roman" w:cs="Times New Roman" w:eastAsia="Times New Roman" w:hAnsi="Times New Roman"/>
          <w:sz w:val="19"/>
          <w:szCs w:val="19"/>
          <w:color w:val="131413"/>
        </w:rPr>
        <w:t>). Finally, similar pat-terns were also observed within the individual incu-bation datasets for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S4</w:t>
        </w:r>
      </w:hyperlink>
      <w:r>
        <w:rPr>
          <w:rFonts w:ascii="Times New Roman" w:cs="Times New Roman" w:eastAsia="Times New Roman" w:hAnsi="Times New Roman"/>
          <w:sz w:val="19"/>
          <w:szCs w:val="19"/>
          <w:color w:val="131413"/>
        </w:rPr>
        <w:t xml:space="preserve">; note that to restrict the analysis to temporally overlapping datasets, only two of the three individual datasets were examined - see </w:t>
      </w:r>
      <w:r>
        <w:rPr>
          <w:rFonts w:ascii="Arial" w:cs="Arial" w:eastAsia="Arial" w:hAnsi="Arial"/>
          <w:sz w:val="19"/>
          <w:szCs w:val="19"/>
          <w:color w:val="131413"/>
        </w:rPr>
        <w:t>‘</w:t>
      </w:r>
      <w:hyperlink w:anchor="page18">
        <w:r>
          <w:rPr>
            <w:rFonts w:ascii="Times New Roman" w:cs="Times New Roman" w:eastAsia="Times New Roman" w:hAnsi="Times New Roman"/>
            <w:sz w:val="19"/>
            <w:szCs w:val="19"/>
            <w:color w:val="0000FF"/>
          </w:rPr>
          <w:t>Materials and methods</w:t>
        </w:r>
      </w:hyperlink>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for specific data collection dates).</w:t>
      </w:r>
    </w:p>
    <w:p>
      <w:pPr>
        <w:spacing w:after="0" w:line="30" w:lineRule="exact"/>
        <w:rPr>
          <w:rFonts w:ascii="Times New Roman" w:cs="Times New Roman" w:eastAsia="Times New Roman" w:hAnsi="Times New Roman"/>
          <w:sz w:val="19"/>
          <w:szCs w:val="19"/>
          <w:color w:val="131413"/>
        </w:rPr>
      </w:pPr>
    </w:p>
    <w:p>
      <w:pPr>
        <w:jc w:val="both"/>
        <w:ind w:left="2" w:firstLine="227"/>
        <w:spacing w:after="0" w:line="257"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Although we found close regressions between the two methods in estimating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availabilities, the patterns of both the fertilization effects and temporal changes differed between these two methods (Fig.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131413"/>
        </w:rPr>
        <w:t xml:space="preserve">; Tables </w:t>
      </w:r>
      <w:hyperlink w:anchor="page18">
        <w:r>
          <w:rPr>
            <w:rFonts w:ascii="Times New Roman" w:cs="Times New Roman" w:eastAsia="Times New Roman" w:hAnsi="Times New Roman"/>
            <w:sz w:val="19"/>
            <w:szCs w:val="19"/>
            <w:color w:val="0000FF"/>
          </w:rPr>
          <w:t>S1</w:t>
        </w:r>
      </w:hyperlink>
      <w:r>
        <w:rPr>
          <w:rFonts w:ascii="Times New Roman" w:cs="Times New Roman" w:eastAsia="Times New Roman" w:hAnsi="Times New Roman"/>
          <w:sz w:val="19"/>
          <w:szCs w:val="19"/>
          <w:color w:val="131413"/>
        </w:rPr>
        <w:t xml:space="preserve">,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 For the fertilization effects, the IEM method was able to detect both high and low level fertilizer addition effects on soil nutrient availability, whereas the soil extraction method was only able to detect the high level addition effects. Specifically, the IEM data indicated that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fluxes were not just significantly elevated by the HN treatment (151.6-fold), but also by the LN (3.1-fold) and the HP (1.9-fold) treatments (Fig. </w:t>
      </w:r>
      <w:hyperlink w:anchor="page18">
        <w:r>
          <w:rPr>
            <w:rFonts w:ascii="Times New Roman" w:cs="Times New Roman" w:eastAsia="Times New Roman" w:hAnsi="Times New Roman"/>
            <w:sz w:val="19"/>
            <w:szCs w:val="19"/>
            <w:color w:val="0000FF"/>
          </w:rPr>
          <w:t>2a</w:t>
        </w:r>
      </w:hyperlink>
      <w:r>
        <w:rPr>
          <w:rFonts w:ascii="Times New Roman" w:cs="Times New Roman" w:eastAsia="Times New Roman" w:hAnsi="Times New Roman"/>
          <w:sz w:val="19"/>
          <w:szCs w:val="19"/>
          <w:color w:val="131413"/>
        </w:rPr>
        <w:t xml:space="preserve">; Table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 By comparison, the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extraction data also indicated a significant HN treatment effect (57.9-fold) and a statistical trend toward a positive LN effect (3.0-fold), but no significant HP treatment effect (Fig. </w:t>
      </w:r>
      <w:hyperlink w:anchor="page18">
        <w:r>
          <w:rPr>
            <w:rFonts w:ascii="Times New Roman" w:cs="Times New Roman" w:eastAsia="Times New Roman" w:hAnsi="Times New Roman"/>
            <w:sz w:val="19"/>
            <w:szCs w:val="19"/>
            <w:color w:val="0000FF"/>
          </w:rPr>
          <w:t>2b</w:t>
        </w:r>
      </w:hyperlink>
      <w:r>
        <w:rPr>
          <w:rFonts w:ascii="Times New Roman" w:cs="Times New Roman" w:eastAsia="Times New Roman" w:hAnsi="Times New Roman"/>
          <w:sz w:val="19"/>
          <w:szCs w:val="19"/>
          <w:color w:val="131413"/>
        </w:rPr>
        <w:t xml:space="preserve">; Table </w:t>
      </w:r>
      <w:hyperlink w:anchor="page18">
        <w:r>
          <w:rPr>
            <w:rFonts w:ascii="Times New Roman" w:cs="Times New Roman" w:eastAsia="Times New Roman" w:hAnsi="Times New Roman"/>
            <w:sz w:val="19"/>
            <w:szCs w:val="19"/>
            <w:color w:val="0000FF"/>
          </w:rPr>
          <w:t>S3</w:t>
        </w:r>
      </w:hyperlink>
      <w:r>
        <w:rPr>
          <w:rFonts w:ascii="Times New Roman" w:cs="Times New Roman" w:eastAsia="Times New Roman" w:hAnsi="Times New Roman"/>
          <w:sz w:val="19"/>
          <w:szCs w:val="19"/>
          <w:color w:val="131413"/>
        </w:rPr>
        <w:t>).</w:t>
      </w:r>
    </w:p>
    <w:p>
      <w:pPr>
        <w:spacing w:after="0" w:line="2" w:lineRule="exact"/>
        <w:rPr>
          <w:rFonts w:ascii="Times New Roman" w:cs="Times New Roman" w:eastAsia="Times New Roman" w:hAnsi="Times New Roman"/>
          <w:sz w:val="19"/>
          <w:szCs w:val="19"/>
          <w:color w:val="131413"/>
        </w:rPr>
      </w:pPr>
    </w:p>
    <w:p>
      <w:pPr>
        <w:jc w:val="both"/>
        <w:ind w:left="2" w:firstLine="227"/>
        <w:spacing w:after="0" w:line="25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The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IEM fluxes were significantly or nearly significantly increased by the HP (202.4-fold), LP (4.2-fold), and HN (2.3-fold) treatments (Fig. </w:t>
      </w:r>
      <w:hyperlink w:anchor="page18">
        <w:r>
          <w:rPr>
            <w:rFonts w:ascii="Times New Roman" w:cs="Times New Roman" w:eastAsia="Times New Roman" w:hAnsi="Times New Roman"/>
            <w:sz w:val="19"/>
            <w:szCs w:val="19"/>
            <w:color w:val="0000FF"/>
          </w:rPr>
          <w:t>2c</w:t>
        </w:r>
      </w:hyperlink>
      <w:r>
        <w:rPr>
          <w:rFonts w:ascii="Times New Roman" w:cs="Times New Roman" w:eastAsia="Times New Roman" w:hAnsi="Times New Roman"/>
          <w:sz w:val="19"/>
          <w:szCs w:val="19"/>
          <w:color w:val="131413"/>
        </w:rPr>
        <w:t xml:space="preserve">; Table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 However, although the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extraction data indicated corresponding significant HP and HN effects, it did not show a significant LP treatment effect (Fig. </w:t>
      </w:r>
      <w:hyperlink w:anchor="page18">
        <w:r>
          <w:rPr>
            <w:rFonts w:ascii="Times New Roman" w:cs="Times New Roman" w:eastAsia="Times New Roman" w:hAnsi="Times New Roman"/>
            <w:sz w:val="19"/>
            <w:szCs w:val="19"/>
            <w:color w:val="0000FF"/>
          </w:rPr>
          <w:t>2d</w:t>
        </w:r>
      </w:hyperlink>
      <w:r>
        <w:rPr>
          <w:rFonts w:ascii="Times New Roman" w:cs="Times New Roman" w:eastAsia="Times New Roman" w:hAnsi="Times New Roman"/>
          <w:sz w:val="19"/>
          <w:szCs w:val="19"/>
          <w:color w:val="131413"/>
        </w:rPr>
        <w:t xml:space="preserve">; Table </w:t>
      </w:r>
      <w:hyperlink w:anchor="page18">
        <w:r>
          <w:rPr>
            <w:rFonts w:ascii="Times New Roman" w:cs="Times New Roman" w:eastAsia="Times New Roman" w:hAnsi="Times New Roman"/>
            <w:sz w:val="19"/>
            <w:szCs w:val="19"/>
            <w:color w:val="0000FF"/>
          </w:rPr>
          <w:t>S3</w:t>
        </w:r>
      </w:hyperlink>
      <w:r>
        <w:rPr>
          <w:rFonts w:ascii="Times New Roman" w:cs="Times New Roman" w:eastAsia="Times New Roman" w:hAnsi="Times New Roman"/>
          <w:sz w:val="19"/>
          <w:szCs w:val="19"/>
          <w:color w:val="131413"/>
        </w:rPr>
        <w:t>). For temporal changes, both datasets indicated significant within-seasonal changes for the ambient soils in the control plots but not for the fertilized soils. However, the directions and magnitudes in chang-es for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differed between these datasets (Fig.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131413"/>
        </w:rPr>
        <w:t>). Specifically, the IEM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data indicated a significant decrease over time (2.8</w:t>
      </w:r>
      <w:r>
        <w:rPr>
          <w:rFonts w:ascii="Arial" w:cs="Arial" w:eastAsia="Arial" w:hAnsi="Arial"/>
          <w:sz w:val="19"/>
          <w:szCs w:val="19"/>
          <w:color w:val="131413"/>
        </w:rPr>
        <w:t>–</w:t>
      </w:r>
      <w:r>
        <w:rPr>
          <w:rFonts w:ascii="Times New Roman" w:cs="Times New Roman" w:eastAsia="Times New Roman" w:hAnsi="Times New Roman"/>
          <w:sz w:val="19"/>
          <w:szCs w:val="19"/>
          <w:color w:val="131413"/>
        </w:rPr>
        <w:t>6.9 fold), whereas the soil ex-traction data indicated that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pools increased over time (1.2</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2.3 fold) (Fig. </w:t>
      </w:r>
      <w:hyperlink w:anchor="page18">
        <w:r>
          <w:rPr>
            <w:rFonts w:ascii="Times New Roman" w:cs="Times New Roman" w:eastAsia="Times New Roman" w:hAnsi="Times New Roman"/>
            <w:sz w:val="19"/>
            <w:szCs w:val="19"/>
            <w:color w:val="0000FF"/>
          </w:rPr>
          <w:t>2c and d</w:t>
        </w:r>
      </w:hyperlink>
      <w:r>
        <w:rPr>
          <w:rFonts w:ascii="Times New Roman" w:cs="Times New Roman" w:eastAsia="Times New Roman" w:hAnsi="Times New Roman"/>
          <w:sz w:val="19"/>
          <w:szCs w:val="19"/>
          <w:color w:val="131413"/>
        </w:rPr>
        <w:t xml:space="preserve">; Tables </w:t>
      </w:r>
      <w:hyperlink w:anchor="page18">
        <w:r>
          <w:rPr>
            <w:rFonts w:ascii="Times New Roman" w:cs="Times New Roman" w:eastAsia="Times New Roman" w:hAnsi="Times New Roman"/>
            <w:sz w:val="19"/>
            <w:szCs w:val="19"/>
            <w:color w:val="0000FF"/>
          </w:rPr>
          <w:t>S2</w:t>
        </w:r>
        <w:r>
          <w:rPr>
            <w:rFonts w:ascii="Times New Roman" w:cs="Times New Roman" w:eastAsia="Times New Roman" w:hAnsi="Times New Roman"/>
            <w:sz w:val="19"/>
            <w:szCs w:val="19"/>
            <w:color w:val="131413"/>
          </w:rPr>
          <w:t xml:space="preserve"> </w:t>
        </w:r>
      </w:hyperlink>
      <w:r>
        <w:rPr>
          <w:rFonts w:ascii="Times New Roman" w:cs="Times New Roman" w:eastAsia="Times New Roman" w:hAnsi="Times New Roman"/>
          <w:sz w:val="19"/>
          <w:szCs w:val="19"/>
          <w:color w:val="131413"/>
        </w:rPr>
        <w:t xml:space="preserve">&amp; </w:t>
      </w:r>
      <w:hyperlink w:anchor="page18">
        <w:r>
          <w:rPr>
            <w:rFonts w:ascii="Times New Roman" w:cs="Times New Roman" w:eastAsia="Times New Roman" w:hAnsi="Times New Roman"/>
            <w:sz w:val="19"/>
            <w:szCs w:val="19"/>
            <w:color w:val="0000FF"/>
          </w:rPr>
          <w:t>S3</w:t>
        </w:r>
      </w:hyperlink>
      <w:r>
        <w:rPr>
          <w:rFonts w:ascii="Times New Roman" w:cs="Times New Roman" w:eastAsia="Times New Roman" w:hAnsi="Times New Roman"/>
          <w:sz w:val="19"/>
          <w:szCs w:val="19"/>
          <w:color w:val="131413"/>
        </w:rPr>
        <w:t>). For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both datasets indicated a consistent decrease over time of similar magnitude (1.7</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2.2 fold for the IEM dataset, whereas a constant 1.5-fold de-crease for the soil extraction dataset; Fig. </w:t>
      </w:r>
      <w:hyperlink w:anchor="page18">
        <w:r>
          <w:rPr>
            <w:rFonts w:ascii="Times New Roman" w:cs="Times New Roman" w:eastAsia="Times New Roman" w:hAnsi="Times New Roman"/>
            <w:sz w:val="19"/>
            <w:szCs w:val="19"/>
            <w:color w:val="0000FF"/>
          </w:rPr>
          <w:t>2a and b</w:t>
        </w:r>
      </w:hyperlink>
      <w:r>
        <w:rPr>
          <w:rFonts w:ascii="Times New Roman" w:cs="Times New Roman" w:eastAsia="Times New Roman" w:hAnsi="Times New Roman"/>
          <w:sz w:val="19"/>
          <w:szCs w:val="19"/>
          <w:color w:val="131413"/>
        </w:rPr>
        <w:t xml:space="preserve">; Tables </w:t>
      </w:r>
      <w:hyperlink w:anchor="page18">
        <w:r>
          <w:rPr>
            <w:rFonts w:ascii="Times New Roman" w:cs="Times New Roman" w:eastAsia="Times New Roman" w:hAnsi="Times New Roman"/>
            <w:sz w:val="19"/>
            <w:szCs w:val="19"/>
            <w:color w:val="0000FF"/>
          </w:rPr>
          <w:t>S2</w:t>
        </w:r>
      </w:hyperlink>
      <w:r>
        <w:rPr>
          <w:rFonts w:ascii="Times New Roman" w:cs="Times New Roman" w:eastAsia="Times New Roman" w:hAnsi="Times New Roman"/>
          <w:sz w:val="19"/>
          <w:szCs w:val="19"/>
          <w:color w:val="131413"/>
        </w:rPr>
        <w:t>-</w:t>
      </w:r>
      <w:hyperlink w:anchor="page18">
        <w:r>
          <w:rPr>
            <w:rFonts w:ascii="Times New Roman" w:cs="Times New Roman" w:eastAsia="Times New Roman" w:hAnsi="Times New Roman"/>
            <w:sz w:val="19"/>
            <w:szCs w:val="19"/>
            <w:color w:val="0000FF"/>
          </w:rPr>
          <w:t>S3</w:t>
        </w:r>
      </w:hyperlink>
      <w:r>
        <w:rPr>
          <w:rFonts w:ascii="Times New Roman" w:cs="Times New Roman" w:eastAsia="Times New Roman" w:hAnsi="Times New Roman"/>
          <w:sz w:val="19"/>
          <w:szCs w:val="19"/>
          <w:color w:val="131413"/>
        </w:rPr>
        <w:t>).</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2254885</wp:posOffset>
            </wp:positionH>
            <wp:positionV relativeFrom="paragraph">
              <wp:posOffset>208280</wp:posOffset>
            </wp:positionV>
            <wp:extent cx="483870" cy="13843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5" w:space="458"/>
            <w:col w:w="4302"/>
          </w:cols>
          <w:pgMar w:left="935" w:top="649" w:right="942" w:bottom="884" w:gutter="0" w:footer="0" w:header="0"/>
          <w:type w:val="continuous"/>
        </w:sectPr>
      </w:pPr>
    </w:p>
    <w:bookmarkStart w:id="9" w:name="page10"/>
    <w:bookmarkEnd w:id="9"/>
    <w:p>
      <w:pPr>
        <w:jc w:val="right"/>
        <w:spacing w:after="0"/>
        <w:rPr>
          <w:sz w:val="20"/>
          <w:szCs w:val="20"/>
          <w:color w:val="auto"/>
        </w:rPr>
      </w:pPr>
      <w:r>
        <w:rPr>
          <w:rFonts w:ascii="Times New Roman" w:cs="Times New Roman" w:eastAsia="Times New Roman" w:hAnsi="Times New Roman"/>
          <w:sz w:val="17"/>
          <w:szCs w:val="17"/>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131413" strokeweight="1pt"/>
            </w:pict>
          </mc:Fallback>
        </mc:AlternateContent>
      </w:r>
    </w:p>
    <w:p>
      <w:pPr>
        <w:spacing w:after="0" w:line="219" w:lineRule="exact"/>
        <w:rPr>
          <w:sz w:val="20"/>
          <w:szCs w:val="20"/>
          <w:color w:val="auto"/>
        </w:rPr>
      </w:pPr>
    </w:p>
    <w:p>
      <w:pPr>
        <w:jc w:val="both"/>
        <w:ind w:left="20"/>
        <w:spacing w:after="0" w:line="235" w:lineRule="auto"/>
        <w:rPr>
          <w:sz w:val="20"/>
          <w:szCs w:val="20"/>
          <w:color w:val="auto"/>
        </w:rPr>
      </w:pPr>
      <w:r>
        <w:rPr>
          <w:rFonts w:ascii="Times New Roman" w:cs="Times New Roman" w:eastAsia="Times New Roman" w:hAnsi="Times New Roman"/>
          <w:sz w:val="17"/>
          <w:szCs w:val="17"/>
          <w:color w:val="131413"/>
        </w:rPr>
        <w:t>Table 1 Results from the linear mixed models for estimating the relationships between soil IEM nutrient fluxes and water-extractable nutrient pools across the whole growing season and for individual incubation datasets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50800</wp:posOffset>
                </wp:positionV>
                <wp:extent cx="576643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pt" to="454.3pt,4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5763260</wp:posOffset>
                </wp:positionH>
                <wp:positionV relativeFrom="paragraph">
                  <wp:posOffset>50800</wp:posOffset>
                </wp:positionV>
                <wp:extent cx="127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8pt,4pt" to="454.8pt,4pt" o:allowincell="f" strokecolor="#131413" strokeweight="0.5669pt"/>
            </w:pict>
          </mc:Fallback>
        </mc:AlternateContent>
      </w:r>
    </w:p>
    <w:p>
      <w:pPr>
        <w:spacing w:after="0" w:line="16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26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Model</w:t>
            </w:r>
          </w:p>
        </w:tc>
        <w:tc>
          <w:tcPr>
            <w:tcW w:w="1020" w:type="dxa"/>
            <w:vAlign w:val="bottom"/>
          </w:tcPr>
          <w:p>
            <w:pPr>
              <w:spacing w:after="0"/>
              <w:rPr>
                <w:sz w:val="20"/>
                <w:szCs w:val="20"/>
                <w:color w:val="auto"/>
              </w:rPr>
            </w:pPr>
            <w:r>
              <w:rPr>
                <w:rFonts w:ascii="Times New Roman" w:cs="Times New Roman" w:eastAsia="Times New Roman" w:hAnsi="Times New Roman"/>
                <w:sz w:val="17"/>
                <w:szCs w:val="17"/>
                <w:color w:val="131413"/>
              </w:rPr>
              <w:t>Fixed effects</w:t>
            </w:r>
          </w:p>
        </w:tc>
        <w:tc>
          <w:tcPr>
            <w:tcW w:w="86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7"/>
                <w:szCs w:val="17"/>
                <w:color w:val="131413"/>
                <w:w w:val="98"/>
              </w:rPr>
              <w:t>Random effects</w:t>
            </w:r>
          </w:p>
        </w:tc>
        <w:tc>
          <w:tcPr>
            <w:tcW w:w="740" w:type="dxa"/>
            <w:vAlign w:val="bottom"/>
          </w:tcPr>
          <w:p>
            <w:pPr>
              <w:spacing w:after="0"/>
              <w:rPr>
                <w:sz w:val="17"/>
                <w:szCs w:val="17"/>
                <w:color w:val="auto"/>
              </w:rPr>
            </w:pPr>
          </w:p>
        </w:tc>
      </w:tr>
      <w:tr>
        <w:trPr>
          <w:trHeight w:val="105"/>
        </w:trPr>
        <w:tc>
          <w:tcPr>
            <w:tcW w:w="2620" w:type="dxa"/>
            <w:vAlign w:val="bottom"/>
          </w:tcPr>
          <w:p>
            <w:pPr>
              <w:spacing w:after="0"/>
              <w:rPr>
                <w:sz w:val="9"/>
                <w:szCs w:val="9"/>
                <w:color w:val="auto"/>
              </w:rPr>
            </w:pPr>
          </w:p>
        </w:tc>
        <w:tc>
          <w:tcPr>
            <w:tcW w:w="1020" w:type="dxa"/>
            <w:vAlign w:val="bottom"/>
            <w:tcBorders>
              <w:bottom w:val="single" w:sz="8" w:color="131413"/>
            </w:tcBorders>
          </w:tcPr>
          <w:p>
            <w:pPr>
              <w:spacing w:after="0"/>
              <w:rPr>
                <w:sz w:val="9"/>
                <w:szCs w:val="9"/>
                <w:color w:val="auto"/>
              </w:rPr>
            </w:pPr>
          </w:p>
        </w:tc>
        <w:tc>
          <w:tcPr>
            <w:tcW w:w="860" w:type="dxa"/>
            <w:vAlign w:val="bottom"/>
            <w:tcBorders>
              <w:bottom w:val="single" w:sz="8" w:color="131413"/>
            </w:tcBorders>
          </w:tcPr>
          <w:p>
            <w:pPr>
              <w:spacing w:after="0"/>
              <w:rPr>
                <w:sz w:val="9"/>
                <w:szCs w:val="9"/>
                <w:color w:val="auto"/>
              </w:rPr>
            </w:pPr>
          </w:p>
        </w:tc>
        <w:tc>
          <w:tcPr>
            <w:tcW w:w="960" w:type="dxa"/>
            <w:vAlign w:val="bottom"/>
            <w:tcBorders>
              <w:bottom w:val="single" w:sz="8" w:color="131413"/>
            </w:tcBorders>
          </w:tcPr>
          <w:p>
            <w:pPr>
              <w:spacing w:after="0"/>
              <w:rPr>
                <w:sz w:val="9"/>
                <w:szCs w:val="9"/>
                <w:color w:val="auto"/>
              </w:rPr>
            </w:pPr>
          </w:p>
        </w:tc>
        <w:tc>
          <w:tcPr>
            <w:tcW w:w="840" w:type="dxa"/>
            <w:vAlign w:val="bottom"/>
            <w:tcBorders>
              <w:bottom w:val="single" w:sz="8" w:color="131413"/>
            </w:tcBorders>
          </w:tcPr>
          <w:p>
            <w:pPr>
              <w:spacing w:after="0"/>
              <w:rPr>
                <w:sz w:val="9"/>
                <w:szCs w:val="9"/>
                <w:color w:val="auto"/>
              </w:rPr>
            </w:pPr>
          </w:p>
        </w:tc>
        <w:tc>
          <w:tcPr>
            <w:tcW w:w="500" w:type="dxa"/>
            <w:vAlign w:val="bottom"/>
            <w:tcBorders>
              <w:bottom w:val="single" w:sz="8" w:color="131413"/>
            </w:tcBorders>
          </w:tcPr>
          <w:p>
            <w:pPr>
              <w:spacing w:after="0"/>
              <w:rPr>
                <w:sz w:val="9"/>
                <w:szCs w:val="9"/>
                <w:color w:val="auto"/>
              </w:rPr>
            </w:pPr>
          </w:p>
        </w:tc>
        <w:tc>
          <w:tcPr>
            <w:tcW w:w="460" w:type="dxa"/>
            <w:vAlign w:val="bottom"/>
          </w:tcPr>
          <w:p>
            <w:pPr>
              <w:spacing w:after="0"/>
              <w:rPr>
                <w:sz w:val="9"/>
                <w:szCs w:val="9"/>
                <w:color w:val="auto"/>
              </w:rPr>
            </w:pPr>
          </w:p>
        </w:tc>
        <w:tc>
          <w:tcPr>
            <w:tcW w:w="1080" w:type="dxa"/>
            <w:vAlign w:val="bottom"/>
            <w:tcBorders>
              <w:bottom w:val="single" w:sz="8" w:color="131413"/>
            </w:tcBorders>
          </w:tcPr>
          <w:p>
            <w:pPr>
              <w:spacing w:after="0"/>
              <w:rPr>
                <w:sz w:val="9"/>
                <w:szCs w:val="9"/>
                <w:color w:val="auto"/>
              </w:rPr>
            </w:pPr>
          </w:p>
        </w:tc>
        <w:tc>
          <w:tcPr>
            <w:tcW w:w="740" w:type="dxa"/>
            <w:vAlign w:val="bottom"/>
            <w:tcBorders>
              <w:bottom w:val="single" w:sz="8" w:color="131413"/>
            </w:tcBorders>
          </w:tcPr>
          <w:p>
            <w:pPr>
              <w:spacing w:after="0"/>
              <w:rPr>
                <w:sz w:val="9"/>
                <w:szCs w:val="9"/>
                <w:color w:val="auto"/>
              </w:rPr>
            </w:pPr>
          </w:p>
        </w:tc>
      </w:tr>
      <w:tr>
        <w:trPr>
          <w:trHeight w:val="308"/>
        </w:trPr>
        <w:tc>
          <w:tcPr>
            <w:tcW w:w="2620" w:type="dxa"/>
            <w:vAlign w:val="bottom"/>
          </w:tcPr>
          <w:p>
            <w:pPr>
              <w:spacing w:after="0"/>
              <w:rPr>
                <w:sz w:val="24"/>
                <w:szCs w:val="24"/>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7"/>
                <w:szCs w:val="17"/>
                <w:color w:val="131413"/>
              </w:rPr>
              <w:t>Estimate</w:t>
            </w:r>
          </w:p>
        </w:tc>
        <w:tc>
          <w:tcPr>
            <w:tcW w:w="860" w:type="dxa"/>
            <w:vAlign w:val="bottom"/>
          </w:tcPr>
          <w:p>
            <w:pPr>
              <w:ind w:left="180"/>
              <w:spacing w:after="0"/>
              <w:rPr>
                <w:sz w:val="20"/>
                <w:szCs w:val="20"/>
                <w:color w:val="auto"/>
              </w:rPr>
            </w:pPr>
            <w:r>
              <w:rPr>
                <w:rFonts w:ascii="Times New Roman" w:cs="Times New Roman" w:eastAsia="Times New Roman" w:hAnsi="Times New Roman"/>
                <w:sz w:val="17"/>
                <w:szCs w:val="17"/>
                <w:color w:val="131413"/>
              </w:rPr>
              <w:t>t value</w:t>
            </w:r>
          </w:p>
        </w:tc>
        <w:tc>
          <w:tcPr>
            <w:tcW w:w="960" w:type="dxa"/>
            <w:vAlign w:val="bottom"/>
          </w:tcPr>
          <w:p>
            <w:pPr>
              <w:ind w:left="220"/>
              <w:spacing w:after="0"/>
              <w:rPr>
                <w:sz w:val="20"/>
                <w:szCs w:val="20"/>
                <w:color w:val="auto"/>
              </w:rPr>
            </w:pPr>
            <w:r>
              <w:rPr>
                <w:rFonts w:ascii="Times New Roman" w:cs="Times New Roman" w:eastAsia="Times New Roman" w:hAnsi="Times New Roman"/>
                <w:sz w:val="17"/>
                <w:szCs w:val="17"/>
                <w:color w:val="131413"/>
              </w:rPr>
              <w:t>P value</w:t>
            </w:r>
          </w:p>
        </w:tc>
        <w:tc>
          <w:tcPr>
            <w:tcW w:w="840" w:type="dxa"/>
            <w:vAlign w:val="bottom"/>
          </w:tcPr>
          <w:p>
            <w:pPr>
              <w:ind w:left="220"/>
              <w:spacing w:after="0"/>
              <w:rPr>
                <w:sz w:val="20"/>
                <w:szCs w:val="20"/>
                <w:color w:val="auto"/>
              </w:rPr>
            </w:pPr>
            <w:r>
              <w:rPr>
                <w:rFonts w:ascii="Times New Roman" w:cs="Times New Roman" w:eastAsia="Times New Roman" w:hAnsi="Times New Roman"/>
                <w:sz w:val="17"/>
                <w:szCs w:val="17"/>
                <w:color w:val="131413"/>
              </w:rPr>
              <w:t>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m</w:t>
            </w:r>
          </w:p>
        </w:tc>
        <w:tc>
          <w:tcPr>
            <w:tcW w:w="500" w:type="dxa"/>
            <w:vAlign w:val="bottom"/>
          </w:tcPr>
          <w:p>
            <w:pPr>
              <w:ind w:left="220"/>
              <w:spacing w:after="0"/>
              <w:rPr>
                <w:sz w:val="20"/>
                <w:szCs w:val="20"/>
                <w:color w:val="auto"/>
              </w:rPr>
            </w:pPr>
            <w:r>
              <w:rPr>
                <w:rFonts w:ascii="Times New Roman" w:cs="Times New Roman" w:eastAsia="Times New Roman" w:hAnsi="Times New Roman"/>
                <w:sz w:val="17"/>
                <w:szCs w:val="17"/>
                <w:color w:val="131413"/>
                <w:w w:val="98"/>
              </w:rPr>
              <w:t>R</w:t>
            </w:r>
            <w:r>
              <w:rPr>
                <w:rFonts w:ascii="Times New Roman" w:cs="Times New Roman" w:eastAsia="Times New Roman" w:hAnsi="Times New Roman"/>
                <w:sz w:val="22"/>
                <w:szCs w:val="22"/>
                <w:color w:val="131413"/>
                <w:w w:val="98"/>
                <w:vertAlign w:val="superscript"/>
              </w:rPr>
              <w:t>2</w:t>
            </w:r>
            <w:r>
              <w:rPr>
                <w:rFonts w:ascii="Times New Roman" w:cs="Times New Roman" w:eastAsia="Times New Roman" w:hAnsi="Times New Roman"/>
                <w:sz w:val="17"/>
                <w:szCs w:val="17"/>
                <w:color w:val="131413"/>
                <w:w w:val="98"/>
              </w:rPr>
              <w:t>c</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7"/>
                <w:szCs w:val="17"/>
                <w:color w:val="131413"/>
              </w:rPr>
              <w:t>Treatment</w:t>
            </w:r>
          </w:p>
        </w:tc>
        <w:tc>
          <w:tcPr>
            <w:tcW w:w="74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Residual</w:t>
            </w:r>
          </w:p>
        </w:tc>
      </w:tr>
      <w:tr>
        <w:trPr>
          <w:trHeight w:val="87"/>
        </w:trPr>
        <w:tc>
          <w:tcPr>
            <w:tcW w:w="2620" w:type="dxa"/>
            <w:vAlign w:val="bottom"/>
            <w:tcBorders>
              <w:bottom w:val="single" w:sz="8" w:color="131413"/>
            </w:tcBorders>
          </w:tcPr>
          <w:p>
            <w:pPr>
              <w:spacing w:after="0"/>
              <w:rPr>
                <w:sz w:val="7"/>
                <w:szCs w:val="7"/>
                <w:color w:val="auto"/>
              </w:rPr>
            </w:pPr>
          </w:p>
        </w:tc>
        <w:tc>
          <w:tcPr>
            <w:tcW w:w="1020" w:type="dxa"/>
            <w:vAlign w:val="bottom"/>
            <w:tcBorders>
              <w:bottom w:val="single" w:sz="8" w:color="131413"/>
            </w:tcBorders>
          </w:tcPr>
          <w:p>
            <w:pPr>
              <w:spacing w:after="0"/>
              <w:rPr>
                <w:sz w:val="7"/>
                <w:szCs w:val="7"/>
                <w:color w:val="auto"/>
              </w:rPr>
            </w:pPr>
          </w:p>
        </w:tc>
        <w:tc>
          <w:tcPr>
            <w:tcW w:w="860" w:type="dxa"/>
            <w:vAlign w:val="bottom"/>
            <w:tcBorders>
              <w:bottom w:val="single" w:sz="8" w:color="131413"/>
            </w:tcBorders>
          </w:tcPr>
          <w:p>
            <w:pPr>
              <w:spacing w:after="0"/>
              <w:rPr>
                <w:sz w:val="7"/>
                <w:szCs w:val="7"/>
                <w:color w:val="auto"/>
              </w:rPr>
            </w:pPr>
          </w:p>
        </w:tc>
        <w:tc>
          <w:tcPr>
            <w:tcW w:w="960" w:type="dxa"/>
            <w:vAlign w:val="bottom"/>
            <w:tcBorders>
              <w:bottom w:val="single" w:sz="8" w:color="131413"/>
            </w:tcBorders>
          </w:tcPr>
          <w:p>
            <w:pPr>
              <w:spacing w:after="0"/>
              <w:rPr>
                <w:sz w:val="7"/>
                <w:szCs w:val="7"/>
                <w:color w:val="auto"/>
              </w:rPr>
            </w:pPr>
          </w:p>
        </w:tc>
        <w:tc>
          <w:tcPr>
            <w:tcW w:w="840" w:type="dxa"/>
            <w:vAlign w:val="bottom"/>
            <w:tcBorders>
              <w:bottom w:val="single" w:sz="8" w:color="131413"/>
            </w:tcBorders>
          </w:tcPr>
          <w:p>
            <w:pPr>
              <w:spacing w:after="0"/>
              <w:rPr>
                <w:sz w:val="7"/>
                <w:szCs w:val="7"/>
                <w:color w:val="auto"/>
              </w:rPr>
            </w:pPr>
          </w:p>
        </w:tc>
        <w:tc>
          <w:tcPr>
            <w:tcW w:w="500" w:type="dxa"/>
            <w:vAlign w:val="bottom"/>
            <w:tcBorders>
              <w:bottom w:val="single" w:sz="8" w:color="131413"/>
            </w:tcBorders>
          </w:tcPr>
          <w:p>
            <w:pPr>
              <w:spacing w:after="0"/>
              <w:rPr>
                <w:sz w:val="7"/>
                <w:szCs w:val="7"/>
                <w:color w:val="auto"/>
              </w:rPr>
            </w:pPr>
          </w:p>
        </w:tc>
        <w:tc>
          <w:tcPr>
            <w:tcW w:w="1540" w:type="dxa"/>
            <w:vAlign w:val="bottom"/>
            <w:tcBorders>
              <w:bottom w:val="single" w:sz="8" w:color="131413"/>
            </w:tcBorders>
            <w:gridSpan w:val="2"/>
          </w:tcPr>
          <w:p>
            <w:pPr>
              <w:spacing w:after="0"/>
              <w:rPr>
                <w:sz w:val="7"/>
                <w:szCs w:val="7"/>
                <w:color w:val="auto"/>
              </w:rPr>
            </w:pPr>
          </w:p>
        </w:tc>
        <w:tc>
          <w:tcPr>
            <w:tcW w:w="740" w:type="dxa"/>
            <w:vAlign w:val="bottom"/>
            <w:tcBorders>
              <w:bottom w:val="single" w:sz="8" w:color="131413"/>
            </w:tcBorders>
          </w:tcPr>
          <w:p>
            <w:pPr>
              <w:spacing w:after="0"/>
              <w:rPr>
                <w:sz w:val="7"/>
                <w:szCs w:val="7"/>
                <w:color w:val="auto"/>
              </w:rPr>
            </w:pPr>
          </w:p>
        </w:tc>
      </w:tr>
      <w:tr>
        <w:trPr>
          <w:trHeight w:val="278"/>
        </w:trPr>
        <w:tc>
          <w:tcPr>
            <w:tcW w:w="2620" w:type="dxa"/>
            <w:vAlign w:val="bottom"/>
          </w:tcPr>
          <w:p>
            <w:pPr>
              <w:ind w:left="20"/>
              <w:spacing w:after="0"/>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-N_average_full range</w:t>
            </w:r>
            <w:r>
              <w:rPr>
                <w:rFonts w:ascii="Times New Roman" w:cs="Times New Roman" w:eastAsia="Times New Roman" w:hAnsi="Times New Roman"/>
                <w:sz w:val="21"/>
                <w:szCs w:val="21"/>
                <w:color w:val="131413"/>
                <w:vertAlign w:val="superscript"/>
              </w:rPr>
              <w:t>1</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0.91 (0.18)</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5.00</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0.05</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0.63</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0.80</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0.63 (0.79)</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0.76 (0.87)</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_average_lower end</w:t>
            </w:r>
            <w:r>
              <w:rPr>
                <w:rFonts w:ascii="Times New Roman" w:cs="Times New Roman" w:eastAsia="Times New Roman" w:hAnsi="Times New Roman"/>
                <w:sz w:val="21"/>
                <w:szCs w:val="21"/>
                <w:color w:val="131413"/>
                <w:vertAlign w:val="superscript"/>
              </w:rPr>
              <w:t>2</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1.34 (0.25)</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5.34</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0.60</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0.60</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0.00 (0.00)</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0.60 (0.77)</w:t>
            </w:r>
          </w:p>
        </w:tc>
      </w:tr>
      <w:tr>
        <w:trPr>
          <w:trHeight w:val="227"/>
        </w:trPr>
        <w:tc>
          <w:tcPr>
            <w:tcW w:w="2620" w:type="dxa"/>
            <w:vAlign w:val="bottom"/>
          </w:tcPr>
          <w:p>
            <w:pPr>
              <w:ind w:left="20"/>
              <w:spacing w:after="0" w:line="227" w:lineRule="exact"/>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_earlier season_full range</w:t>
            </w:r>
            <w:r>
              <w:rPr>
                <w:rFonts w:ascii="Times New Roman" w:cs="Times New Roman" w:eastAsia="Times New Roman" w:hAnsi="Times New Roman"/>
                <w:sz w:val="21"/>
                <w:szCs w:val="21"/>
                <w:color w:val="131413"/>
                <w:vertAlign w:val="superscript"/>
              </w:rPr>
              <w:t>3</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1.12 (0.16)</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6.89</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0.71</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0.78</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0.34 (0.59)</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1.04 (1.02)</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_earlier season_lower end</w:t>
            </w:r>
            <w:r>
              <w:rPr>
                <w:rFonts w:ascii="Times New Roman" w:cs="Times New Roman" w:eastAsia="Times New Roman" w:hAnsi="Times New Roman"/>
                <w:sz w:val="21"/>
                <w:szCs w:val="21"/>
                <w:color w:val="131413"/>
                <w:vertAlign w:val="superscript"/>
              </w:rPr>
              <w:t>4</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1.13 (0.31)</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3.63</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0.36</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0.39</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0.07 (0.26)</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1.11 (1.05)</w:t>
            </w:r>
          </w:p>
        </w:tc>
      </w:tr>
      <w:tr>
        <w:trPr>
          <w:trHeight w:val="227"/>
        </w:trPr>
        <w:tc>
          <w:tcPr>
            <w:tcW w:w="2620" w:type="dxa"/>
            <w:vAlign w:val="bottom"/>
          </w:tcPr>
          <w:p>
            <w:pPr>
              <w:ind w:left="20"/>
              <w:spacing w:after="0" w:line="227" w:lineRule="exact"/>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_later season_full range</w:t>
            </w:r>
            <w:r>
              <w:rPr>
                <w:rFonts w:ascii="Times New Roman" w:cs="Times New Roman" w:eastAsia="Times New Roman" w:hAnsi="Times New Roman"/>
                <w:sz w:val="21"/>
                <w:szCs w:val="21"/>
                <w:color w:val="131413"/>
                <w:vertAlign w:val="superscript"/>
              </w:rPr>
              <w:t>5</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1.14 (0.17)</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6.55</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0.75</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0.84</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0.56 (0.75)</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0.98 (0.99)</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_later season_lower end</w:t>
            </w:r>
            <w:r>
              <w:rPr>
                <w:rFonts w:ascii="Times New Roman" w:cs="Times New Roman" w:eastAsia="Times New Roman" w:hAnsi="Times New Roman"/>
                <w:sz w:val="21"/>
                <w:szCs w:val="21"/>
                <w:color w:val="131413"/>
                <w:vertAlign w:val="superscript"/>
              </w:rPr>
              <w:t>6</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1.19 (0.39)</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3.05</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0.27</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0.37</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0.24 (0.49)</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1.51 (1.23)</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-P_average_full range</w:t>
            </w:r>
            <w:r>
              <w:rPr>
                <w:rFonts w:ascii="Times New Roman" w:cs="Times New Roman" w:eastAsia="Times New Roman" w:hAnsi="Times New Roman"/>
                <w:sz w:val="21"/>
                <w:szCs w:val="21"/>
                <w:color w:val="131413"/>
                <w:vertAlign w:val="superscript"/>
              </w:rPr>
              <w:t>1</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0.24 (0.16)</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1.45</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0.16</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0.06</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0.93</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3.73 (1.93)</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0.32 (0.57)</w:t>
            </w:r>
          </w:p>
        </w:tc>
      </w:tr>
      <w:tr>
        <w:trPr>
          <w:trHeight w:val="227"/>
        </w:trPr>
        <w:tc>
          <w:tcPr>
            <w:tcW w:w="2620" w:type="dxa"/>
            <w:vAlign w:val="bottom"/>
          </w:tcPr>
          <w:p>
            <w:pPr>
              <w:ind w:left="20"/>
              <w:spacing w:after="0" w:line="227"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_average_lower end</w:t>
            </w:r>
            <w:r>
              <w:rPr>
                <w:rFonts w:ascii="Times New Roman" w:cs="Times New Roman" w:eastAsia="Times New Roman" w:hAnsi="Times New Roman"/>
                <w:sz w:val="21"/>
                <w:szCs w:val="21"/>
                <w:color w:val="131413"/>
                <w:vertAlign w:val="superscript"/>
              </w:rPr>
              <w:t>2</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0.02 (0.29)</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0.07</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0.94</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0.79</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1.38 (1.17)</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0.36 (0.60)</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_earlier season_full range</w:t>
            </w:r>
            <w:r>
              <w:rPr>
                <w:rFonts w:ascii="Times New Roman" w:cs="Times New Roman" w:eastAsia="Times New Roman" w:hAnsi="Times New Roman"/>
                <w:sz w:val="21"/>
                <w:szCs w:val="21"/>
                <w:color w:val="131413"/>
                <w:vertAlign w:val="superscript"/>
              </w:rPr>
              <w:t>3</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-0.07 (0.17)</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-0.41</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0.68</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0.83</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4.62 (2.15)</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0.96 (0.98)</w:t>
            </w:r>
          </w:p>
        </w:tc>
      </w:tr>
      <w:tr>
        <w:trPr>
          <w:trHeight w:val="227"/>
        </w:trPr>
        <w:tc>
          <w:tcPr>
            <w:tcW w:w="2620" w:type="dxa"/>
            <w:vAlign w:val="bottom"/>
          </w:tcPr>
          <w:p>
            <w:pPr>
              <w:ind w:left="20"/>
              <w:spacing w:after="0" w:line="227"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_earlier season_lower end</w:t>
            </w:r>
            <w:r>
              <w:rPr>
                <w:rFonts w:ascii="Times New Roman" w:cs="Times New Roman" w:eastAsia="Times New Roman" w:hAnsi="Times New Roman"/>
                <w:sz w:val="21"/>
                <w:szCs w:val="21"/>
                <w:color w:val="131413"/>
                <w:vertAlign w:val="superscript"/>
              </w:rPr>
              <w:t>4</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-0.35 (0.25)</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-1.37</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0.18</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0.04</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0.36</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0.53 (0.73)</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1.04 (1.02)</w:t>
            </w:r>
          </w:p>
        </w:tc>
      </w:tr>
      <w:tr>
        <w:trPr>
          <w:trHeight w:val="226"/>
        </w:trPr>
        <w:tc>
          <w:tcPr>
            <w:tcW w:w="2620" w:type="dxa"/>
            <w:vAlign w:val="bottom"/>
          </w:tcPr>
          <w:p>
            <w:pPr>
              <w:ind w:left="20"/>
              <w:spacing w:after="0" w:line="226"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_later season_full range</w:t>
            </w:r>
            <w:r>
              <w:rPr>
                <w:rFonts w:ascii="Times New Roman" w:cs="Times New Roman" w:eastAsia="Times New Roman" w:hAnsi="Times New Roman"/>
                <w:sz w:val="21"/>
                <w:szCs w:val="21"/>
                <w:color w:val="131413"/>
                <w:vertAlign w:val="superscript"/>
              </w:rPr>
              <w:t>5</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0.24 (0.16)</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1.46</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0.15</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0.04</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0.91</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4.04 (2.01)</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0.42 (0.65)</w:t>
            </w:r>
          </w:p>
        </w:tc>
      </w:tr>
      <w:tr>
        <w:trPr>
          <w:trHeight w:val="227"/>
        </w:trPr>
        <w:tc>
          <w:tcPr>
            <w:tcW w:w="2620" w:type="dxa"/>
            <w:vAlign w:val="bottom"/>
          </w:tcPr>
          <w:p>
            <w:pPr>
              <w:ind w:left="20"/>
              <w:spacing w:after="0" w:line="227" w:lineRule="exact"/>
              <w:rPr>
                <w:sz w:val="20"/>
                <w:szCs w:val="20"/>
                <w:color w:val="auto"/>
              </w:rPr>
            </w:pPr>
            <w:r>
              <w:rPr>
                <w:rFonts w:ascii="Times New Roman" w:cs="Times New Roman" w:eastAsia="Times New Roman" w:hAnsi="Times New Roman"/>
                <w:sz w:val="16"/>
                <w:szCs w:val="16"/>
                <w:color w:val="131413"/>
              </w:rPr>
              <w:t>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_later season_lower end</w:t>
            </w:r>
            <w:r>
              <w:rPr>
                <w:rFonts w:ascii="Times New Roman" w:cs="Times New Roman" w:eastAsia="Times New Roman" w:hAnsi="Times New Roman"/>
                <w:sz w:val="21"/>
                <w:szCs w:val="21"/>
                <w:color w:val="131413"/>
                <w:vertAlign w:val="superscript"/>
              </w:rPr>
              <w:t>6</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-0.04 (0.23)</w:t>
            </w:r>
          </w:p>
        </w:tc>
        <w:tc>
          <w:tcPr>
            <w:tcW w:w="8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-0.19</w:t>
            </w:r>
          </w:p>
        </w:tc>
        <w:tc>
          <w:tcPr>
            <w:tcW w:w="96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0.85</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color w:val="131413"/>
              </w:rPr>
              <w:t>&lt; 0.01</w:t>
            </w:r>
          </w:p>
        </w:tc>
        <w:tc>
          <w:tcPr>
            <w:tcW w:w="5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2"/>
              </w:rPr>
              <w:t>0.80</w:t>
            </w:r>
          </w:p>
        </w:tc>
        <w:tc>
          <w:tcPr>
            <w:tcW w:w="1540" w:type="dxa"/>
            <w:vAlign w:val="bottom"/>
            <w:gridSpan w:val="2"/>
          </w:tcPr>
          <w:p>
            <w:pPr>
              <w:ind w:left="460"/>
              <w:spacing w:after="0"/>
              <w:rPr>
                <w:sz w:val="20"/>
                <w:szCs w:val="20"/>
                <w:color w:val="auto"/>
              </w:rPr>
            </w:pPr>
            <w:r>
              <w:rPr>
                <w:rFonts w:ascii="Times New Roman" w:cs="Times New Roman" w:eastAsia="Times New Roman" w:hAnsi="Times New Roman"/>
                <w:sz w:val="16"/>
                <w:szCs w:val="16"/>
                <w:color w:val="131413"/>
              </w:rPr>
              <w:t>1.69 (1.30)</w:t>
            </w:r>
          </w:p>
        </w:tc>
        <w:tc>
          <w:tcPr>
            <w:tcW w:w="740" w:type="dxa"/>
            <w:vAlign w:val="bottom"/>
          </w:tcPr>
          <w:p>
            <w:pPr>
              <w:ind w:left="60"/>
              <w:spacing w:after="0"/>
              <w:rPr>
                <w:sz w:val="20"/>
                <w:szCs w:val="20"/>
                <w:color w:val="auto"/>
              </w:rPr>
            </w:pPr>
            <w:r>
              <w:rPr>
                <w:rFonts w:ascii="Times New Roman" w:cs="Times New Roman" w:eastAsia="Times New Roman" w:hAnsi="Times New Roman"/>
                <w:sz w:val="16"/>
                <w:szCs w:val="16"/>
                <w:color w:val="131413"/>
                <w:w w:val="93"/>
              </w:rPr>
              <w:t>0.41 (0.64)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52705</wp:posOffset>
                </wp:positionV>
                <wp:extent cx="57664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4.15pt" to="454.8pt,4.15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52705</wp:posOffset>
                </wp:positionV>
                <wp:extent cx="127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15pt" to="1.25pt,4.15pt" o:allowincell="f" strokecolor="#131413" strokeweight="0.5669pt"/>
            </w:pict>
          </mc:Fallback>
        </mc:AlternateContent>
        <mc:AlternateContent>
          <mc:Choice Requires="wps">
            <w:drawing>
              <wp:anchor simplePos="0" relativeHeight="251657728" behindDoc="1" locked="0" layoutInCell="0" allowOverlap="1">
                <wp:simplePos x="0" y="0"/>
                <wp:positionH relativeFrom="column">
                  <wp:posOffset>1659255</wp:posOffset>
                </wp:positionH>
                <wp:positionV relativeFrom="paragraph">
                  <wp:posOffset>-2029460</wp:posOffset>
                </wp:positionV>
                <wp:extent cx="127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1">
                          <a:solidFill>
                            <a:srgbClr val="13141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65pt,-159.7999pt" to="131.65pt,-159.7999pt" o:allowincell="f" strokecolor="#131413" strokeweight="0.567pt"/>
            </w:pict>
          </mc:Fallback>
        </mc:AlternateContent>
        <mc:AlternateContent>
          <mc:Choice Requires="wps">
            <w:drawing>
              <wp:anchor simplePos="0" relativeHeight="251657728" behindDoc="1" locked="0" layoutInCell="0" allowOverlap="1">
                <wp:simplePos x="0" y="0"/>
                <wp:positionH relativeFrom="column">
                  <wp:posOffset>4603115</wp:posOffset>
                </wp:positionH>
                <wp:positionV relativeFrom="paragraph">
                  <wp:posOffset>-2029460</wp:posOffset>
                </wp:positionV>
                <wp:extent cx="127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1">
                          <a:solidFill>
                            <a:srgbClr val="13141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45pt,-159.7999pt" to="363.45pt,-159.7999pt" o:allowincell="f" strokecolor="#131413" strokeweight="0.567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-1781810</wp:posOffset>
                </wp:positionV>
                <wp:extent cx="0" cy="2603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40.2999pt" to="0.7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1665605</wp:posOffset>
                </wp:positionH>
                <wp:positionV relativeFrom="paragraph">
                  <wp:posOffset>-1781810</wp:posOffset>
                </wp:positionV>
                <wp:extent cx="0" cy="2603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15pt,-140.2999pt" to="131.1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2423160</wp:posOffset>
                </wp:positionH>
                <wp:positionV relativeFrom="paragraph">
                  <wp:posOffset>-1781810</wp:posOffset>
                </wp:positionV>
                <wp:extent cx="0" cy="2603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8pt,-140.2999pt" to="190.8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2996565</wp:posOffset>
                </wp:positionH>
                <wp:positionV relativeFrom="paragraph">
                  <wp:posOffset>-1781810</wp:posOffset>
                </wp:positionV>
                <wp:extent cx="0" cy="2603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95pt,-140.2999pt" to="235.9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3606165</wp:posOffset>
                </wp:positionH>
                <wp:positionV relativeFrom="paragraph">
                  <wp:posOffset>-1781810</wp:posOffset>
                </wp:positionV>
                <wp:extent cx="0" cy="2603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95pt,-140.2999pt" to="283.9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4145915</wp:posOffset>
                </wp:positionH>
                <wp:positionV relativeFrom="paragraph">
                  <wp:posOffset>-1781810</wp:posOffset>
                </wp:positionV>
                <wp:extent cx="0" cy="2603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45pt,-140.2999pt" to="326.4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4609465</wp:posOffset>
                </wp:positionH>
                <wp:positionV relativeFrom="paragraph">
                  <wp:posOffset>-1781810</wp:posOffset>
                </wp:positionV>
                <wp:extent cx="0" cy="2603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5pt,-140.2999pt" to="362.95pt,-138.2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5335270</wp:posOffset>
                </wp:positionH>
                <wp:positionV relativeFrom="paragraph">
                  <wp:posOffset>-1781810</wp:posOffset>
                </wp:positionV>
                <wp:extent cx="0" cy="2603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pt,-140.2999pt" to="420.1pt,-138.2499pt" o:allowincell="f" strokecolor="#131413" strokeweight="1pt"/>
            </w:pict>
          </mc:Fallback>
        </mc:AlternateContent>
      </w:r>
    </w:p>
    <w:p>
      <w:pPr>
        <w:spacing w:after="0" w:line="95" w:lineRule="exact"/>
        <w:rPr>
          <w:sz w:val="20"/>
          <w:szCs w:val="20"/>
          <w:color w:val="auto"/>
        </w:rPr>
      </w:pPr>
    </w:p>
    <w:p>
      <w:pPr>
        <w:jc w:val="both"/>
        <w:ind w:left="20"/>
        <w:spacing w:after="0" w:line="208" w:lineRule="auto"/>
        <w:rPr>
          <w:sz w:val="20"/>
          <w:szCs w:val="20"/>
          <w:color w:val="auto"/>
        </w:rPr>
      </w:pPr>
      <w:r>
        <w:rPr>
          <w:rFonts w:ascii="Times New Roman" w:cs="Times New Roman" w:eastAsia="Times New Roman" w:hAnsi="Times New Roman"/>
          <w:sz w:val="17"/>
          <w:szCs w:val="17"/>
          <w:color w:val="131413"/>
        </w:rPr>
        <w:t>For each linear mixed model, parameter estimates (SE) of the fixed effects, and the corresponding t values, P values, 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 xml:space="preserve"> m (marginal 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 xml:space="preserve"> , variance explained by fixed factor only), and 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 xml:space="preserve"> c (conditional 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 xml:space="preserve"> , variance explained by both fixed and random factors); and variance (SD) of the random effects are reported</w:t>
      </w:r>
    </w:p>
    <w:p>
      <w:pPr>
        <w:spacing w:after="0" w:line="33" w:lineRule="exact"/>
        <w:rPr>
          <w:sz w:val="20"/>
          <w:szCs w:val="20"/>
          <w:color w:val="auto"/>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-N_average_full range</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across the whole growing season and across all the fertilization treatments (Control, LN, HN, LP, and HP additions)</w:t>
      </w:r>
    </w:p>
    <w:p>
      <w:pPr>
        <w:spacing w:after="0" w:line="34" w:lineRule="exact"/>
        <w:rPr>
          <w:rFonts w:ascii="Times New Roman" w:cs="Times New Roman" w:eastAsia="Times New Roman" w:hAnsi="Times New Roman"/>
          <w:sz w:val="23"/>
          <w:szCs w:val="23"/>
          <w:color w:val="131413"/>
          <w:vertAlign w:val="superscript"/>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-N_average_lower end</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across the whole growing season and across the lower fertilization treatments (Control, LN, and LP additions)</w:t>
      </w:r>
    </w:p>
    <w:p>
      <w:pPr>
        <w:spacing w:after="0" w:line="33" w:lineRule="exact"/>
        <w:rPr>
          <w:rFonts w:ascii="Times New Roman" w:cs="Times New Roman" w:eastAsia="Times New Roman" w:hAnsi="Times New Roman"/>
          <w:sz w:val="23"/>
          <w:szCs w:val="23"/>
          <w:color w:val="131413"/>
          <w:vertAlign w:val="superscript"/>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-N_earlier season_full range</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over the earlier growing season and across all the fertilization treatments (Control, LN, HN, LP, and HP additions)</w:t>
      </w:r>
    </w:p>
    <w:p>
      <w:pPr>
        <w:spacing w:after="0" w:line="34" w:lineRule="exact"/>
        <w:rPr>
          <w:rFonts w:ascii="Times New Roman" w:cs="Times New Roman" w:eastAsia="Times New Roman" w:hAnsi="Times New Roman"/>
          <w:sz w:val="23"/>
          <w:szCs w:val="23"/>
          <w:color w:val="131413"/>
          <w:vertAlign w:val="superscript"/>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-N_earlier season_lower end</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over the earlier growing season and across the lower fertilization treatments (Control, LN, and LP additions)</w:t>
      </w:r>
    </w:p>
    <w:p>
      <w:pPr>
        <w:spacing w:after="0" w:line="33" w:lineRule="exact"/>
        <w:rPr>
          <w:rFonts w:ascii="Times New Roman" w:cs="Times New Roman" w:eastAsia="Times New Roman" w:hAnsi="Times New Roman"/>
          <w:sz w:val="23"/>
          <w:szCs w:val="23"/>
          <w:color w:val="131413"/>
          <w:vertAlign w:val="superscript"/>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-N_later season_full range</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over the later growing season and across all the fertilization treatments (Control, LN, HN, LP, and HP additions)</w:t>
      </w:r>
    </w:p>
    <w:p>
      <w:pPr>
        <w:spacing w:after="0" w:line="34" w:lineRule="exact"/>
        <w:rPr>
          <w:rFonts w:ascii="Times New Roman" w:cs="Times New Roman" w:eastAsia="Times New Roman" w:hAnsi="Times New Roman"/>
          <w:sz w:val="23"/>
          <w:szCs w:val="23"/>
          <w:color w:val="131413"/>
          <w:vertAlign w:val="superscript"/>
        </w:rPr>
      </w:pPr>
    </w:p>
    <w:p>
      <w:pPr>
        <w:ind w:left="20" w:hanging="5"/>
        <w:spacing w:after="0" w:line="220" w:lineRule="auto"/>
        <w:tabs>
          <w:tab w:leader="none" w:pos="112" w:val="left"/>
        </w:tabs>
        <w:numPr>
          <w:ilvl w:val="0"/>
          <w:numId w:val="10"/>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 xml:space="preserve">Model </w:t>
      </w:r>
      <w:r>
        <w:rPr>
          <w:rFonts w:ascii="Arial" w:cs="Arial" w:eastAsia="Arial" w:hAnsi="Arial"/>
          <w:sz w:val="17"/>
          <w:szCs w:val="17"/>
          <w:color w:val="131413"/>
        </w:rPr>
        <w:t>‘</w:t>
      </w: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-N_later season_lower end</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indicates the regression for 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 (or 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 IEM flux and water-extractable pools over the later growing season and across the lower fertilization treatments (Control, LN, and LP additions)</w:t>
      </w:r>
    </w:p>
    <w:p>
      <w:pPr>
        <w:sectPr>
          <w:pgSz w:w="10940" w:h="14740" w:orient="portrait"/>
          <w:cols w:equalWidth="0" w:num="1">
            <w:col w:w="9080"/>
          </w:cols>
          <w:pgMar w:left="920" w:top="637" w:right="942" w:bottom="883" w:gutter="0" w:footer="0" w:header="0"/>
        </w:sectPr>
      </w:pPr>
    </w:p>
    <w:p>
      <w:pPr>
        <w:spacing w:after="0" w:line="200" w:lineRule="exact"/>
        <w:rPr>
          <w:sz w:val="20"/>
          <w:szCs w:val="20"/>
          <w:color w:val="auto"/>
        </w:rPr>
      </w:pPr>
    </w:p>
    <w:p>
      <w:pPr>
        <w:spacing w:after="0" w:line="25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131413"/>
        </w:rPr>
        <w:t>Plant foliar nutrient concentrations</w:t>
      </w:r>
    </w:p>
    <w:p>
      <w:pPr>
        <w:spacing w:after="0" w:line="33" w:lineRule="exact"/>
        <w:rPr>
          <w:sz w:val="20"/>
          <w:szCs w:val="20"/>
          <w:color w:val="auto"/>
        </w:rPr>
      </w:pPr>
    </w:p>
    <w:p>
      <w:pPr>
        <w:jc w:val="both"/>
        <w:ind w:left="20"/>
        <w:spacing w:after="0" w:line="271" w:lineRule="auto"/>
        <w:rPr>
          <w:sz w:val="20"/>
          <w:szCs w:val="20"/>
          <w:color w:val="auto"/>
        </w:rPr>
      </w:pPr>
      <w:r>
        <w:rPr>
          <w:rFonts w:ascii="Times New Roman" w:cs="Times New Roman" w:eastAsia="Times New Roman" w:hAnsi="Times New Roman"/>
          <w:sz w:val="19"/>
          <w:szCs w:val="19"/>
          <w:color w:val="131413"/>
        </w:rPr>
        <w:t>across the fertilization treatments in relation to the IEM and extractable soil nutrient availability measures</w:t>
      </w:r>
    </w:p>
    <w:p>
      <w:pPr>
        <w:spacing w:after="0" w:line="254" w:lineRule="exact"/>
        <w:rPr>
          <w:sz w:val="20"/>
          <w:szCs w:val="20"/>
          <w:color w:val="auto"/>
        </w:rPr>
      </w:pPr>
    </w:p>
    <w:p>
      <w:pPr>
        <w:jc w:val="both"/>
        <w:ind w:left="20"/>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As expected, plant foliar nutrient concentrations dramat-ically increased under the high level fertilization treat-ments (i.e. the HN and HP plots) (Table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131413"/>
        </w:rPr>
        <w:t xml:space="preserve">), and this response corresponded with the patterns of soil nutrient enhancement reported above for each method (Fig.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131413"/>
        </w:rPr>
        <w:t xml:space="preserve">). Furthermore, foliar N concentrations for all three ever-green shrubs (R. subarcticum, V. vitis-idaea, and A. polifolia) were significantly increased (1.1- to 1.4-fold) by the LN treatment (Table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131413"/>
        </w:rPr>
        <w:t xml:space="preserve">). These increases matched the enhanced available soil N in these LN addition plots as detected in both the IEM data (a 3.1-fold increase) and the soil extraction data (a 3.0-fold increase) (Fig. </w:t>
      </w:r>
      <w:hyperlink w:anchor="page18">
        <w:r>
          <w:rPr>
            <w:rFonts w:ascii="Times New Roman" w:cs="Times New Roman" w:eastAsia="Times New Roman" w:hAnsi="Times New Roman"/>
            <w:sz w:val="19"/>
            <w:szCs w:val="19"/>
            <w:color w:val="0000FF"/>
          </w:rPr>
          <w:t>2a and b</w:t>
        </w:r>
      </w:hyperlink>
      <w:r>
        <w:rPr>
          <w:rFonts w:ascii="Times New Roman" w:cs="Times New Roman" w:eastAsia="Times New Roman" w:hAnsi="Times New Roman"/>
          <w:sz w:val="19"/>
          <w:szCs w:val="19"/>
          <w:color w:val="131413"/>
        </w:rPr>
        <w:t>). Foliar P concentrations for all</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9525</wp:posOffset>
            </wp:positionH>
            <wp:positionV relativeFrom="paragraph">
              <wp:posOffset>194945</wp:posOffset>
            </wp:positionV>
            <wp:extent cx="483870" cy="13843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200" w:lineRule="exact"/>
        <w:rPr>
          <w:rFonts w:ascii="Times New Roman" w:cs="Times New Roman" w:eastAsia="Times New Roman" w:hAnsi="Times New Roman"/>
          <w:sz w:val="19"/>
          <w:szCs w:val="19"/>
          <w:color w:val="131413"/>
        </w:rPr>
      </w:pPr>
    </w:p>
    <w:p>
      <w:pPr>
        <w:spacing w:after="0" w:line="253" w:lineRule="exact"/>
        <w:rPr>
          <w:rFonts w:ascii="Times New Roman" w:cs="Times New Roman" w:eastAsia="Times New Roman" w:hAnsi="Times New Roman"/>
          <w:sz w:val="19"/>
          <w:szCs w:val="19"/>
          <w:color w:val="131413"/>
        </w:rPr>
      </w:pPr>
    </w:p>
    <w:p>
      <w:pPr>
        <w:jc w:val="both"/>
        <w:spacing w:after="0" w:line="247"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but the graminoid plant species were significantly in-creased (1.3- to 2-fold) by the LP treatment (Table </w:t>
      </w:r>
      <w:hyperlink w:anchor="page18">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xml:space="preserve">). However, although these increases matched the en-hanced available soil P as detected in the IEM data (a 4.2-fold increase) (Fig. </w:t>
      </w:r>
      <w:hyperlink w:anchor="page18">
        <w:r>
          <w:rPr>
            <w:rFonts w:ascii="Times New Roman" w:cs="Times New Roman" w:eastAsia="Times New Roman" w:hAnsi="Times New Roman"/>
            <w:sz w:val="20"/>
            <w:szCs w:val="20"/>
            <w:color w:val="0000FF"/>
          </w:rPr>
          <w:t>2c</w:t>
        </w:r>
      </w:hyperlink>
      <w:r>
        <w:rPr>
          <w:rFonts w:ascii="Times New Roman" w:cs="Times New Roman" w:eastAsia="Times New Roman" w:hAnsi="Times New Roman"/>
          <w:sz w:val="20"/>
          <w:szCs w:val="20"/>
          <w:color w:val="131413"/>
        </w:rPr>
        <w:t xml:space="preserve">, Table </w:t>
      </w:r>
      <w:hyperlink w:anchor="page18">
        <w:r>
          <w:rPr>
            <w:rFonts w:ascii="Times New Roman" w:cs="Times New Roman" w:eastAsia="Times New Roman" w:hAnsi="Times New Roman"/>
            <w:sz w:val="20"/>
            <w:szCs w:val="20"/>
            <w:color w:val="0000FF"/>
          </w:rPr>
          <w:t>S2</w:t>
        </w:r>
      </w:hyperlink>
      <w:r>
        <w:rPr>
          <w:rFonts w:ascii="Times New Roman" w:cs="Times New Roman" w:eastAsia="Times New Roman" w:hAnsi="Times New Roman"/>
          <w:sz w:val="20"/>
          <w:szCs w:val="20"/>
          <w:color w:val="131413"/>
        </w:rPr>
        <w:t>), they conflicted with the soil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 xml:space="preserve">-P extraction data which indicated no corresponding significant LP effect on available P (Fig. </w:t>
      </w:r>
      <w:hyperlink w:anchor="page18">
        <w:r>
          <w:rPr>
            <w:rFonts w:ascii="Times New Roman" w:cs="Times New Roman" w:eastAsia="Times New Roman" w:hAnsi="Times New Roman"/>
            <w:sz w:val="20"/>
            <w:szCs w:val="20"/>
            <w:color w:val="0000FF"/>
          </w:rPr>
          <w:t>2d</w:t>
        </w:r>
      </w:hyperlink>
      <w:r>
        <w:rPr>
          <w:rFonts w:ascii="Times New Roman" w:cs="Times New Roman" w:eastAsia="Times New Roman" w:hAnsi="Times New Roman"/>
          <w:sz w:val="20"/>
          <w:szCs w:val="20"/>
          <w:color w:val="131413"/>
        </w:rPr>
        <w:t xml:space="preserve">, Table </w:t>
      </w:r>
      <w:hyperlink w:anchor="page18">
        <w:r>
          <w:rPr>
            <w:rFonts w:ascii="Times New Roman" w:cs="Times New Roman" w:eastAsia="Times New Roman" w:hAnsi="Times New Roman"/>
            <w:sz w:val="20"/>
            <w:szCs w:val="20"/>
            <w:color w:val="0000FF"/>
          </w:rPr>
          <w:t>S3</w:t>
        </w:r>
      </w:hyperlink>
      <w:r>
        <w:rPr>
          <w:rFonts w:ascii="Times New Roman" w:cs="Times New Roman" w:eastAsia="Times New Roman" w:hAnsi="Times New Roman"/>
          <w:sz w:val="20"/>
          <w:szCs w:val="20"/>
          <w:color w:val="131413"/>
        </w:rPr>
        <w:t>).</w:t>
      </w:r>
    </w:p>
    <w:p>
      <w:pPr>
        <w:spacing w:after="0" w:line="264" w:lineRule="exact"/>
        <w:rPr>
          <w:rFonts w:ascii="Times New Roman" w:cs="Times New Roman" w:eastAsia="Times New Roman" w:hAnsi="Times New Roman"/>
          <w:sz w:val="20"/>
          <w:szCs w:val="20"/>
          <w:color w:val="131413"/>
        </w:rPr>
      </w:pPr>
    </w:p>
    <w:p>
      <w:pPr>
        <w:spacing w:after="0"/>
        <w:rPr>
          <w:sz w:val="20"/>
          <w:szCs w:val="20"/>
          <w:color w:val="auto"/>
        </w:rPr>
      </w:pPr>
      <w:r>
        <w:rPr>
          <w:rFonts w:ascii="Times New Roman" w:cs="Times New Roman" w:eastAsia="Times New Roman" w:hAnsi="Times New Roman"/>
          <w:sz w:val="20"/>
          <w:szCs w:val="20"/>
          <w:color w:val="131413"/>
        </w:rPr>
        <w:t>Effects of the summer greenhouse warming</w:t>
      </w:r>
    </w:p>
    <w:p>
      <w:pPr>
        <w:spacing w:after="0" w:line="33" w:lineRule="exact"/>
        <w:rPr>
          <w:rFonts w:ascii="Times New Roman" w:cs="Times New Roman" w:eastAsia="Times New Roman" w:hAnsi="Times New Roman"/>
          <w:sz w:val="20"/>
          <w:szCs w:val="20"/>
          <w:color w:val="131413"/>
        </w:rPr>
      </w:pPr>
    </w:p>
    <w:p>
      <w:pPr>
        <w:ind w:right="340"/>
        <w:spacing w:after="0" w:line="252" w:lineRule="auto"/>
        <w:rPr>
          <w:sz w:val="20"/>
          <w:szCs w:val="20"/>
          <w:color w:val="auto"/>
        </w:rPr>
      </w:pPr>
      <w:r>
        <w:rPr>
          <w:rFonts w:ascii="Times New Roman" w:cs="Times New Roman" w:eastAsia="Times New Roman" w:hAnsi="Times New Roman"/>
          <w:sz w:val="20"/>
          <w:szCs w:val="20"/>
          <w:color w:val="131413"/>
        </w:rPr>
        <w:t>and snowfence treatments on seasonal soil nutrient availability, and on aboveground vascular plant community biomass</w:t>
      </w:r>
    </w:p>
    <w:p>
      <w:pPr>
        <w:spacing w:after="0" w:line="272" w:lineRule="exact"/>
        <w:rPr>
          <w:rFonts w:ascii="Times New Roman" w:cs="Times New Roman" w:eastAsia="Times New Roman" w:hAnsi="Times New Roman"/>
          <w:sz w:val="20"/>
          <w:szCs w:val="20"/>
          <w:color w:val="131413"/>
        </w:rPr>
      </w:pPr>
    </w:p>
    <w:p>
      <w:pPr>
        <w:jc w:val="both"/>
        <w:spacing w:after="0" w:line="221" w:lineRule="auto"/>
        <w:rPr>
          <w:sz w:val="20"/>
          <w:szCs w:val="20"/>
          <w:color w:val="auto"/>
        </w:rPr>
      </w:pPr>
      <w:r>
        <w:rPr>
          <w:rFonts w:ascii="Times New Roman" w:cs="Times New Roman" w:eastAsia="Times New Roman" w:hAnsi="Times New Roman"/>
          <w:sz w:val="19"/>
          <w:szCs w:val="19"/>
          <w:color w:val="131413"/>
        </w:rPr>
        <w:t>The effects of the long-term summer greenhouse warming treatment on soil intra-seasonal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fluxes differed from the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fluxes. Perhaps surprisingly,</w:t>
      </w:r>
    </w:p>
    <w:p>
      <w:pPr>
        <w:sectPr>
          <w:pgSz w:w="10940" w:h="14740" w:orient="portrait"/>
          <w:cols w:equalWidth="0" w:num="2">
            <w:col w:w="4320" w:space="460"/>
            <w:col w:w="4300"/>
          </w:cols>
          <w:pgMar w:left="920" w:top="637" w:right="942" w:bottom="883"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27940</wp:posOffset>
            </wp:positionV>
            <wp:extent cx="5779135" cy="219646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extLst>
                    </a:blip>
                    <a:srcRect/>
                    <a:stretch>
                      <a:fillRect/>
                    </a:stretch>
                  </pic:blipFill>
                  <pic:spPr bwMode="auto">
                    <a:xfrm>
                      <a:off x="0" y="0"/>
                      <a:ext cx="5779135" cy="2196465"/>
                    </a:xfrm>
                    <a:prstGeom prst="rect">
                      <a:avLst/>
                    </a:prstGeom>
                    <a:noFill/>
                  </pic:spPr>
                </pic:pic>
              </a:graphicData>
            </a:graphic>
          </wp:anchor>
        </w:drawing>
      </w:r>
    </w:p>
    <w:p>
      <w:pPr>
        <w:sectPr>
          <w:pgSz w:w="10940" w:h="14740" w:orient="portrait"/>
          <w:cols w:equalWidth="0" w:num="1">
            <w:col w:w="9060"/>
          </w:cols>
          <w:pgMar w:left="940" w:top="649" w:right="942" w:bottom="8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6"/>
          <w:szCs w:val="16"/>
          <w:color w:val="131413"/>
        </w:rPr>
        <w:t>Fig. 1 Correlations between the IEM and direct water-extraction method determinations of average growing season soil 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(a) and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(b) availability in the various experimental fertilization treatment plots (n = 04</w:t>
      </w:r>
      <w:r>
        <w:rPr>
          <w:rFonts w:ascii="Arial" w:cs="Arial" w:eastAsia="Arial" w:hAnsi="Arial"/>
          <w:sz w:val="16"/>
          <w:szCs w:val="16"/>
          <w:color w:val="131413"/>
        </w:rPr>
        <w:t>–</w:t>
      </w:r>
      <w:r>
        <w:rPr>
          <w:rFonts w:ascii="Times New Roman" w:cs="Times New Roman" w:eastAsia="Times New Roman" w:hAnsi="Times New Roman"/>
          <w:sz w:val="16"/>
          <w:szCs w:val="16"/>
          <w:color w:val="131413"/>
        </w:rPr>
        <w:t>10). The solid line is a linear regression based on data from all the experimental plots (Control, LN addi-tion, LP addition, HN addition, and HP addition), whereas the dashed line is a linear regression based on data from control, LN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spacing w:after="0"/>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131413"/>
        </w:rPr>
        <w:t>addition, and LP addition plots only (the corresponding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regressions were not statistically significant). Linear mixed models were used with fertilization treatment as a grouping factor (random effect), and both marginal R</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(R</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m), conditional R</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(R</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c), and P values for the fixed effects are reported (Nakagawa and Schielzeth </w:t>
      </w:r>
      <w:hyperlink w:anchor="page18">
        <w:r>
          <w:rPr>
            <w:rFonts w:ascii="Times New Roman" w:cs="Times New Roman" w:eastAsia="Times New Roman" w:hAnsi="Times New Roman"/>
            <w:sz w:val="16"/>
            <w:szCs w:val="16"/>
            <w:color w:val="0000FF"/>
          </w:rPr>
          <w:t>2013</w:t>
        </w:r>
      </w:hyperlink>
      <w:r>
        <w:rPr>
          <w:rFonts w:ascii="Times New Roman" w:cs="Times New Roman" w:eastAsia="Times New Roman" w:hAnsi="Times New Roman"/>
          <w:sz w:val="16"/>
          <w:szCs w:val="16"/>
          <w:color w:val="131413"/>
        </w:rPr>
        <w:t>). Note the log-scale of the X- and Y-axes</w:t>
      </w:r>
    </w:p>
    <w:p>
      <w:pPr>
        <w:spacing w:after="0" w:line="394" w:lineRule="exact"/>
        <w:rPr>
          <w:sz w:val="20"/>
          <w:szCs w:val="20"/>
          <w:color w:val="auto"/>
        </w:rPr>
      </w:pPr>
    </w:p>
    <w:p>
      <w:pPr>
        <w:sectPr>
          <w:pgSz w:w="10940" w:h="14740" w:orient="portrait"/>
          <w:cols w:equalWidth="0" w:num="2">
            <w:col w:w="4300" w:space="460"/>
            <w:col w:w="4300"/>
          </w:cols>
          <w:pgMar w:left="940" w:top="649" w:right="942" w:bottom="899" w:gutter="0" w:footer="0" w:header="0"/>
          <w:type w:val="continuous"/>
        </w:sectPr>
      </w:pPr>
    </w:p>
    <w:p>
      <w:pPr>
        <w:spacing w:after="0" w:line="277" w:lineRule="exact"/>
        <w:rPr>
          <w:sz w:val="20"/>
          <w:szCs w:val="20"/>
          <w:color w:val="auto"/>
        </w:rPr>
      </w:pPr>
    </w:p>
    <w:p>
      <w:pPr>
        <w:jc w:val="both"/>
        <w:spacing w:after="0" w:line="25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the greenhouses did not alter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fluxes during any of the individual incubations within the growing season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3a</w:t>
        </w:r>
      </w:hyperlink>
      <w:r>
        <w:rPr>
          <w:rFonts w:ascii="Times New Roman" w:cs="Times New Roman" w:eastAsia="Times New Roman" w:hAnsi="Times New Roman"/>
          <w:sz w:val="19"/>
          <w:szCs w:val="19"/>
          <w:color w:val="131413"/>
        </w:rPr>
        <w:t>). Since there was no treatment effect, we pooled the data from the greenhouse warming and associated control plots to further examine the intra-seasonal patterns.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fluxes increased steadily (although not statistically significantly) for the first four incubations from late June to the end of July (from 0.12 to 0.17 µg/cm</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/day), and then declined significantly (3.8-fold) for the following incubation up until mid-August, and remained low into late August (Fig. </w:t>
      </w:r>
      <w:hyperlink w:anchor="page18">
        <w:r>
          <w:rPr>
            <w:rFonts w:ascii="Times New Roman" w:cs="Times New Roman" w:eastAsia="Times New Roman" w:hAnsi="Times New Roman"/>
            <w:sz w:val="19"/>
            <w:szCs w:val="19"/>
            <w:color w:val="0000FF"/>
          </w:rPr>
          <w:t>3a</w:t>
        </w:r>
      </w:hyperlink>
      <w:r>
        <w:rPr>
          <w:rFonts w:ascii="Times New Roman" w:cs="Times New Roman" w:eastAsia="Times New Roman" w:hAnsi="Times New Roman"/>
          <w:sz w:val="19"/>
          <w:szCs w:val="19"/>
          <w:color w:val="131413"/>
        </w:rPr>
        <w:t>). In contrast, the greenhouse warming treatment increased the average growing season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 by 4.0-fold, and the individual incubations by 1.3- to 7.6-fold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3b</w:t>
        </w:r>
      </w:hyperlink>
      <w:r>
        <w:rPr>
          <w:rFonts w:ascii="Times New Roman" w:cs="Times New Roman" w:eastAsia="Times New Roman" w:hAnsi="Times New Roman"/>
          <w:sz w:val="19"/>
          <w:szCs w:val="19"/>
          <w:color w:val="131413"/>
        </w:rPr>
        <w:t>). In addition, intra-seasonal changes in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 were slightly different between control and greenhouse warming treatment plots. Specifically, the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fluxes in the control plots remained un-changed for the first three incubations, then decreased slightly for the fourth incubation, and gradually recov-ered afterwards (R5 to R6) (Fig. </w:t>
      </w:r>
      <w:hyperlink w:anchor="page18">
        <w:r>
          <w:rPr>
            <w:rFonts w:ascii="Times New Roman" w:cs="Times New Roman" w:eastAsia="Times New Roman" w:hAnsi="Times New Roman"/>
            <w:sz w:val="19"/>
            <w:szCs w:val="19"/>
            <w:color w:val="0000FF"/>
          </w:rPr>
          <w:t>3b</w:t>
        </w:r>
      </w:hyperlink>
      <w:r>
        <w:rPr>
          <w:rFonts w:ascii="Times New Roman" w:cs="Times New Roman" w:eastAsia="Times New Roman" w:hAnsi="Times New Roman"/>
          <w:sz w:val="19"/>
          <w:szCs w:val="19"/>
          <w:color w:val="131413"/>
        </w:rPr>
        <w:t>).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fluxes in the greenhouse warming plots showed a generally similar intra-seasonal pattern as those in the control plots, al-though there were much larger variabilities among rep-licate plots, especially for the first incubation period from late June to early July (Fig. </w:t>
      </w:r>
      <w:hyperlink w:anchor="page18">
        <w:r>
          <w:rPr>
            <w:rFonts w:ascii="Times New Roman" w:cs="Times New Roman" w:eastAsia="Times New Roman" w:hAnsi="Times New Roman"/>
            <w:sz w:val="19"/>
            <w:szCs w:val="19"/>
            <w:color w:val="0000FF"/>
          </w:rPr>
          <w:t>3b</w:t>
        </w:r>
      </w:hyperlink>
      <w:r>
        <w:rPr>
          <w:rFonts w:ascii="Times New Roman" w:cs="Times New Roman" w:eastAsia="Times New Roman" w:hAnsi="Times New Roman"/>
          <w:sz w:val="19"/>
          <w:szCs w:val="19"/>
          <w:color w:val="131413"/>
        </w:rPr>
        <w:t>). Finally, the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fluxes during the non-growing season were not sig-nificantly affected by the summer greenhouse warming</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305" w:lineRule="exact"/>
        <w:rPr>
          <w:rFonts w:ascii="Times New Roman" w:cs="Times New Roman" w:eastAsia="Times New Roman" w:hAnsi="Times New Roman"/>
          <w:sz w:val="19"/>
          <w:szCs w:val="19"/>
          <w:color w:val="131413"/>
        </w:rPr>
      </w:pPr>
    </w:p>
    <w:p>
      <w:pPr>
        <w:jc w:val="both"/>
        <w:spacing w:after="0" w:line="233"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treatment (Table </w:t>
      </w:r>
      <w:hyperlink w:anchor="page18">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 unfortunately the corresponding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 xml:space="preserve">-N samples were lost due to lab equipment mal-function), and were extremely low compared with those for the summer season (Table </w:t>
      </w:r>
      <w:hyperlink w:anchor="page18">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w:t>
      </w:r>
    </w:p>
    <w:p>
      <w:pPr>
        <w:spacing w:after="0" w:line="37" w:lineRule="exact"/>
        <w:rPr>
          <w:sz w:val="20"/>
          <w:szCs w:val="20"/>
          <w:color w:val="auto"/>
        </w:rPr>
      </w:pPr>
    </w:p>
    <w:p>
      <w:pPr>
        <w:jc w:val="both"/>
        <w:ind w:firstLine="227"/>
        <w:spacing w:after="0" w:line="245"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Contrary to the summer greenhouse warming effects, no snowfence treatment effects on either intra-seasonal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fluxes or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fluxes were observed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3c and d</w:t>
        </w:r>
      </w:hyperlink>
      <w:r>
        <w:rPr>
          <w:rFonts w:ascii="Times New Roman" w:cs="Times New Roman" w:eastAsia="Times New Roman" w:hAnsi="Times New Roman"/>
          <w:sz w:val="19"/>
          <w:szCs w:val="19"/>
          <w:color w:val="131413"/>
        </w:rPr>
        <w:t>). When using the pooled data to examine the intra-seasonal patterns for the growing season, we found that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fluxes first increased from R1 to R3 (from 0.14 to 0.16 µg/cm</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/day), and then decreased during the R4 incubation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3c</w:t>
        </w:r>
      </w:hyperlink>
      <w:r>
        <w:rPr>
          <w:rFonts w:ascii="Times New Roman" w:cs="Times New Roman" w:eastAsia="Times New Roman" w:hAnsi="Times New Roman"/>
          <w:sz w:val="19"/>
          <w:szCs w:val="19"/>
          <w:color w:val="131413"/>
        </w:rPr>
        <w:t>). By contrast,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fluxes first increased from R1 to R2, and then decreased for the following two incuba-tions (R2 to R4), followed by a small increase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 xml:space="preserve">; Fig. </w:t>
      </w:r>
      <w:hyperlink w:anchor="page18">
        <w:r>
          <w:rPr>
            <w:rFonts w:ascii="Times New Roman" w:cs="Times New Roman" w:eastAsia="Times New Roman" w:hAnsi="Times New Roman"/>
            <w:sz w:val="19"/>
            <w:szCs w:val="19"/>
            <w:color w:val="0000FF"/>
          </w:rPr>
          <w:t>3d</w:t>
        </w:r>
      </w:hyperlink>
      <w:r>
        <w:rPr>
          <w:rFonts w:ascii="Times New Roman" w:cs="Times New Roman" w:eastAsia="Times New Roman" w:hAnsi="Times New Roman"/>
          <w:sz w:val="19"/>
          <w:szCs w:val="19"/>
          <w:color w:val="131413"/>
        </w:rPr>
        <w:t>). Similarly, the snowfence treatment also did not affect either the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 or the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flux for the non-growing season, with both fluxes very low com-pared with those for the summer season (Table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w:t>
      </w:r>
    </w:p>
    <w:p>
      <w:pPr>
        <w:spacing w:after="0" w:line="38" w:lineRule="exact"/>
        <w:rPr>
          <w:rFonts w:ascii="Times New Roman" w:cs="Times New Roman" w:eastAsia="Times New Roman" w:hAnsi="Times New Roman"/>
          <w:sz w:val="19"/>
          <w:szCs w:val="19"/>
          <w:color w:val="131413"/>
        </w:rPr>
      </w:pPr>
    </w:p>
    <w:p>
      <w:pPr>
        <w:jc w:val="both"/>
        <w:ind w:firstLine="227"/>
        <w:spacing w:after="0" w:line="25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summer greenhouse warming treatment tended to increase aboveground vascular plant community bio-mass after 12 years (by ~ 1.6 fold; t = 1.8, P = 0.09) (Fig. </w:t>
      </w:r>
      <w:hyperlink w:anchor="page1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131413"/>
        </w:rPr>
        <w:t>), consistent with significantly enhanced soil fer-tility as confirmed by the IEM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 data (although not by the soil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fluxes which were unaffected) (Fig. </w:t>
      </w:r>
      <w:hyperlink w:anchor="page18">
        <w:r>
          <w:rPr>
            <w:rFonts w:ascii="Times New Roman" w:cs="Times New Roman" w:eastAsia="Times New Roman" w:hAnsi="Times New Roman"/>
            <w:sz w:val="19"/>
            <w:szCs w:val="19"/>
            <w:color w:val="0000FF"/>
          </w:rPr>
          <w:t>3a and b</w:t>
        </w:r>
      </w:hyperlink>
      <w:r>
        <w:rPr>
          <w:rFonts w:ascii="Times New Roman" w:cs="Times New Roman" w:eastAsia="Times New Roman" w:hAnsi="Times New Roman"/>
          <w:sz w:val="19"/>
          <w:szCs w:val="19"/>
          <w:color w:val="131413"/>
        </w:rPr>
        <w:t xml:space="preserve">). By contrast, the snowfence treatment did not significantly affect the aboveground vascular plant community biomass (Fig. </w:t>
      </w:r>
      <w:hyperlink w:anchor="page1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131413"/>
        </w:rPr>
        <w:t>), which was</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2253615</wp:posOffset>
            </wp:positionH>
            <wp:positionV relativeFrom="paragraph">
              <wp:posOffset>204470</wp:posOffset>
            </wp:positionV>
            <wp:extent cx="483870" cy="13843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899" w:gutter="0" w:footer="0" w:header="0"/>
          <w:type w:val="continuous"/>
        </w:sectPr>
      </w:pPr>
    </w:p>
    <w:bookmarkStart w:id="11" w:name="page12"/>
    <w:bookmarkEnd w:id="11"/>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27940</wp:posOffset>
            </wp:positionV>
            <wp:extent cx="5779135" cy="533781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extLst>
                    </a:blip>
                    <a:srcRect/>
                    <a:stretch>
                      <a:fillRect/>
                    </a:stretch>
                  </pic:blipFill>
                  <pic:spPr bwMode="auto">
                    <a:xfrm>
                      <a:off x="0" y="0"/>
                      <a:ext cx="5779135" cy="5337810"/>
                    </a:xfrm>
                    <a:prstGeom prst="rect">
                      <a:avLst/>
                    </a:prstGeom>
                    <a:noFill/>
                  </pic:spPr>
                </pic:pic>
              </a:graphicData>
            </a:graphic>
          </wp:anchor>
        </w:drawing>
      </w:r>
    </w:p>
    <w:p>
      <w:pPr>
        <w:sectPr>
          <w:pgSz w:w="10940" w:h="14740" w:orient="portrait"/>
          <w:cols w:equalWidth="0" w:num="1">
            <w:col w:w="9060"/>
          </w:cols>
          <w:pgMar w:left="940" w:top="649" w:right="942" w:bottom="8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6"/>
          <w:szCs w:val="16"/>
          <w:color w:val="131413"/>
        </w:rPr>
        <w:t>Fig. 2 Fertilization effects on soil 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IEM fluxes (a) and water-extractable 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pools (b), and on soil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IEM fluxes (c) and water-extractable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 xml:space="preserve">-P pools (d) during three sequential incubations over the growing season (R1-R3). </w:t>
      </w:r>
      <w:r>
        <w:rPr>
          <w:rFonts w:ascii="Arial" w:cs="Arial" w:eastAsia="Arial" w:hAnsi="Arial"/>
          <w:sz w:val="16"/>
          <w:szCs w:val="16"/>
          <w:color w:val="131413"/>
        </w:rPr>
        <w:t>‘</w:t>
      </w:r>
      <w:r>
        <w:rPr>
          <w:rFonts w:ascii="Times New Roman" w:cs="Times New Roman" w:eastAsia="Times New Roman" w:hAnsi="Times New Roman"/>
          <w:sz w:val="16"/>
          <w:szCs w:val="16"/>
          <w:color w:val="131413"/>
        </w:rPr>
        <w:t>LN</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is low level nitrogen addition, </w:t>
      </w:r>
      <w:r>
        <w:rPr>
          <w:rFonts w:ascii="Arial" w:cs="Arial" w:eastAsia="Arial" w:hAnsi="Arial"/>
          <w:sz w:val="16"/>
          <w:szCs w:val="16"/>
          <w:color w:val="131413"/>
        </w:rPr>
        <w:t>‘</w:t>
      </w:r>
      <w:r>
        <w:rPr>
          <w:rFonts w:ascii="Times New Roman" w:cs="Times New Roman" w:eastAsia="Times New Roman" w:hAnsi="Times New Roman"/>
          <w:sz w:val="16"/>
          <w:szCs w:val="16"/>
          <w:color w:val="131413"/>
        </w:rPr>
        <w:t>HN</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is high level nitrogen addition, </w:t>
      </w:r>
      <w:r>
        <w:rPr>
          <w:rFonts w:ascii="Arial" w:cs="Arial" w:eastAsia="Arial" w:hAnsi="Arial"/>
          <w:sz w:val="16"/>
          <w:szCs w:val="16"/>
          <w:color w:val="131413"/>
        </w:rPr>
        <w:t>‘</w:t>
      </w:r>
      <w:r>
        <w:rPr>
          <w:rFonts w:ascii="Times New Roman" w:cs="Times New Roman" w:eastAsia="Times New Roman" w:hAnsi="Times New Roman"/>
          <w:sz w:val="16"/>
          <w:szCs w:val="16"/>
          <w:color w:val="131413"/>
        </w:rPr>
        <w:t>LP</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is low level phosphorus addition, and </w:t>
      </w:r>
      <w:r>
        <w:rPr>
          <w:rFonts w:ascii="Arial" w:cs="Arial" w:eastAsia="Arial" w:hAnsi="Arial"/>
          <w:sz w:val="16"/>
          <w:szCs w:val="16"/>
          <w:color w:val="131413"/>
        </w:rPr>
        <w:t>‘</w:t>
      </w:r>
      <w:r>
        <w:rPr>
          <w:rFonts w:ascii="Times New Roman" w:cs="Times New Roman" w:eastAsia="Times New Roman" w:hAnsi="Times New Roman"/>
          <w:sz w:val="16"/>
          <w:szCs w:val="16"/>
          <w:color w:val="131413"/>
        </w:rPr>
        <w:t>HP</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is high level phosphorus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6"/>
          <w:szCs w:val="16"/>
          <w:color w:val="131413"/>
        </w:rPr>
        <w:t xml:space="preserve">addition. Symbols indicate the statistical significance levels: p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0.1</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p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0.05*, p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0.01**. Different labels (a, b, and c) indicate significant differences among the three incubation rounds (for the IEM data) or serial collections (for the extraction data) at level of </w:t>
      </w:r>
      <w:r>
        <w:rPr>
          <w:rFonts w:ascii="Arial" w:cs="Arial" w:eastAsia="Arial" w:hAnsi="Arial"/>
          <w:sz w:val="16"/>
          <w:szCs w:val="16"/>
          <w:color w:val="131413"/>
        </w:rPr>
        <w:t xml:space="preserve">α </w:t>
      </w:r>
      <w:r>
        <w:rPr>
          <w:rFonts w:ascii="Times New Roman" w:cs="Times New Roman" w:eastAsia="Times New Roman" w:hAnsi="Times New Roman"/>
          <w:sz w:val="16"/>
          <w:szCs w:val="16"/>
          <w:color w:val="131413"/>
        </w:rPr>
        <w:t>= 0.05 (n = 06</w:t>
      </w:r>
      <w:r>
        <w:rPr>
          <w:rFonts w:ascii="Arial" w:cs="Arial" w:eastAsia="Arial" w:hAnsi="Arial"/>
          <w:sz w:val="16"/>
          <w:szCs w:val="16"/>
          <w:color w:val="131413"/>
        </w:rPr>
        <w:t>–</w:t>
      </w:r>
      <w:r>
        <w:rPr>
          <w:rFonts w:ascii="Times New Roman" w:cs="Times New Roman" w:eastAsia="Times New Roman" w:hAnsi="Times New Roman"/>
          <w:sz w:val="16"/>
          <w:szCs w:val="16"/>
          <w:color w:val="131413"/>
        </w:rPr>
        <w:t>10). Note the log-scale of the Y-axes</w:t>
      </w:r>
    </w:p>
    <w:p>
      <w:pPr>
        <w:spacing w:after="0" w:line="379" w:lineRule="exact"/>
        <w:rPr>
          <w:sz w:val="20"/>
          <w:szCs w:val="20"/>
          <w:color w:val="auto"/>
        </w:rPr>
      </w:pPr>
    </w:p>
    <w:p>
      <w:pPr>
        <w:sectPr>
          <w:pgSz w:w="10940" w:h="14740" w:orient="portrait"/>
          <w:cols w:equalWidth="0" w:num="2">
            <w:col w:w="4300" w:space="460"/>
            <w:col w:w="4300"/>
          </w:cols>
          <w:pgMar w:left="940" w:top="649" w:right="942" w:bottom="893" w:gutter="0" w:footer="0" w:header="0"/>
          <w:type w:val="continuous"/>
        </w:sectPr>
      </w:pPr>
    </w:p>
    <w:p>
      <w:pPr>
        <w:spacing w:after="0" w:line="50" w:lineRule="exact"/>
        <w:rPr>
          <w:sz w:val="20"/>
          <w:szCs w:val="20"/>
          <w:color w:val="auto"/>
        </w:rPr>
      </w:pPr>
    </w:p>
    <w:p>
      <w:pPr>
        <w:spacing w:after="0" w:line="244"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consistent with the IEM data indicating generally negli-gible effects on soil fertility (Fig. </w:t>
      </w:r>
      <w:hyperlink w:anchor="page18">
        <w:r>
          <w:rPr>
            <w:rFonts w:ascii="Times New Roman" w:cs="Times New Roman" w:eastAsia="Times New Roman" w:hAnsi="Times New Roman"/>
            <w:sz w:val="20"/>
            <w:szCs w:val="20"/>
            <w:color w:val="0000FF"/>
          </w:rPr>
          <w:t>3c and d</w:t>
        </w:r>
      </w:hyperlink>
      <w:r>
        <w:rPr>
          <w:rFonts w:ascii="Times New Roman" w:cs="Times New Roman" w:eastAsia="Times New Roman" w:hAnsi="Times New Roman"/>
          <w:sz w:val="20"/>
          <w:szCs w:val="20"/>
          <w:color w:val="131413"/>
        </w:rPr>
        <w:t>).</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131413"/>
        </w:rPr>
        <w:t>Discussion</w: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131413"/>
        </w:rPr>
        <w:t>Relationships between soil nutrient fluxes and pools</w:t>
      </w:r>
    </w:p>
    <w:p>
      <w:pPr>
        <w:spacing w:after="0" w:line="281" w:lineRule="exact"/>
        <w:rPr>
          <w:sz w:val="20"/>
          <w:szCs w:val="20"/>
          <w:color w:val="auto"/>
        </w:rPr>
      </w:pPr>
    </w:p>
    <w:p>
      <w:pPr>
        <w:spacing w:after="0" w:line="246" w:lineRule="auto"/>
        <w:rPr>
          <w:sz w:val="20"/>
          <w:szCs w:val="20"/>
          <w:color w:val="auto"/>
        </w:rPr>
      </w:pPr>
      <w:r>
        <w:rPr>
          <w:rFonts w:ascii="Times New Roman" w:cs="Times New Roman" w:eastAsia="Times New Roman" w:hAnsi="Times New Roman"/>
          <w:sz w:val="20"/>
          <w:szCs w:val="20"/>
          <w:color w:val="131413"/>
        </w:rPr>
        <w:t>Significant regressions between IEM fluxes and water-extractable pools were only observed for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207010</wp:posOffset>
            </wp:positionV>
            <wp:extent cx="483870" cy="13843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spacing w:after="0" w:line="23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but not for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Fertilization treatments has a greater influence on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availability than on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availability.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ions are less mobile and more readily adsorbed to soil particles than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ions (Chapin </w:t>
      </w:r>
      <w:hyperlink w:anchor="page18">
        <w:r>
          <w:rPr>
            <w:rFonts w:ascii="Times New Roman" w:cs="Times New Roman" w:eastAsia="Times New Roman" w:hAnsi="Times New Roman"/>
            <w:sz w:val="19"/>
            <w:szCs w:val="19"/>
            <w:color w:val="0000FF"/>
          </w:rPr>
          <w:t>1980</w:t>
        </w:r>
      </w:hyperlink>
      <w:r>
        <w:rPr>
          <w:rFonts w:ascii="Times New Roman" w:cs="Times New Roman" w:eastAsia="Times New Roman" w:hAnsi="Times New Roman"/>
          <w:sz w:val="19"/>
          <w:szCs w:val="19"/>
          <w:color w:val="131413"/>
        </w:rPr>
        <w:t xml:space="preserve">; Duran et al. </w:t>
      </w:r>
      <w:hyperlink w:anchor="page18">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131413"/>
        </w:rPr>
        <w:t xml:space="preserve">; Jones and Jacobsen </w:t>
      </w:r>
      <w:hyperlink w:anchor="page18">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131413"/>
        </w:rPr>
        <w:t>), and therefore their mobility may have been more strongly regulated by microscale soil conditions than the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ions. The weaker and more inconsistent regressions for the lower fertility range data than for the full range data for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w:t>
      </w:r>
    </w:p>
    <w:p>
      <w:pPr>
        <w:sectPr>
          <w:pgSz w:w="10940" w:h="14740" w:orient="portrait"/>
          <w:cols w:equalWidth="0" w:num="2">
            <w:col w:w="4300" w:space="460"/>
            <w:col w:w="4300"/>
          </w:cols>
          <w:pgMar w:left="940" w:top="649" w:right="942" w:bottom="893" w:gutter="0" w:footer="0" w:header="0"/>
          <w:type w:val="continuous"/>
        </w:sectPr>
      </w:pPr>
    </w:p>
    <w:bookmarkStart w:id="12" w:name="page13"/>
    <w:bookmarkEnd w:id="12"/>
    <w:p>
      <w:pPr>
        <w:ind w:left="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131413" strokeweight="1pt"/>
            </w:pict>
          </mc:Fallback>
        </mc:AlternateContent>
      </w:r>
    </w:p>
    <w:p>
      <w:pPr>
        <w:sectPr>
          <w:pgSz w:w="10940" w:h="14740" w:orient="portrait"/>
          <w:cols w:equalWidth="0" w:num="1">
            <w:col w:w="9080"/>
          </w:cols>
          <w:pgMar w:left="920" w:top="649" w:right="942" w:bottom="1440" w:gutter="0" w:footer="0" w:header="0"/>
        </w:sectPr>
      </w:pPr>
    </w:p>
    <w:p>
      <w:pPr>
        <w:spacing w:after="0" w:line="259" w:lineRule="exact"/>
        <w:rPr>
          <w:sz w:val="20"/>
          <w:szCs w:val="20"/>
          <w:color w:val="auto"/>
        </w:rPr>
      </w:pPr>
    </w:p>
    <w:p>
      <w:pPr>
        <w:jc w:val="both"/>
        <w:ind w:left="20"/>
        <w:spacing w:after="0" w:line="259" w:lineRule="auto"/>
        <w:rPr>
          <w:sz w:val="20"/>
          <w:szCs w:val="20"/>
          <w:color w:val="auto"/>
        </w:rPr>
      </w:pPr>
      <w:r>
        <w:rPr>
          <w:rFonts w:ascii="Times New Roman" w:cs="Times New Roman" w:eastAsia="Times New Roman" w:hAnsi="Times New Roman"/>
          <w:sz w:val="16"/>
          <w:szCs w:val="16"/>
          <w:color w:val="131413"/>
        </w:rPr>
        <w:t>Table 2 Foliar N and P concentrations, and N:P ratios for the seven principal vascular plant species in the control, low level nitrogen addition (LN), high level nitrogen addition (HN), low level phosphorus addition (LP), and high level phosphorus addi-tion (HP) plots; as well as individual fertilization effects on foliar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41910</wp:posOffset>
                </wp:positionV>
                <wp:extent cx="576643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3pt" to="454.3pt,3.3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5763260</wp:posOffset>
                </wp:positionH>
                <wp:positionV relativeFrom="paragraph">
                  <wp:posOffset>41910</wp:posOffset>
                </wp:positionV>
                <wp:extent cx="127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8pt,3.3pt" to="454.8pt,3.3pt" o:allowincell="f" strokecolor="#131413" strokeweight="0.5669pt"/>
            </w:pict>
          </mc:Fallback>
        </mc:AlternateContent>
      </w:r>
    </w:p>
    <w:p>
      <w:pPr>
        <w:spacing w:after="0" w:line="20" w:lineRule="exact"/>
        <w:rPr>
          <w:sz w:val="20"/>
          <w:szCs w:val="20"/>
          <w:color w:val="auto"/>
        </w:rPr>
      </w:pPr>
      <w:r>
        <w:rPr>
          <w:sz w:val="20"/>
          <w:szCs w:val="20"/>
          <w:color w:val="auto"/>
        </w:rPr>
        <w:br w:type="column"/>
      </w:r>
    </w:p>
    <w:p>
      <w:pPr>
        <w:spacing w:after="0" w:line="24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7"/>
          <w:szCs w:val="17"/>
          <w:color w:val="131413"/>
        </w:rPr>
        <w:t>N and P concentrations, and N:P ratios, in mesic birch hummock tundra vegetation after 12 years of experimental manipulations (except for the LP treatment which was established four years before the 2016 sampling)</w:t>
      </w:r>
    </w:p>
    <w:p>
      <w:pPr>
        <w:spacing w:after="0" w:line="382" w:lineRule="exact"/>
        <w:rPr>
          <w:sz w:val="20"/>
          <w:szCs w:val="20"/>
          <w:color w:val="auto"/>
        </w:rPr>
      </w:pPr>
    </w:p>
    <w:p>
      <w:pPr>
        <w:sectPr>
          <w:pgSz w:w="10940" w:h="14740" w:orient="portrait"/>
          <w:cols w:equalWidth="0" w:num="2">
            <w:col w:w="4320" w:space="460"/>
            <w:col w:w="4300"/>
          </w:cols>
          <w:pgMar w:left="920" w:top="649" w:right="942" w:bottom="1440" w:gutter="0" w:footer="0" w:header="0"/>
          <w:type w:val="continuous"/>
        </w:sectPr>
      </w:pPr>
    </w:p>
    <w:tbl>
      <w:tblPr>
        <w:tblLayout w:type="fixed"/>
        <w:tblInd w:w="0" w:type="dxa"/>
        <w:tblCellMar>
          <w:top w:w="0" w:type="dxa"/>
          <w:left w:w="0" w:type="dxa"/>
          <w:bottom w:w="0" w:type="dxa"/>
          <w:right w:w="0" w:type="dxa"/>
        </w:tblCellMar>
      </w:tblPr>
      <w:tr>
        <w:trPr>
          <w:trHeight w:val="195"/>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Species</w:t>
            </w: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320" w:type="dxa"/>
            <w:vAlign w:val="bottom"/>
            <w:gridSpan w:val="3"/>
          </w:tcPr>
          <w:p>
            <w:pPr>
              <w:spacing w:after="0"/>
              <w:rPr>
                <w:sz w:val="20"/>
                <w:szCs w:val="20"/>
                <w:color w:val="auto"/>
              </w:rPr>
            </w:pPr>
            <w:r>
              <w:rPr>
                <w:rFonts w:ascii="Times New Roman" w:cs="Times New Roman" w:eastAsia="Times New Roman" w:hAnsi="Times New Roman"/>
                <w:sz w:val="17"/>
                <w:szCs w:val="17"/>
                <w:color w:val="131413"/>
              </w:rPr>
              <w:t>Nutrient concentration (%)</w:t>
            </w:r>
          </w:p>
        </w:tc>
        <w:tc>
          <w:tcPr>
            <w:tcW w:w="92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420" w:type="dxa"/>
            <w:vAlign w:val="bottom"/>
            <w:gridSpan w:val="3"/>
          </w:tcPr>
          <w:p>
            <w:pPr>
              <w:spacing w:after="0"/>
              <w:rPr>
                <w:sz w:val="20"/>
                <w:szCs w:val="20"/>
                <w:color w:val="auto"/>
              </w:rPr>
            </w:pPr>
            <w:r>
              <w:rPr>
                <w:rFonts w:ascii="Times New Roman" w:cs="Times New Roman" w:eastAsia="Times New Roman" w:hAnsi="Times New Roman"/>
                <w:sz w:val="17"/>
                <w:szCs w:val="17"/>
                <w:color w:val="131413"/>
              </w:rPr>
              <w:t>Fertilization effect</w:t>
            </w: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5"/>
        </w:trPr>
        <w:tc>
          <w:tcPr>
            <w:tcW w:w="20" w:type="dxa"/>
            <w:vAlign w:val="bottom"/>
          </w:tcPr>
          <w:p>
            <w:pPr>
              <w:spacing w:after="0"/>
              <w:rPr>
                <w:sz w:val="9"/>
                <w:szCs w:val="9"/>
                <w:color w:val="auto"/>
              </w:rPr>
            </w:pPr>
          </w:p>
        </w:tc>
        <w:tc>
          <w:tcPr>
            <w:tcW w:w="1620" w:type="dxa"/>
            <w:vAlign w:val="bottom"/>
            <w:tcBorders>
              <w:bottom w:val="single" w:sz="8" w:color="131413"/>
            </w:tcBorders>
          </w:tcPr>
          <w:p>
            <w:pPr>
              <w:spacing w:after="0"/>
              <w:rPr>
                <w:sz w:val="9"/>
                <w:szCs w:val="9"/>
                <w:color w:val="auto"/>
              </w:rPr>
            </w:pPr>
          </w:p>
        </w:tc>
        <w:tc>
          <w:tcPr>
            <w:tcW w:w="320" w:type="dxa"/>
            <w:vAlign w:val="bottom"/>
            <w:tcBorders>
              <w:bottom w:val="single" w:sz="8" w:color="131413"/>
            </w:tcBorders>
          </w:tcPr>
          <w:p>
            <w:pPr>
              <w:spacing w:after="0"/>
              <w:rPr>
                <w:sz w:val="9"/>
                <w:szCs w:val="9"/>
                <w:color w:val="auto"/>
              </w:rPr>
            </w:pPr>
          </w:p>
        </w:tc>
        <w:tc>
          <w:tcPr>
            <w:tcW w:w="120" w:type="dxa"/>
            <w:vAlign w:val="bottom"/>
          </w:tcPr>
          <w:p>
            <w:pPr>
              <w:spacing w:after="0"/>
              <w:rPr>
                <w:sz w:val="9"/>
                <w:szCs w:val="9"/>
                <w:color w:val="auto"/>
              </w:rPr>
            </w:pPr>
          </w:p>
        </w:tc>
        <w:tc>
          <w:tcPr>
            <w:tcW w:w="680" w:type="dxa"/>
            <w:vAlign w:val="bottom"/>
            <w:tcBorders>
              <w:bottom w:val="single" w:sz="8" w:color="131413"/>
            </w:tcBorders>
          </w:tcPr>
          <w:p>
            <w:pPr>
              <w:spacing w:after="0"/>
              <w:rPr>
                <w:sz w:val="9"/>
                <w:szCs w:val="9"/>
                <w:color w:val="auto"/>
              </w:rPr>
            </w:pPr>
          </w:p>
        </w:tc>
        <w:tc>
          <w:tcPr>
            <w:tcW w:w="820" w:type="dxa"/>
            <w:vAlign w:val="bottom"/>
            <w:tcBorders>
              <w:bottom w:val="single" w:sz="8" w:color="131413"/>
            </w:tcBorders>
          </w:tcPr>
          <w:p>
            <w:pPr>
              <w:spacing w:after="0"/>
              <w:rPr>
                <w:sz w:val="9"/>
                <w:szCs w:val="9"/>
                <w:color w:val="auto"/>
              </w:rPr>
            </w:pPr>
          </w:p>
        </w:tc>
        <w:tc>
          <w:tcPr>
            <w:tcW w:w="820" w:type="dxa"/>
            <w:vAlign w:val="bottom"/>
            <w:tcBorders>
              <w:bottom w:val="single" w:sz="8" w:color="131413"/>
            </w:tcBorders>
          </w:tcPr>
          <w:p>
            <w:pPr>
              <w:spacing w:after="0"/>
              <w:rPr>
                <w:sz w:val="9"/>
                <w:szCs w:val="9"/>
                <w:color w:val="auto"/>
              </w:rPr>
            </w:pPr>
          </w:p>
        </w:tc>
        <w:tc>
          <w:tcPr>
            <w:tcW w:w="920" w:type="dxa"/>
            <w:vAlign w:val="bottom"/>
            <w:tcBorders>
              <w:bottom w:val="single" w:sz="8" w:color="131413"/>
            </w:tcBorders>
          </w:tcPr>
          <w:p>
            <w:pPr>
              <w:spacing w:after="0"/>
              <w:rPr>
                <w:sz w:val="9"/>
                <w:szCs w:val="9"/>
                <w:color w:val="auto"/>
              </w:rPr>
            </w:pPr>
          </w:p>
        </w:tc>
        <w:tc>
          <w:tcPr>
            <w:tcW w:w="700" w:type="dxa"/>
            <w:vAlign w:val="bottom"/>
            <w:tcBorders>
              <w:bottom w:val="single" w:sz="8" w:color="131413"/>
            </w:tcBorders>
          </w:tcPr>
          <w:p>
            <w:pPr>
              <w:spacing w:after="0"/>
              <w:rPr>
                <w:sz w:val="9"/>
                <w:szCs w:val="9"/>
                <w:color w:val="auto"/>
              </w:rPr>
            </w:pPr>
          </w:p>
        </w:tc>
        <w:tc>
          <w:tcPr>
            <w:tcW w:w="120" w:type="dxa"/>
            <w:vAlign w:val="bottom"/>
          </w:tcPr>
          <w:p>
            <w:pPr>
              <w:spacing w:after="0"/>
              <w:rPr>
                <w:sz w:val="9"/>
                <w:szCs w:val="9"/>
                <w:color w:val="auto"/>
              </w:rPr>
            </w:pPr>
          </w:p>
        </w:tc>
        <w:tc>
          <w:tcPr>
            <w:tcW w:w="320" w:type="dxa"/>
            <w:vAlign w:val="bottom"/>
            <w:tcBorders>
              <w:bottom w:val="single" w:sz="8" w:color="131413"/>
            </w:tcBorders>
          </w:tcPr>
          <w:p>
            <w:pPr>
              <w:spacing w:after="0"/>
              <w:rPr>
                <w:sz w:val="9"/>
                <w:szCs w:val="9"/>
                <w:color w:val="auto"/>
              </w:rPr>
            </w:pPr>
          </w:p>
        </w:tc>
        <w:tc>
          <w:tcPr>
            <w:tcW w:w="340" w:type="dxa"/>
            <w:vAlign w:val="bottom"/>
            <w:tcBorders>
              <w:bottom w:val="single" w:sz="8" w:color="131413"/>
            </w:tcBorders>
          </w:tcPr>
          <w:p>
            <w:pPr>
              <w:spacing w:after="0"/>
              <w:rPr>
                <w:sz w:val="9"/>
                <w:szCs w:val="9"/>
                <w:color w:val="auto"/>
              </w:rPr>
            </w:pPr>
          </w:p>
        </w:tc>
        <w:tc>
          <w:tcPr>
            <w:tcW w:w="760" w:type="dxa"/>
            <w:vAlign w:val="bottom"/>
            <w:tcBorders>
              <w:bottom w:val="single" w:sz="8" w:color="131413"/>
            </w:tcBorders>
          </w:tcPr>
          <w:p>
            <w:pPr>
              <w:spacing w:after="0"/>
              <w:rPr>
                <w:sz w:val="9"/>
                <w:szCs w:val="9"/>
                <w:color w:val="auto"/>
              </w:rPr>
            </w:pPr>
          </w:p>
        </w:tc>
        <w:tc>
          <w:tcPr>
            <w:tcW w:w="400" w:type="dxa"/>
            <w:vAlign w:val="bottom"/>
            <w:tcBorders>
              <w:bottom w:val="single" w:sz="8" w:color="131413"/>
            </w:tcBorders>
          </w:tcPr>
          <w:p>
            <w:pPr>
              <w:spacing w:after="0"/>
              <w:rPr>
                <w:sz w:val="9"/>
                <w:szCs w:val="9"/>
                <w:color w:val="auto"/>
              </w:rPr>
            </w:pPr>
          </w:p>
        </w:tc>
        <w:tc>
          <w:tcPr>
            <w:tcW w:w="320" w:type="dxa"/>
            <w:vAlign w:val="bottom"/>
            <w:tcBorders>
              <w:bottom w:val="single" w:sz="8" w:color="131413"/>
            </w:tcBorders>
          </w:tcPr>
          <w:p>
            <w:pPr>
              <w:spacing w:after="0"/>
              <w:rPr>
                <w:sz w:val="9"/>
                <w:szCs w:val="9"/>
                <w:color w:val="auto"/>
              </w:rPr>
            </w:pPr>
          </w:p>
        </w:tc>
        <w:tc>
          <w:tcPr>
            <w:tcW w:w="800" w:type="dxa"/>
            <w:vAlign w:val="bottom"/>
            <w:tcBorders>
              <w:bottom w:val="single" w:sz="8" w:color="131413"/>
            </w:tcBorders>
          </w:tcPr>
          <w:p>
            <w:pPr>
              <w:spacing w:after="0"/>
              <w:rPr>
                <w:sz w:val="9"/>
                <w:szCs w:val="9"/>
                <w:color w:val="auto"/>
              </w:rPr>
            </w:pPr>
          </w:p>
        </w:tc>
        <w:tc>
          <w:tcPr>
            <w:tcW w:w="0" w:type="dxa"/>
            <w:vAlign w:val="bottom"/>
          </w:tcPr>
          <w:p>
            <w:pPr>
              <w:spacing w:after="0"/>
              <w:rPr>
                <w:sz w:val="1"/>
                <w:szCs w:val="1"/>
                <w:color w:val="auto"/>
              </w:rPr>
            </w:pPr>
          </w:p>
        </w:tc>
      </w:tr>
      <w:tr>
        <w:trPr>
          <w:trHeight w:val="279"/>
        </w:trPr>
        <w:tc>
          <w:tcPr>
            <w:tcW w:w="2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Control</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LN</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LP</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HN</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HP</w:t>
            </w:r>
          </w:p>
        </w:tc>
        <w:tc>
          <w:tcPr>
            <w:tcW w:w="120" w:type="dxa"/>
            <w:vAlign w:val="bottom"/>
          </w:tcPr>
          <w:p>
            <w:pPr>
              <w:spacing w:after="0"/>
              <w:rPr>
                <w:sz w:val="24"/>
                <w:szCs w:val="24"/>
                <w:color w:val="auto"/>
              </w:rPr>
            </w:pPr>
          </w:p>
        </w:tc>
        <w:tc>
          <w:tcPr>
            <w:tcW w:w="320" w:type="dxa"/>
            <w:vAlign w:val="bottom"/>
          </w:tcPr>
          <w:p>
            <w:pPr>
              <w:spacing w:after="0"/>
              <w:rPr>
                <w:sz w:val="20"/>
                <w:szCs w:val="20"/>
                <w:color w:val="auto"/>
              </w:rPr>
            </w:pPr>
            <w:r>
              <w:rPr>
                <w:rFonts w:ascii="Times New Roman" w:cs="Times New Roman" w:eastAsia="Times New Roman" w:hAnsi="Times New Roman"/>
                <w:sz w:val="17"/>
                <w:szCs w:val="17"/>
                <w:color w:val="131413"/>
              </w:rPr>
              <w:t>LN</w:t>
            </w:r>
          </w:p>
        </w:tc>
        <w:tc>
          <w:tcPr>
            <w:tcW w:w="340" w:type="dxa"/>
            <w:vAlign w:val="bottom"/>
          </w:tcPr>
          <w:p>
            <w:pPr>
              <w:spacing w:after="0"/>
              <w:rPr>
                <w:sz w:val="24"/>
                <w:szCs w:val="24"/>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LP</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HN</w:t>
            </w:r>
          </w:p>
        </w:tc>
        <w:tc>
          <w:tcPr>
            <w:tcW w:w="320" w:type="dxa"/>
            <w:vAlign w:val="bottom"/>
          </w:tcPr>
          <w:p>
            <w:pPr>
              <w:spacing w:after="0"/>
              <w:rPr>
                <w:sz w:val="24"/>
                <w:szCs w:val="24"/>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HP</w:t>
            </w:r>
          </w:p>
        </w:tc>
        <w:tc>
          <w:tcPr>
            <w:tcW w:w="0" w:type="dxa"/>
            <w:vAlign w:val="bottom"/>
          </w:tcPr>
          <w:p>
            <w:pPr>
              <w:spacing w:after="0"/>
              <w:rPr>
                <w:sz w:val="1"/>
                <w:szCs w:val="1"/>
                <w:color w:val="auto"/>
              </w:rPr>
            </w:pPr>
          </w:p>
        </w:tc>
      </w:tr>
      <w:tr>
        <w:trPr>
          <w:trHeight w:val="117"/>
        </w:trPr>
        <w:tc>
          <w:tcPr>
            <w:tcW w:w="1640" w:type="dxa"/>
            <w:vAlign w:val="bottom"/>
            <w:tcBorders>
              <w:bottom w:val="single" w:sz="8" w:color="131413"/>
            </w:tcBorders>
            <w:gridSpan w:val="2"/>
          </w:tcPr>
          <w:p>
            <w:pPr>
              <w:spacing w:after="0"/>
              <w:rPr>
                <w:sz w:val="10"/>
                <w:szCs w:val="10"/>
                <w:color w:val="auto"/>
              </w:rPr>
            </w:pPr>
          </w:p>
        </w:tc>
        <w:tc>
          <w:tcPr>
            <w:tcW w:w="440" w:type="dxa"/>
            <w:vAlign w:val="bottom"/>
            <w:tcBorders>
              <w:bottom w:val="single" w:sz="8" w:color="131413"/>
            </w:tcBorders>
            <w:gridSpan w:val="2"/>
          </w:tcPr>
          <w:p>
            <w:pPr>
              <w:spacing w:after="0"/>
              <w:rPr>
                <w:sz w:val="10"/>
                <w:szCs w:val="10"/>
                <w:color w:val="auto"/>
              </w:rPr>
            </w:pPr>
          </w:p>
        </w:tc>
        <w:tc>
          <w:tcPr>
            <w:tcW w:w="680" w:type="dxa"/>
            <w:vAlign w:val="bottom"/>
            <w:tcBorders>
              <w:bottom w:val="single" w:sz="8" w:color="131413"/>
            </w:tcBorders>
          </w:tcPr>
          <w:p>
            <w:pPr>
              <w:spacing w:after="0"/>
              <w:rPr>
                <w:sz w:val="10"/>
                <w:szCs w:val="10"/>
                <w:color w:val="auto"/>
              </w:rPr>
            </w:pPr>
          </w:p>
        </w:tc>
        <w:tc>
          <w:tcPr>
            <w:tcW w:w="820" w:type="dxa"/>
            <w:vAlign w:val="bottom"/>
            <w:tcBorders>
              <w:bottom w:val="single" w:sz="8" w:color="131413"/>
            </w:tcBorders>
          </w:tcPr>
          <w:p>
            <w:pPr>
              <w:spacing w:after="0"/>
              <w:rPr>
                <w:sz w:val="10"/>
                <w:szCs w:val="10"/>
                <w:color w:val="auto"/>
              </w:rPr>
            </w:pPr>
          </w:p>
        </w:tc>
        <w:tc>
          <w:tcPr>
            <w:tcW w:w="820" w:type="dxa"/>
            <w:vAlign w:val="bottom"/>
            <w:tcBorders>
              <w:bottom w:val="single" w:sz="8" w:color="131413"/>
            </w:tcBorders>
          </w:tcPr>
          <w:p>
            <w:pPr>
              <w:spacing w:after="0"/>
              <w:rPr>
                <w:sz w:val="10"/>
                <w:szCs w:val="10"/>
                <w:color w:val="auto"/>
              </w:rPr>
            </w:pPr>
          </w:p>
        </w:tc>
        <w:tc>
          <w:tcPr>
            <w:tcW w:w="920" w:type="dxa"/>
            <w:vAlign w:val="bottom"/>
            <w:tcBorders>
              <w:bottom w:val="single" w:sz="8" w:color="131413"/>
            </w:tcBorders>
          </w:tcPr>
          <w:p>
            <w:pPr>
              <w:spacing w:after="0"/>
              <w:rPr>
                <w:sz w:val="10"/>
                <w:szCs w:val="10"/>
                <w:color w:val="auto"/>
              </w:rPr>
            </w:pPr>
          </w:p>
        </w:tc>
        <w:tc>
          <w:tcPr>
            <w:tcW w:w="700" w:type="dxa"/>
            <w:vAlign w:val="bottom"/>
            <w:tcBorders>
              <w:bottom w:val="single" w:sz="8" w:color="131413"/>
            </w:tcBorders>
          </w:tcPr>
          <w:p>
            <w:pPr>
              <w:spacing w:after="0"/>
              <w:rPr>
                <w:sz w:val="10"/>
                <w:szCs w:val="10"/>
                <w:color w:val="auto"/>
              </w:rPr>
            </w:pPr>
          </w:p>
        </w:tc>
        <w:tc>
          <w:tcPr>
            <w:tcW w:w="780" w:type="dxa"/>
            <w:vAlign w:val="bottom"/>
            <w:tcBorders>
              <w:bottom w:val="single" w:sz="8" w:color="131413"/>
            </w:tcBorders>
            <w:gridSpan w:val="3"/>
          </w:tcPr>
          <w:p>
            <w:pPr>
              <w:spacing w:after="0"/>
              <w:rPr>
                <w:sz w:val="10"/>
                <w:szCs w:val="10"/>
                <w:color w:val="auto"/>
              </w:rPr>
            </w:pPr>
          </w:p>
        </w:tc>
        <w:tc>
          <w:tcPr>
            <w:tcW w:w="760" w:type="dxa"/>
            <w:vAlign w:val="bottom"/>
            <w:tcBorders>
              <w:bottom w:val="single" w:sz="8" w:color="131413"/>
            </w:tcBorders>
          </w:tcPr>
          <w:p>
            <w:pPr>
              <w:spacing w:after="0"/>
              <w:rPr>
                <w:sz w:val="10"/>
                <w:szCs w:val="10"/>
                <w:color w:val="auto"/>
              </w:rPr>
            </w:pPr>
          </w:p>
        </w:tc>
        <w:tc>
          <w:tcPr>
            <w:tcW w:w="720" w:type="dxa"/>
            <w:vAlign w:val="bottom"/>
            <w:tcBorders>
              <w:bottom w:val="single" w:sz="8" w:color="131413"/>
            </w:tcBorders>
            <w:gridSpan w:val="2"/>
          </w:tcPr>
          <w:p>
            <w:pPr>
              <w:spacing w:after="0"/>
              <w:rPr>
                <w:sz w:val="10"/>
                <w:szCs w:val="10"/>
                <w:color w:val="auto"/>
              </w:rPr>
            </w:pPr>
          </w:p>
        </w:tc>
        <w:tc>
          <w:tcPr>
            <w:tcW w:w="800" w:type="dxa"/>
            <w:vAlign w:val="bottom"/>
            <w:tcBorders>
              <w:bottom w:val="single" w:sz="8" w:color="131413"/>
            </w:tcBorders>
          </w:tcPr>
          <w:p>
            <w:pPr>
              <w:spacing w:after="0"/>
              <w:rPr>
                <w:sz w:val="10"/>
                <w:szCs w:val="10"/>
                <w:color w:val="auto"/>
              </w:rPr>
            </w:pPr>
          </w:p>
        </w:tc>
        <w:tc>
          <w:tcPr>
            <w:tcW w:w="0" w:type="dxa"/>
            <w:vAlign w:val="bottom"/>
          </w:tcPr>
          <w:p>
            <w:pPr>
              <w:spacing w:after="0"/>
              <w:rPr>
                <w:sz w:val="1"/>
                <w:szCs w:val="1"/>
                <w:color w:val="auto"/>
              </w:rPr>
            </w:pPr>
          </w:p>
        </w:tc>
      </w:tr>
      <w:tr>
        <w:trPr>
          <w:trHeight w:val="295"/>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Betula glandulosa</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2.35</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2.32</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2.18</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5.35</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2.39</w:t>
            </w:r>
          </w:p>
        </w:tc>
        <w:tc>
          <w:tcPr>
            <w:tcW w:w="780" w:type="dxa"/>
            <w:vAlign w:val="bottom"/>
            <w:gridSpan w:val="3"/>
          </w:tcPr>
          <w:p>
            <w:pPr>
              <w:ind w:left="120"/>
              <w:spacing w:after="0"/>
              <w:rPr>
                <w:sz w:val="20"/>
                <w:szCs w:val="20"/>
                <w:color w:val="auto"/>
              </w:rPr>
            </w:pPr>
            <w:r>
              <w:rPr>
                <w:rFonts w:ascii="Times New Roman" w:cs="Times New Roman" w:eastAsia="Times New Roman" w:hAnsi="Times New Roman"/>
                <w:sz w:val="17"/>
                <w:szCs w:val="17"/>
                <w:color w:val="131413"/>
              </w:rPr>
              <w:t>-0.33</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-2.07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131413"/>
              </w:rPr>
              <w:t>23.40</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0.36</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(0.18)</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(0.26)</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(0.17)</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(0.41)</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(0.31)</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720" w:type="dxa"/>
            <w:vAlign w:val="bottom"/>
            <w:gridSpan w:val="2"/>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0.16</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0.13</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0.25</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0.24</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1.77</w:t>
            </w:r>
          </w:p>
        </w:tc>
        <w:tc>
          <w:tcPr>
            <w:tcW w:w="120" w:type="dxa"/>
            <w:vAlign w:val="bottom"/>
          </w:tcPr>
          <w:p>
            <w:pPr>
              <w:spacing w:after="0"/>
              <w:rPr>
                <w:sz w:val="17"/>
                <w:szCs w:val="17"/>
                <w:color w:val="auto"/>
              </w:rPr>
            </w:pPr>
          </w:p>
        </w:tc>
        <w:tc>
          <w:tcPr>
            <w:tcW w:w="660" w:type="dxa"/>
            <w:vAlign w:val="bottom"/>
            <w:gridSpan w:val="2"/>
          </w:tcPr>
          <w:p>
            <w:pPr>
              <w:spacing w:after="0"/>
              <w:rPr>
                <w:sz w:val="20"/>
                <w:szCs w:val="20"/>
                <w:color w:val="auto"/>
              </w:rPr>
            </w:pPr>
            <w:r>
              <w:rPr>
                <w:rFonts w:ascii="Times New Roman" w:cs="Times New Roman" w:eastAsia="Times New Roman" w:hAnsi="Times New Roman"/>
                <w:sz w:val="17"/>
                <w:szCs w:val="17"/>
                <w:color w:val="131413"/>
              </w:rPr>
              <w:t xml:space="preserve">-2.07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3.53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2.00</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14.56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(0.04)</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(0.07)</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(0.11)</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(0.31)</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15.24</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18.38</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9.23</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26.99</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1.38</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1.50</w:t>
            </w:r>
          </w:p>
        </w:tc>
        <w:tc>
          <w:tcPr>
            <w:tcW w:w="340" w:type="dxa"/>
            <w:vAlign w:val="bottom"/>
          </w:tcPr>
          <w:p>
            <w:pPr>
              <w:spacing w:after="0"/>
              <w:rPr>
                <w:sz w:val="18"/>
                <w:szCs w:val="18"/>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-3.64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3.06</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-9.64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(4.54)</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(4.56)</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(2.59)</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(11.23)</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(0.17)</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Vaccinium uliginosum</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1.84</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1.95</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1.59</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2.74 (0.12)</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1.89</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0.69</w:t>
            </w:r>
          </w:p>
        </w:tc>
        <w:tc>
          <w:tcPr>
            <w:tcW w:w="340" w:type="dxa"/>
            <w:vAlign w:val="bottom"/>
          </w:tcPr>
          <w:p>
            <w:pPr>
              <w:spacing w:after="0"/>
              <w:rPr>
                <w:sz w:val="18"/>
                <w:szCs w:val="18"/>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-1.27</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3.54</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0.31</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(0.42)</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(0.19)</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(0.39)</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(0.17)</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0.09</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0.08</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0.14</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0.11 (0.03)</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0.94</w:t>
            </w:r>
          </w:p>
        </w:tc>
        <w:tc>
          <w:tcPr>
            <w:tcW w:w="780" w:type="dxa"/>
            <w:vAlign w:val="bottom"/>
            <w:gridSpan w:val="3"/>
          </w:tcPr>
          <w:p>
            <w:pPr>
              <w:ind w:left="120"/>
              <w:spacing w:after="0"/>
              <w:rPr>
                <w:sz w:val="20"/>
                <w:szCs w:val="20"/>
                <w:color w:val="auto"/>
              </w:rPr>
            </w:pPr>
            <w:r>
              <w:rPr>
                <w:rFonts w:ascii="Times New Roman" w:cs="Times New Roman" w:eastAsia="Times New Roman" w:hAnsi="Times New Roman"/>
                <w:sz w:val="17"/>
                <w:szCs w:val="17"/>
                <w:color w:val="131413"/>
              </w:rPr>
              <w:t>-0.44</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4.32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1.31</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15.54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(0.03)</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(0.16)</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21.29</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24.10</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11.39</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26.96</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2.07</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0.99</w:t>
            </w:r>
          </w:p>
        </w:tc>
        <w:tc>
          <w:tcPr>
            <w:tcW w:w="340" w:type="dxa"/>
            <w:vAlign w:val="bottom"/>
          </w:tcPr>
          <w:p>
            <w:pPr>
              <w:spacing w:after="0"/>
              <w:rPr>
                <w:sz w:val="18"/>
                <w:szCs w:val="18"/>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-4.09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1.29</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-9.60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(5.99)</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(6.00)</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(3.50)</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(8.68)</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(0.44)</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4"/>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Rhododendron</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1.55</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1.70</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1.63</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2.52 (0.28)</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1.77</w:t>
            </w:r>
          </w:p>
        </w:tc>
        <w:tc>
          <w:tcPr>
            <w:tcW w:w="120" w:type="dxa"/>
            <w:vAlign w:val="bottom"/>
          </w:tcPr>
          <w:p>
            <w:pPr>
              <w:spacing w:after="0"/>
              <w:rPr>
                <w:sz w:val="17"/>
                <w:szCs w:val="17"/>
                <w:color w:val="auto"/>
              </w:rPr>
            </w:pPr>
          </w:p>
        </w:tc>
        <w:tc>
          <w:tcPr>
            <w:tcW w:w="660" w:type="dxa"/>
            <w:vAlign w:val="bottom"/>
            <w:gridSpan w:val="2"/>
          </w:tcPr>
          <w:p>
            <w:pPr>
              <w:spacing w:after="0"/>
              <w:rPr>
                <w:sz w:val="20"/>
                <w:szCs w:val="20"/>
                <w:color w:val="auto"/>
              </w:rPr>
            </w:pPr>
            <w:r>
              <w:rPr>
                <w:rFonts w:ascii="Times New Roman" w:cs="Times New Roman" w:eastAsia="Times New Roman" w:hAnsi="Times New Roman"/>
                <w:sz w:val="17"/>
                <w:szCs w:val="17"/>
                <w:color w:val="131413"/>
              </w:rPr>
              <w:t>W=22</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1.16</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9.23</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2.52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1620" w:type="dxa"/>
            <w:vAlign w:val="bottom"/>
          </w:tcPr>
          <w:p>
            <w:pPr>
              <w:ind w:left="160"/>
              <w:spacing w:after="0"/>
              <w:rPr>
                <w:sz w:val="20"/>
                <w:szCs w:val="20"/>
                <w:color w:val="auto"/>
              </w:rPr>
            </w:pPr>
            <w:r>
              <w:rPr>
                <w:rFonts w:ascii="Times New Roman" w:cs="Times New Roman" w:eastAsia="Times New Roman" w:hAnsi="Times New Roman"/>
                <w:sz w:val="17"/>
                <w:szCs w:val="17"/>
                <w:color w:val="131413"/>
              </w:rPr>
              <w:t>subarcticum</w:t>
            </w: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(0.17)</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(0.09)</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(0.17)</w:t>
            </w:r>
          </w:p>
        </w:tc>
        <w:tc>
          <w:tcPr>
            <w:tcW w:w="920" w:type="dxa"/>
            <w:vAlign w:val="bottom"/>
          </w:tcPr>
          <w:p>
            <w:pPr>
              <w:spacing w:after="0"/>
              <w:rPr>
                <w:sz w:val="18"/>
                <w:szCs w:val="18"/>
                <w:color w:val="auto"/>
              </w:rPr>
            </w:pP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(0.23)</w:t>
            </w:r>
          </w:p>
        </w:tc>
        <w:tc>
          <w:tcPr>
            <w:tcW w:w="120" w:type="dxa"/>
            <w:vAlign w:val="bottom"/>
          </w:tcPr>
          <w:p>
            <w:pPr>
              <w:spacing w:after="0"/>
              <w:rPr>
                <w:sz w:val="18"/>
                <w:szCs w:val="18"/>
                <w:color w:val="auto"/>
              </w:rPr>
            </w:pPr>
          </w:p>
        </w:tc>
        <w:tc>
          <w:tcPr>
            <w:tcW w:w="660" w:type="dxa"/>
            <w:vAlign w:val="bottom"/>
            <w:gridSpan w:val="2"/>
          </w:tcPr>
          <w:p>
            <w:pPr>
              <w:ind w:left="18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0.11</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0.11</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0.15</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0.15 (0.03)</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0.33</w:t>
            </w:r>
          </w:p>
        </w:tc>
        <w:tc>
          <w:tcPr>
            <w:tcW w:w="440" w:type="dxa"/>
            <w:vAlign w:val="bottom"/>
            <w:gridSpan w:val="2"/>
          </w:tcPr>
          <w:p>
            <w:pPr>
              <w:ind w:left="120"/>
              <w:spacing w:after="0" w:line="185" w:lineRule="exact"/>
              <w:rPr>
                <w:sz w:val="20"/>
                <w:szCs w:val="20"/>
                <w:color w:val="auto"/>
              </w:rPr>
            </w:pPr>
            <w:r>
              <w:rPr>
                <w:rFonts w:ascii="Times New Roman" w:cs="Times New Roman" w:eastAsia="Times New Roman" w:hAnsi="Times New Roman"/>
                <w:sz w:val="17"/>
                <w:szCs w:val="17"/>
                <w:color w:val="131413"/>
              </w:rPr>
              <w:t>1.09</w:t>
            </w:r>
          </w:p>
        </w:tc>
        <w:tc>
          <w:tcPr>
            <w:tcW w:w="340" w:type="dxa"/>
            <w:vAlign w:val="bottom"/>
          </w:tcPr>
          <w:p>
            <w:pPr>
              <w:spacing w:after="0"/>
              <w:rPr>
                <w:sz w:val="17"/>
                <w:szCs w:val="17"/>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7.32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3.90</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11.44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(0.06)</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14.26</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16.10</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11.20</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17.31</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5.52</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2.02</w:t>
            </w:r>
          </w:p>
        </w:tc>
        <w:tc>
          <w:tcPr>
            <w:tcW w:w="340" w:type="dxa"/>
            <w:vAlign w:val="bottom"/>
          </w:tcPr>
          <w:p>
            <w:pPr>
              <w:ind w:left="20"/>
              <w:spacing w:after="0"/>
              <w:rPr>
                <w:sz w:val="20"/>
                <w:szCs w:val="20"/>
                <w:color w:val="auto"/>
              </w:rPr>
            </w:pPr>
            <w:r>
              <w:rPr>
                <w:rFonts w:ascii="Arial" w:cs="Arial" w:eastAsia="Arial" w:hAnsi="Arial"/>
                <w:sz w:val="17"/>
                <w:szCs w:val="17"/>
                <w:color w:val="131413"/>
              </w:rPr>
              <w:t>↑†</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-3.87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3.26</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w w:val="94"/>
              </w:rPr>
              <w:t xml:space="preserve">-11.63 </w:t>
            </w:r>
            <w:r>
              <w:rPr>
                <w:rFonts w:ascii="Arial" w:cs="Arial" w:eastAsia="Arial" w:hAnsi="Arial"/>
                <w:sz w:val="17"/>
                <w:szCs w:val="17"/>
                <w:color w:val="131413"/>
                <w:w w:val="94"/>
              </w:rPr>
              <w:t>↓</w:t>
            </w:r>
            <w:r>
              <w:rPr>
                <w:rFonts w:ascii="Times New Roman" w:cs="Times New Roman" w:eastAsia="Times New Roman" w:hAnsi="Times New Roman"/>
                <w:sz w:val="17"/>
                <w:szCs w:val="17"/>
                <w:color w:val="131413"/>
                <w:w w:val="94"/>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(2.18)</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(1.76)</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(1.17)</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(1.89)</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(0.60)</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Vaccinium vitis-idaea</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0.80</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1.02</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0.82</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1.65 (0.31)</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1.19</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3.32</w:t>
            </w:r>
          </w:p>
        </w:tc>
        <w:tc>
          <w:tcPr>
            <w:tcW w:w="34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W=42</w:t>
            </w:r>
          </w:p>
        </w:tc>
        <w:tc>
          <w:tcPr>
            <w:tcW w:w="7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131413"/>
              </w:rPr>
              <w:t>W = 0</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7.59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98"/>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(0.09)</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(0.19)</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(0.04)</w:t>
            </w:r>
          </w:p>
        </w:tc>
        <w:tc>
          <w:tcPr>
            <w:tcW w:w="920" w:type="dxa"/>
            <w:vAlign w:val="bottom"/>
          </w:tcPr>
          <w:p>
            <w:pPr>
              <w:spacing w:after="0"/>
              <w:rPr>
                <w:sz w:val="17"/>
                <w:szCs w:val="17"/>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(0.12)</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720" w:type="dxa"/>
            <w:vAlign w:val="bottom"/>
            <w:gridSpan w:val="2"/>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0.07</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0.08</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0.14</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0.10 (0.01)</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0.28</w:t>
            </w:r>
          </w:p>
        </w:tc>
        <w:tc>
          <w:tcPr>
            <w:tcW w:w="440" w:type="dxa"/>
            <w:vAlign w:val="bottom"/>
            <w:gridSpan w:val="2"/>
          </w:tcPr>
          <w:p>
            <w:pPr>
              <w:ind w:left="120"/>
              <w:spacing w:after="0" w:line="185" w:lineRule="exact"/>
              <w:rPr>
                <w:sz w:val="20"/>
                <w:szCs w:val="20"/>
                <w:color w:val="auto"/>
              </w:rPr>
            </w:pPr>
            <w:r>
              <w:rPr>
                <w:rFonts w:ascii="Times New Roman" w:cs="Times New Roman" w:eastAsia="Times New Roman" w:hAnsi="Times New Roman"/>
                <w:sz w:val="17"/>
                <w:szCs w:val="17"/>
                <w:color w:val="131413"/>
              </w:rPr>
              <w:t>0.81</w:t>
            </w:r>
          </w:p>
        </w:tc>
        <w:tc>
          <w:tcPr>
            <w:tcW w:w="340" w:type="dxa"/>
            <w:vAlign w:val="bottom"/>
          </w:tcPr>
          <w:p>
            <w:pPr>
              <w:spacing w:after="0"/>
              <w:rPr>
                <w:sz w:val="17"/>
                <w:szCs w:val="17"/>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6.33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3.88</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14.12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(0.03)</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(0.04)</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10.94</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13.40</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6.13</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16.11</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4.25</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2.59</w:t>
            </w:r>
          </w:p>
        </w:tc>
        <w:tc>
          <w:tcPr>
            <w:tcW w:w="34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-9.25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2.91</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W=56</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ind w:left="180"/>
              <w:spacing w:after="0" w:line="185" w:lineRule="exact"/>
              <w:rPr>
                <w:sz w:val="20"/>
                <w:szCs w:val="20"/>
                <w:color w:val="auto"/>
              </w:rPr>
            </w:pPr>
            <w:r>
              <w:rPr>
                <w:rFonts w:ascii="Times New Roman" w:cs="Times New Roman" w:eastAsia="Times New Roman" w:hAnsi="Times New Roman"/>
                <w:sz w:val="17"/>
                <w:szCs w:val="17"/>
                <w:color w:val="131413"/>
              </w:rPr>
              <w:t>(0.93)</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(2.69)</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(1.14)</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(3.90)</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(0.65)</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256"/>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Andromeda polifolia</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1.09</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1.51</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1.04</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2.15 (0.07)</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1.45</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5.28</w:t>
            </w:r>
          </w:p>
        </w:tc>
        <w:tc>
          <w:tcPr>
            <w:tcW w:w="34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-1.04</w:t>
            </w:r>
          </w:p>
        </w:tc>
        <w:tc>
          <w:tcPr>
            <w:tcW w:w="7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131413"/>
              </w:rPr>
              <w:t>21.61</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3.58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(0.11)</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(0.21)</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(0.08)</w:t>
            </w:r>
          </w:p>
        </w:tc>
        <w:tc>
          <w:tcPr>
            <w:tcW w:w="920" w:type="dxa"/>
            <w:vAlign w:val="bottom"/>
          </w:tcPr>
          <w:p>
            <w:pPr>
              <w:spacing w:after="0"/>
              <w:rPr>
                <w:sz w:val="17"/>
                <w:szCs w:val="17"/>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(0.26)</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720" w:type="dxa"/>
            <w:vAlign w:val="bottom"/>
            <w:gridSpan w:val="2"/>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0.08</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0.09</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0.14</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0.11 (0.01)</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0.55</w:t>
            </w:r>
          </w:p>
        </w:tc>
        <w:tc>
          <w:tcPr>
            <w:tcW w:w="120" w:type="dxa"/>
            <w:vAlign w:val="bottom"/>
          </w:tcPr>
          <w:p>
            <w:pPr>
              <w:spacing w:after="0"/>
              <w:rPr>
                <w:sz w:val="17"/>
                <w:szCs w:val="17"/>
                <w:color w:val="auto"/>
              </w:rPr>
            </w:pPr>
          </w:p>
        </w:tc>
        <w:tc>
          <w:tcPr>
            <w:tcW w:w="660" w:type="dxa"/>
            <w:vAlign w:val="bottom"/>
            <w:gridSpan w:val="2"/>
          </w:tcPr>
          <w:p>
            <w:pPr>
              <w:spacing w:after="0" w:line="185" w:lineRule="exact"/>
              <w:rPr>
                <w:sz w:val="20"/>
                <w:szCs w:val="20"/>
                <w:color w:val="auto"/>
              </w:rPr>
            </w:pPr>
            <w:r>
              <w:rPr>
                <w:rFonts w:ascii="Times New Roman" w:cs="Times New Roman" w:eastAsia="Times New Roman" w:hAnsi="Times New Roman"/>
                <w:sz w:val="17"/>
                <w:szCs w:val="17"/>
                <w:color w:val="131413"/>
              </w:rPr>
              <w:t>W=18</w:t>
            </w:r>
          </w:p>
        </w:tc>
        <w:tc>
          <w:tcPr>
            <w:tcW w:w="760" w:type="dxa"/>
            <w:vAlign w:val="bottom"/>
          </w:tcPr>
          <w:p>
            <w:pPr>
              <w:ind w:left="60"/>
              <w:spacing w:after="0" w:line="185" w:lineRule="exact"/>
              <w:rPr>
                <w:sz w:val="20"/>
                <w:szCs w:val="20"/>
                <w:color w:val="auto"/>
              </w:rPr>
            </w:pPr>
            <w:r>
              <w:rPr>
                <w:rFonts w:ascii="Times New Roman" w:cs="Times New Roman" w:eastAsia="Times New Roman" w:hAnsi="Times New Roman"/>
                <w:sz w:val="17"/>
                <w:szCs w:val="17"/>
                <w:color w:val="131413"/>
              </w:rPr>
              <w:t>W = 4</w:t>
            </w:r>
          </w:p>
        </w:tc>
        <w:tc>
          <w:tcPr>
            <w:tcW w:w="720" w:type="dxa"/>
            <w:vAlign w:val="bottom"/>
            <w:gridSpan w:val="2"/>
          </w:tcPr>
          <w:p>
            <w:pPr>
              <w:ind w:left="80"/>
              <w:spacing w:after="0" w:line="185" w:lineRule="exact"/>
              <w:rPr>
                <w:sz w:val="20"/>
                <w:szCs w:val="20"/>
                <w:color w:val="auto"/>
              </w:rPr>
            </w:pPr>
            <w:r>
              <w:rPr>
                <w:rFonts w:ascii="Times New Roman" w:cs="Times New Roman" w:eastAsia="Times New Roman" w:hAnsi="Times New Roman"/>
                <w:sz w:val="17"/>
                <w:szCs w:val="17"/>
                <w:color w:val="131413"/>
              </w:rPr>
              <w:t>W = 4</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W=0</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(0.03)</w:t>
            </w:r>
          </w:p>
        </w:tc>
        <w:tc>
          <w:tcPr>
            <w:tcW w:w="920" w:type="dxa"/>
            <w:vAlign w:val="bottom"/>
          </w:tcPr>
          <w:p>
            <w:pPr>
              <w:spacing w:after="0"/>
              <w:rPr>
                <w:sz w:val="17"/>
                <w:szCs w:val="17"/>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(0.13)</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ind w:left="2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20" w:type="dxa"/>
            <w:vAlign w:val="bottom"/>
            <w:gridSpan w:val="2"/>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13.51</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16.68</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7.67</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19.14</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2.66</w:t>
            </w:r>
          </w:p>
        </w:tc>
        <w:tc>
          <w:tcPr>
            <w:tcW w:w="440" w:type="dxa"/>
            <w:vAlign w:val="bottom"/>
            <w:gridSpan w:val="2"/>
          </w:tcPr>
          <w:p>
            <w:pPr>
              <w:ind w:left="120"/>
              <w:spacing w:after="0" w:line="185" w:lineRule="exact"/>
              <w:rPr>
                <w:sz w:val="20"/>
                <w:szCs w:val="20"/>
                <w:color w:val="auto"/>
              </w:rPr>
            </w:pPr>
            <w:r>
              <w:rPr>
                <w:rFonts w:ascii="Times New Roman" w:cs="Times New Roman" w:eastAsia="Times New Roman" w:hAnsi="Times New Roman"/>
                <w:sz w:val="17"/>
                <w:szCs w:val="17"/>
                <w:color w:val="131413"/>
              </w:rPr>
              <w:t>2.53</w:t>
            </w:r>
          </w:p>
        </w:tc>
        <w:tc>
          <w:tcPr>
            <w:tcW w:w="34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760" w:type="dxa"/>
            <w:vAlign w:val="bottom"/>
          </w:tcPr>
          <w:p>
            <w:pPr>
              <w:ind w:left="60"/>
              <w:spacing w:after="0" w:line="185" w:lineRule="exact"/>
              <w:rPr>
                <w:sz w:val="20"/>
                <w:szCs w:val="20"/>
                <w:color w:val="auto"/>
              </w:rPr>
            </w:pPr>
            <w:r>
              <w:rPr>
                <w:rFonts w:ascii="Times New Roman" w:cs="Times New Roman" w:eastAsia="Times New Roman" w:hAnsi="Times New Roman"/>
                <w:sz w:val="17"/>
                <w:szCs w:val="17"/>
                <w:color w:val="131413"/>
              </w:rPr>
              <w:t>W=63</w:t>
            </w:r>
          </w:p>
        </w:tc>
        <w:tc>
          <w:tcPr>
            <w:tcW w:w="4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5.56</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w w:val="94"/>
              </w:rPr>
              <w:t xml:space="preserve">-14.84 </w:t>
            </w:r>
            <w:r>
              <w:rPr>
                <w:rFonts w:ascii="Arial" w:cs="Arial" w:eastAsia="Arial" w:hAnsi="Arial"/>
                <w:sz w:val="17"/>
                <w:szCs w:val="17"/>
                <w:color w:val="131413"/>
                <w:w w:val="94"/>
              </w:rPr>
              <w:t>↓</w:t>
            </w:r>
            <w:r>
              <w:rPr>
                <w:rFonts w:ascii="Times New Roman" w:cs="Times New Roman" w:eastAsia="Times New Roman" w:hAnsi="Times New Roman"/>
                <w:sz w:val="17"/>
                <w:szCs w:val="17"/>
                <w:color w:val="131413"/>
                <w:w w:val="94"/>
              </w:rPr>
              <w:t>**</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vMerge w:val="restart"/>
          </w:tcPr>
          <w:p>
            <w:pPr>
              <w:spacing w:after="0"/>
              <w:rPr>
                <w:sz w:val="20"/>
                <w:szCs w:val="20"/>
                <w:color w:val="auto"/>
              </w:rPr>
            </w:pPr>
            <w:r>
              <w:rPr>
                <w:rFonts w:ascii="Times New Roman" w:cs="Times New Roman" w:eastAsia="Times New Roman" w:hAnsi="Times New Roman"/>
                <w:sz w:val="17"/>
                <w:szCs w:val="17"/>
                <w:color w:val="131413"/>
              </w:rPr>
              <w:t>Rubus chamaemorus</w:t>
            </w: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(2.02)</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(2.92)</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(2.04)</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(1.65)</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(0.27)</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ind w:left="2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20" w:type="dxa"/>
            <w:vAlign w:val="bottom"/>
          </w:tcPr>
          <w:p>
            <w:pPr>
              <w:spacing w:after="0"/>
              <w:rPr>
                <w:sz w:val="17"/>
                <w:szCs w:val="17"/>
                <w:color w:val="auto"/>
              </w:rPr>
            </w:pPr>
          </w:p>
        </w:tc>
        <w:tc>
          <w:tcPr>
            <w:tcW w:w="1620" w:type="dxa"/>
            <w:vAlign w:val="bottom"/>
            <w:vMerge w:val="continue"/>
          </w:tcPr>
          <w:p>
            <w:pPr>
              <w:spacing w:after="0"/>
              <w:rPr>
                <w:sz w:val="17"/>
                <w:szCs w:val="17"/>
                <w:color w:val="auto"/>
              </w:rPr>
            </w:pPr>
          </w:p>
        </w:tc>
        <w:tc>
          <w:tcPr>
            <w:tcW w:w="440" w:type="dxa"/>
            <w:vAlign w:val="bottom"/>
            <w:gridSpan w:val="2"/>
          </w:tcPr>
          <w:p>
            <w:pPr>
              <w:ind w:left="60"/>
              <w:spacing w:after="0" w:line="185" w:lineRule="exact"/>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2.17</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2.09</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2.15</w:t>
            </w:r>
          </w:p>
        </w:tc>
        <w:tc>
          <w:tcPr>
            <w:tcW w:w="9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2.57 (0.33)</w:t>
            </w: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2.09</w:t>
            </w:r>
          </w:p>
        </w:tc>
        <w:tc>
          <w:tcPr>
            <w:tcW w:w="780" w:type="dxa"/>
            <w:vAlign w:val="bottom"/>
            <w:gridSpan w:val="3"/>
          </w:tcPr>
          <w:p>
            <w:pPr>
              <w:ind w:left="120"/>
              <w:spacing w:after="0" w:line="185" w:lineRule="exact"/>
              <w:rPr>
                <w:sz w:val="20"/>
                <w:szCs w:val="20"/>
                <w:color w:val="auto"/>
              </w:rPr>
            </w:pPr>
            <w:r>
              <w:rPr>
                <w:rFonts w:ascii="Times New Roman" w:cs="Times New Roman" w:eastAsia="Times New Roman" w:hAnsi="Times New Roman"/>
                <w:sz w:val="17"/>
                <w:szCs w:val="17"/>
                <w:color w:val="131413"/>
              </w:rPr>
              <w:t>-1.03</w:t>
            </w:r>
          </w:p>
        </w:tc>
        <w:tc>
          <w:tcPr>
            <w:tcW w:w="760" w:type="dxa"/>
            <w:vAlign w:val="bottom"/>
          </w:tcPr>
          <w:p>
            <w:pPr>
              <w:ind w:left="60"/>
              <w:spacing w:after="0" w:line="185" w:lineRule="exact"/>
              <w:rPr>
                <w:sz w:val="20"/>
                <w:szCs w:val="20"/>
                <w:color w:val="auto"/>
              </w:rPr>
            </w:pPr>
            <w:r>
              <w:rPr>
                <w:rFonts w:ascii="Times New Roman" w:cs="Times New Roman" w:eastAsia="Times New Roman" w:hAnsi="Times New Roman"/>
                <w:sz w:val="17"/>
                <w:szCs w:val="17"/>
                <w:color w:val="131413"/>
              </w:rPr>
              <w:t>-0.26</w:t>
            </w:r>
          </w:p>
        </w:tc>
        <w:tc>
          <w:tcPr>
            <w:tcW w:w="4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3.45</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-1.09</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(0.16)</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(0.14)</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(0.16)</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(0.18)</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0.12</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0.13</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0.15</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0.14 (0.04)</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1.11</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0.51</w:t>
            </w:r>
          </w:p>
        </w:tc>
        <w:tc>
          <w:tcPr>
            <w:tcW w:w="340" w:type="dxa"/>
            <w:vAlign w:val="bottom"/>
          </w:tcPr>
          <w:p>
            <w:pPr>
              <w:spacing w:after="0"/>
              <w:rPr>
                <w:sz w:val="18"/>
                <w:szCs w:val="18"/>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3.46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1.04</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8.72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(0.03)</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(0.02)</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(0.36)</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18.16</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17.18</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14.16</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19.85</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2.20</w:t>
            </w:r>
          </w:p>
        </w:tc>
        <w:tc>
          <w:tcPr>
            <w:tcW w:w="780" w:type="dxa"/>
            <w:vAlign w:val="bottom"/>
            <w:gridSpan w:val="3"/>
          </w:tcPr>
          <w:p>
            <w:pPr>
              <w:ind w:left="120"/>
              <w:spacing w:after="0"/>
              <w:rPr>
                <w:sz w:val="20"/>
                <w:szCs w:val="20"/>
                <w:color w:val="auto"/>
              </w:rPr>
            </w:pPr>
            <w:r>
              <w:rPr>
                <w:rFonts w:ascii="Times New Roman" w:cs="Times New Roman" w:eastAsia="Times New Roman" w:hAnsi="Times New Roman"/>
                <w:sz w:val="17"/>
                <w:szCs w:val="17"/>
                <w:color w:val="131413"/>
              </w:rPr>
              <w:t>-0.58</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 xml:space="preserve">-3.95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1.18</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W=100</w:t>
            </w:r>
          </w:p>
        </w:tc>
        <w:tc>
          <w:tcPr>
            <w:tcW w:w="0" w:type="dxa"/>
            <w:vAlign w:val="bottom"/>
          </w:tcPr>
          <w:p>
            <w:pPr>
              <w:spacing w:after="0"/>
              <w:rPr>
                <w:sz w:val="1"/>
                <w:szCs w:val="1"/>
                <w:color w:val="auto"/>
              </w:rPr>
            </w:pPr>
          </w:p>
        </w:tc>
      </w:tr>
      <w:tr>
        <w:trPr>
          <w:trHeight w:val="200"/>
        </w:trPr>
        <w:tc>
          <w:tcPr>
            <w:tcW w:w="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(2.33)</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(4.47)</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(2.20)</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(3.89)</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(1.19)</w:t>
            </w: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ind w:left="24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256"/>
        </w:trPr>
        <w:tc>
          <w:tcPr>
            <w:tcW w:w="164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131413"/>
              </w:rPr>
              <w:t>Eriophorum vaginatum</w:t>
            </w: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1.82</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1.84</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1.80</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2.27 (0.20)</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1.81</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0.32</w:t>
            </w:r>
          </w:p>
        </w:tc>
        <w:tc>
          <w:tcPr>
            <w:tcW w:w="340" w:type="dxa"/>
            <w:vAlign w:val="bottom"/>
          </w:tcPr>
          <w:p>
            <w:pPr>
              <w:spacing w:after="0"/>
              <w:rPr>
                <w:sz w:val="22"/>
                <w:szCs w:val="22"/>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-0.30</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5.55</w:t>
            </w:r>
          </w:p>
        </w:tc>
        <w:tc>
          <w:tcPr>
            <w:tcW w:w="320" w:type="dxa"/>
            <w:vAlign w:val="bottom"/>
          </w:tcPr>
          <w:p>
            <w:pPr>
              <w:ind w:left="20"/>
              <w:spacing w:after="0"/>
              <w:rPr>
                <w:sz w:val="20"/>
                <w:szCs w:val="20"/>
                <w:color w:val="auto"/>
              </w:rPr>
            </w:pP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-0.19</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(0.13)</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(0.12)</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(0.11)</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(0.15)</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0.14</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0.14</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0.14</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0.14 (0.03)</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0.47</w:t>
            </w:r>
          </w:p>
        </w:tc>
        <w:tc>
          <w:tcPr>
            <w:tcW w:w="120" w:type="dxa"/>
            <w:vAlign w:val="bottom"/>
          </w:tcPr>
          <w:p>
            <w:pPr>
              <w:spacing w:after="0"/>
              <w:rPr>
                <w:sz w:val="18"/>
                <w:szCs w:val="18"/>
                <w:color w:val="auto"/>
              </w:rPr>
            </w:pPr>
          </w:p>
        </w:tc>
        <w:tc>
          <w:tcPr>
            <w:tcW w:w="660" w:type="dxa"/>
            <w:vAlign w:val="bottom"/>
            <w:gridSpan w:val="2"/>
          </w:tcPr>
          <w:p>
            <w:pPr>
              <w:spacing w:after="0"/>
              <w:rPr>
                <w:sz w:val="20"/>
                <w:szCs w:val="20"/>
                <w:color w:val="auto"/>
              </w:rPr>
            </w:pPr>
            <w:r>
              <w:rPr>
                <w:rFonts w:ascii="Times New Roman" w:cs="Times New Roman" w:eastAsia="Times New Roman" w:hAnsi="Times New Roman"/>
                <w:sz w:val="17"/>
                <w:szCs w:val="17"/>
                <w:color w:val="131413"/>
              </w:rPr>
              <w:t>W=59</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0.33</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0.18</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8.61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6"/>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(0.03)</w:t>
            </w:r>
          </w:p>
        </w:tc>
        <w:tc>
          <w:tcPr>
            <w:tcW w:w="820" w:type="dxa"/>
            <w:vAlign w:val="bottom"/>
          </w:tcPr>
          <w:p>
            <w:pPr>
              <w:ind w:left="140"/>
              <w:spacing w:after="0" w:line="185" w:lineRule="exact"/>
              <w:rPr>
                <w:sz w:val="20"/>
                <w:szCs w:val="20"/>
                <w:color w:val="auto"/>
              </w:rPr>
            </w:pPr>
            <w:r>
              <w:rPr>
                <w:rFonts w:ascii="Times New Roman" w:cs="Times New Roman" w:eastAsia="Times New Roman" w:hAnsi="Times New Roman"/>
                <w:sz w:val="17"/>
                <w:szCs w:val="17"/>
                <w:color w:val="131413"/>
              </w:rPr>
              <w:t>(0.04)</w:t>
            </w:r>
          </w:p>
        </w:tc>
        <w:tc>
          <w:tcPr>
            <w:tcW w:w="820" w:type="dxa"/>
            <w:vAlign w:val="bottom"/>
          </w:tcPr>
          <w:p>
            <w:pPr>
              <w:ind w:left="120"/>
              <w:spacing w:after="0" w:line="185" w:lineRule="exact"/>
              <w:rPr>
                <w:sz w:val="20"/>
                <w:szCs w:val="20"/>
                <w:color w:val="auto"/>
              </w:rPr>
            </w:pPr>
            <w:r>
              <w:rPr>
                <w:rFonts w:ascii="Times New Roman" w:cs="Times New Roman" w:eastAsia="Times New Roman" w:hAnsi="Times New Roman"/>
                <w:sz w:val="17"/>
                <w:szCs w:val="17"/>
                <w:color w:val="131413"/>
              </w:rPr>
              <w:t>(0.01)</w:t>
            </w:r>
          </w:p>
        </w:tc>
        <w:tc>
          <w:tcPr>
            <w:tcW w:w="920" w:type="dxa"/>
            <w:vAlign w:val="bottom"/>
          </w:tcPr>
          <w:p>
            <w:pPr>
              <w:spacing w:after="0"/>
              <w:rPr>
                <w:sz w:val="16"/>
                <w:szCs w:val="16"/>
                <w:color w:val="auto"/>
              </w:rPr>
            </w:pPr>
          </w:p>
        </w:tc>
        <w:tc>
          <w:tcPr>
            <w:tcW w:w="700" w:type="dxa"/>
            <w:vAlign w:val="bottom"/>
          </w:tcPr>
          <w:p>
            <w:pPr>
              <w:ind w:left="80"/>
              <w:spacing w:after="0" w:line="185" w:lineRule="exact"/>
              <w:rPr>
                <w:sz w:val="20"/>
                <w:szCs w:val="20"/>
                <w:color w:val="auto"/>
              </w:rPr>
            </w:pPr>
            <w:r>
              <w:rPr>
                <w:rFonts w:ascii="Times New Roman" w:cs="Times New Roman" w:eastAsia="Times New Roman" w:hAnsi="Times New Roman"/>
                <w:sz w:val="17"/>
                <w:szCs w:val="17"/>
                <w:color w:val="131413"/>
              </w:rPr>
              <w:t>(0.12)</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4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rPr>
              <w:t>N:P</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131413"/>
              </w:rPr>
              <w:t>13.66</w:t>
            </w:r>
          </w:p>
        </w:tc>
        <w:tc>
          <w:tcPr>
            <w:tcW w:w="820" w:type="dxa"/>
            <w:vAlign w:val="bottom"/>
          </w:tcPr>
          <w:p>
            <w:pPr>
              <w:ind w:left="140"/>
              <w:spacing w:after="0"/>
              <w:rPr>
                <w:sz w:val="20"/>
                <w:szCs w:val="20"/>
                <w:color w:val="auto"/>
              </w:rPr>
            </w:pPr>
            <w:r>
              <w:rPr>
                <w:rFonts w:ascii="Times New Roman" w:cs="Times New Roman" w:eastAsia="Times New Roman" w:hAnsi="Times New Roman"/>
                <w:sz w:val="17"/>
                <w:szCs w:val="17"/>
                <w:color w:val="131413"/>
              </w:rPr>
              <w:t>14.30</w:t>
            </w:r>
          </w:p>
        </w:tc>
        <w:tc>
          <w:tcPr>
            <w:tcW w:w="8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12.76</w:t>
            </w:r>
          </w:p>
        </w:tc>
        <w:tc>
          <w:tcPr>
            <w:tcW w:w="920" w:type="dxa"/>
            <w:vAlign w:val="bottom"/>
          </w:tcPr>
          <w:p>
            <w:pPr>
              <w:ind w:left="120"/>
              <w:spacing w:after="0"/>
              <w:rPr>
                <w:sz w:val="20"/>
                <w:szCs w:val="20"/>
                <w:color w:val="auto"/>
              </w:rPr>
            </w:pPr>
            <w:r>
              <w:rPr>
                <w:rFonts w:ascii="Times New Roman" w:cs="Times New Roman" w:eastAsia="Times New Roman" w:hAnsi="Times New Roman"/>
                <w:sz w:val="17"/>
                <w:szCs w:val="17"/>
                <w:color w:val="131413"/>
              </w:rPr>
              <w:t>16.81</w:t>
            </w:r>
          </w:p>
        </w:tc>
        <w:tc>
          <w:tcPr>
            <w:tcW w:w="7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4.03</w:t>
            </w:r>
          </w:p>
        </w:tc>
        <w:tc>
          <w:tcPr>
            <w:tcW w:w="4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131413"/>
              </w:rPr>
              <w:t>0.37</w:t>
            </w:r>
          </w:p>
        </w:tc>
        <w:tc>
          <w:tcPr>
            <w:tcW w:w="340" w:type="dxa"/>
            <w:vAlign w:val="bottom"/>
          </w:tcPr>
          <w:p>
            <w:pPr>
              <w:spacing w:after="0"/>
              <w:rPr>
                <w:sz w:val="18"/>
                <w:szCs w:val="18"/>
                <w:color w:val="auto"/>
              </w:rPr>
            </w:pP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-0.79</w:t>
            </w:r>
          </w:p>
        </w:tc>
        <w:tc>
          <w:tcPr>
            <w:tcW w:w="4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1.67</w:t>
            </w:r>
          </w:p>
        </w:tc>
        <w:tc>
          <w:tcPr>
            <w:tcW w:w="320" w:type="dxa"/>
            <w:vAlign w:val="bottom"/>
          </w:tcPr>
          <w:p>
            <w:pPr>
              <w:spacing w:after="0"/>
              <w:rPr>
                <w:sz w:val="18"/>
                <w:szCs w:val="18"/>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 xml:space="preserve">-8.91 </w:t>
            </w:r>
            <w:r>
              <w:rPr>
                <w:rFonts w:ascii="Arial" w:cs="Arial" w:eastAsia="Arial" w:hAnsi="Arial"/>
                <w:sz w:val="17"/>
                <w:szCs w:val="17"/>
                <w:color w:val="131413"/>
              </w:rPr>
              <w:t>↓</w:t>
            </w:r>
            <w:r>
              <w:rPr>
                <w:rFonts w:ascii="Times New Roman" w:cs="Times New Roman" w:eastAsia="Times New Roman" w:hAnsi="Times New Roman"/>
                <w:sz w:val="17"/>
                <w:szCs w:val="17"/>
                <w:color w:val="131413"/>
              </w:rPr>
              <w:t>**</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line="185" w:lineRule="exact"/>
              <w:rPr>
                <w:sz w:val="20"/>
                <w:szCs w:val="20"/>
                <w:color w:val="auto"/>
              </w:rPr>
            </w:pPr>
            <w:r>
              <w:rPr>
                <w:rFonts w:ascii="Times New Roman" w:cs="Times New Roman" w:eastAsia="Times New Roman" w:hAnsi="Times New Roman"/>
                <w:sz w:val="17"/>
                <w:szCs w:val="17"/>
                <w:color w:val="131413"/>
              </w:rPr>
              <w:t>(2.98)</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(3.97)</w:t>
            </w:r>
          </w:p>
        </w:tc>
        <w:tc>
          <w:tcPr>
            <w:tcW w:w="820" w:type="dxa"/>
            <w:vAlign w:val="bottom"/>
          </w:tcPr>
          <w:p>
            <w:pPr>
              <w:ind w:left="300"/>
              <w:spacing w:after="0" w:line="185" w:lineRule="exact"/>
              <w:rPr>
                <w:sz w:val="20"/>
                <w:szCs w:val="20"/>
                <w:color w:val="auto"/>
              </w:rPr>
            </w:pPr>
            <w:r>
              <w:rPr>
                <w:rFonts w:ascii="Times New Roman" w:cs="Times New Roman" w:eastAsia="Times New Roman" w:hAnsi="Times New Roman"/>
                <w:sz w:val="17"/>
                <w:szCs w:val="17"/>
                <w:color w:val="131413"/>
              </w:rPr>
              <w:t>(1.38)</w:t>
            </w:r>
          </w:p>
        </w:tc>
        <w:tc>
          <w:tcPr>
            <w:tcW w:w="920" w:type="dxa"/>
            <w:vAlign w:val="bottom"/>
          </w:tcPr>
          <w:p>
            <w:pPr>
              <w:ind w:left="280"/>
              <w:spacing w:after="0" w:line="185" w:lineRule="exact"/>
              <w:rPr>
                <w:sz w:val="20"/>
                <w:szCs w:val="20"/>
                <w:color w:val="auto"/>
              </w:rPr>
            </w:pPr>
            <w:r>
              <w:rPr>
                <w:rFonts w:ascii="Times New Roman" w:cs="Times New Roman" w:eastAsia="Times New Roman" w:hAnsi="Times New Roman"/>
                <w:sz w:val="17"/>
                <w:szCs w:val="17"/>
                <w:color w:val="131413"/>
              </w:rPr>
              <w:t>(4.59)</w:t>
            </w:r>
          </w:p>
        </w:tc>
        <w:tc>
          <w:tcPr>
            <w:tcW w:w="700" w:type="dxa"/>
            <w:vAlign w:val="bottom"/>
          </w:tcPr>
          <w:p>
            <w:pPr>
              <w:ind w:left="260"/>
              <w:spacing w:after="0" w:line="185" w:lineRule="exact"/>
              <w:rPr>
                <w:sz w:val="20"/>
                <w:szCs w:val="20"/>
                <w:color w:val="auto"/>
              </w:rPr>
            </w:pPr>
            <w:r>
              <w:rPr>
                <w:rFonts w:ascii="Times New Roman" w:cs="Times New Roman" w:eastAsia="Times New Roman" w:hAnsi="Times New Roman"/>
                <w:sz w:val="17"/>
                <w:szCs w:val="17"/>
                <w:color w:val="131413"/>
              </w:rPr>
              <w:t>(0.76)</w:t>
            </w:r>
          </w:p>
        </w:tc>
        <w:tc>
          <w:tcPr>
            <w:tcW w:w="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69850</wp:posOffset>
                </wp:positionV>
                <wp:extent cx="576643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5pt" to="454.8pt,5.5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69850</wp:posOffset>
                </wp:positionV>
                <wp:extent cx="127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5.5pt" to="1.25pt,5.5pt" o:allowincell="f" strokecolor="#131413" strokeweight="0.566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-5711825</wp:posOffset>
                </wp:positionV>
                <wp:extent cx="127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1">
                          <a:solidFill>
                            <a:srgbClr val="13141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49.7499pt" to="1.25pt,-449.7499pt" o:allowincell="f" strokecolor="#131413" strokeweight="0.567pt"/>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-5711825</wp:posOffset>
                </wp:positionV>
                <wp:extent cx="127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1">
                          <a:solidFill>
                            <a:srgbClr val="13141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5pt,-449.7499pt" to="104.5pt,-449.7499pt" o:allowincell="f" strokecolor="#131413" strokeweight="0.567pt"/>
            </w:pict>
          </mc:Fallback>
        </mc:AlternateContent>
        <mc:AlternateContent>
          <mc:Choice Requires="wps">
            <w:drawing>
              <wp:anchor simplePos="0" relativeHeight="251657728" behindDoc="1" locked="0" layoutInCell="0" allowOverlap="1">
                <wp:simplePos x="0" y="0"/>
                <wp:positionH relativeFrom="column">
                  <wp:posOffset>3893820</wp:posOffset>
                </wp:positionH>
                <wp:positionV relativeFrom="paragraph">
                  <wp:posOffset>-5711825</wp:posOffset>
                </wp:positionV>
                <wp:extent cx="127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1">
                          <a:solidFill>
                            <a:srgbClr val="13141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6pt,-449.7499pt" to="307.6pt,-449.7499pt" o:allowincell="f" strokecolor="#131413" strokeweight="0.567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-5463540</wp:posOffset>
                </wp:positionV>
                <wp:extent cx="0" cy="2603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430.1999pt" to="0.75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1320800</wp:posOffset>
                </wp:positionH>
                <wp:positionV relativeFrom="paragraph">
                  <wp:posOffset>-5463540</wp:posOffset>
                </wp:positionV>
                <wp:extent cx="0" cy="2603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pt,-430.1999pt" to="104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1837055</wp:posOffset>
                </wp:positionH>
                <wp:positionV relativeFrom="paragraph">
                  <wp:posOffset>-5463540</wp:posOffset>
                </wp:positionV>
                <wp:extent cx="0" cy="2603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65pt,-430.1999pt" to="144.65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2352040</wp:posOffset>
                </wp:positionH>
                <wp:positionV relativeFrom="paragraph">
                  <wp:posOffset>-5463540</wp:posOffset>
                </wp:positionV>
                <wp:extent cx="0" cy="2603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2pt,-430.1999pt" to="185.2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-5463540</wp:posOffset>
                </wp:positionV>
                <wp:extent cx="0" cy="2603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430.1999pt" to="225.85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-5463540</wp:posOffset>
                </wp:positionV>
                <wp:extent cx="0" cy="2603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430.1999pt" to="270.05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3900170</wp:posOffset>
                </wp:positionH>
                <wp:positionV relativeFrom="paragraph">
                  <wp:posOffset>-5463540</wp:posOffset>
                </wp:positionV>
                <wp:extent cx="0" cy="2603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1pt,-430.1999pt" to="307.1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4353560</wp:posOffset>
                </wp:positionH>
                <wp:positionV relativeFrom="paragraph">
                  <wp:posOffset>-5463540</wp:posOffset>
                </wp:positionV>
                <wp:extent cx="0" cy="2603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8pt,-430.1999pt" to="342.8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4850765</wp:posOffset>
                </wp:positionH>
                <wp:positionV relativeFrom="paragraph">
                  <wp:posOffset>-5463540</wp:posOffset>
                </wp:positionV>
                <wp:extent cx="0" cy="2603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95pt,-430.1999pt" to="381.95pt,-428.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5302885</wp:posOffset>
                </wp:positionH>
                <wp:positionV relativeFrom="paragraph">
                  <wp:posOffset>-5463540</wp:posOffset>
                </wp:positionV>
                <wp:extent cx="0" cy="2603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7.55pt,-430.1999pt" to="417.55pt,-428.1499pt" o:allowincell="f" strokecolor="#131413" strokeweight="1pt"/>
            </w:pict>
          </mc:Fallback>
        </mc:AlternateContent>
      </w:r>
    </w:p>
    <w:p>
      <w:pPr>
        <w:spacing w:after="0" w:line="148" w:lineRule="exact"/>
        <w:rPr>
          <w:sz w:val="20"/>
          <w:szCs w:val="20"/>
          <w:color w:val="auto"/>
        </w:rPr>
      </w:pPr>
    </w:p>
    <w:p>
      <w:pPr>
        <w:jc w:val="both"/>
        <w:ind w:left="20"/>
        <w:spacing w:after="0" w:line="243" w:lineRule="auto"/>
        <w:rPr>
          <w:sz w:val="20"/>
          <w:szCs w:val="20"/>
          <w:color w:val="auto"/>
        </w:rPr>
      </w:pPr>
      <w:r>
        <w:rPr>
          <w:rFonts w:ascii="Times New Roman" w:cs="Times New Roman" w:eastAsia="Times New Roman" w:hAnsi="Times New Roman"/>
          <w:sz w:val="17"/>
          <w:szCs w:val="17"/>
          <w:color w:val="131413"/>
        </w:rPr>
        <w:t>Mean nutrient concentration/ratio values with standard deviations in parentheses are presented in the first five data columns. Statistics of student</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s t-tests of fertilization effects on nutrient concentrations/ratios are presented in the last four columns. Data were natural log transformed when necessary to meet the assumptions of constant variance and normality, and a Wilcoxon test was performed when the assumptions for the t test were not met even after transformation. The arrows illustrate the directions of the treatment effects, and symbols following arrows indicate the significance levels: P &gt; 0.1: no symbol,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0.1</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0.05*,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0.01**. Means that are statistically significant different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0.05) from controls are indicated in bold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5288915</wp:posOffset>
            </wp:positionH>
            <wp:positionV relativeFrom="paragraph">
              <wp:posOffset>436245</wp:posOffset>
            </wp:positionV>
            <wp:extent cx="483870" cy="13843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1">
            <w:col w:w="9080"/>
          </w:cols>
          <w:pgMar w:left="920" w:top="649" w:right="942" w:bottom="1440" w:gutter="0" w:footer="0" w:header="0"/>
          <w:type w:val="continuous"/>
        </w:sectPr>
      </w:pPr>
    </w:p>
    <w:bookmarkStart w:id="13" w:name="page14"/>
    <w:bookmarkEnd w:id="13"/>
    <w:p>
      <w:pPr>
        <w:ind w:left="844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131413" strokeweight="1pt"/>
            </w:pict>
          </mc:Fallback>
        </mc:AlternateContent>
      </w:r>
    </w:p>
    <w:p>
      <w:pPr>
        <w:sectPr>
          <w:pgSz w:w="10940" w:h="14740" w:orient="portrait"/>
          <w:cols w:equalWidth="0" w:num="1">
            <w:col w:w="9080"/>
          </w:cols>
          <w:pgMar w:left="920" w:top="649" w:right="942" w:bottom="899" w:gutter="0" w:footer="0" w:header="0"/>
        </w:sectPr>
      </w:pPr>
    </w:p>
    <w:p>
      <w:pPr>
        <w:spacing w:after="0" w:line="220" w:lineRule="exact"/>
        <w:rPr>
          <w:sz w:val="20"/>
          <w:szCs w:val="20"/>
          <w:color w:val="auto"/>
        </w:rPr>
      </w:pPr>
    </w:p>
    <w:p>
      <w:pPr>
        <w:jc w:val="both"/>
        <w:ind w:left="20"/>
        <w:spacing w:after="0" w:line="253" w:lineRule="auto"/>
        <w:rPr>
          <w:sz w:val="20"/>
          <w:szCs w:val="20"/>
          <w:color w:val="auto"/>
        </w:rPr>
      </w:pPr>
      <w:r>
        <w:rPr>
          <w:rFonts w:ascii="Times New Roman" w:cs="Times New Roman" w:eastAsia="Times New Roman" w:hAnsi="Times New Roman"/>
          <w:sz w:val="16"/>
          <w:szCs w:val="16"/>
          <w:color w:val="131413"/>
        </w:rPr>
        <w:t>Table 3 Soil 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and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-P fluxes during sequential incuba-tions in the summer greenhouse warming and snowfence experi-ments during the growing season of 2017, and during a single incubation during the non-growing season, in mesic birch hum-mock tundra vegetation. Flux data were collected using the 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43180</wp:posOffset>
                </wp:positionV>
                <wp:extent cx="576643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4pt" to="454.3pt,3.4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5763260</wp:posOffset>
                </wp:positionH>
                <wp:positionV relativeFrom="paragraph">
                  <wp:posOffset>43180</wp:posOffset>
                </wp:positionV>
                <wp:extent cx="127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8pt,3.4pt" to="454.8pt,3.4pt" o:allowincell="f" strokecolor="#131413" strokeweight="0.5669pt"/>
            </w:pict>
          </mc:Fallback>
        </mc:AlternateContent>
      </w:r>
    </w:p>
    <w:p>
      <w:pPr>
        <w:spacing w:after="0" w:line="20" w:lineRule="exact"/>
        <w:rPr>
          <w:sz w:val="20"/>
          <w:szCs w:val="20"/>
          <w:color w:val="auto"/>
        </w:rPr>
      </w:pPr>
      <w:r>
        <w:rPr>
          <w:sz w:val="20"/>
          <w:szCs w:val="20"/>
          <w:color w:val="auto"/>
        </w:rPr>
        <w:br w:type="column"/>
      </w:r>
    </w:p>
    <w:p>
      <w:pPr>
        <w:spacing w:after="0" w:line="22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17"/>
          <w:szCs w:val="17"/>
          <w:color w:val="131413"/>
        </w:rPr>
        <w:t>exchange membrane (IEM) in situ incubation method. A total of six incubations (R1-R6) were conducted on the greenhouse warming and their control plots, and a total of five incubations (R1-R5) were conducted on the snowfence and their control plots, with each incubation for nine to 17 days</w:t>
      </w:r>
    </w:p>
    <w:p>
      <w:pPr>
        <w:spacing w:after="0" w:line="170" w:lineRule="exact"/>
        <w:rPr>
          <w:sz w:val="20"/>
          <w:szCs w:val="20"/>
          <w:color w:val="auto"/>
        </w:rPr>
      </w:pPr>
    </w:p>
    <w:p>
      <w:pPr>
        <w:sectPr>
          <w:pgSz w:w="10940" w:h="14740" w:orient="portrait"/>
          <w:cols w:equalWidth="0" w:num="2">
            <w:col w:w="4320" w:space="460"/>
            <w:col w:w="4300"/>
          </w:cols>
          <w:pgMar w:left="920" w:top="649" w:right="942" w:bottom="899" w:gutter="0" w:footer="0" w:header="0"/>
          <w:type w:val="continuous"/>
        </w:sectPr>
      </w:pPr>
    </w:p>
    <w:tbl>
      <w:tblPr>
        <w:tblLayout w:type="fixed"/>
        <w:tblInd w:w="0" w:type="dxa"/>
        <w:tblCellMar>
          <w:top w:w="0" w:type="dxa"/>
          <w:left w:w="0" w:type="dxa"/>
          <w:bottom w:w="0" w:type="dxa"/>
          <w:right w:w="0" w:type="dxa"/>
        </w:tblCellMar>
      </w:tblPr>
      <w:tr>
        <w:trPr>
          <w:trHeight w:val="195"/>
        </w:trPr>
        <w:tc>
          <w:tcPr>
            <w:tcW w:w="5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Incubation</w:t>
            </w:r>
          </w:p>
        </w:tc>
        <w:tc>
          <w:tcPr>
            <w:tcW w:w="110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131413"/>
              </w:rPr>
              <w:t>Control for</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Warming (µg/</w:t>
            </w:r>
          </w:p>
        </w:tc>
        <w:tc>
          <w:tcPr>
            <w:tcW w:w="9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F (warming</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Control for</w:t>
            </w:r>
          </w:p>
        </w:tc>
        <w:tc>
          <w:tcPr>
            <w:tcW w:w="1280" w:type="dxa"/>
            <w:vAlign w:val="bottom"/>
            <w:gridSpan w:val="2"/>
          </w:tcPr>
          <w:p>
            <w:pPr>
              <w:ind w:left="180"/>
              <w:spacing w:after="0"/>
              <w:rPr>
                <w:sz w:val="20"/>
                <w:szCs w:val="20"/>
                <w:color w:val="auto"/>
              </w:rPr>
            </w:pPr>
            <w:r>
              <w:rPr>
                <w:rFonts w:ascii="Times New Roman" w:cs="Times New Roman" w:eastAsia="Times New Roman" w:hAnsi="Times New Roman"/>
                <w:sz w:val="17"/>
                <w:szCs w:val="17"/>
                <w:color w:val="131413"/>
                <w:w w:val="99"/>
              </w:rPr>
              <w:t>Snowfence (µg/</w:t>
            </w:r>
          </w:p>
        </w:tc>
        <w:tc>
          <w:tcPr>
            <w:tcW w:w="1000" w:type="dxa"/>
            <w:vAlign w:val="bottom"/>
            <w:gridSpan w:val="2"/>
          </w:tcPr>
          <w:p>
            <w:pPr>
              <w:ind w:left="60"/>
              <w:spacing w:after="0"/>
              <w:rPr>
                <w:sz w:val="20"/>
                <w:szCs w:val="20"/>
                <w:color w:val="auto"/>
              </w:rPr>
            </w:pPr>
            <w:r>
              <w:rPr>
                <w:rFonts w:ascii="Times New Roman" w:cs="Times New Roman" w:eastAsia="Times New Roman" w:hAnsi="Times New Roman"/>
                <w:sz w:val="17"/>
                <w:szCs w:val="17"/>
                <w:color w:val="131413"/>
                <w:w w:val="99"/>
              </w:rPr>
              <w:t>F (snowfence</w:t>
            </w:r>
          </w:p>
        </w:tc>
        <w:tc>
          <w:tcPr>
            <w:tcW w:w="0" w:type="dxa"/>
            <w:vAlign w:val="bottom"/>
          </w:tcPr>
          <w:p>
            <w:pPr>
              <w:spacing w:after="0"/>
              <w:rPr>
                <w:sz w:val="1"/>
                <w:szCs w:val="1"/>
                <w:color w:val="auto"/>
              </w:rPr>
            </w:pPr>
          </w:p>
        </w:tc>
      </w:tr>
      <w:tr>
        <w:trPr>
          <w:trHeight w:val="198"/>
        </w:trPr>
        <w:tc>
          <w:tcPr>
            <w:tcW w:w="5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round</w:t>
            </w:r>
          </w:p>
        </w:tc>
        <w:tc>
          <w:tcPr>
            <w:tcW w:w="110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131413"/>
              </w:rPr>
              <w:t>warming</w:t>
            </w:r>
          </w:p>
        </w:tc>
        <w:tc>
          <w:tcPr>
            <w:tcW w:w="1100" w:type="dxa"/>
            <w:vAlign w:val="bottom"/>
          </w:tcPr>
          <w:p>
            <w:pPr>
              <w:ind w:left="80"/>
              <w:spacing w:after="0" w:line="199" w:lineRule="exact"/>
              <w:rPr>
                <w:sz w:val="20"/>
                <w:szCs w:val="20"/>
                <w:color w:val="auto"/>
              </w:rPr>
            </w:pPr>
            <w:r>
              <w:rPr>
                <w:rFonts w:ascii="Times New Roman" w:cs="Times New Roman" w:eastAsia="Times New Roman" w:hAnsi="Times New Roman"/>
                <w:sz w:val="17"/>
                <w:szCs w:val="17"/>
                <w:color w:val="131413"/>
              </w:rPr>
              <w:t>cm</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/d)</w:t>
            </w:r>
          </w:p>
        </w:tc>
        <w:tc>
          <w:tcPr>
            <w:tcW w:w="960" w:type="dxa"/>
            <w:vAlign w:val="bottom"/>
          </w:tcPr>
          <w:p>
            <w:pPr>
              <w:ind w:left="60"/>
              <w:spacing w:after="0"/>
              <w:rPr>
                <w:sz w:val="20"/>
                <w:szCs w:val="20"/>
                <w:color w:val="auto"/>
              </w:rPr>
            </w:pPr>
            <w:r>
              <w:rPr>
                <w:rFonts w:ascii="Times New Roman" w:cs="Times New Roman" w:eastAsia="Times New Roman" w:hAnsi="Times New Roman"/>
                <w:sz w:val="17"/>
                <w:szCs w:val="17"/>
                <w:color w:val="131413"/>
              </w:rPr>
              <w:t>effect)</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snowfence</w:t>
            </w:r>
          </w:p>
        </w:tc>
        <w:tc>
          <w:tcPr>
            <w:tcW w:w="1280" w:type="dxa"/>
            <w:vAlign w:val="bottom"/>
            <w:gridSpan w:val="2"/>
          </w:tcPr>
          <w:p>
            <w:pPr>
              <w:ind w:left="180"/>
              <w:spacing w:after="0" w:line="199" w:lineRule="exact"/>
              <w:rPr>
                <w:sz w:val="20"/>
                <w:szCs w:val="20"/>
                <w:color w:val="auto"/>
              </w:rPr>
            </w:pPr>
            <w:r>
              <w:rPr>
                <w:rFonts w:ascii="Times New Roman" w:cs="Times New Roman" w:eastAsia="Times New Roman" w:hAnsi="Times New Roman"/>
                <w:sz w:val="17"/>
                <w:szCs w:val="17"/>
                <w:color w:val="131413"/>
              </w:rPr>
              <w:t>cm</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/d)</w:t>
            </w:r>
          </w:p>
        </w:tc>
        <w:tc>
          <w:tcPr>
            <w:tcW w:w="500" w:type="dxa"/>
            <w:vAlign w:val="bottom"/>
          </w:tcPr>
          <w:p>
            <w:pPr>
              <w:ind w:left="60"/>
              <w:spacing w:after="0"/>
              <w:rPr>
                <w:sz w:val="20"/>
                <w:szCs w:val="20"/>
                <w:color w:val="auto"/>
              </w:rPr>
            </w:pPr>
            <w:r>
              <w:rPr>
                <w:rFonts w:ascii="Times New Roman" w:cs="Times New Roman" w:eastAsia="Times New Roman" w:hAnsi="Times New Roman"/>
                <w:sz w:val="17"/>
                <w:szCs w:val="17"/>
                <w:color w:val="131413"/>
                <w:w w:val="94"/>
              </w:rPr>
              <w:t>effect)</w:t>
            </w: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0"/>
        </w:trPr>
        <w:tc>
          <w:tcPr>
            <w:tcW w:w="5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110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17"/>
                <w:szCs w:val="17"/>
                <w:color w:val="131413"/>
              </w:rPr>
              <w:t>(µg/cm</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/d)</w:t>
            </w:r>
          </w:p>
        </w:tc>
        <w:tc>
          <w:tcPr>
            <w:tcW w:w="11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1080" w:type="dxa"/>
            <w:vAlign w:val="bottom"/>
          </w:tcPr>
          <w:p>
            <w:pPr>
              <w:ind w:left="100"/>
              <w:spacing w:after="0" w:line="240" w:lineRule="exact"/>
              <w:rPr>
                <w:sz w:val="20"/>
                <w:szCs w:val="20"/>
                <w:color w:val="auto"/>
              </w:rPr>
            </w:pPr>
            <w:r>
              <w:rPr>
                <w:rFonts w:ascii="Times New Roman" w:cs="Times New Roman" w:eastAsia="Times New Roman" w:hAnsi="Times New Roman"/>
                <w:sz w:val="17"/>
                <w:szCs w:val="17"/>
                <w:color w:val="131413"/>
              </w:rPr>
              <w:t>(µg/cm</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/d)</w:t>
            </w:r>
          </w:p>
        </w:tc>
        <w:tc>
          <w:tcPr>
            <w:tcW w:w="5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7"/>
        </w:trPr>
        <w:tc>
          <w:tcPr>
            <w:tcW w:w="580" w:type="dxa"/>
            <w:vAlign w:val="bottom"/>
            <w:tcBorders>
              <w:bottom w:val="single" w:sz="8" w:color="131413"/>
            </w:tcBorders>
          </w:tcPr>
          <w:p>
            <w:pPr>
              <w:spacing w:after="0"/>
              <w:rPr>
                <w:sz w:val="7"/>
                <w:szCs w:val="7"/>
                <w:color w:val="auto"/>
              </w:rPr>
            </w:pPr>
          </w:p>
        </w:tc>
        <w:tc>
          <w:tcPr>
            <w:tcW w:w="1080" w:type="dxa"/>
            <w:vAlign w:val="bottom"/>
            <w:tcBorders>
              <w:bottom w:val="single" w:sz="8" w:color="131413"/>
            </w:tcBorders>
          </w:tcPr>
          <w:p>
            <w:pPr>
              <w:spacing w:after="0"/>
              <w:rPr>
                <w:sz w:val="7"/>
                <w:szCs w:val="7"/>
                <w:color w:val="auto"/>
              </w:rPr>
            </w:pPr>
          </w:p>
        </w:tc>
        <w:tc>
          <w:tcPr>
            <w:tcW w:w="900" w:type="dxa"/>
            <w:vAlign w:val="bottom"/>
            <w:tcBorders>
              <w:bottom w:val="single" w:sz="8" w:color="131413"/>
            </w:tcBorders>
          </w:tcPr>
          <w:p>
            <w:pPr>
              <w:spacing w:after="0"/>
              <w:rPr>
                <w:sz w:val="7"/>
                <w:szCs w:val="7"/>
                <w:color w:val="auto"/>
              </w:rPr>
            </w:pPr>
          </w:p>
        </w:tc>
        <w:tc>
          <w:tcPr>
            <w:tcW w:w="500" w:type="dxa"/>
            <w:vAlign w:val="bottom"/>
            <w:tcBorders>
              <w:bottom w:val="single" w:sz="8" w:color="131413"/>
            </w:tcBorders>
          </w:tcPr>
          <w:p>
            <w:pPr>
              <w:spacing w:after="0"/>
              <w:rPr>
                <w:sz w:val="7"/>
                <w:szCs w:val="7"/>
                <w:color w:val="auto"/>
              </w:rPr>
            </w:pPr>
          </w:p>
        </w:tc>
        <w:tc>
          <w:tcPr>
            <w:tcW w:w="600" w:type="dxa"/>
            <w:vAlign w:val="bottom"/>
            <w:tcBorders>
              <w:bottom w:val="single" w:sz="8" w:color="131413"/>
            </w:tcBorders>
          </w:tcPr>
          <w:p>
            <w:pPr>
              <w:spacing w:after="0"/>
              <w:rPr>
                <w:sz w:val="7"/>
                <w:szCs w:val="7"/>
                <w:color w:val="auto"/>
              </w:rPr>
            </w:pPr>
          </w:p>
        </w:tc>
        <w:tc>
          <w:tcPr>
            <w:tcW w:w="1100" w:type="dxa"/>
            <w:vAlign w:val="bottom"/>
            <w:tcBorders>
              <w:bottom w:val="single" w:sz="8" w:color="131413"/>
            </w:tcBorders>
          </w:tcPr>
          <w:p>
            <w:pPr>
              <w:spacing w:after="0"/>
              <w:rPr>
                <w:sz w:val="7"/>
                <w:szCs w:val="7"/>
                <w:color w:val="auto"/>
              </w:rPr>
            </w:pPr>
          </w:p>
        </w:tc>
        <w:tc>
          <w:tcPr>
            <w:tcW w:w="960" w:type="dxa"/>
            <w:vAlign w:val="bottom"/>
            <w:tcBorders>
              <w:bottom w:val="single" w:sz="8" w:color="131413"/>
            </w:tcBorders>
          </w:tcPr>
          <w:p>
            <w:pPr>
              <w:spacing w:after="0"/>
              <w:rPr>
                <w:sz w:val="7"/>
                <w:szCs w:val="7"/>
                <w:color w:val="auto"/>
              </w:rPr>
            </w:pPr>
          </w:p>
        </w:tc>
        <w:tc>
          <w:tcPr>
            <w:tcW w:w="1080" w:type="dxa"/>
            <w:vAlign w:val="bottom"/>
            <w:tcBorders>
              <w:bottom w:val="single" w:sz="8" w:color="131413"/>
            </w:tcBorders>
          </w:tcPr>
          <w:p>
            <w:pPr>
              <w:spacing w:after="0"/>
              <w:rPr>
                <w:sz w:val="7"/>
                <w:szCs w:val="7"/>
                <w:color w:val="auto"/>
              </w:rPr>
            </w:pPr>
          </w:p>
        </w:tc>
        <w:tc>
          <w:tcPr>
            <w:tcW w:w="560" w:type="dxa"/>
            <w:vAlign w:val="bottom"/>
            <w:tcBorders>
              <w:bottom w:val="single" w:sz="8" w:color="131413"/>
            </w:tcBorders>
          </w:tcPr>
          <w:p>
            <w:pPr>
              <w:spacing w:after="0"/>
              <w:rPr>
                <w:sz w:val="7"/>
                <w:szCs w:val="7"/>
                <w:color w:val="auto"/>
              </w:rPr>
            </w:pPr>
          </w:p>
        </w:tc>
        <w:tc>
          <w:tcPr>
            <w:tcW w:w="720" w:type="dxa"/>
            <w:vAlign w:val="bottom"/>
            <w:tcBorders>
              <w:bottom w:val="single" w:sz="8" w:color="131413"/>
            </w:tcBorders>
          </w:tcPr>
          <w:p>
            <w:pPr>
              <w:spacing w:after="0"/>
              <w:rPr>
                <w:sz w:val="7"/>
                <w:szCs w:val="7"/>
                <w:color w:val="auto"/>
              </w:rPr>
            </w:pPr>
          </w:p>
        </w:tc>
        <w:tc>
          <w:tcPr>
            <w:tcW w:w="500" w:type="dxa"/>
            <w:vAlign w:val="bottom"/>
            <w:tcBorders>
              <w:bottom w:val="single" w:sz="8" w:color="131413"/>
            </w:tcBorders>
          </w:tcPr>
          <w:p>
            <w:pPr>
              <w:spacing w:after="0"/>
              <w:rPr>
                <w:sz w:val="7"/>
                <w:szCs w:val="7"/>
                <w:color w:val="auto"/>
              </w:rPr>
            </w:pPr>
          </w:p>
        </w:tc>
        <w:tc>
          <w:tcPr>
            <w:tcW w:w="500" w:type="dxa"/>
            <w:vAlign w:val="bottom"/>
            <w:tcBorders>
              <w:bottom w:val="single" w:sz="8" w:color="131413"/>
            </w:tcBorders>
          </w:tcPr>
          <w:p>
            <w:pPr>
              <w:spacing w:after="0"/>
              <w:rPr>
                <w:sz w:val="7"/>
                <w:szCs w:val="7"/>
                <w:color w:val="auto"/>
              </w:rPr>
            </w:pPr>
          </w:p>
        </w:tc>
        <w:tc>
          <w:tcPr>
            <w:tcW w:w="0" w:type="dxa"/>
            <w:vAlign w:val="bottom"/>
          </w:tcPr>
          <w:p>
            <w:pPr>
              <w:spacing w:after="0"/>
              <w:rPr>
                <w:sz w:val="1"/>
                <w:szCs w:val="1"/>
                <w:color w:val="auto"/>
              </w:rPr>
            </w:pPr>
          </w:p>
        </w:tc>
      </w:tr>
      <w:tr>
        <w:trPr>
          <w:trHeight w:val="297"/>
        </w:trPr>
        <w:tc>
          <w:tcPr>
            <w:tcW w:w="58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NH</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-N</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Growing</w:t>
            </w: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1</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0.120</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(0.06)</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0.124 (0.10)</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0.02</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0.139 (0.02)</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0.143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(0.03)</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0.06</w:t>
            </w: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4"/>
        </w:trPr>
        <w:tc>
          <w:tcPr>
            <w:tcW w:w="580" w:type="dxa"/>
            <w:vAlign w:val="bottom"/>
          </w:tcPr>
          <w:p>
            <w:pPr>
              <w:ind w:left="180"/>
              <w:spacing w:after="0" w:line="184" w:lineRule="exact"/>
              <w:rPr>
                <w:sz w:val="20"/>
                <w:szCs w:val="20"/>
                <w:color w:val="auto"/>
              </w:rPr>
            </w:pPr>
            <w:r>
              <w:rPr>
                <w:rFonts w:ascii="Times New Roman" w:cs="Times New Roman" w:eastAsia="Times New Roman" w:hAnsi="Times New Roman"/>
                <w:sz w:val="17"/>
                <w:szCs w:val="17"/>
                <w:color w:val="131413"/>
              </w:rPr>
              <w:t>flux</w:t>
            </w:r>
          </w:p>
        </w:tc>
        <w:tc>
          <w:tcPr>
            <w:tcW w:w="1080" w:type="dxa"/>
            <w:vAlign w:val="bottom"/>
          </w:tcPr>
          <w:p>
            <w:pPr>
              <w:ind w:left="280"/>
              <w:spacing w:after="0" w:line="184" w:lineRule="exact"/>
              <w:rPr>
                <w:sz w:val="20"/>
                <w:szCs w:val="20"/>
                <w:color w:val="auto"/>
              </w:rPr>
            </w:pPr>
            <w:r>
              <w:rPr>
                <w:rFonts w:ascii="Times New Roman" w:cs="Times New Roman" w:eastAsia="Times New Roman" w:hAnsi="Times New Roman"/>
                <w:sz w:val="17"/>
                <w:szCs w:val="17"/>
                <w:color w:val="131413"/>
              </w:rPr>
              <w:t>season</w:t>
            </w:r>
          </w:p>
        </w:tc>
        <w:tc>
          <w:tcPr>
            <w:tcW w:w="90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rPr>
              <w:t>R 2</w:t>
            </w:r>
          </w:p>
        </w:tc>
        <w:tc>
          <w:tcPr>
            <w:tcW w:w="50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w w:val="99"/>
              </w:rPr>
              <w:t>0.141</w:t>
            </w:r>
          </w:p>
        </w:tc>
        <w:tc>
          <w:tcPr>
            <w:tcW w:w="60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131413"/>
              </w:rPr>
              <w:t>(0.07)</w:t>
            </w:r>
          </w:p>
        </w:tc>
        <w:tc>
          <w:tcPr>
            <w:tcW w:w="110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131413"/>
              </w:rPr>
              <w:t>0.145 (0.07)</w:t>
            </w:r>
          </w:p>
        </w:tc>
        <w:tc>
          <w:tcPr>
            <w:tcW w:w="960" w:type="dxa"/>
            <w:vAlign w:val="bottom"/>
            <w:vMerge w:val="restart"/>
          </w:tcPr>
          <w:p>
            <w:pPr>
              <w:jc w:val="right"/>
              <w:ind w:right="395"/>
              <w:spacing w:after="0"/>
              <w:rPr>
                <w:sz w:val="20"/>
                <w:szCs w:val="20"/>
                <w:color w:val="auto"/>
              </w:rPr>
            </w:pPr>
            <w:r>
              <w:rPr>
                <w:rFonts w:ascii="Times New Roman" w:cs="Times New Roman" w:eastAsia="Times New Roman" w:hAnsi="Times New Roman"/>
                <w:sz w:val="17"/>
                <w:szCs w:val="17"/>
                <w:color w:val="131413"/>
              </w:rPr>
              <w:t>0.04</w:t>
            </w:r>
          </w:p>
        </w:tc>
        <w:tc>
          <w:tcPr>
            <w:tcW w:w="10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rPr>
              <w:t>0.150 (0.03)</w:t>
            </w:r>
          </w:p>
        </w:tc>
        <w:tc>
          <w:tcPr>
            <w:tcW w:w="560" w:type="dxa"/>
            <w:vAlign w:val="bottom"/>
            <w:vMerge w:val="restart"/>
          </w:tcPr>
          <w:p>
            <w:pPr>
              <w:ind w:left="180"/>
              <w:spacing w:after="0"/>
              <w:rPr>
                <w:sz w:val="20"/>
                <w:szCs w:val="20"/>
                <w:color w:val="auto"/>
              </w:rPr>
            </w:pPr>
            <w:r>
              <w:rPr>
                <w:rFonts w:ascii="Times New Roman" w:cs="Times New Roman" w:eastAsia="Times New Roman" w:hAnsi="Times New Roman"/>
                <w:sz w:val="17"/>
                <w:szCs w:val="17"/>
                <w:color w:val="131413"/>
                <w:w w:val="93"/>
              </w:rPr>
              <w:t>0.151</w:t>
            </w:r>
          </w:p>
        </w:tc>
        <w:tc>
          <w:tcPr>
            <w:tcW w:w="72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131413"/>
              </w:rPr>
              <w:t>(0.02)</w:t>
            </w:r>
          </w:p>
        </w:tc>
        <w:tc>
          <w:tcPr>
            <w:tcW w:w="50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131413"/>
              </w:rPr>
              <w:t>0.02</w:t>
            </w:r>
          </w:p>
        </w:tc>
        <w:tc>
          <w:tcPr>
            <w:tcW w:w="5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7"/>
        </w:trPr>
        <w:tc>
          <w:tcPr>
            <w:tcW w:w="580" w:type="dxa"/>
            <w:vAlign w:val="bottom"/>
          </w:tcPr>
          <w:p>
            <w:pPr>
              <w:spacing w:after="0"/>
              <w:rPr>
                <w:sz w:val="4"/>
                <w:szCs w:val="4"/>
                <w:color w:val="auto"/>
              </w:rPr>
            </w:pPr>
          </w:p>
        </w:tc>
        <w:tc>
          <w:tcPr>
            <w:tcW w:w="108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1100" w:type="dxa"/>
            <w:vAlign w:val="bottom"/>
            <w:vMerge w:val="continue"/>
          </w:tcPr>
          <w:p>
            <w:pPr>
              <w:spacing w:after="0"/>
              <w:rPr>
                <w:sz w:val="4"/>
                <w:szCs w:val="4"/>
                <w:color w:val="auto"/>
              </w:rPr>
            </w:pPr>
          </w:p>
        </w:tc>
        <w:tc>
          <w:tcPr>
            <w:tcW w:w="960" w:type="dxa"/>
            <w:vAlign w:val="bottom"/>
            <w:vMerge w:val="continue"/>
          </w:tcPr>
          <w:p>
            <w:pPr>
              <w:spacing w:after="0"/>
              <w:rPr>
                <w:sz w:val="4"/>
                <w:szCs w:val="4"/>
                <w:color w:val="auto"/>
              </w:rPr>
            </w:pPr>
          </w:p>
        </w:tc>
        <w:tc>
          <w:tcPr>
            <w:tcW w:w="108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3</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0.146</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(0.08)</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0.145 (0.07)</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&lt; 0.01</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0.163 (0.01)</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0.163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&lt; 0.01</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4</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0.172</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(0.05)</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0.172 (0.05)</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&lt; 0.01</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0.141 (0.01)</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0.152</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1.16</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5</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0.065</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(0.09)</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0.030 (0.03)</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0.44</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B.D.</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rPr>
              <w:t>B.D.</w:t>
            </w: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6</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0.032</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(0.03)</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0.026 (0.02)</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0.19</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N.D.</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rPr>
              <w:t>N.D.</w:t>
            </w: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Average</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0.113</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(0.05)</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0.102 (0.04)</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0.22</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0.134 (0.03)</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0.114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(0.03)</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0.77</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580" w:type="dxa"/>
            <w:vAlign w:val="bottom"/>
          </w:tcPr>
          <w:p>
            <w:pPr>
              <w:spacing w:after="0"/>
              <w:rPr>
                <w:sz w:val="22"/>
                <w:szCs w:val="22"/>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Non-growing</w:t>
            </w:r>
          </w:p>
        </w:tc>
        <w:tc>
          <w:tcPr>
            <w:tcW w:w="900" w:type="dxa"/>
            <w:vAlign w:val="bottom"/>
          </w:tcPr>
          <w:p>
            <w:pPr>
              <w:spacing w:after="0"/>
              <w:rPr>
                <w:sz w:val="22"/>
                <w:szCs w:val="22"/>
                <w:color w:val="auto"/>
              </w:rPr>
            </w:pP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S.L.</w:t>
            </w:r>
          </w:p>
        </w:tc>
        <w:tc>
          <w:tcPr>
            <w:tcW w:w="600" w:type="dxa"/>
            <w:vAlign w:val="bottom"/>
          </w:tcPr>
          <w:p>
            <w:pPr>
              <w:spacing w:after="0"/>
              <w:rPr>
                <w:sz w:val="22"/>
                <w:szCs w:val="22"/>
                <w:color w:val="auto"/>
              </w:rPr>
            </w:pP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S.L.</w:t>
            </w:r>
          </w:p>
        </w:tc>
        <w:tc>
          <w:tcPr>
            <w:tcW w:w="960" w:type="dxa"/>
            <w:vAlign w:val="bottom"/>
          </w:tcPr>
          <w:p>
            <w:pPr>
              <w:spacing w:after="0"/>
              <w:rPr>
                <w:sz w:val="22"/>
                <w:szCs w:val="22"/>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B.D</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rPr>
              <w:t>B.D.</w:t>
            </w: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0"/>
        </w:trPr>
        <w:tc>
          <w:tcPr>
            <w:tcW w:w="580" w:type="dxa"/>
            <w:vAlign w:val="bottom"/>
          </w:tcPr>
          <w:p>
            <w:pPr>
              <w:spacing w:after="0"/>
              <w:rPr>
                <w:sz w:val="17"/>
                <w:szCs w:val="17"/>
                <w:color w:val="auto"/>
              </w:rPr>
            </w:pPr>
          </w:p>
        </w:tc>
        <w:tc>
          <w:tcPr>
            <w:tcW w:w="1080" w:type="dxa"/>
            <w:vAlign w:val="bottom"/>
          </w:tcPr>
          <w:p>
            <w:pPr>
              <w:ind w:left="280"/>
              <w:spacing w:after="0"/>
              <w:rPr>
                <w:sz w:val="20"/>
                <w:szCs w:val="20"/>
                <w:color w:val="auto"/>
              </w:rPr>
            </w:pPr>
            <w:r>
              <w:rPr>
                <w:rFonts w:ascii="Times New Roman" w:cs="Times New Roman" w:eastAsia="Times New Roman" w:hAnsi="Times New Roman"/>
                <w:sz w:val="17"/>
                <w:szCs w:val="17"/>
                <w:color w:val="131413"/>
              </w:rPr>
              <w:t>season</w:t>
            </w:r>
          </w:p>
        </w:tc>
        <w:tc>
          <w:tcPr>
            <w:tcW w:w="9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14"/>
        </w:trPr>
        <w:tc>
          <w:tcPr>
            <w:tcW w:w="58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PO</w:t>
            </w:r>
            <w:r>
              <w:rPr>
                <w:rFonts w:ascii="Times New Roman" w:cs="Times New Roman" w:eastAsia="Times New Roman" w:hAnsi="Times New Roman"/>
                <w:sz w:val="22"/>
                <w:szCs w:val="22"/>
                <w:color w:val="131413"/>
                <w:vertAlign w:val="subscript"/>
              </w:rPr>
              <w:t>4</w:t>
            </w:r>
            <w:r>
              <w:rPr>
                <w:rFonts w:ascii="Times New Roman" w:cs="Times New Roman" w:eastAsia="Times New Roman" w:hAnsi="Times New Roman"/>
                <w:sz w:val="17"/>
                <w:szCs w:val="17"/>
                <w:color w:val="131413"/>
              </w:rPr>
              <w:t>-P</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Growing</w:t>
            </w: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1</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0.050</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(0.07)</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0.380 (0.89)</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1.54</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0.023 (0.01)</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0.038</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10.38</w:t>
            </w:r>
          </w:p>
        </w:tc>
        <w:tc>
          <w:tcPr>
            <w:tcW w:w="500" w:type="dxa"/>
            <w:vAlign w:val="bottom"/>
          </w:tcPr>
          <w:p>
            <w:pPr>
              <w:jc w:val="right"/>
              <w:ind w:right="315"/>
              <w:spacing w:after="0"/>
              <w:rPr>
                <w:sz w:val="20"/>
                <w:szCs w:val="20"/>
                <w:color w:val="auto"/>
              </w:rPr>
            </w:pPr>
            <w:r>
              <w:rPr>
                <w:rFonts w:ascii="Times New Roman" w:cs="Times New Roman" w:eastAsia="Times New Roman" w:hAnsi="Times New Roman"/>
                <w:sz w:val="17"/>
                <w:szCs w:val="17"/>
                <w:color w:val="131413"/>
                <w:w w:val="93"/>
              </w:rPr>
              <w:t>*</w:t>
            </w:r>
          </w:p>
        </w:tc>
        <w:tc>
          <w:tcPr>
            <w:tcW w:w="0" w:type="dxa"/>
            <w:vAlign w:val="bottom"/>
          </w:tcPr>
          <w:p>
            <w:pPr>
              <w:spacing w:after="0"/>
              <w:rPr>
                <w:sz w:val="1"/>
                <w:szCs w:val="1"/>
                <w:color w:val="auto"/>
              </w:rPr>
            </w:pPr>
          </w:p>
        </w:tc>
      </w:tr>
      <w:tr>
        <w:trPr>
          <w:trHeight w:val="184"/>
        </w:trPr>
        <w:tc>
          <w:tcPr>
            <w:tcW w:w="580" w:type="dxa"/>
            <w:vAlign w:val="bottom"/>
          </w:tcPr>
          <w:p>
            <w:pPr>
              <w:ind w:left="180"/>
              <w:spacing w:after="0" w:line="184" w:lineRule="exact"/>
              <w:rPr>
                <w:sz w:val="20"/>
                <w:szCs w:val="20"/>
                <w:color w:val="auto"/>
              </w:rPr>
            </w:pPr>
            <w:r>
              <w:rPr>
                <w:rFonts w:ascii="Times New Roman" w:cs="Times New Roman" w:eastAsia="Times New Roman" w:hAnsi="Times New Roman"/>
                <w:sz w:val="17"/>
                <w:szCs w:val="17"/>
                <w:color w:val="131413"/>
              </w:rPr>
              <w:t>flux</w:t>
            </w:r>
          </w:p>
        </w:tc>
        <w:tc>
          <w:tcPr>
            <w:tcW w:w="1080" w:type="dxa"/>
            <w:vAlign w:val="bottom"/>
          </w:tcPr>
          <w:p>
            <w:pPr>
              <w:ind w:left="280"/>
              <w:spacing w:after="0" w:line="184" w:lineRule="exact"/>
              <w:rPr>
                <w:sz w:val="20"/>
                <w:szCs w:val="20"/>
                <w:color w:val="auto"/>
              </w:rPr>
            </w:pPr>
            <w:r>
              <w:rPr>
                <w:rFonts w:ascii="Times New Roman" w:cs="Times New Roman" w:eastAsia="Times New Roman" w:hAnsi="Times New Roman"/>
                <w:sz w:val="17"/>
                <w:szCs w:val="17"/>
                <w:color w:val="131413"/>
              </w:rPr>
              <w:t>season</w:t>
            </w:r>
          </w:p>
        </w:tc>
        <w:tc>
          <w:tcPr>
            <w:tcW w:w="90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rPr>
              <w:t>R 2</w:t>
            </w:r>
          </w:p>
        </w:tc>
        <w:tc>
          <w:tcPr>
            <w:tcW w:w="50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w w:val="99"/>
              </w:rPr>
              <w:t>0.043</w:t>
            </w:r>
          </w:p>
        </w:tc>
        <w:tc>
          <w:tcPr>
            <w:tcW w:w="60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131413"/>
              </w:rPr>
              <w:t>(0.05)</w:t>
            </w:r>
          </w:p>
        </w:tc>
        <w:tc>
          <w:tcPr>
            <w:tcW w:w="110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131413"/>
              </w:rPr>
              <w:t>0.070 (0.13)</w:t>
            </w:r>
          </w:p>
        </w:tc>
        <w:tc>
          <w:tcPr>
            <w:tcW w:w="960" w:type="dxa"/>
            <w:vAlign w:val="bottom"/>
            <w:vMerge w:val="restart"/>
          </w:tcPr>
          <w:p>
            <w:pPr>
              <w:jc w:val="right"/>
              <w:ind w:right="395"/>
              <w:spacing w:after="0"/>
              <w:rPr>
                <w:sz w:val="20"/>
                <w:szCs w:val="20"/>
                <w:color w:val="auto"/>
              </w:rPr>
            </w:pPr>
            <w:r>
              <w:rPr>
                <w:rFonts w:ascii="Times New Roman" w:cs="Times New Roman" w:eastAsia="Times New Roman" w:hAnsi="Times New Roman"/>
                <w:sz w:val="17"/>
                <w:szCs w:val="17"/>
                <w:color w:val="131413"/>
              </w:rPr>
              <w:t>0.02</w:t>
            </w:r>
          </w:p>
        </w:tc>
        <w:tc>
          <w:tcPr>
            <w:tcW w:w="10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131413"/>
              </w:rPr>
              <w:t>0.053 (0.04)</w:t>
            </w:r>
          </w:p>
        </w:tc>
        <w:tc>
          <w:tcPr>
            <w:tcW w:w="560" w:type="dxa"/>
            <w:vAlign w:val="bottom"/>
            <w:vMerge w:val="restart"/>
          </w:tcPr>
          <w:p>
            <w:pPr>
              <w:ind w:left="180"/>
              <w:spacing w:after="0"/>
              <w:rPr>
                <w:sz w:val="20"/>
                <w:szCs w:val="20"/>
                <w:color w:val="auto"/>
              </w:rPr>
            </w:pPr>
            <w:r>
              <w:rPr>
                <w:rFonts w:ascii="Times New Roman" w:cs="Times New Roman" w:eastAsia="Times New Roman" w:hAnsi="Times New Roman"/>
                <w:sz w:val="17"/>
                <w:szCs w:val="17"/>
                <w:color w:val="131413"/>
                <w:w w:val="93"/>
              </w:rPr>
              <w:t>0.060</w:t>
            </w:r>
          </w:p>
        </w:tc>
        <w:tc>
          <w:tcPr>
            <w:tcW w:w="72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131413"/>
              </w:rPr>
              <w:t>(0.02)</w:t>
            </w:r>
          </w:p>
        </w:tc>
        <w:tc>
          <w:tcPr>
            <w:tcW w:w="50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131413"/>
              </w:rPr>
              <w:t>0.64</w:t>
            </w:r>
          </w:p>
        </w:tc>
        <w:tc>
          <w:tcPr>
            <w:tcW w:w="5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7"/>
        </w:trPr>
        <w:tc>
          <w:tcPr>
            <w:tcW w:w="580" w:type="dxa"/>
            <w:vAlign w:val="bottom"/>
          </w:tcPr>
          <w:p>
            <w:pPr>
              <w:spacing w:after="0"/>
              <w:rPr>
                <w:sz w:val="4"/>
                <w:szCs w:val="4"/>
                <w:color w:val="auto"/>
              </w:rPr>
            </w:pPr>
          </w:p>
        </w:tc>
        <w:tc>
          <w:tcPr>
            <w:tcW w:w="108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1100" w:type="dxa"/>
            <w:vAlign w:val="bottom"/>
            <w:vMerge w:val="continue"/>
          </w:tcPr>
          <w:p>
            <w:pPr>
              <w:spacing w:after="0"/>
              <w:rPr>
                <w:sz w:val="4"/>
                <w:szCs w:val="4"/>
                <w:color w:val="auto"/>
              </w:rPr>
            </w:pPr>
          </w:p>
        </w:tc>
        <w:tc>
          <w:tcPr>
            <w:tcW w:w="960" w:type="dxa"/>
            <w:vAlign w:val="bottom"/>
            <w:vMerge w:val="continue"/>
          </w:tcPr>
          <w:p>
            <w:pPr>
              <w:spacing w:after="0"/>
              <w:rPr>
                <w:sz w:val="4"/>
                <w:szCs w:val="4"/>
                <w:color w:val="auto"/>
              </w:rPr>
            </w:pPr>
          </w:p>
        </w:tc>
        <w:tc>
          <w:tcPr>
            <w:tcW w:w="108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3</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0.029</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(0.06)</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0.127 (0.29)</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1.29</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0.028 (0.02)</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0.027</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0.14</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4</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0.007</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0.035 (0.08)</w:t>
            </w:r>
          </w:p>
        </w:tc>
        <w:tc>
          <w:tcPr>
            <w:tcW w:w="960" w:type="dxa"/>
            <w:vAlign w:val="bottom"/>
          </w:tcPr>
          <w:p>
            <w:pPr>
              <w:jc w:val="right"/>
              <w:ind w:right="315"/>
              <w:spacing w:after="0"/>
              <w:rPr>
                <w:sz w:val="20"/>
                <w:szCs w:val="20"/>
                <w:color w:val="auto"/>
              </w:rPr>
            </w:pPr>
            <w:r>
              <w:rPr>
                <w:rFonts w:ascii="Times New Roman" w:cs="Times New Roman" w:eastAsia="Times New Roman" w:hAnsi="Times New Roman"/>
                <w:sz w:val="17"/>
                <w:szCs w:val="17"/>
                <w:color w:val="131413"/>
              </w:rPr>
              <w:t>4.81*</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0.022 (0.02)</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0.020</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5</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0.009</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(0.003)</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0.012 (0.01)</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1.52</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0.042 (0.05)</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0.031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0.03</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R 6</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0.021</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(0.02)</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0.079 (0.15)</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4.07</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N.D.</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rPr>
              <w:t>N.D.</w:t>
            </w: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5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90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Average</w:t>
            </w: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0.026</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(0.03)</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0.103 (0.20)</w:t>
            </w:r>
          </w:p>
        </w:tc>
        <w:tc>
          <w:tcPr>
            <w:tcW w:w="960" w:type="dxa"/>
            <w:vAlign w:val="bottom"/>
          </w:tcPr>
          <w:p>
            <w:pPr>
              <w:jc w:val="right"/>
              <w:ind w:right="315"/>
              <w:spacing w:after="0"/>
              <w:rPr>
                <w:sz w:val="20"/>
                <w:szCs w:val="20"/>
                <w:color w:val="auto"/>
              </w:rPr>
            </w:pPr>
            <w:r>
              <w:rPr>
                <w:rFonts w:ascii="Times New Roman" w:cs="Times New Roman" w:eastAsia="Times New Roman" w:hAnsi="Times New Roman"/>
                <w:sz w:val="17"/>
                <w:szCs w:val="17"/>
                <w:color w:val="131413"/>
              </w:rPr>
              <w:t>9.16*</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0.034 (0.03)</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0.034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1.36</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580" w:type="dxa"/>
            <w:vAlign w:val="bottom"/>
          </w:tcPr>
          <w:p>
            <w:pPr>
              <w:spacing w:after="0"/>
              <w:rPr>
                <w:sz w:val="22"/>
                <w:szCs w:val="22"/>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Non-growing</w:t>
            </w:r>
          </w:p>
        </w:tc>
        <w:tc>
          <w:tcPr>
            <w:tcW w:w="900" w:type="dxa"/>
            <w:vAlign w:val="bottom"/>
          </w:tcPr>
          <w:p>
            <w:pPr>
              <w:spacing w:after="0"/>
              <w:rPr>
                <w:sz w:val="22"/>
                <w:szCs w:val="22"/>
                <w:color w:val="auto"/>
              </w:rPr>
            </w:pPr>
          </w:p>
        </w:tc>
        <w:tc>
          <w:tcPr>
            <w:tcW w:w="500" w:type="dxa"/>
            <w:vAlign w:val="bottom"/>
          </w:tcPr>
          <w:p>
            <w:pPr>
              <w:ind w:left="100"/>
              <w:spacing w:after="0"/>
              <w:rPr>
                <w:sz w:val="20"/>
                <w:szCs w:val="20"/>
                <w:color w:val="auto"/>
              </w:rPr>
            </w:pPr>
            <w:r>
              <w:rPr>
                <w:rFonts w:ascii="Times New Roman" w:cs="Times New Roman" w:eastAsia="Times New Roman" w:hAnsi="Times New Roman"/>
                <w:sz w:val="17"/>
                <w:szCs w:val="17"/>
                <w:color w:val="131413"/>
                <w:w w:val="99"/>
              </w:rPr>
              <w:t>0.003</w:t>
            </w:r>
          </w:p>
        </w:tc>
        <w:tc>
          <w:tcPr>
            <w:tcW w:w="60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(0.004)</w:t>
            </w:r>
          </w:p>
        </w:tc>
        <w:tc>
          <w:tcPr>
            <w:tcW w:w="1100" w:type="dxa"/>
            <w:vAlign w:val="bottom"/>
          </w:tcPr>
          <w:p>
            <w:pPr>
              <w:ind w:left="80"/>
              <w:spacing w:after="0"/>
              <w:rPr>
                <w:sz w:val="20"/>
                <w:szCs w:val="20"/>
                <w:color w:val="auto"/>
              </w:rPr>
            </w:pPr>
            <w:r>
              <w:rPr>
                <w:rFonts w:ascii="Times New Roman" w:cs="Times New Roman" w:eastAsia="Times New Roman" w:hAnsi="Times New Roman"/>
                <w:sz w:val="17"/>
                <w:szCs w:val="17"/>
                <w:color w:val="131413"/>
              </w:rPr>
              <w:t>0.007 (0.01)</w:t>
            </w:r>
          </w:p>
        </w:tc>
        <w:tc>
          <w:tcPr>
            <w:tcW w:w="960" w:type="dxa"/>
            <w:vAlign w:val="bottom"/>
          </w:tcPr>
          <w:p>
            <w:pPr>
              <w:jc w:val="right"/>
              <w:ind w:right="395"/>
              <w:spacing w:after="0"/>
              <w:rPr>
                <w:sz w:val="20"/>
                <w:szCs w:val="20"/>
                <w:color w:val="auto"/>
              </w:rPr>
            </w:pPr>
            <w:r>
              <w:rPr>
                <w:rFonts w:ascii="Times New Roman" w:cs="Times New Roman" w:eastAsia="Times New Roman" w:hAnsi="Times New Roman"/>
                <w:sz w:val="17"/>
                <w:szCs w:val="17"/>
                <w:color w:val="131413"/>
              </w:rPr>
              <w:t>0.12</w:t>
            </w:r>
          </w:p>
        </w:tc>
        <w:tc>
          <w:tcPr>
            <w:tcW w:w="1080" w:type="dxa"/>
            <w:vAlign w:val="bottom"/>
          </w:tcPr>
          <w:p>
            <w:pPr>
              <w:ind w:left="100"/>
              <w:spacing w:after="0"/>
              <w:rPr>
                <w:sz w:val="20"/>
                <w:szCs w:val="20"/>
                <w:color w:val="auto"/>
              </w:rPr>
            </w:pPr>
            <w:r>
              <w:rPr>
                <w:rFonts w:ascii="Times New Roman" w:cs="Times New Roman" w:eastAsia="Times New Roman" w:hAnsi="Times New Roman"/>
                <w:sz w:val="17"/>
                <w:szCs w:val="17"/>
                <w:color w:val="131413"/>
              </w:rPr>
              <w:t>0.006 (0.01)</w:t>
            </w:r>
          </w:p>
        </w:tc>
        <w:tc>
          <w:tcPr>
            <w:tcW w:w="560" w:type="dxa"/>
            <w:vAlign w:val="bottom"/>
          </w:tcPr>
          <w:p>
            <w:pPr>
              <w:ind w:left="180"/>
              <w:spacing w:after="0"/>
              <w:rPr>
                <w:sz w:val="20"/>
                <w:szCs w:val="20"/>
                <w:color w:val="auto"/>
              </w:rPr>
            </w:pPr>
            <w:r>
              <w:rPr>
                <w:rFonts w:ascii="Times New Roman" w:cs="Times New Roman" w:eastAsia="Times New Roman" w:hAnsi="Times New Roman"/>
                <w:sz w:val="17"/>
                <w:szCs w:val="17"/>
                <w:color w:val="131413"/>
                <w:w w:val="93"/>
              </w:rPr>
              <w:t>0.003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(0.001)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&lt; 0.01</w:t>
            </w: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0"/>
        </w:trPr>
        <w:tc>
          <w:tcPr>
            <w:tcW w:w="580" w:type="dxa"/>
            <w:vAlign w:val="bottom"/>
          </w:tcPr>
          <w:p>
            <w:pPr>
              <w:spacing w:after="0"/>
              <w:rPr>
                <w:sz w:val="17"/>
                <w:szCs w:val="17"/>
                <w:color w:val="auto"/>
              </w:rPr>
            </w:pPr>
          </w:p>
        </w:tc>
        <w:tc>
          <w:tcPr>
            <w:tcW w:w="1080" w:type="dxa"/>
            <w:vAlign w:val="bottom"/>
          </w:tcPr>
          <w:p>
            <w:pPr>
              <w:ind w:left="280"/>
              <w:spacing w:after="0"/>
              <w:rPr>
                <w:sz w:val="20"/>
                <w:szCs w:val="20"/>
                <w:color w:val="auto"/>
              </w:rPr>
            </w:pPr>
            <w:r>
              <w:rPr>
                <w:rFonts w:ascii="Times New Roman" w:cs="Times New Roman" w:eastAsia="Times New Roman" w:hAnsi="Times New Roman"/>
                <w:sz w:val="17"/>
                <w:szCs w:val="17"/>
                <w:color w:val="131413"/>
              </w:rPr>
              <w:t>season</w:t>
            </w:r>
          </w:p>
        </w:tc>
        <w:tc>
          <w:tcPr>
            <w:tcW w:w="9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69850</wp:posOffset>
                </wp:positionV>
                <wp:extent cx="576643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899">
                          <a:solidFill>
                            <a:srgbClr val="131413"/>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5pt" to="454.8pt,5.5pt" o:allowincell="f" strokecolor="#131413" strokeweight="1.566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69850</wp:posOffset>
                </wp:positionV>
                <wp:extent cx="1270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199">
                          <a:solidFill>
                            <a:srgbClr val="131413"/>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5.5pt" to="1.25pt,5.5pt" o:allowincell="f" strokecolor="#131413" strokeweight="0.5669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-2986405</wp:posOffset>
                </wp:positionV>
                <wp:extent cx="0" cy="2540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35.1499pt" to="0.75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433070</wp:posOffset>
                </wp:positionH>
                <wp:positionV relativeFrom="paragraph">
                  <wp:posOffset>-2986405</wp:posOffset>
                </wp:positionV>
                <wp:extent cx="0" cy="2540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235.1499pt" to="34.1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1116330</wp:posOffset>
                </wp:positionH>
                <wp:positionV relativeFrom="paragraph">
                  <wp:posOffset>-2986405</wp:posOffset>
                </wp:positionV>
                <wp:extent cx="0" cy="2540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pt,-235.1499pt" to="87.9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1692910</wp:posOffset>
                </wp:positionH>
                <wp:positionV relativeFrom="paragraph">
                  <wp:posOffset>-2986405</wp:posOffset>
                </wp:positionV>
                <wp:extent cx="0" cy="2540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3pt,-235.1499pt" to="133.3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2374265</wp:posOffset>
                </wp:positionH>
                <wp:positionV relativeFrom="paragraph">
                  <wp:posOffset>-2986405</wp:posOffset>
                </wp:positionV>
                <wp:extent cx="0" cy="254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95pt,-235.1499pt" to="186.95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3063875</wp:posOffset>
                </wp:positionH>
                <wp:positionV relativeFrom="paragraph">
                  <wp:posOffset>-2986405</wp:posOffset>
                </wp:positionV>
                <wp:extent cx="0" cy="254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25pt,-235.1499pt" to="241.25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3693160</wp:posOffset>
                </wp:positionH>
                <wp:positionV relativeFrom="paragraph">
                  <wp:posOffset>-2986405</wp:posOffset>
                </wp:positionV>
                <wp:extent cx="0" cy="2540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8pt,-235.1499pt" to="290.8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4425950</wp:posOffset>
                </wp:positionH>
                <wp:positionV relativeFrom="paragraph">
                  <wp:posOffset>-2986405</wp:posOffset>
                </wp:positionV>
                <wp:extent cx="0" cy="2540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5pt,-235.1499pt" to="348.5pt,-233.14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5163820</wp:posOffset>
                </wp:positionH>
                <wp:positionV relativeFrom="paragraph">
                  <wp:posOffset>-2986405</wp:posOffset>
                </wp:positionV>
                <wp:extent cx="0" cy="2540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6pt,-235.1499pt" to="406.6pt,-233.1499pt" o:allowincell="f" strokecolor="#131413" strokeweight="1pt"/>
            </w:pict>
          </mc:Fallback>
        </mc:AlternateContent>
      </w:r>
    </w:p>
    <w:p>
      <w:pPr>
        <w:spacing w:after="0" w:line="14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Mean values with standard deviations in parentheses are presented. Degrees of freedom = 1, 18 (warming effect) and 1, 8 (snowfence effect).</w:t>
      </w:r>
    </w:p>
    <w:p>
      <w:pPr>
        <w:spacing w:after="0" w:line="1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Data were natural log transformed when necessary to perform statistics to achieve the assumptions of constant variance and normality.</w:t>
      </w:r>
    </w:p>
    <w:p>
      <w:pPr>
        <w:spacing w:after="0" w:line="4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7"/>
          <w:szCs w:val="17"/>
          <w:color w:val="131413"/>
        </w:rPr>
        <w:t xml:space="preserve">Symbols following F values indicate the significance levels: P &gt; 0.1: no symbol,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0.1</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P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0.05*. S.L.: sample lost; B.D.: below</w:t>
      </w:r>
    </w:p>
    <w:p>
      <w:pPr>
        <w:spacing w:after="0" w:line="1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7"/>
          <w:szCs w:val="17"/>
          <w:color w:val="131413"/>
        </w:rPr>
        <w:t>detection; N.D: no data collected.</w:t>
      </w:r>
    </w:p>
    <w:p>
      <w:pPr>
        <w:sectPr>
          <w:pgSz w:w="10940" w:h="14740" w:orient="portrait"/>
          <w:cols w:equalWidth="0" w:num="1">
            <w:col w:w="9080"/>
          </w:cols>
          <w:pgMar w:left="920" w:top="649" w:right="942" w:bottom="899" w:gutter="0" w:footer="0" w:header="0"/>
          <w:type w:val="continuous"/>
        </w:sectPr>
      </w:pPr>
    </w:p>
    <w:p>
      <w:pPr>
        <w:spacing w:after="0" w:line="393" w:lineRule="exact"/>
        <w:rPr>
          <w:sz w:val="20"/>
          <w:szCs w:val="20"/>
          <w:color w:val="auto"/>
        </w:rPr>
      </w:pPr>
    </w:p>
    <w:p>
      <w:pPr>
        <w:jc w:val="both"/>
        <w:ind w:left="20"/>
        <w:spacing w:after="0" w:line="237"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have important implications. It indicates that within the natural range of nutrient availabilities in tundra ecosystems, the direct comparison/replacement be-tween soil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fluxes and pools has to be made with caution. However, over an extensive (i.e. fertil-ization) soil nutrient gradient, it is relatively robust to use one of these indicators to inform the other. Final-ly, both the fluxes and pools of NO</w:t>
      </w:r>
      <w:r>
        <w:rPr>
          <w:rFonts w:ascii="Times New Roman" w:cs="Times New Roman" w:eastAsia="Times New Roman" w:hAnsi="Times New Roman"/>
          <w:sz w:val="26"/>
          <w:szCs w:val="26"/>
          <w:color w:val="131413"/>
          <w:vertAlign w:val="subscript"/>
        </w:rPr>
        <w:t>3</w:t>
      </w:r>
      <w:r>
        <w:rPr>
          <w:rFonts w:ascii="Times New Roman" w:cs="Times New Roman" w:eastAsia="Times New Roman" w:hAnsi="Times New Roman"/>
          <w:sz w:val="20"/>
          <w:szCs w:val="20"/>
          <w:color w:val="131413"/>
        </w:rPr>
        <w:t xml:space="preserve">-N in this study were mostly below our minimum detection limits (see </w:t>
      </w:r>
      <w:hyperlink w:anchor="page18">
        <w:r>
          <w:rPr>
            <w:rFonts w:ascii="Times New Roman" w:cs="Times New Roman" w:eastAsia="Times New Roman" w:hAnsi="Times New Roman"/>
            <w:sz w:val="20"/>
            <w:szCs w:val="20"/>
            <w:color w:val="0000FF"/>
          </w:rPr>
          <w:t>Materials and methods</w:t>
        </w:r>
      </w:hyperlink>
      <w:r>
        <w:rPr>
          <w:rFonts w:ascii="Times New Roman" w:cs="Times New Roman" w:eastAsia="Times New Roman" w:hAnsi="Times New Roman"/>
          <w:sz w:val="20"/>
          <w:szCs w:val="20"/>
          <w:color w:val="131413"/>
        </w:rPr>
        <w:t>), as has been frequently reported for direct extraction NO</w:t>
      </w:r>
      <w:r>
        <w:rPr>
          <w:rFonts w:ascii="Times New Roman" w:cs="Times New Roman" w:eastAsia="Times New Roman" w:hAnsi="Times New Roman"/>
          <w:sz w:val="26"/>
          <w:szCs w:val="26"/>
          <w:color w:val="131413"/>
          <w:vertAlign w:val="subscript"/>
        </w:rPr>
        <w:t>3</w:t>
      </w:r>
      <w:r>
        <w:rPr>
          <w:rFonts w:ascii="Times New Roman" w:cs="Times New Roman" w:eastAsia="Times New Roman" w:hAnsi="Times New Roman"/>
          <w:sz w:val="20"/>
          <w:szCs w:val="20"/>
          <w:color w:val="131413"/>
        </w:rPr>
        <w:t xml:space="preserve">-N data in many other tundra studies (Edwards et al. </w:t>
      </w:r>
      <w:hyperlink w:anchor="page18">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131413"/>
        </w:rPr>
        <w:t xml:space="preserve">; Giblin et al. </w:t>
      </w:r>
      <w:hyperlink w:anchor="page18">
        <w:r>
          <w:rPr>
            <w:rFonts w:ascii="Times New Roman" w:cs="Times New Roman" w:eastAsia="Times New Roman" w:hAnsi="Times New Roman"/>
            <w:sz w:val="20"/>
            <w:szCs w:val="20"/>
            <w:color w:val="0000FF"/>
          </w:rPr>
          <w:t>1991</w:t>
        </w:r>
      </w:hyperlink>
      <w:r>
        <w:rPr>
          <w:rFonts w:ascii="Times New Roman" w:cs="Times New Roman" w:eastAsia="Times New Roman" w:hAnsi="Times New Roman"/>
          <w:sz w:val="20"/>
          <w:szCs w:val="20"/>
          <w:color w:val="131413"/>
        </w:rPr>
        <w:t>). Our results suggest that it is not just the NO</w:t>
      </w:r>
      <w:r>
        <w:rPr>
          <w:rFonts w:ascii="Times New Roman" w:cs="Times New Roman" w:eastAsia="Times New Roman" w:hAnsi="Times New Roman"/>
          <w:sz w:val="26"/>
          <w:szCs w:val="26"/>
          <w:color w:val="131413"/>
          <w:vertAlign w:val="subscript"/>
        </w:rPr>
        <w:t>3</w:t>
      </w:r>
      <w:r>
        <w:rPr>
          <w:rFonts w:ascii="Times New Roman" w:cs="Times New Roman" w:eastAsia="Times New Roman" w:hAnsi="Times New Roman"/>
          <w:sz w:val="20"/>
          <w:szCs w:val="20"/>
          <w:color w:val="131413"/>
        </w:rPr>
        <w:t>-N pool but also the flux into that pool is very small in tundra soils, presumably as a result of low temperature, low soil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 xml:space="preserve">-N supply, rapid uptake by plants (Liu et al. </w:t>
      </w:r>
      <w:hyperlink w:anchor="page18">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131413"/>
        </w:rPr>
        <w:t>), and denitrifier activity,</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drawing>
          <wp:anchor simplePos="0" relativeHeight="251657728" behindDoc="1" locked="0" layoutInCell="0" allowOverlap="1">
            <wp:simplePos x="0" y="0"/>
            <wp:positionH relativeFrom="column">
              <wp:posOffset>9525</wp:posOffset>
            </wp:positionH>
            <wp:positionV relativeFrom="paragraph">
              <wp:posOffset>222885</wp:posOffset>
            </wp:positionV>
            <wp:extent cx="483870" cy="13843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373" w:lineRule="exact"/>
        <w:rPr>
          <w:rFonts w:ascii="Times New Roman" w:cs="Times New Roman" w:eastAsia="Times New Roman" w:hAnsi="Times New Roman"/>
          <w:sz w:val="20"/>
          <w:szCs w:val="20"/>
          <w:color w:val="131413"/>
        </w:rPr>
      </w:pPr>
    </w:p>
    <w:p>
      <w:pPr>
        <w:jc w:val="both"/>
        <w:spacing w:after="0" w:line="246"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especially in moist and organic-rich surface horizons (Högberg et al. </w:t>
      </w:r>
      <w:hyperlink w:anchor="page18">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131413"/>
        </w:rPr>
        <w:t>).</w:t>
      </w:r>
    </w:p>
    <w:p>
      <w:pPr>
        <w:spacing w:after="0" w:line="294" w:lineRule="exact"/>
        <w:rPr>
          <w:rFonts w:ascii="Times New Roman" w:cs="Times New Roman" w:eastAsia="Times New Roman" w:hAnsi="Times New Roman"/>
          <w:sz w:val="20"/>
          <w:szCs w:val="20"/>
          <w:color w:val="131413"/>
        </w:rPr>
      </w:pPr>
    </w:p>
    <w:p>
      <w:pPr>
        <w:ind w:right="160"/>
        <w:spacing w:after="0" w:line="246" w:lineRule="auto"/>
        <w:rPr>
          <w:sz w:val="20"/>
          <w:szCs w:val="20"/>
          <w:color w:val="auto"/>
        </w:rPr>
      </w:pPr>
      <w:r>
        <w:rPr>
          <w:rFonts w:ascii="Times New Roman" w:cs="Times New Roman" w:eastAsia="Times New Roman" w:hAnsi="Times New Roman"/>
          <w:sz w:val="20"/>
          <w:szCs w:val="20"/>
          <w:color w:val="131413"/>
        </w:rPr>
        <w:t>Soil nutrient availability based on the IEM method is more sensitive than the soil extraction method</w:t>
      </w:r>
    </w:p>
    <w:p>
      <w:pPr>
        <w:spacing w:after="0" w:line="27" w:lineRule="exact"/>
        <w:rPr>
          <w:rFonts w:ascii="Times New Roman" w:cs="Times New Roman" w:eastAsia="Times New Roman" w:hAnsi="Times New Roman"/>
          <w:sz w:val="20"/>
          <w:szCs w:val="20"/>
          <w:color w:val="131413"/>
        </w:rPr>
      </w:pPr>
    </w:p>
    <w:p>
      <w:pPr>
        <w:ind w:right="240"/>
        <w:spacing w:after="0" w:line="244" w:lineRule="auto"/>
        <w:rPr>
          <w:sz w:val="20"/>
          <w:szCs w:val="20"/>
          <w:color w:val="auto"/>
        </w:rPr>
      </w:pPr>
      <w:r>
        <w:rPr>
          <w:rFonts w:ascii="Times New Roman" w:cs="Times New Roman" w:eastAsia="Times New Roman" w:hAnsi="Times New Roman"/>
          <w:sz w:val="20"/>
          <w:szCs w:val="20"/>
          <w:color w:val="131413"/>
        </w:rPr>
        <w:t>for predicting plant nutrient concentration responses to low level fertilization</w:t>
      </w:r>
    </w:p>
    <w:p>
      <w:pPr>
        <w:spacing w:after="0" w:line="280" w:lineRule="exact"/>
        <w:rPr>
          <w:rFonts w:ascii="Times New Roman" w:cs="Times New Roman" w:eastAsia="Times New Roman" w:hAnsi="Times New Roman"/>
          <w:sz w:val="20"/>
          <w:szCs w:val="20"/>
          <w:color w:val="131413"/>
        </w:rPr>
      </w:pPr>
    </w:p>
    <w:p>
      <w:pPr>
        <w:jc w:val="both"/>
        <w:spacing w:after="0" w:line="257"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It is not surprising that both the IEM and soil ex-traction methods detected significant positive effects of high level fertilization treatments on soil N and P availabilities, and that these effects were also reflected in tundra plant species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foliar N and P concentrations (Semenchuk et al. </w:t>
      </w:r>
      <w:hyperlink w:anchor="page18">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131413"/>
        </w:rPr>
        <w:t>). What</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more interesting, however, was that the IEM method captured both the low level N and low level P fertilization effects whereas the soil extraction</w:t>
      </w:r>
    </w:p>
    <w:p>
      <w:pPr>
        <w:sectPr>
          <w:pgSz w:w="10940" w:h="14740" w:orient="portrait"/>
          <w:cols w:equalWidth="0" w:num="2">
            <w:col w:w="4320" w:space="460"/>
            <w:col w:w="4300"/>
          </w:cols>
          <w:pgMar w:left="920" w:top="649" w:right="942" w:bottom="899" w:gutter="0" w:footer="0" w:header="0"/>
          <w:type w:val="continuous"/>
        </w:sectPr>
      </w:pPr>
    </w:p>
    <w:bookmarkStart w:id="14" w:name="page15"/>
    <w:bookmarkEnd w:id="14"/>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27940</wp:posOffset>
            </wp:positionV>
            <wp:extent cx="5779135" cy="499935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7">
                      <a:extLst>
                        <a:ext uri="{28A0092B-C50C-407E-A947-70E740481C1C}"/>
                      </a:extLst>
                    </a:blip>
                    <a:srcRect/>
                    <a:stretch>
                      <a:fillRect/>
                    </a:stretch>
                  </pic:blipFill>
                  <pic:spPr bwMode="auto">
                    <a:xfrm>
                      <a:off x="0" y="0"/>
                      <a:ext cx="5779135" cy="4999355"/>
                    </a:xfrm>
                    <a:prstGeom prst="rect">
                      <a:avLst/>
                    </a:prstGeom>
                    <a:noFill/>
                  </pic:spPr>
                </pic:pic>
              </a:graphicData>
            </a:graphic>
          </wp:anchor>
        </w:drawing>
      </w:r>
    </w:p>
    <w:p>
      <w:pPr>
        <w:sectPr>
          <w:pgSz w:w="10940" w:h="14740" w:orient="portrait"/>
          <w:cols w:equalWidth="0" w:num="1">
            <w:col w:w="9060"/>
          </w:cols>
          <w:pgMar w:left="940" w:top="649" w:right="942" w:bottom="8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16"/>
          <w:szCs w:val="16"/>
          <w:color w:val="131413"/>
        </w:rPr>
        <w:t>Fig. 3 Greenhouse warming and snowfence treatment effects on temporal soil NH</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-N fluxes (a, c) and PO</w:t>
      </w:r>
      <w:r>
        <w:rPr>
          <w:rFonts w:ascii="Times New Roman" w:cs="Times New Roman" w:eastAsia="Times New Roman" w:hAnsi="Times New Roman"/>
          <w:sz w:val="21"/>
          <w:szCs w:val="21"/>
          <w:color w:val="131413"/>
          <w:vertAlign w:val="subscript"/>
        </w:rPr>
        <w:t>4</w:t>
      </w:r>
      <w:r>
        <w:rPr>
          <w:rFonts w:ascii="Times New Roman" w:cs="Times New Roman" w:eastAsia="Times New Roman" w:hAnsi="Times New Roman"/>
          <w:sz w:val="16"/>
          <w:szCs w:val="16"/>
          <w:color w:val="131413"/>
        </w:rPr>
        <w:t xml:space="preserve">-P fluxes (b, d) within the 2017 growing season (note the varying Y axis flux scales used for the different figures). R1 indicates the first incubation round (June 25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July 4), R2 (second incubation July 4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July 13), R3 (third incubation July 13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July 22), R4 (fourth incubation July 22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both"/>
        <w:spacing w:after="0"/>
        <w:rPr>
          <w:sz w:val="20"/>
          <w:szCs w:val="20"/>
          <w:color w:val="auto"/>
        </w:rPr>
      </w:pP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July 31), R5 (fifth incubation July 31</w:t>
      </w:r>
      <w:r>
        <w:rPr>
          <w:rFonts w:ascii="Arial" w:cs="Arial" w:eastAsia="Arial" w:hAnsi="Arial"/>
          <w:sz w:val="17"/>
          <w:szCs w:val="17"/>
          <w:color w:val="131413"/>
        </w:rPr>
        <w:t xml:space="preserve"> – </w:t>
      </w:r>
      <w:r>
        <w:rPr>
          <w:rFonts w:ascii="Times New Roman" w:cs="Times New Roman" w:eastAsia="Times New Roman" w:hAnsi="Times New Roman"/>
          <w:sz w:val="17"/>
          <w:szCs w:val="17"/>
          <w:color w:val="131413"/>
        </w:rPr>
        <w:t>August 17), and R6 (sixth</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 xml:space="preserve">incubation August 17 </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August 26). Different labels (a, b, and c) indicate significant differences among incubation rounds at level of </w:t>
      </w:r>
      <w:r>
        <w:rPr>
          <w:rFonts w:ascii="Arial" w:cs="Arial" w:eastAsia="Arial" w:hAnsi="Arial"/>
          <w:sz w:val="17"/>
          <w:szCs w:val="17"/>
          <w:color w:val="131413"/>
        </w:rPr>
        <w:t>α</w:t>
      </w:r>
      <w:r>
        <w:rPr>
          <w:rFonts w:ascii="Times New Roman" w:cs="Times New Roman" w:eastAsia="Times New Roman" w:hAnsi="Times New Roman"/>
          <w:sz w:val="17"/>
          <w:szCs w:val="17"/>
          <w:color w:val="131413"/>
        </w:rPr>
        <w:t xml:space="preserve"> = 0.05 (n = 20 for a, and n = 10 for b, c and d). Error bars are standard errors</w:t>
      </w:r>
    </w:p>
    <w:p>
      <w:pPr>
        <w:spacing w:after="0" w:line="401" w:lineRule="exact"/>
        <w:rPr>
          <w:sz w:val="20"/>
          <w:szCs w:val="20"/>
          <w:color w:val="auto"/>
        </w:rPr>
      </w:pPr>
    </w:p>
    <w:p>
      <w:pPr>
        <w:sectPr>
          <w:pgSz w:w="10940" w:h="14740" w:orient="portrait"/>
          <w:cols w:equalWidth="0" w:num="2">
            <w:col w:w="4300" w:space="460"/>
            <w:col w:w="4300"/>
          </w:cols>
          <w:pgMar w:left="940" w:top="649" w:right="942" w:bottom="886" w:gutter="0" w:footer="0" w:header="0"/>
          <w:type w:val="continuous"/>
        </w:sectPr>
      </w:pPr>
    </w:p>
    <w:p>
      <w:pPr>
        <w:spacing w:after="0" w:line="79" w:lineRule="exact"/>
        <w:rPr>
          <w:sz w:val="20"/>
          <w:szCs w:val="20"/>
          <w:color w:val="auto"/>
        </w:rPr>
      </w:pPr>
    </w:p>
    <w:p>
      <w:pPr>
        <w:jc w:val="both"/>
        <w:spacing w:after="0" w:line="251"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method did not. Together, the plant and soil data consistently indicate that the IEM method was more sensitive than the extraction method in detecting small, yet biologically meaningful, differences in soil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and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 xml:space="preserve">-P availability. Therefore, we conclude that the IEM method is a superior ap-proach to measuring soil nutrient availability in typ-ical ambient fertility environments not just in tem-perate mineral-soil dominated ecosystems (Duran et al. </w:t>
      </w:r>
      <w:hyperlink w:anchor="page18">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131413"/>
        </w:rPr>
        <w:t xml:space="preserve">; Ziadi et al. </w:t>
      </w:r>
      <w:hyperlink w:anchor="page18">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131413"/>
        </w:rPr>
        <w:t>), both also in the typical highly organic surface soil of many tundra ecosystems.</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p>
      <w:pPr>
        <w:ind w:right="180"/>
        <w:spacing w:after="0" w:line="233" w:lineRule="auto"/>
        <w:rPr>
          <w:sz w:val="20"/>
          <w:szCs w:val="20"/>
          <w:color w:val="auto"/>
        </w:rPr>
      </w:pPr>
      <w:r>
        <w:rPr>
          <w:rFonts w:ascii="Times New Roman" w:cs="Times New Roman" w:eastAsia="Times New Roman" w:hAnsi="Times New Roman"/>
          <w:sz w:val="20"/>
          <w:szCs w:val="20"/>
          <w:color w:val="131413"/>
        </w:rPr>
        <w:t>Soil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and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-P fluxes changed greatly over short periods within the growing season, while summer greenhouse warming significantly increased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-P flux but not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flux</w:t>
      </w:r>
    </w:p>
    <w:p>
      <w:pPr>
        <w:spacing w:after="0" w:line="265" w:lineRule="exact"/>
        <w:rPr>
          <w:sz w:val="20"/>
          <w:szCs w:val="20"/>
          <w:color w:val="auto"/>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Soil mineral nutrient fluxes from the summer green-house warming plots, the snowfence plots, and their associated control plots were highly variable over short periods within the growing season. These big fluctua-tions most likely reflected the combined consequences of changes in weather conditions (especially tempera-ture and moisture) (Cassman and Munns </w:t>
      </w:r>
      <w:hyperlink w:anchor="page18">
        <w:r>
          <w:rPr>
            <w:rFonts w:ascii="Times New Roman" w:cs="Times New Roman" w:eastAsia="Times New Roman" w:hAnsi="Times New Roman"/>
            <w:sz w:val="19"/>
            <w:szCs w:val="19"/>
            <w:color w:val="0000FF"/>
          </w:rPr>
          <w:t>1980</w:t>
        </w:r>
      </w:hyperlink>
      <w:r>
        <w:rPr>
          <w:rFonts w:ascii="Times New Roman" w:cs="Times New Roman" w:eastAsia="Times New Roman" w:hAnsi="Times New Roman"/>
          <w:sz w:val="19"/>
          <w:szCs w:val="19"/>
          <w:color w:val="131413"/>
        </w:rPr>
        <w:t>; Ellert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2253615</wp:posOffset>
            </wp:positionH>
            <wp:positionV relativeFrom="paragraph">
              <wp:posOffset>196850</wp:posOffset>
            </wp:positionV>
            <wp:extent cx="483870" cy="13843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886" w:gutter="0" w:footer="0" w:header="0"/>
          <w:type w:val="continuous"/>
        </w:sectPr>
      </w:pPr>
    </w:p>
    <w:bookmarkStart w:id="15" w:name="page16"/>
    <w:bookmarkEnd w:id="15"/>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1188720</wp:posOffset>
            </wp:positionH>
            <wp:positionV relativeFrom="paragraph">
              <wp:posOffset>120015</wp:posOffset>
            </wp:positionV>
            <wp:extent cx="873760" cy="16573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ext uri="{28A0092B-C50C-407E-A947-70E740481C1C}"/>
                      </a:extLst>
                    </a:blip>
                    <a:srcRect/>
                    <a:stretch>
                      <a:fillRect/>
                    </a:stretch>
                  </pic:blipFill>
                  <pic:spPr bwMode="auto">
                    <a:xfrm>
                      <a:off x="0" y="0"/>
                      <a:ext cx="873760" cy="16573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16"/>
          <w:szCs w:val="16"/>
          <w:color w:val="131413"/>
        </w:rPr>
        <w:t>Fig. 4 Effects of greenhouse warming treatment (n = 20) and snowfence treatment (n = 10), respectively, on aboveground vas-cular plant community biomass in 2017. Mean aboveground plant community biomass was 197 g/m</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(SD = 93) in the controls for greenhouse warming plots, 262 g/m</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(SD = 86) in the greenhouse warming plots, 142 g/m</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(SD = 58) in the controls for snowfence plots, and 151 g/m</w:t>
      </w:r>
      <w:r>
        <w:rPr>
          <w:rFonts w:ascii="Times New Roman" w:cs="Times New Roman" w:eastAsia="Times New Roman" w:hAnsi="Times New Roman"/>
          <w:sz w:val="21"/>
          <w:szCs w:val="21"/>
          <w:color w:val="131413"/>
          <w:vertAlign w:val="superscript"/>
        </w:rPr>
        <w:t>2</w:t>
      </w:r>
      <w:r>
        <w:rPr>
          <w:rFonts w:ascii="Times New Roman" w:cs="Times New Roman" w:eastAsia="Times New Roman" w:hAnsi="Times New Roman"/>
          <w:sz w:val="16"/>
          <w:szCs w:val="16"/>
          <w:color w:val="131413"/>
        </w:rPr>
        <w:t xml:space="preserve"> (SD = 54) in the snowfence plots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-3727450</wp:posOffset>
            </wp:positionV>
            <wp:extent cx="2736215" cy="27781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0">
                      <a:extLst>
                        <a:ext uri="{28A0092B-C50C-407E-A947-70E740481C1C}"/>
                      </a:extLst>
                    </a:blip>
                    <a:srcRect/>
                    <a:stretch>
                      <a:fillRect/>
                    </a:stretch>
                  </pic:blipFill>
                  <pic:spPr bwMode="auto">
                    <a:xfrm>
                      <a:off x="0" y="0"/>
                      <a:ext cx="2736215" cy="2778125"/>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-3727450</wp:posOffset>
            </wp:positionV>
            <wp:extent cx="2736215" cy="277812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1">
                      <a:extLst>
                        <a:ext uri="{28A0092B-C50C-407E-A947-70E740481C1C}"/>
                      </a:extLst>
                    </a:blip>
                    <a:srcRect/>
                    <a:stretch>
                      <a:fillRect/>
                    </a:stretch>
                  </pic:blipFill>
                  <pic:spPr bwMode="auto">
                    <a:xfrm>
                      <a:off x="0" y="0"/>
                      <a:ext cx="2736215" cy="2778125"/>
                    </a:xfrm>
                    <a:prstGeom prst="rect">
                      <a:avLst/>
                    </a:prstGeom>
                    <a:noFill/>
                  </pic:spPr>
                </pic:pic>
              </a:graphicData>
            </a:graphic>
          </wp:anchor>
        </w:drawing>
      </w:r>
    </w:p>
    <w:p>
      <w:pPr>
        <w:spacing w:after="0" w:line="288" w:lineRule="exact"/>
        <w:rPr>
          <w:sz w:val="20"/>
          <w:szCs w:val="20"/>
          <w:color w:val="auto"/>
        </w:rPr>
      </w:pPr>
    </w:p>
    <w:p>
      <w:pPr>
        <w:jc w:val="both"/>
        <w:spacing w:after="0" w:line="251"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and Bettany </w:t>
      </w:r>
      <w:hyperlink w:anchor="page18">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131413"/>
        </w:rPr>
        <w:t xml:space="preserve">; Ziadi et al. </w:t>
      </w:r>
      <w:hyperlink w:anchor="page18">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131413"/>
        </w:rPr>
        <w:t xml:space="preserve">), plant uptake (Chapin and Shaver </w:t>
      </w:r>
      <w:hyperlink w:anchor="page18">
        <w:r>
          <w:rPr>
            <w:rFonts w:ascii="Times New Roman" w:cs="Times New Roman" w:eastAsia="Times New Roman" w:hAnsi="Times New Roman"/>
            <w:sz w:val="20"/>
            <w:szCs w:val="20"/>
            <w:color w:val="0000FF"/>
          </w:rPr>
          <w:t>1989</w:t>
        </w:r>
      </w:hyperlink>
      <w:r>
        <w:rPr>
          <w:rFonts w:ascii="Times New Roman" w:cs="Times New Roman" w:eastAsia="Times New Roman" w:hAnsi="Times New Roman"/>
          <w:sz w:val="20"/>
          <w:szCs w:val="20"/>
          <w:color w:val="131413"/>
        </w:rPr>
        <w:t>), and soil microbial immobilization/mineralization rates that are all closely interlinked.</w:t>
      </w:r>
    </w:p>
    <w:p>
      <w:pPr>
        <w:spacing w:after="0" w:line="1" w:lineRule="exact"/>
        <w:rPr>
          <w:rFonts w:ascii="Times New Roman" w:cs="Times New Roman" w:eastAsia="Times New Roman" w:hAnsi="Times New Roman"/>
          <w:sz w:val="20"/>
          <w:szCs w:val="20"/>
          <w:color w:val="131413"/>
        </w:rPr>
      </w:pPr>
    </w:p>
    <w:p>
      <w:pPr>
        <w:jc w:val="both"/>
        <w:ind w:firstLine="227"/>
        <w:spacing w:after="0" w:line="271"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The significant increases in soil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fluxes (but not in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fluxes) under the summer warming treatment suggest that the warmer greenhouse soil temperatures stimulated net P mineralization. The magnitude of in-crease for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 xml:space="preserve">-P fluxes (by 3- to 7.6-fold) was similar to another tundra study using exchange resin bags to esti-mate the effects of elevated temperature on soil nutrient availability (Chapin et al. </w:t>
      </w:r>
      <w:hyperlink w:anchor="page18">
        <w:r>
          <w:rPr>
            <w:rFonts w:ascii="Times New Roman" w:cs="Times New Roman" w:eastAsia="Times New Roman" w:hAnsi="Times New Roman"/>
            <w:sz w:val="18"/>
            <w:szCs w:val="18"/>
            <w:color w:val="0000FF"/>
          </w:rPr>
          <w:t>1995</w:t>
        </w:r>
      </w:hyperlink>
      <w:r>
        <w:rPr>
          <w:rFonts w:ascii="Times New Roman" w:cs="Times New Roman" w:eastAsia="Times New Roman" w:hAnsi="Times New Roman"/>
          <w:sz w:val="18"/>
          <w:szCs w:val="18"/>
          <w:color w:val="131413"/>
        </w:rPr>
        <w:t xml:space="preserve">). Soil microbial biomass is one of the largest reservoirs of potentially available soil P (but not for soil N) in tundra soils (Giblin et al. </w:t>
      </w:r>
      <w:hyperlink w:anchor="page18">
        <w:r>
          <w:rPr>
            <w:rFonts w:ascii="Times New Roman" w:cs="Times New Roman" w:eastAsia="Times New Roman" w:hAnsi="Times New Roman"/>
            <w:sz w:val="18"/>
            <w:szCs w:val="18"/>
            <w:color w:val="0000FF"/>
          </w:rPr>
          <w:t>1991</w:t>
        </w:r>
      </w:hyperlink>
      <w:r>
        <w:rPr>
          <w:rFonts w:ascii="Times New Roman" w:cs="Times New Roman" w:eastAsia="Times New Roman" w:hAnsi="Times New Roman"/>
          <w:sz w:val="18"/>
          <w:szCs w:val="18"/>
          <w:color w:val="131413"/>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Jonasson et al.</w:t>
      </w:r>
      <w:r>
        <w:rPr>
          <w:rFonts w:ascii="Times New Roman" w:cs="Times New Roman" w:eastAsia="Times New Roman" w:hAnsi="Times New Roman"/>
          <w:sz w:val="18"/>
          <w:szCs w:val="18"/>
          <w:color w:val="0000FF"/>
        </w:rPr>
        <w:t xml:space="preserve"> </w:t>
      </w:r>
      <w:hyperlink w:anchor="page18">
        <w:r>
          <w:rPr>
            <w:rFonts w:ascii="Times New Roman" w:cs="Times New Roman" w:eastAsia="Times New Roman" w:hAnsi="Times New Roman"/>
            <w:sz w:val="18"/>
            <w:szCs w:val="18"/>
            <w:color w:val="0000FF"/>
          </w:rPr>
          <w:t>1996</w:t>
        </w:r>
      </w:hyperlink>
      <w:r>
        <w:rPr>
          <w:rFonts w:ascii="Times New Roman" w:cs="Times New Roman" w:eastAsia="Times New Roman" w:hAnsi="Times New Roman"/>
          <w:sz w:val="18"/>
          <w:szCs w:val="18"/>
          <w:color w:val="131413"/>
        </w:rPr>
        <w:t>). In addition, large amounts</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of exchangeable P are occluded in tundra soil organic matter (Chapin III et al. </w:t>
      </w:r>
      <w:hyperlink w:anchor="page18">
        <w:r>
          <w:rPr>
            <w:rFonts w:ascii="Times New Roman" w:cs="Times New Roman" w:eastAsia="Times New Roman" w:hAnsi="Times New Roman"/>
            <w:sz w:val="18"/>
            <w:szCs w:val="18"/>
            <w:color w:val="0000FF"/>
          </w:rPr>
          <w:t>1978</w:t>
        </w:r>
      </w:hyperlink>
      <w:r>
        <w:rPr>
          <w:rFonts w:ascii="Times New Roman" w:cs="Times New Roman" w:eastAsia="Times New Roman" w:hAnsi="Times New Roman"/>
          <w:sz w:val="18"/>
          <w:szCs w:val="18"/>
          <w:color w:val="131413"/>
        </w:rPr>
        <w:t xml:space="preserve">; Walker and Syers </w:t>
      </w:r>
      <w:hyperlink w:anchor="page18">
        <w:r>
          <w:rPr>
            <w:rFonts w:ascii="Times New Roman" w:cs="Times New Roman" w:eastAsia="Times New Roman" w:hAnsi="Times New Roman"/>
            <w:sz w:val="18"/>
            <w:szCs w:val="18"/>
            <w:color w:val="0000FF"/>
          </w:rPr>
          <w:t>1976</w:t>
        </w:r>
      </w:hyperlink>
      <w:r>
        <w:rPr>
          <w:rFonts w:ascii="Times New Roman" w:cs="Times New Roman" w:eastAsia="Times New Roman" w:hAnsi="Times New Roman"/>
          <w:sz w:val="18"/>
          <w:szCs w:val="18"/>
          <w:color w:val="131413"/>
        </w:rPr>
        <w:t xml:space="preserve">; Weintraub </w:t>
      </w:r>
      <w:hyperlink w:anchor="page18">
        <w:r>
          <w:rPr>
            <w:rFonts w:ascii="Times New Roman" w:cs="Times New Roman" w:eastAsia="Times New Roman" w:hAnsi="Times New Roman"/>
            <w:sz w:val="18"/>
            <w:szCs w:val="18"/>
            <w:color w:val="0000FF"/>
          </w:rPr>
          <w:t>2011</w:t>
        </w:r>
      </w:hyperlink>
      <w:r>
        <w:rPr>
          <w:rFonts w:ascii="Times New Roman" w:cs="Times New Roman" w:eastAsia="Times New Roman" w:hAnsi="Times New Roman"/>
          <w:sz w:val="18"/>
          <w:szCs w:val="18"/>
          <w:color w:val="131413"/>
        </w:rPr>
        <w:t>). Accordingly, P mineralization and re-mineralization mediated by soil microbes is responsible for replenishing most or all of the soil solution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 xml:space="preserve">-P (Chapin III et al. </w:t>
      </w:r>
      <w:hyperlink w:anchor="page18">
        <w:r>
          <w:rPr>
            <w:rFonts w:ascii="Times New Roman" w:cs="Times New Roman" w:eastAsia="Times New Roman" w:hAnsi="Times New Roman"/>
            <w:sz w:val="18"/>
            <w:szCs w:val="18"/>
            <w:color w:val="0000FF"/>
          </w:rPr>
          <w:t>1978</w:t>
        </w:r>
      </w:hyperlink>
      <w:r>
        <w:rPr>
          <w:rFonts w:ascii="Times New Roman" w:cs="Times New Roman" w:eastAsia="Times New Roman" w:hAnsi="Times New Roman"/>
          <w:sz w:val="18"/>
          <w:szCs w:val="18"/>
          <w:color w:val="131413"/>
        </w:rPr>
        <w:t xml:space="preserve">; Giblin et al. </w:t>
      </w:r>
      <w:hyperlink w:anchor="page18">
        <w:r>
          <w:rPr>
            <w:rFonts w:ascii="Times New Roman" w:cs="Times New Roman" w:eastAsia="Times New Roman" w:hAnsi="Times New Roman"/>
            <w:sz w:val="18"/>
            <w:szCs w:val="18"/>
            <w:color w:val="0000FF"/>
          </w:rPr>
          <w:t>1991</w:t>
        </w:r>
      </w:hyperlink>
      <w:r>
        <w:rPr>
          <w:rFonts w:ascii="Times New Roman" w:cs="Times New Roman" w:eastAsia="Times New Roman" w:hAnsi="Times New Roman"/>
          <w:sz w:val="18"/>
          <w:szCs w:val="18"/>
          <w:color w:val="131413"/>
        </w:rPr>
        <w:t>). As a result, the increases in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fluxes in the greenhouse warming plots may be largely due to an increase in soil microbial net P mineralization in response to a warmer</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-2540</wp:posOffset>
            </wp:positionH>
            <wp:positionV relativeFrom="paragraph">
              <wp:posOffset>199390</wp:posOffset>
            </wp:positionV>
            <wp:extent cx="483870" cy="13843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br w:type="column"/>
      </w:r>
    </w:p>
    <w:p>
      <w:pPr>
        <w:spacing w:after="0" w:line="243" w:lineRule="exact"/>
        <w:rPr>
          <w:rFonts w:ascii="Times New Roman" w:cs="Times New Roman" w:eastAsia="Times New Roman" w:hAnsi="Times New Roman"/>
          <w:sz w:val="18"/>
          <w:szCs w:val="18"/>
          <w:color w:val="131413"/>
        </w:rPr>
      </w:pPr>
    </w:p>
    <w:p>
      <w:pPr>
        <w:jc w:val="both"/>
        <w:spacing w:after="0" w:line="259"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environment. Similarly, experimental warming in-creased net P mineralization, but not net N mineraliza-tion, in soils at a fellfield heath tundra site (Schmidt et al. </w:t>
      </w:r>
      <w:hyperlink w:anchor="page18">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131413"/>
        </w:rPr>
        <w:t>). However, it is important to note that our study</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yields fundamentally different data to the fellfield study because the IEM method inherently includes the impact of plant uptake on net fluxes, whereas the older buried bag method physically excludes roots. Hence, the green-house warming-enhanced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 that we observed is a net flux to the IEMs that occurred in the presence of potential competition by roots for P uptake. Therefore, even though we saw no corresponding net increase in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flux to the IEMs, it is quite feasible that the greenhouses significantly enhanced soil fluxes of both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and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-N, but that the plant community (-whose growth was significantly stimulated by the warming treatment (Fig. </w:t>
      </w:r>
      <w:hyperlink w:anchor="page1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131413"/>
        </w:rPr>
        <w:t>), and whose growth demand for N is relatively high compared to P) outcompeted the IEMs for the latter.</w:t>
      </w:r>
    </w:p>
    <w:p>
      <w:pPr>
        <w:spacing w:after="0" w:line="200" w:lineRule="exact"/>
        <w:rPr>
          <w:sz w:val="20"/>
          <w:szCs w:val="20"/>
          <w:color w:val="auto"/>
        </w:rPr>
      </w:pPr>
    </w:p>
    <w:p>
      <w:pPr>
        <w:spacing w:after="0" w:line="327"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0"/>
          <w:szCs w:val="20"/>
          <w:color w:val="131413"/>
        </w:rPr>
        <w:t>Plant biomass responses in the greenhouse warming and snowfenced experimental treatments corresponded well with soil nutrient status indicated by the IEM flux data</w:t>
      </w:r>
    </w:p>
    <w:p>
      <w:pPr>
        <w:spacing w:after="0" w:line="268" w:lineRule="exact"/>
        <w:rPr>
          <w:sz w:val="20"/>
          <w:szCs w:val="20"/>
          <w:color w:val="auto"/>
        </w:rPr>
      </w:pPr>
    </w:p>
    <w:p>
      <w:pPr>
        <w:jc w:val="both"/>
        <w:spacing w:after="0" w:line="275"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The fact that aboveground plant community biomass was 1.6-fold higher, combined with earlier measure-ments indicating that plant community biomass N and P pools were 1.6-fold and 1.7-fold higher respectively in these same greenhouse warming and control plots (Zamin et al. </w:t>
      </w:r>
      <w:hyperlink w:anchor="page18">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indicates that the greenhouse treat-ment enhanced the availabilities of both these soil nu-trients. Our IEM results here confirm an increase in soil PO</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-P fluxes. Furthermore, as explained above, al-though we did not detect a net increase in soil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fluxes to the IEMs, this result may be because enhanced greenhouse plant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-N uptake was of sufficient mag-nitude to fully account for a warming-induced increase in soil NH</w:t>
      </w:r>
      <w:r>
        <w:rPr>
          <w:rFonts w:ascii="Times New Roman" w:cs="Times New Roman" w:eastAsia="Times New Roman" w:hAnsi="Times New Roman"/>
          <w:sz w:val="23"/>
          <w:szCs w:val="23"/>
          <w:color w:val="131413"/>
          <w:vertAlign w:val="subscript"/>
        </w:rPr>
        <w:t>4</w:t>
      </w:r>
      <w:r>
        <w:rPr>
          <w:rFonts w:ascii="Times New Roman" w:cs="Times New Roman" w:eastAsia="Times New Roman" w:hAnsi="Times New Roman"/>
          <w:sz w:val="18"/>
          <w:szCs w:val="18"/>
          <w:color w:val="131413"/>
        </w:rPr>
        <w:t xml:space="preserve">-N production. In addition, or alternatively, the greenhouse treatment may have enhanced supply of other soil N forms such as dissolved organic N which is readily taken up by a variety of tundra plant species (McKane et al. </w:t>
      </w:r>
      <w:hyperlink w:anchor="page18">
        <w:r>
          <w:rPr>
            <w:rFonts w:ascii="Times New Roman" w:cs="Times New Roman" w:eastAsia="Times New Roman" w:hAnsi="Times New Roman"/>
            <w:sz w:val="18"/>
            <w:szCs w:val="18"/>
            <w:color w:val="0000FF"/>
          </w:rPr>
          <w:t>2002</w:t>
        </w:r>
      </w:hyperlink>
      <w:r>
        <w:rPr>
          <w:rFonts w:ascii="Times New Roman" w:cs="Times New Roman" w:eastAsia="Times New Roman" w:hAnsi="Times New Roman"/>
          <w:sz w:val="18"/>
          <w:szCs w:val="18"/>
          <w:color w:val="131413"/>
        </w:rPr>
        <w:t>). Finally, the snowfence results were consistent in that neither plant community biomass nor soil nutrient fluxes were significantly affected by the treatment. Taken together, these observations all suggest that the IEM method provided reliable insights on ex-perimental treatment effects on soil nutrient status that</w:t>
      </w:r>
    </w:p>
    <w:p>
      <w:pPr>
        <w:sectPr>
          <w:pgSz w:w="10940" w:h="14740" w:orient="portrait"/>
          <w:cols w:equalWidth="0" w:num="2">
            <w:col w:w="4300" w:space="460"/>
            <w:col w:w="4300"/>
          </w:cols>
          <w:pgMar w:left="940" w:top="649" w:right="942" w:bottom="886" w:gutter="0" w:footer="0" w:header="0"/>
          <w:type w:val="continuous"/>
        </w:sectPr>
      </w:pPr>
    </w:p>
    <w:bookmarkStart w:id="16" w:name="page17"/>
    <w:bookmarkEnd w:id="16"/>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879" w:gutter="0" w:footer="0" w:header="0"/>
        </w:sectPr>
      </w:pPr>
    </w:p>
    <w:p>
      <w:pPr>
        <w:spacing w:after="0" w:line="26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131413"/>
        </w:rPr>
        <w:t>were biologically meaningful in predicting plant com-munity responses.</w:t>
      </w:r>
    </w:p>
    <w:p>
      <w:pPr>
        <w:spacing w:after="0" w:line="230" w:lineRule="exact"/>
        <w:rPr>
          <w:sz w:val="20"/>
          <w:szCs w:val="20"/>
          <w:color w:val="auto"/>
        </w:rPr>
      </w:pPr>
    </w:p>
    <w:p>
      <w:pPr>
        <w:ind w:right="400"/>
        <w:spacing w:after="0" w:line="205" w:lineRule="auto"/>
        <w:rPr>
          <w:sz w:val="20"/>
          <w:szCs w:val="20"/>
          <w:color w:val="auto"/>
        </w:rPr>
      </w:pPr>
      <w:r>
        <w:rPr>
          <w:rFonts w:ascii="Times New Roman" w:cs="Times New Roman" w:eastAsia="Times New Roman" w:hAnsi="Times New Roman"/>
          <w:sz w:val="20"/>
          <w:szCs w:val="20"/>
          <w:color w:val="131413"/>
        </w:rPr>
        <w:t>High temporal variation in soil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and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-P availability</w:t>
      </w:r>
    </w:p>
    <w:p>
      <w:pPr>
        <w:spacing w:after="0" w:line="236" w:lineRule="exact"/>
        <w:rPr>
          <w:sz w:val="20"/>
          <w:szCs w:val="20"/>
          <w:color w:val="auto"/>
        </w:rPr>
      </w:pPr>
    </w:p>
    <w:p>
      <w:pPr>
        <w:jc w:val="both"/>
        <w:spacing w:after="0" w:line="27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Our NH</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-N and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IEM fluxes were highly tempo-rally variable: the lack of a temporal autocorrelation effect on each of the soil nutrient fluxes (see </w:t>
      </w:r>
      <w:r>
        <w:rPr>
          <w:rFonts w:ascii="Arial" w:cs="Arial" w:eastAsia="Arial" w:hAnsi="Arial"/>
          <w:sz w:val="19"/>
          <w:szCs w:val="19"/>
          <w:color w:val="131413"/>
        </w:rPr>
        <w:t>“</w:t>
      </w:r>
      <w:hyperlink w:anchor="page18">
        <w:r>
          <w:rPr>
            <w:rFonts w:ascii="Times New Roman" w:cs="Times New Roman" w:eastAsia="Times New Roman" w:hAnsi="Times New Roman"/>
            <w:sz w:val="19"/>
            <w:szCs w:val="19"/>
            <w:color w:val="0000FF"/>
          </w:rPr>
          <w:t>Statistical</w:t>
        </w:r>
      </w:hyperlink>
      <w:r>
        <w:rPr>
          <w:rFonts w:ascii="Times New Roman" w:cs="Times New Roman" w:eastAsia="Times New Roman" w:hAnsi="Times New Roman"/>
          <w:sz w:val="19"/>
          <w:szCs w:val="19"/>
          <w:color w:val="131413"/>
        </w:rPr>
        <w:t xml:space="preserve"> </w:t>
      </w:r>
      <w:hyperlink w:anchor="page18">
        <w:r>
          <w:rPr>
            <w:rFonts w:ascii="Times New Roman" w:cs="Times New Roman" w:eastAsia="Times New Roman" w:hAnsi="Times New Roman"/>
            <w:sz w:val="19"/>
            <w:szCs w:val="19"/>
            <w:color w:val="0000FF"/>
          </w:rPr>
          <w:t>analyses</w:t>
        </w:r>
      </w:hyperlink>
      <w:r>
        <w:rPr>
          <w:rFonts w:ascii="Arial" w:cs="Arial" w:eastAsia="Arial" w:hAnsi="Arial"/>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for details) indicates that microsite areas of</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relatively high nutrient availability did not persist over periods of weeks within a single growing season. Thus, we conclude that this mesic birch hummock tundra ecosystem contains a highly localized soil nutrient en-vironment in which the duration of </w:t>
      </w:r>
      <w:r>
        <w:rPr>
          <w:rFonts w:ascii="Arial" w:cs="Arial" w:eastAsia="Arial" w:hAnsi="Arial"/>
          <w:sz w:val="19"/>
          <w:szCs w:val="19"/>
          <w:color w:val="131413"/>
        </w:rPr>
        <w:t>“</w:t>
      </w:r>
      <w:r>
        <w:rPr>
          <w:rFonts w:ascii="Times New Roman" w:cs="Times New Roman" w:eastAsia="Times New Roman" w:hAnsi="Times New Roman"/>
          <w:sz w:val="19"/>
          <w:szCs w:val="19"/>
          <w:color w:val="131413"/>
        </w:rPr>
        <w:t>hotspots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of plant available N and P were dynamically changing within weeks, and therefore difficult to predict. This conclusion is important in that it implies dramatic impacts on plants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foraging behavior (Hutchings and de Kroon </w:t>
      </w:r>
      <w:hyperlink w:anchor="page18">
        <w:r>
          <w:rPr>
            <w:rFonts w:ascii="Times New Roman" w:cs="Times New Roman" w:eastAsia="Times New Roman" w:hAnsi="Times New Roman"/>
            <w:sz w:val="19"/>
            <w:szCs w:val="19"/>
            <w:color w:val="0000FF"/>
          </w:rPr>
          <w:t>1994</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and their overall fitness (Wijesinghe and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Hutchings </w:t>
      </w:r>
      <w:hyperlink w:anchor="page18">
        <w:r>
          <w:rPr>
            <w:rFonts w:ascii="Times New Roman" w:cs="Times New Roman" w:eastAsia="Times New Roman" w:hAnsi="Times New Roman"/>
            <w:sz w:val="19"/>
            <w:szCs w:val="19"/>
            <w:color w:val="0000FF"/>
          </w:rPr>
          <w:t>1997</w:t>
        </w:r>
      </w:hyperlink>
      <w:r>
        <w:rPr>
          <w:rFonts w:ascii="Times New Roman" w:cs="Times New Roman" w:eastAsia="Times New Roman" w:hAnsi="Times New Roman"/>
          <w:sz w:val="19"/>
          <w:szCs w:val="19"/>
          <w:color w:val="131413"/>
        </w:rPr>
        <w:t>).</w:t>
      </w:r>
    </w:p>
    <w:p>
      <w:pPr>
        <w:spacing w:after="0" w:line="250" w:lineRule="exact"/>
        <w:rPr>
          <w:rFonts w:ascii="Times New Roman" w:cs="Times New Roman" w:eastAsia="Times New Roman" w:hAnsi="Times New Roman"/>
          <w:sz w:val="19"/>
          <w:szCs w:val="19"/>
          <w:color w:val="0000FF"/>
        </w:rPr>
      </w:pPr>
    </w:p>
    <w:p>
      <w:pPr>
        <w:spacing w:after="0"/>
        <w:rPr>
          <w:sz w:val="20"/>
          <w:szCs w:val="20"/>
          <w:color w:val="auto"/>
        </w:rPr>
      </w:pPr>
      <w:r>
        <w:rPr>
          <w:rFonts w:ascii="Times New Roman" w:cs="Times New Roman" w:eastAsia="Times New Roman" w:hAnsi="Times New Roman"/>
          <w:sz w:val="20"/>
          <w:szCs w:val="20"/>
          <w:color w:val="131413"/>
        </w:rPr>
        <w:t>Future research priorities for the IEM method</w:t>
      </w:r>
    </w:p>
    <w:p>
      <w:pPr>
        <w:spacing w:after="0" w:line="281" w:lineRule="exact"/>
        <w:rPr>
          <w:rFonts w:ascii="Times New Roman" w:cs="Times New Roman" w:eastAsia="Times New Roman" w:hAnsi="Times New Roman"/>
          <w:sz w:val="19"/>
          <w:szCs w:val="19"/>
          <w:color w:val="0000FF"/>
        </w:rPr>
      </w:pPr>
    </w:p>
    <w:p>
      <w:pPr>
        <w:jc w:val="both"/>
        <w:spacing w:after="0" w:line="25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IEMs provide useful information on soil nutrient bioavailability because of their unique ability to simu-late biological ion sinks in relatively undisturbed condi-tions, but their data should be interpreted with caution. However, because of their preferential selectivity for various ions, it is important to know the relative affinity of the IEM for each target ion in the soil (Qian and Schoenau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131413"/>
        </w:rPr>
        <w:t xml:space="preserve">;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One particular concern is the possible underestimation of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 The AEM does not function particularly well as a sink for phosphate ions, because membrane affinity for HPO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 xml:space="preserve">-P is lowest relative to the principal other competing soil anions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Although we overcame this problem to some</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degree by charging the AEM initially with relatively low affinity counterions (HCO</w:t>
      </w:r>
      <w:r>
        <w:rPr>
          <w:rFonts w:ascii="Times New Roman" w:cs="Times New Roman" w:eastAsia="Times New Roman" w:hAnsi="Times New Roman"/>
          <w:sz w:val="25"/>
          <w:szCs w:val="25"/>
          <w:color w:val="131413"/>
          <w:vertAlign w:val="subscript"/>
        </w:rPr>
        <w:t>3</w:t>
      </w:r>
      <w:r>
        <w:rPr>
          <w:rFonts w:ascii="Arial" w:cs="Arial" w:eastAsia="Arial" w:hAnsi="Arial"/>
          <w:sz w:val="25"/>
          <w:szCs w:val="25"/>
          <w:color w:val="131413"/>
          <w:vertAlign w:val="superscript"/>
        </w:rPr>
        <w:t>−</w:t>
      </w:r>
      <w:r>
        <w:rPr>
          <w:rFonts w:ascii="Times New Roman" w:cs="Times New Roman" w:eastAsia="Times New Roman" w:hAnsi="Times New Roman"/>
          <w:sz w:val="19"/>
          <w:szCs w:val="19"/>
          <w:color w:val="131413"/>
        </w:rPr>
        <w:t>) (instead of with high affinity counterions such as Cl</w:t>
      </w:r>
      <w:r>
        <w:rPr>
          <w:rFonts w:ascii="Arial" w:cs="Arial" w:eastAsia="Arial" w:hAnsi="Arial"/>
          <w:sz w:val="25"/>
          <w:szCs w:val="25"/>
          <w:color w:val="131413"/>
          <w:vertAlign w:val="superscript"/>
        </w:rPr>
        <w:t>−</w:t>
      </w:r>
      <w:r>
        <w:rPr>
          <w:rFonts w:ascii="Times New Roman" w:cs="Times New Roman" w:eastAsia="Times New Roman" w:hAnsi="Times New Roman"/>
          <w:sz w:val="19"/>
          <w:szCs w:val="19"/>
          <w:color w:val="131413"/>
        </w:rPr>
        <w:t xml:space="preserve">, as adopted by some other studies (e.g. Skogley and Dobermann </w:t>
      </w:r>
      <w:hyperlink w:anchor="page18">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131413"/>
        </w:rPr>
        <w:t>), our results may still be an underestimation of actual soil PO</w:t>
      </w:r>
      <w:r>
        <w:rPr>
          <w:rFonts w:ascii="Times New Roman" w:cs="Times New Roman" w:eastAsia="Times New Roman" w:hAnsi="Times New Roman"/>
          <w:sz w:val="25"/>
          <w:szCs w:val="25"/>
          <w:color w:val="131413"/>
          <w:vertAlign w:val="subscript"/>
        </w:rPr>
        <w:t>4</w:t>
      </w:r>
      <w:r>
        <w:rPr>
          <w:rFonts w:ascii="Times New Roman" w:cs="Times New Roman" w:eastAsia="Times New Roman" w:hAnsi="Times New Roman"/>
          <w:sz w:val="19"/>
          <w:szCs w:val="19"/>
          <w:color w:val="131413"/>
        </w:rPr>
        <w:t>-P flux, and further research is required.</w:t>
      </w:r>
    </w:p>
    <w:p>
      <w:pPr>
        <w:spacing w:after="0" w:line="9" w:lineRule="exact"/>
        <w:rPr>
          <w:rFonts w:ascii="Times New Roman" w:cs="Times New Roman" w:eastAsia="Times New Roman" w:hAnsi="Times New Roman"/>
          <w:sz w:val="19"/>
          <w:szCs w:val="19"/>
          <w:color w:val="131413"/>
        </w:rPr>
      </w:pPr>
    </w:p>
    <w:p>
      <w:pPr>
        <w:jc w:val="both"/>
        <w:ind w:firstLine="227"/>
        <w:spacing w:after="0" w:line="273" w:lineRule="auto"/>
        <w:rPr>
          <w:sz w:val="20"/>
          <w:szCs w:val="20"/>
          <w:color w:val="auto"/>
        </w:rPr>
      </w:pPr>
      <w:r>
        <w:rPr>
          <w:rFonts w:ascii="Times New Roman" w:cs="Times New Roman" w:eastAsia="Times New Roman" w:hAnsi="Times New Roman"/>
          <w:sz w:val="19"/>
          <w:szCs w:val="19"/>
          <w:color w:val="131413"/>
        </w:rPr>
        <w:t>In addition to inorganic ions, the IEM method could also be used to determine dissolved ionically-charged organic nutrient forms (e.g. certain amino acids), which constitute a significant portion of the dissolved soluble N pool that can be taken up directly by plants in</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br w:type="column"/>
      </w:r>
    </w:p>
    <w:p>
      <w:pPr>
        <w:spacing w:after="0" w:line="243" w:lineRule="exact"/>
        <w:rPr>
          <w:rFonts w:ascii="Times New Roman" w:cs="Times New Roman" w:eastAsia="Times New Roman" w:hAnsi="Times New Roman"/>
          <w:sz w:val="19"/>
          <w:szCs w:val="19"/>
          <w:color w:val="131413"/>
        </w:rPr>
      </w:pPr>
    </w:p>
    <w:p>
      <w:pPr>
        <w:jc w:val="both"/>
        <w:spacing w:after="0" w:line="27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ecosystems where mineralization rates are low, such as arctic and alpine tundra (McKane et al. </w:t>
      </w:r>
      <w:hyperlink w:anchor="page18">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131413"/>
        </w:rPr>
        <w:t xml:space="preserve">; Nordin et al. </w:t>
      </w:r>
      <w:hyperlink w:anchor="page18">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 xml:space="preserve">; Raab et al. </w:t>
      </w:r>
      <w:hyperlink w:anchor="page18">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131413"/>
        </w:rPr>
        <w:t xml:space="preserve">), boreal forest (Näsholm et al. </w:t>
      </w:r>
      <w:hyperlink w:anchor="page18">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131413"/>
        </w:rPr>
        <w:t xml:space="preserve">), and low productivity grasslands (Bardgett et al. </w:t>
      </w:r>
      <w:hyperlink w:anchor="page18">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131413"/>
        </w:rPr>
        <w:t>). Further studies are needed to explore the potential for IEMs to measure soil dissolved organically-bound ionically charged N and P forms.</w:t>
      </w:r>
    </w:p>
    <w:p>
      <w:pPr>
        <w:spacing w:after="0" w:line="200" w:lineRule="exact"/>
        <w:rPr>
          <w:rFonts w:ascii="Times New Roman" w:cs="Times New Roman" w:eastAsia="Times New Roman" w:hAnsi="Times New Roman"/>
          <w:sz w:val="19"/>
          <w:szCs w:val="19"/>
          <w:color w:val="131413"/>
        </w:rPr>
      </w:pPr>
    </w:p>
    <w:p>
      <w:pPr>
        <w:spacing w:after="0" w:line="200" w:lineRule="exact"/>
        <w:rPr>
          <w:rFonts w:ascii="Times New Roman" w:cs="Times New Roman" w:eastAsia="Times New Roman" w:hAnsi="Times New Roman"/>
          <w:sz w:val="19"/>
          <w:szCs w:val="19"/>
          <w:color w:val="131413"/>
        </w:rPr>
      </w:pPr>
    </w:p>
    <w:p>
      <w:pPr>
        <w:spacing w:after="0" w:line="317" w:lineRule="exact"/>
        <w:rPr>
          <w:rFonts w:ascii="Times New Roman" w:cs="Times New Roman" w:eastAsia="Times New Roman" w:hAnsi="Times New Roman"/>
          <w:sz w:val="19"/>
          <w:szCs w:val="19"/>
          <w:color w:val="131413"/>
        </w:rPr>
      </w:pPr>
    </w:p>
    <w:p>
      <w:pPr>
        <w:spacing w:after="0"/>
        <w:rPr>
          <w:sz w:val="20"/>
          <w:szCs w:val="20"/>
          <w:color w:val="auto"/>
        </w:rPr>
      </w:pPr>
      <w:r>
        <w:rPr>
          <w:rFonts w:ascii="Times New Roman" w:cs="Times New Roman" w:eastAsia="Times New Roman" w:hAnsi="Times New Roman"/>
          <w:sz w:val="20"/>
          <w:szCs w:val="20"/>
          <w:color w:val="131413"/>
        </w:rPr>
        <w:t>Conclusions</w:t>
      </w:r>
    </w:p>
    <w:p>
      <w:pPr>
        <w:spacing w:after="0" w:line="283" w:lineRule="exact"/>
        <w:rPr>
          <w:rFonts w:ascii="Times New Roman" w:cs="Times New Roman" w:eastAsia="Times New Roman" w:hAnsi="Times New Roman"/>
          <w:sz w:val="19"/>
          <w:szCs w:val="19"/>
          <w:color w:val="131413"/>
        </w:rPr>
      </w:pPr>
    </w:p>
    <w:p>
      <w:pPr>
        <w:jc w:val="both"/>
        <w:spacing w:after="0" w:line="255"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This is the first report that we know of in which IEM membranes were used to measure soil nutri-ent dynamics within the growing season, and over-winter, in a tundra ecosystem. Our study contrib-utes two important conclusions to applications of the IEM method in low arctic tundra ecosystems where information on soil nutrient flux dynamics is extremely lacking (Weintraub </w:t>
      </w:r>
      <w:hyperlink w:anchor="page18">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131413"/>
        </w:rPr>
        <w:t>). First, the results from our fertilization experiments strongly suggest that the IEM method provides a more sensitive and biologically meaningful approach than direct extraction for determining NH</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-N and PO</w:t>
      </w:r>
      <w:r>
        <w:rPr>
          <w:rFonts w:ascii="Times New Roman" w:cs="Times New Roman" w:eastAsia="Times New Roman" w:hAnsi="Times New Roman"/>
          <w:sz w:val="26"/>
          <w:szCs w:val="26"/>
          <w:color w:val="131413"/>
          <w:vertAlign w:val="subscript"/>
        </w:rPr>
        <w:t>4</w:t>
      </w:r>
      <w:r>
        <w:rPr>
          <w:rFonts w:ascii="Times New Roman" w:cs="Times New Roman" w:eastAsia="Times New Roman" w:hAnsi="Times New Roman"/>
          <w:sz w:val="20"/>
          <w:szCs w:val="20"/>
          <w:color w:val="131413"/>
        </w:rPr>
        <w:t>-P availabilities in unamended (ambient) and low-moderately fertilized soils. Second, the IEM method is effective at characterizing changes in soil nutrient conditions subjected to warmer envi-ronments. The measurement protocol described and tested here provides a foundation for more realistic measurement of soil nutrient availabilities to plants, and hence should enable collection of more meaningful data in future biogeochemical and ecosystem-level studies and associated modelling initiatives.</w:t>
      </w:r>
    </w:p>
    <w:p>
      <w:pPr>
        <w:spacing w:after="0" w:line="200" w:lineRule="exact"/>
        <w:rPr>
          <w:rFonts w:ascii="Times New Roman" w:cs="Times New Roman" w:eastAsia="Times New Roman" w:hAnsi="Times New Roman"/>
          <w:sz w:val="19"/>
          <w:szCs w:val="19"/>
          <w:color w:val="131413"/>
        </w:rPr>
      </w:pPr>
    </w:p>
    <w:p>
      <w:pPr>
        <w:spacing w:after="0" w:line="200" w:lineRule="exact"/>
        <w:rPr>
          <w:rFonts w:ascii="Times New Roman" w:cs="Times New Roman" w:eastAsia="Times New Roman" w:hAnsi="Times New Roman"/>
          <w:sz w:val="19"/>
          <w:szCs w:val="19"/>
          <w:color w:val="131413"/>
        </w:rPr>
      </w:pPr>
    </w:p>
    <w:p>
      <w:pPr>
        <w:spacing w:after="0" w:line="334" w:lineRule="exact"/>
        <w:rPr>
          <w:rFonts w:ascii="Times New Roman" w:cs="Times New Roman" w:eastAsia="Times New Roman" w:hAnsi="Times New Roman"/>
          <w:sz w:val="19"/>
          <w:szCs w:val="19"/>
          <w:color w:val="131413"/>
        </w:rPr>
      </w:pPr>
    </w:p>
    <w:p>
      <w:pPr>
        <w:jc w:val="both"/>
        <w:spacing w:after="0" w:line="243" w:lineRule="auto"/>
        <w:rPr>
          <w:sz w:val="20"/>
          <w:szCs w:val="20"/>
          <w:color w:val="auto"/>
        </w:rPr>
      </w:pPr>
      <w:r>
        <w:rPr>
          <w:rFonts w:ascii="Times New Roman" w:cs="Times New Roman" w:eastAsia="Times New Roman" w:hAnsi="Times New Roman"/>
          <w:sz w:val="17"/>
          <w:szCs w:val="17"/>
          <w:color w:val="131413"/>
        </w:rPr>
        <w:t>Acknowledgements We are particularly grateful to Yvette Chirinian, Rhett Andruko, Shannon Petrie, Luca Bonifacio-Proietto, and our many volunteers for field and laboratory assis-tance, and to Meghan Hamp for feedback on the IEM method protocol description. We thank Karin Clark and Steve Matthews (Government of the Northwest Territories) and the Aurora Re-search Institute for logistics, and the Natural Sciences and Engi-neering Research Council of Canada (P.G.), Polar Knowledge (P.G.), the Northern Studies Training Program (P.G.), the Ontario Trillium foundation (Q.G.), and the Chinese Scholarship Council (Q.G.) for financial support.</w:t>
      </w:r>
    </w:p>
    <w:p>
      <w:pPr>
        <w:spacing w:after="0" w:line="254" w:lineRule="exact"/>
        <w:rPr>
          <w:rFonts w:ascii="Times New Roman" w:cs="Times New Roman" w:eastAsia="Times New Roman" w:hAnsi="Times New Roman"/>
          <w:sz w:val="19"/>
          <w:szCs w:val="19"/>
          <w:color w:val="131413"/>
        </w:rPr>
      </w:pPr>
    </w:p>
    <w:p>
      <w:pPr>
        <w:jc w:val="both"/>
        <w:spacing w:after="0" w:line="238"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131413"/>
        </w:rPr>
        <w:t>Data availability The data from this study will shortly be avail-able on the Polar Data Catalogue website (</w:t>
      </w:r>
      <w:hyperlink r:id="rId33">
        <w:r>
          <w:rPr>
            <w:rFonts w:ascii="Times New Roman" w:cs="Times New Roman" w:eastAsia="Times New Roman" w:hAnsi="Times New Roman"/>
            <w:sz w:val="17"/>
            <w:szCs w:val="17"/>
            <w:color w:val="0000FF"/>
          </w:rPr>
          <w:t>https://www.polardata.</w:t>
        </w:r>
      </w:hyperlink>
      <w:r>
        <w:rPr>
          <w:rFonts w:ascii="Times New Roman" w:cs="Times New Roman" w:eastAsia="Times New Roman" w:hAnsi="Times New Roman"/>
          <w:sz w:val="17"/>
          <w:szCs w:val="17"/>
          <w:color w:val="131413"/>
        </w:rPr>
        <w:t xml:space="preserve"> </w:t>
      </w:r>
      <w:hyperlink r:id="rId33">
        <w:r>
          <w:rPr>
            <w:rFonts w:ascii="Times New Roman" w:cs="Times New Roman" w:eastAsia="Times New Roman" w:hAnsi="Times New Roman"/>
            <w:sz w:val="17"/>
            <w:szCs w:val="17"/>
            <w:color w:val="0000FF"/>
          </w:rPr>
          <w:t>ca/</w:t>
        </w:r>
      </w:hyperlink>
      <w:r>
        <w:rPr>
          <w:rFonts w:ascii="Times New Roman" w:cs="Times New Roman" w:eastAsia="Times New Roman" w:hAnsi="Times New Roman"/>
          <w:sz w:val="17"/>
          <w:szCs w:val="17"/>
          <w:color w:val="13141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2253615</wp:posOffset>
            </wp:positionH>
            <wp:positionV relativeFrom="paragraph">
              <wp:posOffset>215265</wp:posOffset>
            </wp:positionV>
            <wp:extent cx="483870" cy="13843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879" w:gutter="0" w:footer="0" w:header="0"/>
          <w:type w:val="continuous"/>
        </w:sectPr>
      </w:pPr>
    </w:p>
    <w:bookmarkStart w:id="17" w:name="page18"/>
    <w:bookmarkEnd w:id="17"/>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900" w:gutter="0" w:footer="0" w:header="0"/>
        </w:sect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131413"/>
        </w:rPr>
        <w:t>References</w:t>
      </w:r>
    </w:p>
    <w:p>
      <w:pPr>
        <w:spacing w:after="0" w:line="359"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Abrams M, Jarrell W (1992) Bioavailability index for phosphorus using ion exchange resin impregnated membranes. Soil Sci Soc Am J 56:1532</w:t>
      </w:r>
      <w:r>
        <w:rPr>
          <w:rFonts w:ascii="Arial" w:cs="Arial" w:eastAsia="Arial" w:hAnsi="Arial"/>
          <w:sz w:val="17"/>
          <w:szCs w:val="17"/>
          <w:color w:val="131413"/>
        </w:rPr>
        <w:t>–</w:t>
      </w:r>
      <w:r>
        <w:rPr>
          <w:rFonts w:ascii="Times New Roman" w:cs="Times New Roman" w:eastAsia="Times New Roman" w:hAnsi="Times New Roman"/>
          <w:sz w:val="17"/>
          <w:szCs w:val="17"/>
          <w:color w:val="131413"/>
        </w:rPr>
        <w:t>1537</w:t>
      </w:r>
    </w:p>
    <w:p>
      <w:pPr>
        <w:spacing w:after="0" w:line="30"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Alatalo JM, Jägerbrand AK, Molau U (2015) Testing reliability of short-term responses to predict longer-term responses of bryophytes and lichens to environmental change. Ecol Indic 58:77</w:t>
      </w:r>
      <w:r>
        <w:rPr>
          <w:rFonts w:ascii="Arial" w:cs="Arial" w:eastAsia="Arial" w:hAnsi="Arial"/>
          <w:sz w:val="17"/>
          <w:szCs w:val="17"/>
          <w:color w:val="131413"/>
        </w:rPr>
        <w:t>–</w:t>
      </w:r>
      <w:r>
        <w:rPr>
          <w:rFonts w:ascii="Times New Roman" w:cs="Times New Roman" w:eastAsia="Times New Roman" w:hAnsi="Times New Roman"/>
          <w:sz w:val="17"/>
          <w:szCs w:val="17"/>
          <w:color w:val="131413"/>
        </w:rPr>
        <w:t>85</w:t>
      </w:r>
    </w:p>
    <w:p>
      <w:pPr>
        <w:spacing w:after="0" w:line="29" w:lineRule="exact"/>
        <w:rPr>
          <w:sz w:val="20"/>
          <w:szCs w:val="20"/>
          <w:color w:val="auto"/>
        </w:rPr>
      </w:pPr>
    </w:p>
    <w:p>
      <w:pPr>
        <w:jc w:val="both"/>
        <w:ind w:left="340" w:hanging="338"/>
        <w:spacing w:after="0" w:line="235" w:lineRule="auto"/>
        <w:rPr>
          <w:sz w:val="20"/>
          <w:szCs w:val="20"/>
          <w:color w:val="auto"/>
        </w:rPr>
      </w:pPr>
      <w:r>
        <w:rPr>
          <w:rFonts w:ascii="Times New Roman" w:cs="Times New Roman" w:eastAsia="Times New Roman" w:hAnsi="Times New Roman"/>
          <w:sz w:val="17"/>
          <w:szCs w:val="17"/>
          <w:color w:val="131413"/>
        </w:rPr>
        <w:t>Barber SA (1962) A diffusion and mass-flow concept of soil nutrient availability. Soil Sci 93:39</w:t>
      </w:r>
      <w:r>
        <w:rPr>
          <w:rFonts w:ascii="Arial" w:cs="Arial" w:eastAsia="Arial" w:hAnsi="Arial"/>
          <w:sz w:val="17"/>
          <w:szCs w:val="17"/>
          <w:color w:val="131413"/>
        </w:rPr>
        <w:t>–</w:t>
      </w:r>
      <w:r>
        <w:rPr>
          <w:rFonts w:ascii="Times New Roman" w:cs="Times New Roman" w:eastAsia="Times New Roman" w:hAnsi="Times New Roman"/>
          <w:sz w:val="17"/>
          <w:szCs w:val="17"/>
          <w:color w:val="131413"/>
        </w:rPr>
        <w:t>49</w:t>
      </w:r>
    </w:p>
    <w:p>
      <w:pPr>
        <w:spacing w:after="0" w:line="29"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Bardgett RD, Streeter TC, Bol R (2003) Soil microbes compete effectively with plants for organic-nitrogen inputs to temper-ate grasslands. Ecology 84:1277</w:t>
      </w:r>
      <w:r>
        <w:rPr>
          <w:rFonts w:ascii="Arial" w:cs="Arial" w:eastAsia="Arial" w:hAnsi="Arial"/>
          <w:sz w:val="17"/>
          <w:szCs w:val="17"/>
          <w:color w:val="131413"/>
        </w:rPr>
        <w:t>–</w:t>
      </w:r>
      <w:r>
        <w:rPr>
          <w:rFonts w:ascii="Times New Roman" w:cs="Times New Roman" w:eastAsia="Times New Roman" w:hAnsi="Times New Roman"/>
          <w:sz w:val="17"/>
          <w:szCs w:val="17"/>
          <w:color w:val="131413"/>
        </w:rPr>
        <w:t>1287</w:t>
      </w:r>
    </w:p>
    <w:p>
      <w:pPr>
        <w:spacing w:after="0" w:line="30"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Bremner J, Keeney D (1966) Determination and isotope-ratio analysis of different forms of nitrogen in soils: 3. exchange-able ammonium, nitrate, and nitrite by extraction-distillation methods 1. Soil Sci Soc Am J 30:577</w:t>
      </w:r>
      <w:r>
        <w:rPr>
          <w:rFonts w:ascii="Arial" w:cs="Arial" w:eastAsia="Arial" w:hAnsi="Arial"/>
          <w:sz w:val="16"/>
          <w:szCs w:val="16"/>
          <w:color w:val="131413"/>
        </w:rPr>
        <w:t>–</w:t>
      </w:r>
      <w:r>
        <w:rPr>
          <w:rFonts w:ascii="Times New Roman" w:cs="Times New Roman" w:eastAsia="Times New Roman" w:hAnsi="Times New Roman"/>
          <w:sz w:val="16"/>
          <w:szCs w:val="16"/>
          <w:color w:val="131413"/>
        </w:rPr>
        <w:t>582</w:t>
      </w:r>
    </w:p>
    <w:p>
      <w:pPr>
        <w:spacing w:after="0" w:line="14"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Buckeridge KM, Grogan P (2010) Deepened snow increases late thaw biogeochemical pulses in mesic low arctic tundra. Biogeochemistry 101:105</w:t>
      </w:r>
      <w:r>
        <w:rPr>
          <w:rFonts w:ascii="Arial" w:cs="Arial" w:eastAsia="Arial" w:hAnsi="Arial"/>
          <w:sz w:val="17"/>
          <w:szCs w:val="17"/>
          <w:color w:val="131413"/>
        </w:rPr>
        <w:t>–</w:t>
      </w:r>
      <w:r>
        <w:rPr>
          <w:rFonts w:ascii="Times New Roman" w:cs="Times New Roman" w:eastAsia="Times New Roman" w:hAnsi="Times New Roman"/>
          <w:sz w:val="17"/>
          <w:szCs w:val="17"/>
          <w:color w:val="131413"/>
        </w:rPr>
        <w:t>121</w:t>
      </w:r>
    </w:p>
    <w:p>
      <w:pPr>
        <w:spacing w:after="0" w:line="30"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Cain ML, Subler S, Evans JP, Fortin M-J (1999) Sampling spatial and temporal variation in soil nitrogen availability. Oecologia 118:397</w:t>
      </w:r>
      <w:r>
        <w:rPr>
          <w:rFonts w:ascii="Arial" w:cs="Arial" w:eastAsia="Arial" w:hAnsi="Arial"/>
          <w:sz w:val="17"/>
          <w:szCs w:val="17"/>
          <w:color w:val="131413"/>
        </w:rPr>
        <w:t>–</w:t>
      </w:r>
      <w:r>
        <w:rPr>
          <w:rFonts w:ascii="Times New Roman" w:cs="Times New Roman" w:eastAsia="Times New Roman" w:hAnsi="Times New Roman"/>
          <w:sz w:val="17"/>
          <w:szCs w:val="17"/>
          <w:color w:val="131413"/>
        </w:rPr>
        <w:t>404</w:t>
      </w:r>
    </w:p>
    <w:p>
      <w:pPr>
        <w:spacing w:after="0" w:line="30"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Cassman K, Munns D (1980) Nitrogen mineralization as affected by soil moisture, temperature, and depth 1. Soil Sci Soc Am J 44:1233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1237</w:t>
      </w:r>
    </w:p>
    <w:p>
      <w:pPr>
        <w:spacing w:after="0" w:line="30"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Castillo-Monroy AP, Maestre FT, Delgado-Baquerizo M, Gallardo A (2010) Biological soil crusts modulate nitrogen availability in semi-arid ecosystems: insights from a Mediterranean grassland. Plant Soil 333:21</w:t>
      </w:r>
      <w:r>
        <w:rPr>
          <w:rFonts w:ascii="Arial" w:cs="Arial" w:eastAsia="Arial" w:hAnsi="Arial"/>
          <w:sz w:val="17"/>
          <w:szCs w:val="17"/>
          <w:color w:val="131413"/>
        </w:rPr>
        <w:t>–</w:t>
      </w:r>
      <w:r>
        <w:rPr>
          <w:rFonts w:ascii="Times New Roman" w:cs="Times New Roman" w:eastAsia="Times New Roman" w:hAnsi="Times New Roman"/>
          <w:sz w:val="17"/>
          <w:szCs w:val="17"/>
          <w:color w:val="131413"/>
        </w:rPr>
        <w:t>34</w:t>
      </w:r>
    </w:p>
    <w:p>
      <w:pPr>
        <w:spacing w:after="0" w:line="29" w:lineRule="exact"/>
        <w:rPr>
          <w:sz w:val="20"/>
          <w:szCs w:val="20"/>
          <w:color w:val="auto"/>
        </w:rPr>
      </w:pPr>
    </w:p>
    <w:p>
      <w:pPr>
        <w:jc w:val="both"/>
        <w:ind w:left="340" w:hanging="338"/>
        <w:spacing w:after="0" w:line="234" w:lineRule="auto"/>
        <w:rPr>
          <w:sz w:val="20"/>
          <w:szCs w:val="20"/>
          <w:color w:val="auto"/>
        </w:rPr>
      </w:pPr>
      <w:r>
        <w:rPr>
          <w:rFonts w:ascii="Times New Roman" w:cs="Times New Roman" w:eastAsia="Times New Roman" w:hAnsi="Times New Roman"/>
          <w:sz w:val="17"/>
          <w:szCs w:val="17"/>
          <w:color w:val="131413"/>
        </w:rPr>
        <w:t>Chapin FS III (1980) The mineral nutrition of wild plants. Annu Rev Ecol Syst 11:233</w:t>
      </w:r>
      <w:r>
        <w:rPr>
          <w:rFonts w:ascii="Arial" w:cs="Arial" w:eastAsia="Arial" w:hAnsi="Arial"/>
          <w:sz w:val="17"/>
          <w:szCs w:val="17"/>
          <w:color w:val="131413"/>
        </w:rPr>
        <w:t>–</w:t>
      </w:r>
      <w:r>
        <w:rPr>
          <w:rFonts w:ascii="Times New Roman" w:cs="Times New Roman" w:eastAsia="Times New Roman" w:hAnsi="Times New Roman"/>
          <w:sz w:val="17"/>
          <w:szCs w:val="17"/>
          <w:color w:val="131413"/>
        </w:rPr>
        <w:t>260</w:t>
      </w:r>
    </w:p>
    <w:p>
      <w:pPr>
        <w:spacing w:after="0" w:line="30"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Chapin FS, Shaver III GR (1981) Changes in soil properties and vegetation following disturbance in Alaskan arctic tundra. J Appl Ecol 18:605</w:t>
      </w:r>
      <w:r>
        <w:rPr>
          <w:rFonts w:ascii="Arial" w:cs="Arial" w:eastAsia="Arial" w:hAnsi="Arial"/>
          <w:sz w:val="17"/>
          <w:szCs w:val="17"/>
          <w:color w:val="131413"/>
        </w:rPr>
        <w:t>–</w:t>
      </w:r>
      <w:r>
        <w:rPr>
          <w:rFonts w:ascii="Times New Roman" w:cs="Times New Roman" w:eastAsia="Times New Roman" w:hAnsi="Times New Roman"/>
          <w:sz w:val="17"/>
          <w:szCs w:val="17"/>
          <w:color w:val="131413"/>
        </w:rPr>
        <w:t>617</w:t>
      </w:r>
    </w:p>
    <w:p>
      <w:pPr>
        <w:spacing w:after="0" w:line="30"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Chapin FS III, Shaver GR (1989) Differences in growth and nutrient use among arctic plant- growth forms. Funct Ecol 3:73</w:t>
      </w:r>
      <w:r>
        <w:rPr>
          <w:rFonts w:ascii="Arial" w:cs="Arial" w:eastAsia="Arial" w:hAnsi="Arial"/>
          <w:sz w:val="17"/>
          <w:szCs w:val="17"/>
          <w:color w:val="131413"/>
        </w:rPr>
        <w:t>–</w:t>
      </w:r>
      <w:r>
        <w:rPr>
          <w:rFonts w:ascii="Times New Roman" w:cs="Times New Roman" w:eastAsia="Times New Roman" w:hAnsi="Times New Roman"/>
          <w:sz w:val="17"/>
          <w:szCs w:val="17"/>
          <w:color w:val="131413"/>
        </w:rPr>
        <w:t>80</w:t>
      </w:r>
    </w:p>
    <w:p>
      <w:pPr>
        <w:spacing w:after="0" w:line="30"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Chapin FS III, Barsdate R, Barel D (1978) Phosphorus cycling in Alaskan coastal tundra: a hypothesis for the regulation of nutrient cycling. Oikos 31:189</w:t>
      </w:r>
      <w:r>
        <w:rPr>
          <w:rFonts w:ascii="Arial" w:cs="Arial" w:eastAsia="Arial" w:hAnsi="Arial"/>
          <w:sz w:val="17"/>
          <w:szCs w:val="17"/>
          <w:color w:val="131413"/>
        </w:rPr>
        <w:t>–</w:t>
      </w:r>
      <w:r>
        <w:rPr>
          <w:rFonts w:ascii="Times New Roman" w:cs="Times New Roman" w:eastAsia="Times New Roman" w:hAnsi="Times New Roman"/>
          <w:sz w:val="17"/>
          <w:szCs w:val="17"/>
          <w:color w:val="131413"/>
        </w:rPr>
        <w:t>199</w:t>
      </w:r>
    </w:p>
    <w:p>
      <w:pPr>
        <w:spacing w:after="0" w:line="30"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Chapin FS III, Shaver GR, Giblin AE, Nadelhoffer KJ, Laundre JA (1995) Responses of arctic tundra to experimental and observed changes in climate. Ecology 76:694</w:t>
      </w:r>
      <w:r>
        <w:rPr>
          <w:rFonts w:ascii="Arial" w:cs="Arial" w:eastAsia="Arial" w:hAnsi="Arial"/>
          <w:sz w:val="16"/>
          <w:szCs w:val="16"/>
          <w:color w:val="131413"/>
        </w:rPr>
        <w:t>–</w:t>
      </w:r>
      <w:r>
        <w:rPr>
          <w:rFonts w:ascii="Times New Roman" w:cs="Times New Roman" w:eastAsia="Times New Roman" w:hAnsi="Times New Roman"/>
          <w:sz w:val="16"/>
          <w:szCs w:val="16"/>
          <w:color w:val="131413"/>
        </w:rPr>
        <w:t>711</w:t>
      </w:r>
    </w:p>
    <w:p>
      <w:pPr>
        <w:spacing w:after="0" w:line="14" w:lineRule="exact"/>
        <w:rPr>
          <w:sz w:val="20"/>
          <w:szCs w:val="20"/>
          <w:color w:val="auto"/>
        </w:rPr>
      </w:pPr>
    </w:p>
    <w:p>
      <w:pPr>
        <w:jc w:val="both"/>
        <w:ind w:left="340" w:hanging="338"/>
        <w:spacing w:after="0" w:line="235" w:lineRule="auto"/>
        <w:rPr>
          <w:sz w:val="20"/>
          <w:szCs w:val="20"/>
          <w:color w:val="auto"/>
        </w:rPr>
      </w:pPr>
      <w:r>
        <w:rPr>
          <w:rFonts w:ascii="Times New Roman" w:cs="Times New Roman" w:eastAsia="Times New Roman" w:hAnsi="Times New Roman"/>
          <w:sz w:val="17"/>
          <w:szCs w:val="17"/>
          <w:color w:val="131413"/>
        </w:rPr>
        <w:t>Chapin FS III, Matson PA, Vitousek P (2011) Principles of ter-restrial ecosystem ecology. Springer, Berlin</w:t>
      </w:r>
    </w:p>
    <w:p>
      <w:pPr>
        <w:spacing w:after="0" w:line="29"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Christiansen CT (2016) Seasonal controls on litter and soil carbon and nutrient cycling in arctic tundra ecosystems and potential impacts of climate change. Unpublished PhD Thesis, Queen</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University, Kingston, Ontario, Canada, 237 pp</w:t>
      </w:r>
    </w:p>
    <w:p>
      <w:pPr>
        <w:spacing w:after="0" w:line="14"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Chu H, Grogan P (2010) Soil microbial biomass, nutrient avail-ability and nitrogen mineralization potential among vegetation-types in a low arctic tundra landscape. Plant Soil 329:411</w:t>
      </w:r>
      <w:r>
        <w:rPr>
          <w:rFonts w:ascii="Arial" w:cs="Arial" w:eastAsia="Arial" w:hAnsi="Arial"/>
          <w:sz w:val="17"/>
          <w:szCs w:val="17"/>
          <w:color w:val="131413"/>
        </w:rPr>
        <w:t>–</w:t>
      </w:r>
      <w:r>
        <w:rPr>
          <w:rFonts w:ascii="Times New Roman" w:cs="Times New Roman" w:eastAsia="Times New Roman" w:hAnsi="Times New Roman"/>
          <w:sz w:val="17"/>
          <w:szCs w:val="17"/>
          <w:color w:val="131413"/>
        </w:rPr>
        <w:t>420</w:t>
      </w:r>
    </w:p>
    <w:p>
      <w:pPr>
        <w:spacing w:after="0" w:line="30"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Churchland C, Mayo-Bruinsma L, Ronson A, Grogan P (2010) Soil microbial and plant community responses to single large carbon and nitrogen additions in low arctic tundra. Plant Soil 334(1</w:t>
      </w:r>
      <w:r>
        <w:rPr>
          <w:rFonts w:ascii="Arial" w:cs="Arial" w:eastAsia="Arial" w:hAnsi="Arial"/>
          <w:sz w:val="17"/>
          <w:szCs w:val="17"/>
          <w:color w:val="131413"/>
        </w:rPr>
        <w:t>–</w:t>
      </w:r>
      <w:r>
        <w:rPr>
          <w:rFonts w:ascii="Times New Roman" w:cs="Times New Roman" w:eastAsia="Times New Roman" w:hAnsi="Times New Roman"/>
          <w:sz w:val="17"/>
          <w:szCs w:val="17"/>
          <w:color w:val="131413"/>
        </w:rPr>
        <w:t>2):409</w:t>
      </w:r>
      <w:r>
        <w:rPr>
          <w:rFonts w:ascii="Arial" w:cs="Arial" w:eastAsia="Arial" w:hAnsi="Arial"/>
          <w:sz w:val="17"/>
          <w:szCs w:val="17"/>
          <w:color w:val="131413"/>
        </w:rPr>
        <w:t>–</w:t>
      </w:r>
      <w:r>
        <w:rPr>
          <w:rFonts w:ascii="Times New Roman" w:cs="Times New Roman" w:eastAsia="Times New Roman" w:hAnsi="Times New Roman"/>
          <w:sz w:val="17"/>
          <w:szCs w:val="17"/>
          <w:color w:val="131413"/>
        </w:rPr>
        <w:t>421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215265</wp:posOffset>
            </wp:positionV>
            <wp:extent cx="483870" cy="13843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Curtin D, Syers J, Smillie G (1987) The importance of exchange-able cations and resin-sink characteristics in the release of soil phosphorus. J Soil Sci 38:711</w:t>
      </w:r>
      <w:r>
        <w:rPr>
          <w:rFonts w:ascii="Arial" w:cs="Arial" w:eastAsia="Arial" w:hAnsi="Arial"/>
          <w:sz w:val="17"/>
          <w:szCs w:val="17"/>
          <w:color w:val="131413"/>
        </w:rPr>
        <w:t>–</w:t>
      </w:r>
      <w:r>
        <w:rPr>
          <w:rFonts w:ascii="Times New Roman" w:cs="Times New Roman" w:eastAsia="Times New Roman" w:hAnsi="Times New Roman"/>
          <w:sz w:val="17"/>
          <w:szCs w:val="17"/>
          <w:color w:val="131413"/>
        </w:rPr>
        <w:t>716</w:t>
      </w:r>
    </w:p>
    <w:p>
      <w:pPr>
        <w:spacing w:after="0" w:line="18"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Duran J, Rodríguez A, Fernández-Palacios JM, Gallardo A (2008) Changes in soil N and P availability in a Pinus canariensis fire chronosequence. Forest Ecol Manag 256:384</w:t>
      </w:r>
      <w:r>
        <w:rPr>
          <w:rFonts w:ascii="Arial" w:cs="Arial" w:eastAsia="Arial" w:hAnsi="Arial"/>
          <w:sz w:val="16"/>
          <w:szCs w:val="16"/>
          <w:color w:val="131413"/>
        </w:rPr>
        <w:t>–</w:t>
      </w:r>
      <w:r>
        <w:rPr>
          <w:rFonts w:ascii="Times New Roman" w:cs="Times New Roman" w:eastAsia="Times New Roman" w:hAnsi="Times New Roman"/>
          <w:sz w:val="16"/>
          <w:szCs w:val="16"/>
          <w:color w:val="131413"/>
        </w:rPr>
        <w:t>387</w:t>
      </w:r>
    </w:p>
    <w:p>
      <w:pPr>
        <w:spacing w:after="0" w:line="2"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Edwards KA, Jefferies RL (2010) Nitrogen uptake by Carex aquatilis during the winter</w:t>
      </w:r>
      <w:r>
        <w:rPr>
          <w:rFonts w:ascii="Arial" w:cs="Arial" w:eastAsia="Arial" w:hAnsi="Arial"/>
          <w:sz w:val="17"/>
          <w:szCs w:val="17"/>
          <w:color w:val="131413"/>
        </w:rPr>
        <w:t>–</w:t>
      </w:r>
      <w:r>
        <w:rPr>
          <w:rFonts w:ascii="Times New Roman" w:cs="Times New Roman" w:eastAsia="Times New Roman" w:hAnsi="Times New Roman"/>
          <w:sz w:val="17"/>
          <w:szCs w:val="17"/>
          <w:color w:val="131413"/>
        </w:rPr>
        <w:t>spring transition in a low Arctic wet meadow. J Ecol 98:737</w:t>
      </w:r>
      <w:r>
        <w:rPr>
          <w:rFonts w:ascii="Arial" w:cs="Arial" w:eastAsia="Arial" w:hAnsi="Arial"/>
          <w:sz w:val="17"/>
          <w:szCs w:val="17"/>
          <w:color w:val="131413"/>
        </w:rPr>
        <w:t>–</w:t>
      </w:r>
      <w:r>
        <w:rPr>
          <w:rFonts w:ascii="Times New Roman" w:cs="Times New Roman" w:eastAsia="Times New Roman" w:hAnsi="Times New Roman"/>
          <w:sz w:val="17"/>
          <w:szCs w:val="17"/>
          <w:color w:val="131413"/>
        </w:rPr>
        <w:t>744</w:t>
      </w:r>
    </w:p>
    <w:p>
      <w:pPr>
        <w:spacing w:after="0" w:line="17"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Edwards KA, McCulloch J, Kershaw GP, Jefferies RL (2006) Soil microbial and nutrient dynamics in a wet Arctic sedge mead-ow in late winter and early spring. Soil Biol Biochem 38: 2843</w:t>
      </w:r>
      <w:r>
        <w:rPr>
          <w:rFonts w:ascii="Arial" w:cs="Arial" w:eastAsia="Arial" w:hAnsi="Arial"/>
          <w:sz w:val="17"/>
          <w:szCs w:val="17"/>
          <w:color w:val="131413"/>
        </w:rPr>
        <w:t>–</w:t>
      </w:r>
      <w:r>
        <w:rPr>
          <w:rFonts w:ascii="Times New Roman" w:cs="Times New Roman" w:eastAsia="Times New Roman" w:hAnsi="Times New Roman"/>
          <w:sz w:val="17"/>
          <w:szCs w:val="17"/>
          <w:color w:val="131413"/>
        </w:rPr>
        <w:t>2851</w:t>
      </w:r>
    </w:p>
    <w:p>
      <w:pPr>
        <w:spacing w:after="0" w:line="18" w:lineRule="exact"/>
        <w:rPr>
          <w:sz w:val="20"/>
          <w:szCs w:val="20"/>
          <w:color w:val="auto"/>
        </w:rPr>
      </w:pPr>
    </w:p>
    <w:p>
      <w:pPr>
        <w:jc w:val="both"/>
        <w:ind w:left="340" w:hanging="338"/>
        <w:spacing w:after="0" w:line="234" w:lineRule="auto"/>
        <w:rPr>
          <w:sz w:val="20"/>
          <w:szCs w:val="20"/>
          <w:color w:val="auto"/>
        </w:rPr>
      </w:pPr>
      <w:r>
        <w:rPr>
          <w:rFonts w:ascii="Times New Roman" w:cs="Times New Roman" w:eastAsia="Times New Roman" w:hAnsi="Times New Roman"/>
          <w:sz w:val="17"/>
          <w:szCs w:val="17"/>
          <w:color w:val="131413"/>
        </w:rPr>
        <w:t>Ehrenfeld JG, Ravit B, Elgersma K (2005) Feedback in the plant-soil system. Annu Rev Env Resour 30:75</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115</w:t>
      </w:r>
    </w:p>
    <w:p>
      <w:pPr>
        <w:spacing w:after="0" w:line="18" w:lineRule="exact"/>
        <w:rPr>
          <w:sz w:val="20"/>
          <w:szCs w:val="20"/>
          <w:color w:val="auto"/>
        </w:rPr>
      </w:pPr>
    </w:p>
    <w:p>
      <w:pPr>
        <w:jc w:val="right"/>
        <w:spacing w:after="0" w:line="260" w:lineRule="auto"/>
        <w:rPr>
          <w:sz w:val="20"/>
          <w:szCs w:val="20"/>
          <w:color w:val="auto"/>
        </w:rPr>
      </w:pPr>
      <w:r>
        <w:rPr>
          <w:rFonts w:ascii="Times New Roman" w:cs="Times New Roman" w:eastAsia="Times New Roman" w:hAnsi="Times New Roman"/>
          <w:sz w:val="16"/>
          <w:szCs w:val="16"/>
          <w:color w:val="131413"/>
        </w:rPr>
        <w:t>Ellert B, Bettany J (1992) Temperature dependence of net nitrogen and sulfur mineralization. Soil Sci Soc Am J 56:1133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1141 Elmendorf SC et al (2012) Global assessment of experimental climate warming on tundra vegetation: heterogeneity over</w:t>
      </w:r>
    </w:p>
    <w:p>
      <w:pPr>
        <w:ind w:left="340"/>
        <w:spacing w:after="0" w:line="227" w:lineRule="auto"/>
        <w:rPr>
          <w:sz w:val="20"/>
          <w:szCs w:val="20"/>
          <w:color w:val="auto"/>
        </w:rPr>
      </w:pPr>
      <w:r>
        <w:rPr>
          <w:rFonts w:ascii="Times New Roman" w:cs="Times New Roman" w:eastAsia="Times New Roman" w:hAnsi="Times New Roman"/>
          <w:sz w:val="17"/>
          <w:szCs w:val="17"/>
          <w:color w:val="131413"/>
        </w:rPr>
        <w:t>space and time. Ecol Lett 15:164</w:t>
      </w:r>
      <w:r>
        <w:rPr>
          <w:rFonts w:ascii="Arial" w:cs="Arial" w:eastAsia="Arial" w:hAnsi="Arial"/>
          <w:sz w:val="17"/>
          <w:szCs w:val="17"/>
          <w:color w:val="131413"/>
        </w:rPr>
        <w:t>–</w:t>
      </w:r>
      <w:r>
        <w:rPr>
          <w:rFonts w:ascii="Times New Roman" w:cs="Times New Roman" w:eastAsia="Times New Roman" w:hAnsi="Times New Roman"/>
          <w:sz w:val="17"/>
          <w:szCs w:val="17"/>
          <w:color w:val="131413"/>
        </w:rPr>
        <w:t>175</w:t>
      </w:r>
    </w:p>
    <w:p>
      <w:pPr>
        <w:spacing w:after="0" w:line="16"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Frankland JC, Ovington J, Macrae C (1963) Spatial and seasonal variations in soil, litter and ground vegetation in some Lake District woodlands. J Ecol 51:97</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112</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Giblin A, Nadelhoffer K, Shaver G, Laundre J, McKerrow A (1991) Biogeochemical diversity along a riverside toposequence in arctic Alaska. Ecol Monogr 61:415</w:t>
      </w:r>
      <w:r>
        <w:rPr>
          <w:rFonts w:ascii="Arial" w:cs="Arial" w:eastAsia="Arial" w:hAnsi="Arial"/>
          <w:sz w:val="17"/>
          <w:szCs w:val="17"/>
          <w:color w:val="131413"/>
        </w:rPr>
        <w:t>–</w:t>
      </w:r>
      <w:r>
        <w:rPr>
          <w:rFonts w:ascii="Times New Roman" w:cs="Times New Roman" w:eastAsia="Times New Roman" w:hAnsi="Times New Roman"/>
          <w:sz w:val="17"/>
          <w:szCs w:val="17"/>
          <w:color w:val="131413"/>
        </w:rPr>
        <w:t>435</w:t>
      </w:r>
    </w:p>
    <w:p>
      <w:pPr>
        <w:spacing w:after="0" w:line="19"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Giblin A, Laundre J, Nadelhoffer K, Shaver G (1994) Measuring nutrient availability in arctic soils using ion exchange resins: a field test. Soil Sci Soc Am J 58:1154</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1162</w:t>
      </w:r>
    </w:p>
    <w:p>
      <w:pPr>
        <w:spacing w:after="0" w:line="1"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Gregorich EG, Carter MR (2007) Soil sampling and methods of analysis. 2nd edn. CRC Press, Taylor &amp; Francis Group, Boca Raton</w:t>
      </w:r>
    </w:p>
    <w:p>
      <w:pPr>
        <w:spacing w:after="0" w:line="18" w:lineRule="exact"/>
        <w:rPr>
          <w:sz w:val="20"/>
          <w:szCs w:val="20"/>
          <w:color w:val="auto"/>
        </w:rPr>
      </w:pPr>
    </w:p>
    <w:p>
      <w:pPr>
        <w:jc w:val="both"/>
        <w:ind w:left="340" w:hanging="338"/>
        <w:spacing w:after="0" w:line="241" w:lineRule="auto"/>
        <w:rPr>
          <w:sz w:val="20"/>
          <w:szCs w:val="20"/>
          <w:color w:val="auto"/>
        </w:rPr>
      </w:pPr>
      <w:r>
        <w:rPr>
          <w:rFonts w:ascii="Times New Roman" w:cs="Times New Roman" w:eastAsia="Times New Roman" w:hAnsi="Times New Roman"/>
          <w:sz w:val="17"/>
          <w:szCs w:val="17"/>
          <w:color w:val="131413"/>
        </w:rPr>
        <w:t>Gu Q, Grogan P (in review). Responses of low arctic tundra plant species to experimental manipulations: differences between abiotic and biotic factors, and between short- and long-term effects. Arct Antarct Alp</w:t>
      </w:r>
    </w:p>
    <w:p>
      <w:pPr>
        <w:spacing w:after="0" w:line="15"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Högberg MN, Myrold DD, Giesler R, Högberg P (2006) Contrasting patterns of soil N-cycling in model ecosystems of Fennoscandian boreal forests. Oecologia 147:96</w:t>
      </w:r>
      <w:r>
        <w:rPr>
          <w:rFonts w:ascii="Arial" w:cs="Arial" w:eastAsia="Arial" w:hAnsi="Arial"/>
          <w:sz w:val="16"/>
          <w:szCs w:val="16"/>
          <w:color w:val="131413"/>
        </w:rPr>
        <w:t>–</w:t>
      </w:r>
      <w:r>
        <w:rPr>
          <w:rFonts w:ascii="Times New Roman" w:cs="Times New Roman" w:eastAsia="Times New Roman" w:hAnsi="Times New Roman"/>
          <w:sz w:val="16"/>
          <w:szCs w:val="16"/>
          <w:color w:val="131413"/>
        </w:rPr>
        <w:t>107</w:t>
      </w:r>
    </w:p>
    <w:p>
      <w:pPr>
        <w:spacing w:after="0" w:line="2"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Hutchings M, de Kroon H (1994) Foraging in plants: the role of morphological plasticity in resource acquisition. Adv Ecol Res 25:159</w:t>
      </w:r>
      <w:r>
        <w:rPr>
          <w:rFonts w:ascii="Arial" w:cs="Arial" w:eastAsia="Arial" w:hAnsi="Arial"/>
          <w:sz w:val="17"/>
          <w:szCs w:val="17"/>
          <w:color w:val="131413"/>
        </w:rPr>
        <w:t>–</w:t>
      </w:r>
      <w:r>
        <w:rPr>
          <w:rFonts w:ascii="Times New Roman" w:cs="Times New Roman" w:eastAsia="Times New Roman" w:hAnsi="Times New Roman"/>
          <w:sz w:val="17"/>
          <w:szCs w:val="17"/>
          <w:color w:val="131413"/>
        </w:rPr>
        <w:t>238</w:t>
      </w:r>
    </w:p>
    <w:p>
      <w:pPr>
        <w:spacing w:after="0" w:line="18" w:lineRule="exact"/>
        <w:rPr>
          <w:sz w:val="20"/>
          <w:szCs w:val="20"/>
          <w:color w:val="auto"/>
        </w:rPr>
      </w:pPr>
    </w:p>
    <w:p>
      <w:pPr>
        <w:jc w:val="both"/>
        <w:ind w:left="340" w:hanging="338"/>
        <w:spacing w:after="0" w:line="242"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131413"/>
        </w:rPr>
        <w:t xml:space="preserve">IPCC (2013) Climate change 2013: the physical science basis. Intergovernmental panel on climate change, working group I contribution to the IPCC Fifth Assessment Report. Cambridge University Press, New York, Accessed online at </w:t>
      </w:r>
      <w:hyperlink r:id="rId36">
        <w:r>
          <w:rPr>
            <w:rFonts w:ascii="Times New Roman" w:cs="Times New Roman" w:eastAsia="Times New Roman" w:hAnsi="Times New Roman"/>
            <w:sz w:val="17"/>
            <w:szCs w:val="17"/>
            <w:color w:val="0000FF"/>
          </w:rPr>
          <w:t>http://www.ipcc.ch/report/ar5/</w:t>
        </w:r>
      </w:hyperlink>
    </w:p>
    <w:p>
      <w:pPr>
        <w:spacing w:after="0" w:line="15" w:lineRule="exact"/>
        <w:rPr>
          <w:sz w:val="20"/>
          <w:szCs w:val="20"/>
          <w:color w:val="auto"/>
        </w:rPr>
      </w:pPr>
    </w:p>
    <w:p>
      <w:pPr>
        <w:jc w:val="both"/>
        <w:ind w:left="340" w:hanging="338"/>
        <w:spacing w:after="0" w:line="235" w:lineRule="auto"/>
        <w:rPr>
          <w:sz w:val="20"/>
          <w:szCs w:val="20"/>
          <w:color w:val="auto"/>
        </w:rPr>
      </w:pPr>
      <w:r>
        <w:rPr>
          <w:rFonts w:ascii="Times New Roman" w:cs="Times New Roman" w:eastAsia="Times New Roman" w:hAnsi="Times New Roman"/>
          <w:sz w:val="17"/>
          <w:szCs w:val="17"/>
          <w:color w:val="131413"/>
        </w:rPr>
        <w:t>Iversen CM et al (2015) The unseen iceberg: plant roots in arctic tundra. New Phytol 205:34</w:t>
      </w:r>
      <w:r>
        <w:rPr>
          <w:rFonts w:ascii="Arial" w:cs="Arial" w:eastAsia="Arial" w:hAnsi="Arial"/>
          <w:sz w:val="17"/>
          <w:szCs w:val="17"/>
          <w:color w:val="131413"/>
        </w:rPr>
        <w:t>–</w:t>
      </w:r>
      <w:r>
        <w:rPr>
          <w:rFonts w:ascii="Times New Roman" w:cs="Times New Roman" w:eastAsia="Times New Roman" w:hAnsi="Times New Roman"/>
          <w:sz w:val="17"/>
          <w:szCs w:val="17"/>
          <w:color w:val="131413"/>
        </w:rPr>
        <w:t>58</w:t>
      </w:r>
    </w:p>
    <w:p>
      <w:pPr>
        <w:spacing w:after="0" w:line="17"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Johnson DW, Verburg P, Arnone J (2005) Soil extraction, ion exchange resin, and ion exchange membrane measures of soil mineral nitrogen during incubation of a tallgrass prairie soil. Soil Sci Soc Am J 69:260</w:t>
      </w:r>
      <w:r>
        <w:rPr>
          <w:rFonts w:ascii="Arial" w:cs="Arial" w:eastAsia="Arial" w:hAnsi="Arial"/>
          <w:sz w:val="17"/>
          <w:szCs w:val="17"/>
          <w:color w:val="131413"/>
        </w:rPr>
        <w:t>–</w:t>
      </w:r>
      <w:r>
        <w:rPr>
          <w:rFonts w:ascii="Times New Roman" w:cs="Times New Roman" w:eastAsia="Times New Roman" w:hAnsi="Times New Roman"/>
          <w:sz w:val="17"/>
          <w:szCs w:val="17"/>
          <w:color w:val="131413"/>
        </w:rPr>
        <w:t>265</w:t>
      </w:r>
    </w:p>
    <w:p>
      <w:pPr>
        <w:spacing w:after="0" w:line="18" w:lineRule="exact"/>
        <w:rPr>
          <w:sz w:val="20"/>
          <w:szCs w:val="20"/>
          <w:color w:val="auto"/>
        </w:rPr>
      </w:pPr>
    </w:p>
    <w:p>
      <w:pPr>
        <w:jc w:val="both"/>
        <w:ind w:left="340" w:hanging="338"/>
        <w:spacing w:after="0" w:line="234" w:lineRule="auto"/>
        <w:rPr>
          <w:sz w:val="20"/>
          <w:szCs w:val="20"/>
          <w:color w:val="auto"/>
        </w:rPr>
      </w:pPr>
      <w:r>
        <w:rPr>
          <w:rFonts w:ascii="Times New Roman" w:cs="Times New Roman" w:eastAsia="Times New Roman" w:hAnsi="Times New Roman"/>
          <w:sz w:val="17"/>
          <w:szCs w:val="17"/>
          <w:color w:val="131413"/>
        </w:rPr>
        <w:t>Jonasson S (1988) Evaluation of the point intercept method for the estimation of plant biomass. Oikos 52:101</w:t>
      </w:r>
      <w:r>
        <w:rPr>
          <w:rFonts w:ascii="Arial" w:cs="Arial" w:eastAsia="Arial" w:hAnsi="Arial"/>
          <w:sz w:val="17"/>
          <w:szCs w:val="17"/>
          <w:color w:val="131413"/>
        </w:rPr>
        <w:t>–</w:t>
      </w:r>
      <w:r>
        <w:rPr>
          <w:rFonts w:ascii="Times New Roman" w:cs="Times New Roman" w:eastAsia="Times New Roman" w:hAnsi="Times New Roman"/>
          <w:sz w:val="17"/>
          <w:szCs w:val="17"/>
          <w:color w:val="131413"/>
        </w:rPr>
        <w:t>106</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Jonasson S, Havstrom M, Jensen M, Callaghan TV (1993) In situ mineralization of nitrogen and phosphorus of arctic soils after perturbations simulating climate change. Oecologia 95:179</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186</w:t>
      </w:r>
    </w:p>
    <w:p>
      <w:pPr>
        <w:spacing w:after="0" w:line="18" w:lineRule="exact"/>
        <w:rPr>
          <w:sz w:val="20"/>
          <w:szCs w:val="20"/>
          <w:color w:val="auto"/>
        </w:rPr>
      </w:pPr>
    </w:p>
    <w:p>
      <w:pPr>
        <w:jc w:val="both"/>
        <w:ind w:left="340" w:hanging="338"/>
        <w:spacing w:after="0" w:line="259" w:lineRule="auto"/>
        <w:rPr>
          <w:sz w:val="20"/>
          <w:szCs w:val="20"/>
          <w:color w:val="auto"/>
        </w:rPr>
      </w:pPr>
      <w:r>
        <w:rPr>
          <w:rFonts w:ascii="Times New Roman" w:cs="Times New Roman" w:eastAsia="Times New Roman" w:hAnsi="Times New Roman"/>
          <w:sz w:val="16"/>
          <w:szCs w:val="16"/>
          <w:color w:val="131413"/>
        </w:rPr>
        <w:t>Jonasson S, Michelsen A, Schmidt IK, Nielsen EB, Callaghan TV (1996) Microbial biomass C, N and P in two arctic soils and</w:t>
      </w:r>
    </w:p>
    <w:p>
      <w:pPr>
        <w:sectPr>
          <w:pgSz w:w="10940" w:h="14740" w:orient="portrait"/>
          <w:cols w:equalWidth="0" w:num="2">
            <w:col w:w="4300" w:space="460"/>
            <w:col w:w="4300"/>
          </w:cols>
          <w:pgMar w:left="940" w:top="649" w:right="942" w:bottom="900" w:gutter="0" w:footer="0" w:header="0"/>
          <w:type w:val="continuous"/>
        </w:sectPr>
      </w:pPr>
    </w:p>
    <w:bookmarkStart w:id="18" w:name="page19"/>
    <w:bookmarkEnd w:id="18"/>
    <w:p>
      <w:pPr>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900" w:gutter="0" w:footer="0" w:header="0"/>
        </w:sectPr>
      </w:pPr>
    </w:p>
    <w:p>
      <w:pPr>
        <w:spacing w:after="0" w:line="241" w:lineRule="exact"/>
        <w:rPr>
          <w:sz w:val="20"/>
          <w:szCs w:val="20"/>
          <w:color w:val="auto"/>
        </w:rPr>
      </w:pPr>
    </w:p>
    <w:p>
      <w:pPr>
        <w:ind w:left="340"/>
        <w:spacing w:after="0" w:line="258" w:lineRule="auto"/>
        <w:rPr>
          <w:sz w:val="20"/>
          <w:szCs w:val="20"/>
          <w:color w:val="auto"/>
        </w:rPr>
      </w:pPr>
      <w:r>
        <w:rPr>
          <w:rFonts w:ascii="Times New Roman" w:cs="Times New Roman" w:eastAsia="Times New Roman" w:hAnsi="Times New Roman"/>
          <w:sz w:val="16"/>
          <w:szCs w:val="16"/>
          <w:color w:val="131413"/>
        </w:rPr>
        <w:t>responses to addition of NPK fertilizer and sugar: implica-tions for plant nutrient uptake. Oecologia 106:507</w:t>
      </w:r>
      <w:r>
        <w:rPr>
          <w:rFonts w:ascii="Arial" w:cs="Arial" w:eastAsia="Arial" w:hAnsi="Arial"/>
          <w:sz w:val="16"/>
          <w:szCs w:val="16"/>
          <w:color w:val="131413"/>
        </w:rPr>
        <w:t>–</w:t>
      </w:r>
      <w:r>
        <w:rPr>
          <w:rFonts w:ascii="Times New Roman" w:cs="Times New Roman" w:eastAsia="Times New Roman" w:hAnsi="Times New Roman"/>
          <w:sz w:val="16"/>
          <w:szCs w:val="16"/>
          <w:color w:val="131413"/>
        </w:rPr>
        <w:t>515</w:t>
      </w:r>
    </w:p>
    <w:p>
      <w:pPr>
        <w:spacing w:after="0" w:line="23"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Jones C, Jacobsen J (2005) Plant nutrition and soil fertility. Nutrient management module 2. Montana State University Extension Service, Publication 4449-2</w:t>
      </w:r>
    </w:p>
    <w:p>
      <w:pPr>
        <w:spacing w:after="0" w:line="39" w:lineRule="exact"/>
        <w:rPr>
          <w:sz w:val="20"/>
          <w:szCs w:val="20"/>
          <w:color w:val="auto"/>
        </w:rPr>
      </w:pPr>
    </w:p>
    <w:p>
      <w:pPr>
        <w:jc w:val="both"/>
        <w:ind w:left="340" w:hanging="338"/>
        <w:spacing w:after="0" w:line="241" w:lineRule="auto"/>
        <w:rPr>
          <w:sz w:val="20"/>
          <w:szCs w:val="20"/>
          <w:color w:val="auto"/>
        </w:rPr>
      </w:pPr>
      <w:r>
        <w:rPr>
          <w:rFonts w:ascii="Times New Roman" w:cs="Times New Roman" w:eastAsia="Times New Roman" w:hAnsi="Times New Roman"/>
          <w:sz w:val="17"/>
          <w:szCs w:val="17"/>
          <w:color w:val="131413"/>
        </w:rPr>
        <w:t>Kuo SD, Sparks A, Page P, Helmke R, Loeppert P, Soltanpour M, Tabatabai C, Johnston, Sumner M (1996) Phosphorus. Methods of chemical analysis. Part 3. Chemical methods. Soil Science Society of America, Inc., Madison, pp&amp;nbsp;869</w:t>
      </w:r>
      <w:r>
        <w:rPr>
          <w:rFonts w:ascii="Arial" w:cs="Arial" w:eastAsia="Arial" w:hAnsi="Arial"/>
          <w:sz w:val="17"/>
          <w:szCs w:val="17"/>
          <w:color w:val="131413"/>
        </w:rPr>
        <w:t>–</w:t>
      </w:r>
      <w:r>
        <w:rPr>
          <w:rFonts w:ascii="Times New Roman" w:cs="Times New Roman" w:eastAsia="Times New Roman" w:hAnsi="Times New Roman"/>
          <w:sz w:val="17"/>
          <w:szCs w:val="17"/>
          <w:color w:val="131413"/>
        </w:rPr>
        <w:t>919</w:t>
      </w:r>
    </w:p>
    <w:p>
      <w:pPr>
        <w:spacing w:after="0" w:line="3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Lechowicz MJ, Bell G (1991) The ecology and genetics of fitness in forest plants. II. Microspatial heterogeneity of the edaphic environment. J Ecol 79:687</w:t>
      </w:r>
      <w:r>
        <w:rPr>
          <w:rFonts w:ascii="Arial" w:cs="Arial" w:eastAsia="Arial" w:hAnsi="Arial"/>
          <w:sz w:val="17"/>
          <w:szCs w:val="17"/>
          <w:color w:val="131413"/>
        </w:rPr>
        <w:t>–</w:t>
      </w:r>
      <w:r>
        <w:rPr>
          <w:rFonts w:ascii="Times New Roman" w:cs="Times New Roman" w:eastAsia="Times New Roman" w:hAnsi="Times New Roman"/>
          <w:sz w:val="17"/>
          <w:szCs w:val="17"/>
          <w:color w:val="131413"/>
        </w:rPr>
        <w:t>696</w:t>
      </w:r>
    </w:p>
    <w:p>
      <w:pPr>
        <w:spacing w:after="0" w:line="3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Lee J, Harmer R, Ignaciuk R (1983) Nitrogen as a limiting factor in plant communities. In: Symposium of the British Ecological Society</w:t>
      </w:r>
    </w:p>
    <w:p>
      <w:pPr>
        <w:spacing w:after="0" w:line="39" w:lineRule="exact"/>
        <w:rPr>
          <w:sz w:val="20"/>
          <w:szCs w:val="20"/>
          <w:color w:val="auto"/>
        </w:rPr>
      </w:pPr>
    </w:p>
    <w:p>
      <w:pPr>
        <w:jc w:val="center"/>
        <w:spacing w:after="0" w:line="269" w:lineRule="auto"/>
        <w:rPr>
          <w:sz w:val="20"/>
          <w:szCs w:val="20"/>
          <w:color w:val="auto"/>
        </w:rPr>
      </w:pPr>
      <w:r>
        <w:rPr>
          <w:rFonts w:ascii="Times New Roman" w:cs="Times New Roman" w:eastAsia="Times New Roman" w:hAnsi="Times New Roman"/>
          <w:sz w:val="16"/>
          <w:szCs w:val="16"/>
          <w:color w:val="131413"/>
        </w:rPr>
        <w:t>Liu X-Y et al (2018) Nitrate is an important nitrogen source for Arctic tundra plants. Proc Natl Acad Sci 115:3398</w:t>
      </w:r>
      <w:r>
        <w:rPr>
          <w:rFonts w:ascii="Arial" w:cs="Arial" w:eastAsia="Arial" w:hAnsi="Arial"/>
          <w:sz w:val="16"/>
          <w:szCs w:val="16"/>
          <w:color w:val="131413"/>
        </w:rPr>
        <w:t>–</w:t>
      </w:r>
      <w:r>
        <w:rPr>
          <w:rFonts w:ascii="Times New Roman" w:cs="Times New Roman" w:eastAsia="Times New Roman" w:hAnsi="Times New Roman"/>
          <w:sz w:val="16"/>
          <w:szCs w:val="16"/>
          <w:color w:val="131413"/>
        </w:rPr>
        <w:t>3403 Luqman M (2012) Ion exchange technology I: theory and mate-</w:t>
      </w:r>
    </w:p>
    <w:p>
      <w:pPr>
        <w:ind w:left="340"/>
        <w:spacing w:after="0" w:line="226" w:lineRule="auto"/>
        <w:rPr>
          <w:sz w:val="20"/>
          <w:szCs w:val="20"/>
          <w:color w:val="auto"/>
        </w:rPr>
      </w:pPr>
      <w:r>
        <w:rPr>
          <w:rFonts w:ascii="Times New Roman" w:cs="Times New Roman" w:eastAsia="Times New Roman" w:hAnsi="Times New Roman"/>
          <w:sz w:val="17"/>
          <w:szCs w:val="17"/>
          <w:color w:val="131413"/>
        </w:rPr>
        <w:t>rials. 1st edn. Springer, Berlin</w:t>
      </w:r>
    </w:p>
    <w:p>
      <w:pPr>
        <w:spacing w:after="0" w:line="37"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McKane RB et al (2002) Resource-based niches provide a basis for plant species diversity and dominance in arctic tundra. Nature 415:68</w:t>
      </w:r>
      <w:r>
        <w:rPr>
          <w:rFonts w:ascii="Arial" w:cs="Arial" w:eastAsia="Arial" w:hAnsi="Arial"/>
          <w:sz w:val="17"/>
          <w:szCs w:val="17"/>
          <w:color w:val="131413"/>
        </w:rPr>
        <w:t>–</w:t>
      </w:r>
      <w:r>
        <w:rPr>
          <w:rFonts w:ascii="Times New Roman" w:cs="Times New Roman" w:eastAsia="Times New Roman" w:hAnsi="Times New Roman"/>
          <w:sz w:val="17"/>
          <w:szCs w:val="17"/>
          <w:color w:val="131413"/>
        </w:rPr>
        <w:t>71</w:t>
      </w:r>
    </w:p>
    <w:p>
      <w:pPr>
        <w:spacing w:after="0" w:line="38" w:lineRule="exact"/>
        <w:rPr>
          <w:sz w:val="20"/>
          <w:szCs w:val="20"/>
          <w:color w:val="auto"/>
        </w:rPr>
      </w:pPr>
    </w:p>
    <w:p>
      <w:pPr>
        <w:jc w:val="both"/>
        <w:ind w:left="340" w:hanging="338"/>
        <w:spacing w:after="0" w:line="241" w:lineRule="auto"/>
        <w:rPr>
          <w:sz w:val="20"/>
          <w:szCs w:val="20"/>
          <w:color w:val="auto"/>
        </w:rPr>
      </w:pPr>
      <w:r>
        <w:rPr>
          <w:rFonts w:ascii="Times New Roman" w:cs="Times New Roman" w:eastAsia="Times New Roman" w:hAnsi="Times New Roman"/>
          <w:sz w:val="17"/>
          <w:szCs w:val="17"/>
          <w:color w:val="131413"/>
        </w:rPr>
        <w:t>Mörsdorf MA, Baggesen NS, Yoccoz NG, Michelsen A, Elberling B, Ambus PL, Cooper EJ (2019) Deepened winter snow significantly influences the availability and forms of nitrogen taken up by plants in High Arctic tundra. Soil Biol Biochem 135:222</w:t>
      </w:r>
      <w:r>
        <w:rPr>
          <w:rFonts w:ascii="Arial" w:cs="Arial" w:eastAsia="Arial" w:hAnsi="Arial"/>
          <w:sz w:val="17"/>
          <w:szCs w:val="17"/>
          <w:color w:val="131413"/>
        </w:rPr>
        <w:t>–</w:t>
      </w:r>
      <w:r>
        <w:rPr>
          <w:rFonts w:ascii="Times New Roman" w:cs="Times New Roman" w:eastAsia="Times New Roman" w:hAnsi="Times New Roman"/>
          <w:sz w:val="17"/>
          <w:szCs w:val="17"/>
          <w:color w:val="131413"/>
        </w:rPr>
        <w:t>234</w:t>
      </w:r>
    </w:p>
    <w:p>
      <w:pPr>
        <w:spacing w:after="0" w:line="37" w:lineRule="exact"/>
        <w:rPr>
          <w:sz w:val="20"/>
          <w:szCs w:val="20"/>
          <w:color w:val="auto"/>
        </w:rPr>
      </w:pPr>
    </w:p>
    <w:p>
      <w:pPr>
        <w:jc w:val="both"/>
        <w:ind w:left="340" w:hanging="338"/>
        <w:spacing w:after="0" w:line="241" w:lineRule="auto"/>
        <w:rPr>
          <w:sz w:val="20"/>
          <w:szCs w:val="20"/>
          <w:color w:val="auto"/>
        </w:rPr>
      </w:pPr>
      <w:r>
        <w:rPr>
          <w:rFonts w:ascii="Times New Roman" w:cs="Times New Roman" w:eastAsia="Times New Roman" w:hAnsi="Times New Roman"/>
          <w:sz w:val="17"/>
          <w:szCs w:val="17"/>
          <w:color w:val="131413"/>
        </w:rPr>
        <w:t>Mulvaney R, Sparks D, Page A, Helmke P, Loeppert R, Soltanpour P, Tabatabai M, Johnston C, Sumner M (1996) Nitrogen-inorganic forms. Methods of soil analysis. Part 3. Chemical methods. Soil Science Society of America, Inc., Madison, pp&amp;nbsp;1123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1184</w:t>
      </w:r>
    </w:p>
    <w:p>
      <w:pPr>
        <w:spacing w:after="0" w:line="3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Nadelhoffer K, Giblin A, Shaver G, Laundre J (1991) Effects of temperature and substrate quality on element mineralization in six arctic soils. Ecology 72:242</w:t>
      </w:r>
      <w:r>
        <w:rPr>
          <w:rFonts w:ascii="Arial" w:cs="Arial" w:eastAsia="Arial" w:hAnsi="Arial"/>
          <w:sz w:val="17"/>
          <w:szCs w:val="17"/>
          <w:color w:val="131413"/>
        </w:rPr>
        <w:t>–</w:t>
      </w:r>
      <w:r>
        <w:rPr>
          <w:rFonts w:ascii="Times New Roman" w:cs="Times New Roman" w:eastAsia="Times New Roman" w:hAnsi="Times New Roman"/>
          <w:sz w:val="17"/>
          <w:szCs w:val="17"/>
          <w:color w:val="131413"/>
        </w:rPr>
        <w:t>253</w:t>
      </w:r>
    </w:p>
    <w:p>
      <w:pPr>
        <w:spacing w:after="0" w:line="38" w:lineRule="exact"/>
        <w:rPr>
          <w:sz w:val="20"/>
          <w:szCs w:val="20"/>
          <w:color w:val="auto"/>
        </w:rPr>
      </w:pPr>
    </w:p>
    <w:p>
      <w:pPr>
        <w:jc w:val="both"/>
        <w:ind w:left="340" w:hanging="338"/>
        <w:spacing w:after="0" w:line="217" w:lineRule="auto"/>
        <w:rPr>
          <w:sz w:val="20"/>
          <w:szCs w:val="20"/>
          <w:color w:val="auto"/>
        </w:rPr>
      </w:pPr>
      <w:r>
        <w:rPr>
          <w:rFonts w:ascii="Times New Roman" w:cs="Times New Roman" w:eastAsia="Times New Roman" w:hAnsi="Times New Roman"/>
          <w:sz w:val="17"/>
          <w:szCs w:val="17"/>
          <w:color w:val="131413"/>
        </w:rPr>
        <w:t>Nakagawa S, Schielzeth H (2013) A general and simple method for obtaining R</w:t>
      </w:r>
      <w:r>
        <w:rPr>
          <w:rFonts w:ascii="Times New Roman" w:cs="Times New Roman" w:eastAsia="Times New Roman" w:hAnsi="Times New Roman"/>
          <w:sz w:val="22"/>
          <w:szCs w:val="22"/>
          <w:color w:val="131413"/>
          <w:vertAlign w:val="superscript"/>
        </w:rPr>
        <w:t>2</w:t>
      </w:r>
      <w:r>
        <w:rPr>
          <w:rFonts w:ascii="Times New Roman" w:cs="Times New Roman" w:eastAsia="Times New Roman" w:hAnsi="Times New Roman"/>
          <w:sz w:val="17"/>
          <w:szCs w:val="17"/>
          <w:color w:val="131413"/>
        </w:rPr>
        <w:t xml:space="preserve"> from generalized linear mixed-effects models. Methods Ecol Evol 4:133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142</w:t>
      </w:r>
    </w:p>
    <w:p>
      <w:pPr>
        <w:spacing w:after="0" w:line="37"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Näsholm T, Ekblad A, Nordin A, Giesler R, Högberg M, Högberg P (1998) Boreal forest plants take up organic nitrogen. Nature 392:914</w:t>
      </w:r>
    </w:p>
    <w:p>
      <w:pPr>
        <w:spacing w:after="0" w:line="39"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Natali SM, Schuur EAG, Rubin RL (2012) Increased plant pro-ductivity in Alaskan tundra as a result of experimental warming of soil and permafrost. J Ecol 100:488</w:t>
      </w:r>
      <w:r>
        <w:rPr>
          <w:rFonts w:ascii="Arial" w:cs="Arial" w:eastAsia="Arial" w:hAnsi="Arial"/>
          <w:sz w:val="16"/>
          <w:szCs w:val="16"/>
          <w:color w:val="131413"/>
        </w:rPr>
        <w:t>–</w:t>
      </w:r>
      <w:r>
        <w:rPr>
          <w:rFonts w:ascii="Times New Roman" w:cs="Times New Roman" w:eastAsia="Times New Roman" w:hAnsi="Times New Roman"/>
          <w:sz w:val="16"/>
          <w:szCs w:val="16"/>
          <w:color w:val="131413"/>
        </w:rPr>
        <w:t>498</w:t>
      </w:r>
    </w:p>
    <w:p>
      <w:pPr>
        <w:spacing w:after="0" w:line="22"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Nobrega S, Grogan P (2008) Landscape and ecosystem-level controls on net carbon dioxide exchange along a natural moisture gradient in Canadian low arctic tundra. Ecosystems 11:377</w:t>
      </w:r>
      <w:r>
        <w:rPr>
          <w:rFonts w:ascii="Arial" w:cs="Arial" w:eastAsia="Arial" w:hAnsi="Arial"/>
          <w:sz w:val="17"/>
          <w:szCs w:val="17"/>
          <w:color w:val="131413"/>
        </w:rPr>
        <w:t>–</w:t>
      </w:r>
      <w:r>
        <w:rPr>
          <w:rFonts w:ascii="Times New Roman" w:cs="Times New Roman" w:eastAsia="Times New Roman" w:hAnsi="Times New Roman"/>
          <w:sz w:val="17"/>
          <w:szCs w:val="17"/>
          <w:color w:val="131413"/>
        </w:rPr>
        <w:t>396</w:t>
      </w:r>
    </w:p>
    <w:p>
      <w:pPr>
        <w:spacing w:after="0" w:line="37"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Norby RJ, Sloan VL, Iversen CM, Childs J (2019) Controls on fine-scale spatial and temporal variability of plant-available inorganic nitrogen in a polygonal tundra landscape. Ecosystems 22:528</w:t>
      </w:r>
      <w:r>
        <w:rPr>
          <w:rFonts w:ascii="Arial" w:cs="Arial" w:eastAsia="Arial" w:hAnsi="Arial"/>
          <w:sz w:val="17"/>
          <w:szCs w:val="17"/>
          <w:color w:val="131413"/>
        </w:rPr>
        <w:t>–</w:t>
      </w:r>
      <w:r>
        <w:rPr>
          <w:rFonts w:ascii="Times New Roman" w:cs="Times New Roman" w:eastAsia="Times New Roman" w:hAnsi="Times New Roman"/>
          <w:sz w:val="17"/>
          <w:szCs w:val="17"/>
          <w:color w:val="131413"/>
        </w:rPr>
        <w:t>543</w:t>
      </w:r>
    </w:p>
    <w:p>
      <w:pPr>
        <w:spacing w:after="0" w:line="37"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Nordin A, Schmidt IK, Shaver GR (2004) Nitrogen uptake by arctic soil microbes and plants in relation to soil nitrogen supply. Ecology 85:955</w:t>
      </w:r>
      <w:r>
        <w:rPr>
          <w:rFonts w:ascii="Arial" w:cs="Arial" w:eastAsia="Arial" w:hAnsi="Arial"/>
          <w:sz w:val="17"/>
          <w:szCs w:val="17"/>
          <w:color w:val="131413"/>
        </w:rPr>
        <w:t>–</w:t>
      </w:r>
      <w:r>
        <w:rPr>
          <w:rFonts w:ascii="Times New Roman" w:cs="Times New Roman" w:eastAsia="Times New Roman" w:hAnsi="Times New Roman"/>
          <w:sz w:val="17"/>
          <w:szCs w:val="17"/>
          <w:color w:val="131413"/>
        </w:rPr>
        <w:t>962</w:t>
      </w:r>
    </w:p>
    <w:p>
      <w:pPr>
        <w:spacing w:after="0" w:line="38" w:lineRule="exact"/>
        <w:rPr>
          <w:sz w:val="20"/>
          <w:szCs w:val="20"/>
          <w:color w:val="auto"/>
        </w:rPr>
      </w:pPr>
    </w:p>
    <w:p>
      <w:pPr>
        <w:jc w:val="both"/>
        <w:ind w:left="340" w:hanging="338"/>
        <w:spacing w:after="0" w:line="260" w:lineRule="auto"/>
        <w:rPr>
          <w:sz w:val="20"/>
          <w:szCs w:val="20"/>
          <w:color w:val="auto"/>
        </w:rPr>
      </w:pPr>
      <w:r>
        <w:rPr>
          <w:rFonts w:ascii="Times New Roman" w:cs="Times New Roman" w:eastAsia="Times New Roman" w:hAnsi="Times New Roman"/>
          <w:sz w:val="16"/>
          <w:szCs w:val="16"/>
          <w:color w:val="131413"/>
        </w:rPr>
        <w:t>Parkinson J, Allen S (1975) A wet oxidation procedure suitable for the determination of nitrogen and mineral nutrients in bio-logical material. Commun Soil Sci Plant Anal 6:1</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w:t>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Pedersen LL, Smets BF, Dechesne A (2015) Measuring biogeo-chemical heterogeneity at the micro scale in soils and sedi-ments. Soil Biol Biochem 90:122</w:t>
      </w:r>
      <w:r>
        <w:rPr>
          <w:rFonts w:ascii="Arial" w:cs="Arial" w:eastAsia="Arial" w:hAnsi="Arial"/>
          <w:sz w:val="17"/>
          <w:szCs w:val="17"/>
          <w:color w:val="131413"/>
        </w:rPr>
        <w:t>–</w:t>
      </w:r>
      <w:r>
        <w:rPr>
          <w:rFonts w:ascii="Times New Roman" w:cs="Times New Roman" w:eastAsia="Times New Roman" w:hAnsi="Times New Roman"/>
          <w:sz w:val="17"/>
          <w:szCs w:val="17"/>
          <w:color w:val="131413"/>
        </w:rPr>
        <w:t>138</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Pietri JA, Brookes P (2008) Nitrogen mineralisation along a pH gradient of a silty loam UK soil. Soil Biol Biochem 40:797</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802</w:t>
      </w:r>
    </w:p>
    <w:p>
      <w:pPr>
        <w:spacing w:after="0" w:line="19"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Qian P, Schoenau J (2002) Practical applications of ion exchange resins in agricultural and environmental soil research. Can J Soil Sci 82:9</w:t>
      </w:r>
      <w:r>
        <w:rPr>
          <w:rFonts w:ascii="Arial" w:cs="Arial" w:eastAsia="Arial" w:hAnsi="Arial"/>
          <w:sz w:val="17"/>
          <w:szCs w:val="17"/>
          <w:color w:val="131413"/>
        </w:rPr>
        <w:t>–</w:t>
      </w:r>
      <w:r>
        <w:rPr>
          <w:rFonts w:ascii="Times New Roman" w:cs="Times New Roman" w:eastAsia="Times New Roman" w:hAnsi="Times New Roman"/>
          <w:sz w:val="17"/>
          <w:szCs w:val="17"/>
          <w:color w:val="131413"/>
        </w:rPr>
        <w:t>21</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Raab TK, Lipson DA, Monson RK (1999) Soil amino acid utili-zation among species of the Cyperaceae: plant and soil pro-cesses. Ecology 80:2408</w:t>
      </w:r>
      <w:r>
        <w:rPr>
          <w:rFonts w:ascii="Arial" w:cs="Arial" w:eastAsia="Arial" w:hAnsi="Arial"/>
          <w:sz w:val="17"/>
          <w:szCs w:val="17"/>
          <w:color w:val="131413"/>
        </w:rPr>
        <w:t>–</w:t>
      </w:r>
      <w:r>
        <w:rPr>
          <w:rFonts w:ascii="Times New Roman" w:cs="Times New Roman" w:eastAsia="Times New Roman" w:hAnsi="Times New Roman"/>
          <w:sz w:val="17"/>
          <w:szCs w:val="17"/>
          <w:color w:val="131413"/>
        </w:rPr>
        <w:t>2419</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Raison R, Connell M, Khanna P (1987) Methodology for studying fluxes of soil mineral-N in situ. Soil Biol Biochem 19:521</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530</w:t>
      </w:r>
    </w:p>
    <w:p>
      <w:pPr>
        <w:spacing w:after="0" w:line="19"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Salmon VG, Soucy P, Mauritz M, Celis G, Natali SM, Mack MC, Schuur EAG (2016) Nitrogen availability increases in a tundra ecosystem during five years of experimental perma-frost thaw. Glob Change Biol 22:1927</w:t>
      </w:r>
      <w:r>
        <w:rPr>
          <w:rFonts w:ascii="Arial" w:cs="Arial" w:eastAsia="Arial" w:hAnsi="Arial"/>
          <w:sz w:val="17"/>
          <w:szCs w:val="17"/>
          <w:color w:val="131413"/>
        </w:rPr>
        <w:t>–</w:t>
      </w:r>
      <w:r>
        <w:rPr>
          <w:rFonts w:ascii="Times New Roman" w:cs="Times New Roman" w:eastAsia="Times New Roman" w:hAnsi="Times New Roman"/>
          <w:sz w:val="17"/>
          <w:szCs w:val="17"/>
          <w:color w:val="131413"/>
        </w:rPr>
        <w:t>1941</w:t>
      </w:r>
    </w:p>
    <w:p>
      <w:pPr>
        <w:spacing w:after="0" w:line="18" w:lineRule="exact"/>
        <w:rPr>
          <w:sz w:val="20"/>
          <w:szCs w:val="20"/>
          <w:color w:val="auto"/>
        </w:rPr>
      </w:pPr>
    </w:p>
    <w:p>
      <w:pPr>
        <w:jc w:val="both"/>
        <w:ind w:left="340" w:hanging="338"/>
        <w:spacing w:after="0" w:line="234" w:lineRule="auto"/>
        <w:rPr>
          <w:sz w:val="20"/>
          <w:szCs w:val="20"/>
          <w:color w:val="auto"/>
        </w:rPr>
      </w:pPr>
      <w:r>
        <w:rPr>
          <w:rFonts w:ascii="Times New Roman" w:cs="Times New Roman" w:eastAsia="Times New Roman" w:hAnsi="Times New Roman"/>
          <w:sz w:val="17"/>
          <w:szCs w:val="17"/>
          <w:color w:val="131413"/>
        </w:rPr>
        <w:t>Schimel JP, Bennett J (2004) Nitrogen mineralization: challenges of a changing paradigm. Ecology 85:591</w:t>
      </w:r>
      <w:r>
        <w:rPr>
          <w:rFonts w:ascii="Arial" w:cs="Arial" w:eastAsia="Arial" w:hAnsi="Arial"/>
          <w:sz w:val="17"/>
          <w:szCs w:val="17"/>
          <w:color w:val="131413"/>
        </w:rPr>
        <w:t>–</w:t>
      </w:r>
      <w:r>
        <w:rPr>
          <w:rFonts w:ascii="Times New Roman" w:cs="Times New Roman" w:eastAsia="Times New Roman" w:hAnsi="Times New Roman"/>
          <w:sz w:val="17"/>
          <w:szCs w:val="17"/>
          <w:color w:val="131413"/>
        </w:rPr>
        <w:t>602</w:t>
      </w:r>
    </w:p>
    <w:p>
      <w:pPr>
        <w:spacing w:after="0" w:line="18" w:lineRule="exact"/>
        <w:rPr>
          <w:sz w:val="20"/>
          <w:szCs w:val="20"/>
          <w:color w:val="auto"/>
        </w:rPr>
      </w:pPr>
    </w:p>
    <w:p>
      <w:pPr>
        <w:jc w:val="right"/>
        <w:spacing w:after="0" w:line="260" w:lineRule="auto"/>
        <w:rPr>
          <w:sz w:val="20"/>
          <w:szCs w:val="20"/>
          <w:color w:val="auto"/>
        </w:rPr>
      </w:pPr>
      <w:r>
        <w:rPr>
          <w:rFonts w:ascii="Times New Roman" w:cs="Times New Roman" w:eastAsia="Times New Roman" w:hAnsi="Times New Roman"/>
          <w:sz w:val="16"/>
          <w:szCs w:val="16"/>
          <w:color w:val="131413"/>
        </w:rPr>
        <w:t>Schimel JP, Bilbrough C, Welker JM (2004) Increased snow depth affects microbial activity and nitrogen mineralization in two Arctic tundra communities. Soil Biol Biochem 36:217</w:t>
      </w:r>
      <w:r>
        <w:rPr>
          <w:rFonts w:ascii="Arial" w:cs="Arial" w:eastAsia="Arial" w:hAnsi="Arial"/>
          <w:sz w:val="16"/>
          <w:szCs w:val="16"/>
          <w:color w:val="131413"/>
        </w:rPr>
        <w:t>–</w:t>
      </w:r>
      <w:r>
        <w:rPr>
          <w:rFonts w:ascii="Times New Roman" w:cs="Times New Roman" w:eastAsia="Times New Roman" w:hAnsi="Times New Roman"/>
          <w:sz w:val="16"/>
          <w:szCs w:val="16"/>
          <w:color w:val="131413"/>
        </w:rPr>
        <w:t>227 Schinner F, Öhlinger R, Kandeler E, Margesin R (2012) Methods</w:t>
      </w:r>
    </w:p>
    <w:p>
      <w:pPr>
        <w:ind w:left="340"/>
        <w:spacing w:after="0" w:line="226" w:lineRule="auto"/>
        <w:rPr>
          <w:sz w:val="20"/>
          <w:szCs w:val="20"/>
          <w:color w:val="auto"/>
        </w:rPr>
      </w:pPr>
      <w:r>
        <w:rPr>
          <w:rFonts w:ascii="Times New Roman" w:cs="Times New Roman" w:eastAsia="Times New Roman" w:hAnsi="Times New Roman"/>
          <w:sz w:val="17"/>
          <w:szCs w:val="17"/>
          <w:color w:val="131413"/>
        </w:rPr>
        <w:t>in soil biology. Springer, Berlin</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Schmidt S, Lipson D (2004) Microbial growth under the snow: implications for nutrient and allelochemical availability in temperate soils. Plant Soil 259:1</w:t>
      </w:r>
      <w:r>
        <w:rPr>
          <w:rFonts w:ascii="Arial" w:cs="Arial" w:eastAsia="Arial" w:hAnsi="Arial"/>
          <w:sz w:val="17"/>
          <w:szCs w:val="17"/>
          <w:color w:val="131413"/>
        </w:rPr>
        <w:t>–</w:t>
      </w:r>
      <w:r>
        <w:rPr>
          <w:rFonts w:ascii="Times New Roman" w:cs="Times New Roman" w:eastAsia="Times New Roman" w:hAnsi="Times New Roman"/>
          <w:sz w:val="17"/>
          <w:szCs w:val="17"/>
          <w:color w:val="131413"/>
        </w:rPr>
        <w:t>7</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Schmidt IK, Jonasson S, Michelsen A (1999) Mineralization and microbial immobilization of N and P in arctic soils in relation to season, temperature and nutrient amendment. Appl Soil Ecol 11:147</w:t>
      </w:r>
      <w:r>
        <w:rPr>
          <w:rFonts w:ascii="Arial" w:cs="Arial" w:eastAsia="Arial" w:hAnsi="Arial"/>
          <w:sz w:val="17"/>
          <w:szCs w:val="17"/>
          <w:color w:val="131413"/>
        </w:rPr>
        <w:t>–</w:t>
      </w:r>
      <w:r>
        <w:rPr>
          <w:rFonts w:ascii="Times New Roman" w:cs="Times New Roman" w:eastAsia="Times New Roman" w:hAnsi="Times New Roman"/>
          <w:sz w:val="17"/>
          <w:szCs w:val="17"/>
          <w:color w:val="131413"/>
        </w:rPr>
        <w:t>160</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Schmidt IK, Jonasson S, Shaver G, Michelsen A, Nordin A (2002) Mineralization and distribution of nutrients in plants and microbes in four arctic ecosystems: responses to warming. Plant Soil 242:93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106</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Schuur EA, Crummer KG, Vogel JG, Mack MC (2007) Plant species composition and productivity following permafrost thaw and thermokarst in Alaskan tundra. Ecosystems 10: 280</w:t>
      </w:r>
      <w:r>
        <w:rPr>
          <w:rFonts w:ascii="Arial" w:cs="Arial" w:eastAsia="Arial" w:hAnsi="Arial"/>
          <w:sz w:val="17"/>
          <w:szCs w:val="17"/>
          <w:color w:val="131413"/>
        </w:rPr>
        <w:t>–</w:t>
      </w:r>
      <w:r>
        <w:rPr>
          <w:rFonts w:ascii="Times New Roman" w:cs="Times New Roman" w:eastAsia="Times New Roman" w:hAnsi="Times New Roman"/>
          <w:sz w:val="17"/>
          <w:szCs w:val="17"/>
          <w:color w:val="131413"/>
        </w:rPr>
        <w:t>292</w:t>
      </w:r>
    </w:p>
    <w:p>
      <w:pPr>
        <w:spacing w:after="0" w:line="17"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Semenchuk PR, Elberling B, Amtorp C, Winkler J, Rumpf S, Michelsen A, Cooper EJ (2015) Deeper snow alters soil nutrient availability and leaf nutrient status in high Arctic tundra. Biogeochemistry 124:81</w:t>
      </w:r>
      <w:r>
        <w:rPr>
          <w:rFonts w:ascii="Arial" w:cs="Arial" w:eastAsia="Arial" w:hAnsi="Arial"/>
          <w:sz w:val="17"/>
          <w:szCs w:val="17"/>
          <w:color w:val="131413"/>
        </w:rPr>
        <w:t>–</w:t>
      </w:r>
      <w:r>
        <w:rPr>
          <w:rFonts w:ascii="Times New Roman" w:cs="Times New Roman" w:eastAsia="Times New Roman" w:hAnsi="Times New Roman"/>
          <w:sz w:val="17"/>
          <w:szCs w:val="17"/>
          <w:color w:val="131413"/>
        </w:rPr>
        <w:t>94</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Shaver GR, Chapin FS III (1980) Response to fertilization by various plant growth forms in an Alaskan tundra: nutrient accumulation and growth. Ecology 61:662</w:t>
      </w:r>
      <w:r>
        <w:rPr>
          <w:rFonts w:ascii="Arial" w:cs="Arial" w:eastAsia="Arial" w:hAnsi="Arial"/>
          <w:sz w:val="17"/>
          <w:szCs w:val="17"/>
          <w:color w:val="131413"/>
        </w:rPr>
        <w:t>–</w:t>
      </w:r>
      <w:r>
        <w:rPr>
          <w:rFonts w:ascii="Times New Roman" w:cs="Times New Roman" w:eastAsia="Times New Roman" w:hAnsi="Times New Roman"/>
          <w:sz w:val="17"/>
          <w:szCs w:val="17"/>
          <w:color w:val="131413"/>
        </w:rPr>
        <w:t>675</w:t>
      </w:r>
    </w:p>
    <w:p>
      <w:pPr>
        <w:spacing w:after="0" w:line="19" w:lineRule="exact"/>
        <w:rPr>
          <w:sz w:val="20"/>
          <w:szCs w:val="20"/>
          <w:color w:val="auto"/>
        </w:rPr>
      </w:pPr>
    </w:p>
    <w:p>
      <w:pPr>
        <w:jc w:val="center"/>
        <w:spacing w:after="0" w:line="260" w:lineRule="auto"/>
        <w:rPr>
          <w:sz w:val="20"/>
          <w:szCs w:val="20"/>
          <w:color w:val="auto"/>
        </w:rPr>
      </w:pPr>
      <w:r>
        <w:rPr>
          <w:rFonts w:ascii="Times New Roman" w:cs="Times New Roman" w:eastAsia="Times New Roman" w:hAnsi="Times New Roman"/>
          <w:sz w:val="16"/>
          <w:szCs w:val="16"/>
          <w:color w:val="131413"/>
        </w:rPr>
        <w:t>Skogley EO, Dobermann A (1996) Synthetic ion-exchange resins: soil and environmental studies. J Environ Qual 25:13</w:t>
      </w:r>
      <w:r>
        <w:rPr>
          <w:rFonts w:ascii="Arial" w:cs="Arial" w:eastAsia="Arial" w:hAnsi="Arial"/>
          <w:sz w:val="16"/>
          <w:szCs w:val="16"/>
          <w:color w:val="131413"/>
        </w:rPr>
        <w:t>–</w:t>
      </w:r>
      <w:r>
        <w:rPr>
          <w:rFonts w:ascii="Times New Roman" w:cs="Times New Roman" w:eastAsia="Times New Roman" w:hAnsi="Times New Roman"/>
          <w:sz w:val="16"/>
          <w:szCs w:val="16"/>
          <w:color w:val="131413"/>
        </w:rPr>
        <w:t>24 Snaydon R (1962) Micro-distribution of Trifolium repens L. and</w:t>
      </w:r>
    </w:p>
    <w:p>
      <w:pPr>
        <w:ind w:left="340"/>
        <w:spacing w:after="0" w:line="225" w:lineRule="auto"/>
        <w:rPr>
          <w:sz w:val="20"/>
          <w:szCs w:val="20"/>
          <w:color w:val="auto"/>
        </w:rPr>
      </w:pPr>
      <w:r>
        <w:rPr>
          <w:rFonts w:ascii="Times New Roman" w:cs="Times New Roman" w:eastAsia="Times New Roman" w:hAnsi="Times New Roman"/>
          <w:sz w:val="17"/>
          <w:szCs w:val="17"/>
          <w:color w:val="131413"/>
        </w:rPr>
        <w:t>its relation to soil factors. J Ecol 50:133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143</w:t>
      </w:r>
    </w:p>
    <w:p>
      <w:pPr>
        <w:spacing w:after="0" w:line="17"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Subler S, Blair JM, Edwards CA (1995) Using anion-exchange membranes to measure soil nitrate availability and net nitri-fication. Soil Biol Biochem 27:911</w:t>
      </w:r>
      <w:r>
        <w:rPr>
          <w:rFonts w:ascii="Arial" w:cs="Arial" w:eastAsia="Arial" w:hAnsi="Arial"/>
          <w:sz w:val="17"/>
          <w:szCs w:val="17"/>
          <w:color w:val="131413"/>
        </w:rPr>
        <w:t>–</w:t>
      </w:r>
      <w:r>
        <w:rPr>
          <w:rFonts w:ascii="Times New Roman" w:cs="Times New Roman" w:eastAsia="Times New Roman" w:hAnsi="Times New Roman"/>
          <w:sz w:val="17"/>
          <w:szCs w:val="17"/>
          <w:color w:val="131413"/>
        </w:rPr>
        <w:t>917</w:t>
      </w:r>
    </w:p>
    <w:p>
      <w:pPr>
        <w:spacing w:after="0" w:line="19"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Van Der Heijden MG, Bardgett RD, Van Straalen NM (2008) The unseen majority: soil microbes as drivers of plant diversity and productivity in terrestrial ecosystems. Ecol Lett 11:296</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310</w:t>
      </w:r>
    </w:p>
    <w:p>
      <w:pPr>
        <w:spacing w:after="0" w:line="18" w:lineRule="exact"/>
        <w:rPr>
          <w:sz w:val="20"/>
          <w:szCs w:val="20"/>
          <w:color w:val="auto"/>
        </w:rPr>
      </w:pPr>
    </w:p>
    <w:p>
      <w:pPr>
        <w:jc w:val="both"/>
        <w:ind w:left="340" w:hanging="338"/>
        <w:spacing w:after="0" w:line="259" w:lineRule="auto"/>
        <w:rPr>
          <w:sz w:val="20"/>
          <w:szCs w:val="20"/>
          <w:color w:val="auto"/>
        </w:rPr>
      </w:pPr>
      <w:r>
        <w:rPr>
          <w:rFonts w:ascii="Times New Roman" w:cs="Times New Roman" w:eastAsia="Times New Roman" w:hAnsi="Times New Roman"/>
          <w:sz w:val="16"/>
          <w:szCs w:val="16"/>
          <w:color w:val="131413"/>
        </w:rPr>
        <w:t>Vandecar KL, Lawrence D, Wood T, Oberbauer SF, Das R, Tully K, Schwendenmann L (2009) Biotic and abiotic controls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2253615</wp:posOffset>
            </wp:positionH>
            <wp:positionV relativeFrom="paragraph">
              <wp:posOffset>205740</wp:posOffset>
            </wp:positionV>
            <wp:extent cx="483870" cy="13843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0" w:space="460"/>
            <w:col w:w="4300"/>
          </w:cols>
          <w:pgMar w:left="940" w:top="649" w:right="942" w:bottom="900" w:gutter="0" w:footer="0" w:header="0"/>
          <w:type w:val="continuous"/>
        </w:sectPr>
      </w:pPr>
    </w:p>
    <w:bookmarkStart w:id="19" w:name="page20"/>
    <w:bookmarkEnd w:id="19"/>
    <w:p>
      <w:pPr>
        <w:ind w:left="8420"/>
        <w:spacing w:after="0"/>
        <w:rPr>
          <w:sz w:val="20"/>
          <w:szCs w:val="20"/>
          <w:color w:val="auto"/>
        </w:rPr>
      </w:pPr>
      <w:r>
        <w:rPr>
          <w:rFonts w:ascii="Times New Roman" w:cs="Times New Roman" w:eastAsia="Times New Roman" w:hAnsi="Times New Roman"/>
          <w:sz w:val="16"/>
          <w:szCs w:val="16"/>
          <w:color w:val="131413"/>
        </w:rPr>
        <w:t>Plant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540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1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40005</wp:posOffset>
                </wp:positionV>
                <wp:extent cx="577215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15pt" to="453.8pt,3.1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540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15pt" o:allowincell="f" strokecolor="#131413" strokeweight="1pt"/>
            </w:pict>
          </mc:Fallback>
        </mc:AlternateContent>
      </w:r>
    </w:p>
    <w:p>
      <w:pPr>
        <w:sectPr>
          <w:pgSz w:w="10940" w:h="14740" w:orient="portrait"/>
          <w:cols w:equalWidth="0" w:num="1">
            <w:col w:w="9060"/>
          </w:cols>
          <w:pgMar w:left="940" w:top="649" w:right="942" w:bottom="1440" w:gutter="0" w:footer="0" w:header="0"/>
        </w:sectPr>
      </w:pPr>
    </w:p>
    <w:p>
      <w:pPr>
        <w:spacing w:after="0" w:line="241" w:lineRule="exact"/>
        <w:rPr>
          <w:sz w:val="20"/>
          <w:szCs w:val="20"/>
          <w:color w:val="auto"/>
        </w:rPr>
      </w:pPr>
    </w:p>
    <w:p>
      <w:pPr>
        <w:ind w:left="340"/>
        <w:spacing w:after="0" w:line="234" w:lineRule="auto"/>
        <w:rPr>
          <w:sz w:val="20"/>
          <w:szCs w:val="20"/>
          <w:color w:val="auto"/>
        </w:rPr>
      </w:pPr>
      <w:r>
        <w:rPr>
          <w:rFonts w:ascii="Times New Roman" w:cs="Times New Roman" w:eastAsia="Times New Roman" w:hAnsi="Times New Roman"/>
          <w:sz w:val="17"/>
          <w:szCs w:val="17"/>
          <w:color w:val="131413"/>
        </w:rPr>
        <w:t>diurnal fluctuations in labile soil phosphorus of a wet tropical forest. Ecology 90:2547</w:t>
      </w:r>
      <w:r>
        <w:rPr>
          <w:rFonts w:ascii="Arial" w:cs="Arial" w:eastAsia="Arial" w:hAnsi="Arial"/>
          <w:sz w:val="17"/>
          <w:szCs w:val="17"/>
          <w:color w:val="131413"/>
        </w:rPr>
        <w:t>–</w:t>
      </w:r>
      <w:r>
        <w:rPr>
          <w:rFonts w:ascii="Times New Roman" w:cs="Times New Roman" w:eastAsia="Times New Roman" w:hAnsi="Times New Roman"/>
          <w:sz w:val="17"/>
          <w:szCs w:val="17"/>
          <w:color w:val="131413"/>
        </w:rPr>
        <w:t>2555</w:t>
      </w:r>
    </w:p>
    <w:p>
      <w:pPr>
        <w:spacing w:after="0" w:line="3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Walker M (1996) Community baseline measurements for ITEX studies. In: (ed Molau U ITEX manual. M</w:t>
      </w:r>
      <w:r>
        <w:rPr>
          <w:rFonts w:ascii="Arial" w:cs="Arial" w:eastAsia="Arial" w:hAnsi="Arial"/>
          <w:sz w:val="17"/>
          <w:szCs w:val="17"/>
          <w:color w:val="131413"/>
        </w:rPr>
        <w:t>φ</w:t>
      </w:r>
      <w:r>
        <w:rPr>
          <w:rFonts w:ascii="Times New Roman" w:cs="Times New Roman" w:eastAsia="Times New Roman" w:hAnsi="Times New Roman"/>
          <w:sz w:val="17"/>
          <w:szCs w:val="17"/>
          <w:color w:val="131413"/>
        </w:rPr>
        <w:t>lgaard P), Danish Polar Center, Copenhagen</w:t>
      </w:r>
    </w:p>
    <w:p>
      <w:pPr>
        <w:spacing w:after="0" w:line="38" w:lineRule="exact"/>
        <w:rPr>
          <w:sz w:val="20"/>
          <w:szCs w:val="20"/>
          <w:color w:val="auto"/>
        </w:rPr>
      </w:pPr>
    </w:p>
    <w:p>
      <w:pPr>
        <w:jc w:val="both"/>
        <w:ind w:left="340" w:hanging="338"/>
        <w:spacing w:after="0" w:line="235" w:lineRule="auto"/>
        <w:rPr>
          <w:sz w:val="20"/>
          <w:szCs w:val="20"/>
          <w:color w:val="auto"/>
        </w:rPr>
      </w:pPr>
      <w:r>
        <w:rPr>
          <w:rFonts w:ascii="Times New Roman" w:cs="Times New Roman" w:eastAsia="Times New Roman" w:hAnsi="Times New Roman"/>
          <w:sz w:val="17"/>
          <w:szCs w:val="17"/>
          <w:color w:val="131413"/>
        </w:rPr>
        <w:t>Walker T, Syers JK (1976) The fate of phosphorus during pedo-genesis. Geoderma 15:1</w:t>
      </w:r>
      <w:r>
        <w:rPr>
          <w:rFonts w:ascii="Arial" w:cs="Arial" w:eastAsia="Arial" w:hAnsi="Arial"/>
          <w:sz w:val="17"/>
          <w:szCs w:val="17"/>
          <w:color w:val="131413"/>
        </w:rPr>
        <w:t>–</w:t>
      </w:r>
      <w:r>
        <w:rPr>
          <w:rFonts w:ascii="Times New Roman" w:cs="Times New Roman" w:eastAsia="Times New Roman" w:hAnsi="Times New Roman"/>
          <w:sz w:val="17"/>
          <w:szCs w:val="17"/>
          <w:color w:val="131413"/>
        </w:rPr>
        <w:t>19</w:t>
      </w:r>
    </w:p>
    <w:p>
      <w:pPr>
        <w:spacing w:after="0" w:line="37"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Weih M (1998) Seasonality of nutrient availability in soils of subarctic mountain birch woodlands, Swedish Lapland. Arct Alp Res 30:19</w:t>
      </w:r>
      <w:r>
        <w:rPr>
          <w:rFonts w:ascii="Arial" w:cs="Arial" w:eastAsia="Arial" w:hAnsi="Arial"/>
          <w:sz w:val="17"/>
          <w:szCs w:val="17"/>
          <w:color w:val="131413"/>
        </w:rPr>
        <w:t>–</w:t>
      </w:r>
      <w:r>
        <w:rPr>
          <w:rFonts w:ascii="Times New Roman" w:cs="Times New Roman" w:eastAsia="Times New Roman" w:hAnsi="Times New Roman"/>
          <w:sz w:val="17"/>
          <w:szCs w:val="17"/>
          <w:color w:val="131413"/>
        </w:rPr>
        <w:t>25</w:t>
      </w:r>
    </w:p>
    <w:p>
      <w:pPr>
        <w:spacing w:after="0" w:line="38" w:lineRule="exact"/>
        <w:rPr>
          <w:sz w:val="20"/>
          <w:szCs w:val="20"/>
          <w:color w:val="auto"/>
        </w:rPr>
      </w:pPr>
    </w:p>
    <w:p>
      <w:pPr>
        <w:jc w:val="center"/>
        <w:spacing w:after="0" w:line="235" w:lineRule="auto"/>
        <w:rPr>
          <w:sz w:val="20"/>
          <w:szCs w:val="20"/>
          <w:color w:val="auto"/>
        </w:rPr>
      </w:pPr>
      <w:r>
        <w:rPr>
          <w:rFonts w:ascii="Times New Roman" w:cs="Times New Roman" w:eastAsia="Times New Roman" w:hAnsi="Times New Roman"/>
          <w:sz w:val="17"/>
          <w:szCs w:val="17"/>
          <w:color w:val="131413"/>
        </w:rPr>
        <w:t>Weintraub MN (2011) Biological phosphorus cycling in arctic and alpine soils. In: Phosphorus in Action. Springer, Berlin</w:t>
      </w:r>
    </w:p>
    <w:p>
      <w:pPr>
        <w:spacing w:after="0" w:line="37"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Wijesinghe DK, Hutchings MJ (1997) The effects of spatial scale of environmental heterogeneity on the growth of a clonal plant: an experimental study with Glechoma hederacea. J Ecol 85:17</w:t>
      </w:r>
      <w:r>
        <w:rPr>
          <w:rFonts w:ascii="Arial" w:cs="Arial" w:eastAsia="Arial" w:hAnsi="Arial"/>
          <w:sz w:val="17"/>
          <w:szCs w:val="17"/>
          <w:color w:val="131413"/>
        </w:rPr>
        <w:t>–</w:t>
      </w:r>
      <w:r>
        <w:rPr>
          <w:rFonts w:ascii="Times New Roman" w:cs="Times New Roman" w:eastAsia="Times New Roman" w:hAnsi="Times New Roman"/>
          <w:sz w:val="17"/>
          <w:szCs w:val="17"/>
          <w:color w:val="131413"/>
        </w:rPr>
        <w:t>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5869305</wp:posOffset>
            </wp:positionV>
            <wp:extent cx="483870" cy="13843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Yang J, Skogley E, Georgitis S, Schaff B, Ferguson A (1991) Phytoavailability soil test: development and verification of theory. Soil Sci Soc Am J 55:1358</w:t>
      </w:r>
      <w:r>
        <w:rPr>
          <w:rFonts w:ascii="Arial" w:cs="Arial" w:eastAsia="Arial" w:hAnsi="Arial"/>
          <w:sz w:val="17"/>
          <w:szCs w:val="17"/>
          <w:color w:val="131413"/>
        </w:rPr>
        <w:t>–</w:t>
      </w:r>
      <w:r>
        <w:rPr>
          <w:rFonts w:ascii="Times New Roman" w:cs="Times New Roman" w:eastAsia="Times New Roman" w:hAnsi="Times New Roman"/>
          <w:sz w:val="17"/>
          <w:szCs w:val="17"/>
          <w:color w:val="131413"/>
        </w:rPr>
        <w:t>1365</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Zamin TJ (2013) Integrating the effects of climate change and caribou herbivory on vegetation community structure in low Arctic tundra. Unpublished PhD Thesis, Queen</w:t>
      </w:r>
      <w:r>
        <w:rPr>
          <w:rFonts w:ascii="Arial" w:cs="Arial" w:eastAsia="Arial" w:hAnsi="Arial"/>
          <w:sz w:val="17"/>
          <w:szCs w:val="17"/>
          <w:color w:val="131413"/>
        </w:rPr>
        <w:t>’</w:t>
      </w:r>
      <w:r>
        <w:rPr>
          <w:rFonts w:ascii="Times New Roman" w:cs="Times New Roman" w:eastAsia="Times New Roman" w:hAnsi="Times New Roman"/>
          <w:sz w:val="17"/>
          <w:szCs w:val="17"/>
          <w:color w:val="131413"/>
        </w:rPr>
        <w:t>s University, Kingston, Ontario, Canada, 246 pp</w:t>
      </w:r>
    </w:p>
    <w:p>
      <w:pPr>
        <w:spacing w:after="0" w:line="18" w:lineRule="exact"/>
        <w:rPr>
          <w:sz w:val="20"/>
          <w:szCs w:val="20"/>
          <w:color w:val="auto"/>
        </w:rPr>
      </w:pPr>
    </w:p>
    <w:p>
      <w:pPr>
        <w:jc w:val="both"/>
        <w:ind w:left="340" w:hanging="338"/>
        <w:spacing w:after="0"/>
        <w:rPr>
          <w:sz w:val="20"/>
          <w:szCs w:val="20"/>
          <w:color w:val="auto"/>
        </w:rPr>
      </w:pPr>
      <w:r>
        <w:rPr>
          <w:rFonts w:ascii="Times New Roman" w:cs="Times New Roman" w:eastAsia="Times New Roman" w:hAnsi="Times New Roman"/>
          <w:sz w:val="17"/>
          <w:szCs w:val="17"/>
          <w:color w:val="131413"/>
        </w:rPr>
        <w:t>Zamin TJ, Bret-Harte MS, Grogan P (2014) Evergreen shrubs dominate responses to experimental summer warming and fertilization in Canadian mesic low arctic tundra. J Ecol 102: 749</w:t>
      </w:r>
      <w:r>
        <w:rPr>
          <w:rFonts w:ascii="Arial" w:cs="Arial" w:eastAsia="Arial" w:hAnsi="Arial"/>
          <w:sz w:val="17"/>
          <w:szCs w:val="17"/>
          <w:color w:val="131413"/>
        </w:rPr>
        <w:t>–</w:t>
      </w:r>
      <w:r>
        <w:rPr>
          <w:rFonts w:ascii="Times New Roman" w:cs="Times New Roman" w:eastAsia="Times New Roman" w:hAnsi="Times New Roman"/>
          <w:sz w:val="17"/>
          <w:szCs w:val="17"/>
          <w:color w:val="131413"/>
        </w:rPr>
        <w:t>766</w:t>
      </w:r>
    </w:p>
    <w:p>
      <w:pPr>
        <w:spacing w:after="0" w:line="18" w:lineRule="exact"/>
        <w:rPr>
          <w:sz w:val="20"/>
          <w:szCs w:val="20"/>
          <w:color w:val="auto"/>
        </w:rPr>
      </w:pPr>
    </w:p>
    <w:p>
      <w:pPr>
        <w:jc w:val="both"/>
        <w:ind w:left="340" w:hanging="338"/>
        <w:spacing w:after="0" w:line="238" w:lineRule="auto"/>
        <w:rPr>
          <w:sz w:val="20"/>
          <w:szCs w:val="20"/>
          <w:color w:val="auto"/>
        </w:rPr>
      </w:pPr>
      <w:r>
        <w:rPr>
          <w:rFonts w:ascii="Times New Roman" w:cs="Times New Roman" w:eastAsia="Times New Roman" w:hAnsi="Times New Roman"/>
          <w:sz w:val="17"/>
          <w:szCs w:val="17"/>
          <w:color w:val="131413"/>
        </w:rPr>
        <w:t>Ziadi N, Cambouris AN, Nolin MC (2006) Anionic exchange membranes as a soil test for nitrogen availability. Commun Soil Sci Plant Ana 37:2411</w:t>
      </w:r>
      <w:r>
        <w:rPr>
          <w:rFonts w:ascii="Arial" w:cs="Arial" w:eastAsia="Arial" w:hAnsi="Arial"/>
          <w:sz w:val="17"/>
          <w:szCs w:val="17"/>
          <w:color w:val="131413"/>
        </w:rPr>
        <w:t>–</w:t>
      </w:r>
      <w:r>
        <w:rPr>
          <w:rFonts w:ascii="Times New Roman" w:cs="Times New Roman" w:eastAsia="Times New Roman" w:hAnsi="Times New Roman"/>
          <w:sz w:val="17"/>
          <w:szCs w:val="17"/>
          <w:color w:val="131413"/>
        </w:rPr>
        <w:t>2422</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17"/>
          <w:szCs w:val="17"/>
          <w:color w:val="131413"/>
        </w:rPr>
        <w:t xml:space="preserve">Publisher's Note </w:t>
      </w:r>
      <w:r>
        <w:rPr>
          <w:rFonts w:ascii="Times New Roman" w:cs="Times New Roman" w:eastAsia="Times New Roman" w:hAnsi="Times New Roman"/>
          <w:sz w:val="17"/>
          <w:szCs w:val="17"/>
          <w:color w:val="131413"/>
        </w:rPr>
        <w:t>Springer Nature remains neutral with regard to</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jurisdictional claims in published maps and institutional affiliations.</w:t>
      </w:r>
    </w:p>
    <w:sectPr>
      <w:pgSz w:w="10940" w:h="14740" w:orient="portrait"/>
      <w:cols w:equalWidth="0" w:num="2">
        <w:col w:w="4300" w:space="460"/>
        <w:col w:w="4300"/>
      </w:cols>
      <w:pgMar w:left="940" w:top="649" w:right="942"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1)"/>
      <w:numFmt w:val="decimal"/>
      <w:start w:val="2"/>
    </w:lvl>
  </w:abstractNum>
  <w:abstractNum w:abstractNumId="2">
    <w:nsid w:val="41B71EFB"/>
    <w:multiLevelType w:val="hybridMultilevel"/>
    <w:lvl w:ilvl="0">
      <w:lvlJc w:val="left"/>
      <w:lvlText w:val="%1"/>
      <w:numFmt w:val="decimal"/>
      <w:start w:val="1"/>
    </w:lvl>
  </w:abstractNum>
  <w:abstractNum w:abstractNumId="3">
    <w:nsid w:val="79E2A9E3"/>
    <w:multiLevelType w:val="hybridMultilevel"/>
    <w:lvl w:ilvl="0">
      <w:lvlJc w:val="left"/>
      <w:lvlText w:val="%1"/>
      <w:numFmt w:val="decimal"/>
      <w:start w:val="65"/>
    </w:lvl>
  </w:abstractNum>
  <w:abstractNum w:abstractNumId="4">
    <w:nsid w:val="7545E146"/>
    <w:multiLevelType w:val="hybridMultilevel"/>
    <w:lvl w:ilvl="0">
      <w:lvlJc w:val="left"/>
      <w:lvlText w:val="%1)"/>
      <w:numFmt w:val="decimal"/>
      <w:start w:val="5"/>
    </w:lvl>
  </w:abstractNum>
  <w:abstractNum w:abstractNumId="5">
    <w:nsid w:val="515F007C"/>
    <w:multiLevelType w:val="hybridMultilevel"/>
    <w:lvl w:ilvl="0">
      <w:lvlJc w:val="left"/>
      <w:lvlText w:val="%1)"/>
      <w:numFmt w:val="upperLetter"/>
      <w:start w:val="16"/>
    </w:lvl>
  </w:abstractNum>
  <w:abstractNum w:abstractNumId="6">
    <w:nsid w:val="5BD062C2"/>
    <w:multiLevelType w:val="hybridMultilevel"/>
    <w:lvl w:ilvl="0">
      <w:lvlJc w:val="left"/>
      <w:lvlText w:val="(%1)"/>
      <w:numFmt w:val="lowerLetter"/>
      <w:start w:val="1"/>
    </w:lvl>
  </w:abstractNum>
  <w:abstractNum w:abstractNumId="7">
    <w:nsid w:val="12200854"/>
    <w:multiLevelType w:val="hybridMultilevel"/>
    <w:lvl w:ilvl="0">
      <w:lvlJc w:val="left"/>
      <w:lvlText w:val="(%1)"/>
      <w:numFmt w:val="lowerLetter"/>
      <w:start w:val="4"/>
    </w:lvl>
  </w:abstractNum>
  <w:abstractNum w:abstractNumId="8">
    <w:nsid w:val="4DB127F8"/>
    <w:multiLevelType w:val="hybridMultilevel"/>
    <w:lvl w:ilvl="0">
      <w:lvlJc w:val="left"/>
      <w:lvlText w:val="%1"/>
      <w:numFmt w:val="upperLetter"/>
      <w:start w:val="14"/>
    </w:lvl>
  </w:abstractNum>
  <w:abstractNum w:abstractNumId="9">
    <w:nsid w:val="216231B"/>
    <w:multiLevelType w:val="hybridMultilevel"/>
    <w:lvl w:ilvl="0">
      <w:lvlJc w:val="left"/>
      <w:lvlText w:val="%1"/>
      <w:numFmt w:val="decimal"/>
      <w:start w:val="1"/>
    </w:lvl>
  </w:abstractNum>
  <w:abstractNum w:abstractNumId="10">
    <w:nsid w:val="1F16E9E8"/>
    <w:multiLevelType w:val="hybridMultilevel"/>
    <w:lvl w:ilvl="0">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9" Type="http://schemas.openxmlformats.org/officeDocument/2006/relationships/hyperlink" Target="https://doi.org/10.1007/s11104-020-04658-2" TargetMode="External"/><Relationship Id="rId33" Type="http://schemas.openxmlformats.org/officeDocument/2006/relationships/hyperlink" Target="https://www.polardata.ca/" TargetMode="External"/><Relationship Id="rId36" Type="http://schemas.openxmlformats.org/officeDocument/2006/relationships/hyperlink" Target="http://www.ipcc.ch/report/ar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2020-09-15T04:09:18Z</dcterms:created>
  <dcterms:modified xsi:type="dcterms:W3CDTF">2020-09-15T04:09:18Z</dcterms:modified>
</cp:coreProperties>
</file>