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Pharmaceutical Biology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1388-0209 (Print) 1744-5116 (Online) Journal homepage: </w:t>
      </w:r>
      <w:hyperlink r:id="rId10">
        <w:r>
          <w:rPr>
            <w:rFonts w:ascii="Courier New" w:cs="Courier New" w:eastAsia="Courier New" w:hAnsi="Courier New"/>
            <w:sz w:val="13"/>
            <w:szCs w:val="13"/>
            <w:b w:val="1"/>
            <w:bCs w:val="1"/>
            <w:u w:val="single" w:color="auto"/>
            <w:color w:val="auto"/>
          </w:rPr>
          <w:t>https://www.tandfonline.com/loi/iphb20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586"/>
        <w:spacing w:after="0" w:line="336" w:lineRule="auto"/>
        <w:rPr>
          <w:sz w:val="20"/>
          <w:szCs w:val="20"/>
          <w:color w:val="auto"/>
        </w:rPr>
      </w:pPr>
      <w:r>
        <w:rPr>
          <w:rFonts w:ascii="Courier New" w:cs="Courier New" w:eastAsia="Courier New" w:hAnsi="Courier New"/>
          <w:sz w:val="33"/>
          <w:szCs w:val="33"/>
          <w:b w:val="1"/>
          <w:bCs w:val="1"/>
          <w:color w:val="auto"/>
        </w:rPr>
        <w:t>Hypoglycaemic Activity of Ibervillea sonorae Roots in Healthy and Diabetic Mice and Rats</w:t>
      </w:r>
    </w:p>
    <w:p>
      <w:pPr>
        <w:spacing w:after="0" w:line="348" w:lineRule="exact"/>
        <w:rPr>
          <w:sz w:val="24"/>
          <w:szCs w:val="24"/>
          <w:color w:val="auto"/>
        </w:rPr>
      </w:pPr>
    </w:p>
    <w:p>
      <w:pPr>
        <w:ind w:left="500"/>
        <w:spacing w:after="0"/>
        <w:rPr>
          <w:sz w:val="20"/>
          <w:szCs w:val="20"/>
          <w:color w:val="auto"/>
        </w:rPr>
      </w:pPr>
      <w:r>
        <w:rPr>
          <w:rFonts w:ascii="Courier New" w:cs="Courier New" w:eastAsia="Courier New" w:hAnsi="Courier New"/>
          <w:sz w:val="22"/>
          <w:szCs w:val="22"/>
          <w:b w:val="1"/>
          <w:bCs w:val="1"/>
          <w:color w:val="auto"/>
        </w:rPr>
        <w:t>F.J. Alarcon-Aguilar, A.E. Campos-Sepulveda, S. Xolalpa-Molina, E.</w:t>
      </w:r>
    </w:p>
    <w:p>
      <w:pPr>
        <w:spacing w:after="0" w:line="31"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Hernandez-Galicia &amp; R. Roman-Ramos</w:t>
      </w:r>
    </w:p>
    <w:p>
      <w:pPr>
        <w:spacing w:after="0" w:line="200" w:lineRule="exact"/>
        <w:rPr>
          <w:sz w:val="24"/>
          <w:szCs w:val="24"/>
          <w:color w:val="auto"/>
        </w:rPr>
      </w:pPr>
    </w:p>
    <w:p>
      <w:pPr>
        <w:spacing w:after="0" w:line="269" w:lineRule="exact"/>
        <w:rPr>
          <w:sz w:val="24"/>
          <w:szCs w:val="24"/>
          <w:color w:val="auto"/>
        </w:rPr>
      </w:pPr>
    </w:p>
    <w:p>
      <w:pPr>
        <w:ind w:left="500" w:right="646"/>
        <w:spacing w:after="0" w:line="252"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F.J. Alarcon-Aguilar, A.E. Campos-Sepulveda, S. Xolalpa-Molina, E.</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Hernandez-Galicia &amp; R. Roman-Ramos (2002) Hypoglycaemic Activity of Ibervillea sonorae Roots in Healthy and Diabetic Mice and Rats, Pharmaceutical Biology, 40:8, 570-575, DOI: </w:t>
      </w:r>
      <w:hyperlink r:id="rId12">
        <w:r>
          <w:rPr>
            <w:rFonts w:ascii="Arial Unicode MS" w:cs="Arial Unicode MS" w:eastAsia="Arial Unicode MS" w:hAnsi="Arial Unicode MS"/>
            <w:sz w:val="20"/>
            <w:szCs w:val="20"/>
            <w:u w:val="single" w:color="auto"/>
            <w:color w:val="auto"/>
          </w:rPr>
          <w:t>10.1076/</w:t>
        </w:r>
      </w:hyperlink>
      <w:r>
        <w:rPr>
          <w:rFonts w:ascii="Arial Unicode MS" w:cs="Arial Unicode MS" w:eastAsia="Arial Unicode MS" w:hAnsi="Arial Unicode MS"/>
          <w:sz w:val="20"/>
          <w:szCs w:val="20"/>
          <w:color w:val="auto"/>
        </w:rPr>
        <w:t xml:space="preserve"> </w:t>
      </w:r>
      <w:hyperlink r:id="rId12">
        <w:r>
          <w:rPr>
            <w:rFonts w:ascii="Arial Unicode MS" w:cs="Arial Unicode MS" w:eastAsia="Arial Unicode MS" w:hAnsi="Arial Unicode MS"/>
            <w:sz w:val="20"/>
            <w:szCs w:val="20"/>
            <w:u w:val="single" w:color="auto"/>
            <w:color w:val="auto"/>
          </w:rPr>
          <w:t>phbi.40.8.570.14652</w:t>
        </w:r>
      </w:hyperlink>
    </w:p>
    <w:p>
      <w:pPr>
        <w:spacing w:after="0" w:line="133" w:lineRule="exact"/>
        <w:rPr>
          <w:sz w:val="20"/>
          <w:szCs w:val="20"/>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https://doi.org/10.1076/phbi.40.8.570.14652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200"/>
        <w:spacing w:after="0"/>
        <w:rPr>
          <w:sz w:val="20"/>
          <w:szCs w:val="20"/>
          <w:color w:val="auto"/>
        </w:rPr>
      </w:pPr>
      <w:r>
        <w:rPr>
          <w:rFonts w:ascii="Courier New" w:cs="Courier New" w:eastAsia="Courier New" w:hAnsi="Courier New"/>
          <w:sz w:val="18"/>
          <w:szCs w:val="18"/>
          <w:color w:val="auto"/>
        </w:rPr>
        <w:t>Published online: 29 Sep 2008.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0"/>
          <w:szCs w:val="20"/>
          <w:color w:val="auto"/>
        </w:rPr>
      </w:pPr>
    </w:p>
    <w:p>
      <w:pPr>
        <w:spacing w:after="0" w:line="369" w:lineRule="exact"/>
        <w:rPr>
          <w:sz w:val="20"/>
          <w:szCs w:val="20"/>
          <w:color w:val="auto"/>
        </w:rPr>
      </w:pPr>
    </w:p>
    <w:p>
      <w:pPr>
        <w:ind w:left="1200"/>
        <w:spacing w:after="0"/>
        <w:rPr>
          <w:sz w:val="20"/>
          <w:szCs w:val="20"/>
          <w:color w:val="auto"/>
        </w:rPr>
      </w:pPr>
      <w:r>
        <w:rPr>
          <w:rFonts w:ascii="Courier New" w:cs="Courier New" w:eastAsia="Courier New" w:hAnsi="Courier New"/>
          <w:sz w:val="18"/>
          <w:szCs w:val="18"/>
          <w:color w:val="auto"/>
        </w:rPr>
        <w:t>Article views: 226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23520" cy="2235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23520" cy="223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 xml:space="preserve">Citing articles: 7 View citing articles </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0"/>
          <w:szCs w:val="20"/>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https://www.tandfonline.com/action/journalInformation?journalCode=iphb20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07"/>
        </w:trPr>
        <w:tc>
          <w:tcPr>
            <w:tcW w:w="5480" w:type="dxa"/>
            <w:vAlign w:val="bottom"/>
          </w:tcPr>
          <w:p>
            <w:pPr>
              <w:ind w:left="500"/>
              <w:spacing w:after="0"/>
              <w:rPr>
                <w:sz w:val="20"/>
                <w:szCs w:val="20"/>
                <w:color w:val="auto"/>
              </w:rPr>
            </w:pPr>
            <w:r>
              <w:rPr>
                <w:rFonts w:ascii="Times New Roman" w:cs="Times New Roman" w:eastAsia="Times New Roman" w:hAnsi="Times New Roman"/>
                <w:sz w:val="18"/>
                <w:szCs w:val="18"/>
                <w:color w:val="auto"/>
              </w:rPr>
              <w:t>Pharmaceutical Biology</w:t>
            </w:r>
          </w:p>
        </w:tc>
        <w:tc>
          <w:tcPr>
            <w:tcW w:w="4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1388-0209/02/4008-570$16.00</w:t>
            </w:r>
          </w:p>
        </w:tc>
      </w:tr>
      <w:tr>
        <w:trPr>
          <w:trHeight w:val="220"/>
        </w:trPr>
        <w:tc>
          <w:tcPr>
            <w:tcW w:w="5480" w:type="dxa"/>
            <w:vAlign w:val="bottom"/>
          </w:tcPr>
          <w:p>
            <w:pPr>
              <w:ind w:left="500"/>
              <w:spacing w:after="0"/>
              <w:rPr>
                <w:sz w:val="20"/>
                <w:szCs w:val="20"/>
                <w:color w:val="auto"/>
              </w:rPr>
            </w:pPr>
            <w:r>
              <w:rPr>
                <w:rFonts w:ascii="Times New Roman" w:cs="Times New Roman" w:eastAsia="Times New Roman" w:hAnsi="Times New Roman"/>
                <w:sz w:val="18"/>
                <w:szCs w:val="18"/>
                <w:color w:val="auto"/>
              </w:rPr>
              <w:t>2002, Vol. 40, No. 8, pp. 570–575</w:t>
            </w:r>
          </w:p>
        </w:tc>
        <w:tc>
          <w:tcPr>
            <w:tcW w:w="4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Swets &amp; Zeitlinger</w:t>
            </w:r>
          </w:p>
        </w:tc>
      </w:tr>
      <w:tr>
        <w:trPr>
          <w:trHeight w:val="122"/>
        </w:trPr>
        <w:tc>
          <w:tcPr>
            <w:tcW w:w="5480" w:type="dxa"/>
            <w:vAlign w:val="bottom"/>
            <w:tcBorders>
              <w:bottom w:val="single" w:sz="8" w:color="auto"/>
            </w:tcBorders>
          </w:tcPr>
          <w:p>
            <w:pPr>
              <w:spacing w:after="0"/>
              <w:rPr>
                <w:sz w:val="10"/>
                <w:szCs w:val="10"/>
                <w:color w:val="auto"/>
              </w:rPr>
            </w:pPr>
          </w:p>
        </w:tc>
        <w:tc>
          <w:tcPr>
            <w:tcW w:w="47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-350520</wp:posOffset>
            </wp:positionV>
            <wp:extent cx="240665" cy="2679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240665" cy="267970"/>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right="620"/>
        <w:spacing w:after="0" w:line="339" w:lineRule="auto"/>
        <w:rPr>
          <w:sz w:val="20"/>
          <w:szCs w:val="20"/>
          <w:color w:val="auto"/>
        </w:rPr>
      </w:pPr>
      <w:r>
        <w:rPr>
          <w:rFonts w:ascii="Times New Roman" w:cs="Times New Roman" w:eastAsia="Times New Roman" w:hAnsi="Times New Roman"/>
          <w:sz w:val="36"/>
          <w:szCs w:val="36"/>
          <w:b w:val="1"/>
          <w:bCs w:val="1"/>
          <w:color w:val="auto"/>
        </w:rPr>
        <w:t xml:space="preserve">Hypoglycaemic Activity of </w:t>
      </w:r>
      <w:r>
        <w:rPr>
          <w:rFonts w:ascii="Times New Roman" w:cs="Times New Roman" w:eastAsia="Times New Roman" w:hAnsi="Times New Roman"/>
          <w:sz w:val="36"/>
          <w:szCs w:val="36"/>
          <w:b w:val="1"/>
          <w:bCs w:val="1"/>
          <w:i w:val="1"/>
          <w:iCs w:val="1"/>
          <w:color w:val="auto"/>
        </w:rPr>
        <w:t>Ibervillea sonorae</w:t>
      </w:r>
      <w:r>
        <w:rPr>
          <w:rFonts w:ascii="Times New Roman" w:cs="Times New Roman" w:eastAsia="Times New Roman" w:hAnsi="Times New Roman"/>
          <w:sz w:val="36"/>
          <w:szCs w:val="36"/>
          <w:b w:val="1"/>
          <w:bCs w:val="1"/>
          <w:color w:val="auto"/>
        </w:rPr>
        <w:t xml:space="preserve"> Roots in Healthy and Diabetic Mice and Rats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120650</wp:posOffset>
            </wp:positionV>
            <wp:extent cx="6480175" cy="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6480175" cy="12700"/>
                    </a:xfrm>
                    <a:prstGeom prst="rect">
                      <a:avLst/>
                    </a:prstGeom>
                    <a:noFill/>
                  </pic:spPr>
                </pic:pic>
              </a:graphicData>
            </a:graphic>
          </wp:anchor>
        </w:drawing>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F.J. Alarcon-Aguilar</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0"/>
          <w:szCs w:val="20"/>
          <w:color w:val="auto"/>
        </w:rPr>
        <w:t>, A.E. Campos-Sepulveda</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0"/>
          <w:szCs w:val="20"/>
          <w:color w:val="auto"/>
        </w:rPr>
        <w:t>, S. Xolalpa-Molina</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20"/>
          <w:szCs w:val="20"/>
          <w:color w:val="auto"/>
        </w:rPr>
        <w:t>, E. Hernandez-Galicia</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0"/>
          <w:szCs w:val="20"/>
          <w:color w:val="auto"/>
        </w:rPr>
        <w:t xml:space="preserve"> and R. Roman-Ramos</w:t>
      </w:r>
      <w:r>
        <w:rPr>
          <w:rFonts w:ascii="Times New Roman" w:cs="Times New Roman" w:eastAsia="Times New Roman" w:hAnsi="Times New Roman"/>
          <w:sz w:val="24"/>
          <w:szCs w:val="24"/>
          <w:color w:val="auto"/>
          <w:vertAlign w:val="superscript"/>
        </w:rPr>
        <w:t>1</w:t>
      </w:r>
    </w:p>
    <w:p>
      <w:pPr>
        <w:spacing w:after="0" w:line="186" w:lineRule="exact"/>
        <w:rPr>
          <w:sz w:val="20"/>
          <w:szCs w:val="20"/>
          <w:color w:val="auto"/>
        </w:rPr>
      </w:pPr>
    </w:p>
    <w:p>
      <w:pPr>
        <w:ind w:right="520"/>
        <w:spacing w:after="0" w:line="214" w:lineRule="auto"/>
        <w:rPr>
          <w:sz w:val="20"/>
          <w:szCs w:val="20"/>
          <w:color w:val="auto"/>
        </w:rPr>
      </w:pP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0"/>
          <w:szCs w:val="20"/>
          <w:color w:val="auto"/>
        </w:rPr>
        <w:t xml:space="preserve">División de Ciencias Biológicas y de la Salud, Universidad Autónoma Metropolitana Unidad Iztapalapa, México, D.F., Méxici; </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0"/>
          <w:szCs w:val="20"/>
          <w:color w:val="auto"/>
        </w:rPr>
        <w:t xml:space="preserve">Departamento de Farmacología, Facultad de Medicina, Universidad Nacional Autónoma de México, Ciudad Universitaria, México D.F., México and </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20"/>
          <w:szCs w:val="20"/>
          <w:color w:val="auto"/>
        </w:rPr>
        <w:t>Herbario IMSS-M, Centro Médico Nacional Siglo XXI, Subjefatura de Investigación, IMSS, México, D.F., México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204470</wp:posOffset>
            </wp:positionV>
            <wp:extent cx="6480175" cy="254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6480175" cy="25400"/>
                    </a:xfrm>
                    <a:prstGeom prst="rect">
                      <a:avLst/>
                    </a:prstGeom>
                    <a:noFill/>
                  </pic:spPr>
                </pic:pic>
              </a:graphicData>
            </a:graphic>
          </wp:anchor>
        </w:drawing>
      </w:r>
    </w:p>
    <w:p>
      <w:pPr>
        <w:sectPr>
          <w:pgSz w:w="11900" w:h="15860" w:orient="portrait"/>
          <w:cols w:equalWidth="0" w:num="1">
            <w:col w:w="10200"/>
          </w:cols>
          <w:pgMar w:left="620" w:top="1016" w:right="1080" w:bottom="3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1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The acute effects of the freeze-dried decoction (traditional preparation)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Greene roots (Cucur-bitaceae) on blood glucose levels were investigated in fasting mice. The plant orally administrated to healthy mice did not cause a significant decrease of the blood glucose level. However,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reduced the blood glucose of normal mice in a dose-dependent manner after intraperitoneal injec-tion (P &lt; 0.05). Also, this extract significantly lowered the glycemia of mild alloxan-diabetic mice and rats, but did not in severe alloxan-diabetic rats, so it seems that this anti-diabetic plant needs the presence of insulin to show its hypoglycaemic activity. Chemical, pharmacological, and toxicological investigations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must continue to establish its use as an alternative in the control of diabetes mellitus. Furthermore, it is important to start programs leading to the preservation of this interesting resource.</w:t>
      </w:r>
    </w:p>
    <w:p>
      <w:pPr>
        <w:spacing w:after="0" w:line="247"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Hypoglycaemic plants, anti-diabetic plants,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medicinal plants, </w:t>
      </w:r>
      <w:r>
        <w:rPr>
          <w:rFonts w:ascii="Times New Roman" w:cs="Times New Roman" w:eastAsia="Times New Roman" w:hAnsi="Times New Roman"/>
          <w:sz w:val="20"/>
          <w:szCs w:val="20"/>
          <w:i w:val="1"/>
          <w:iCs w:val="1"/>
          <w:color w:val="auto"/>
        </w:rPr>
        <w:t>Ibervillea sonorae,</w:t>
      </w:r>
      <w:r>
        <w:rPr>
          <w:rFonts w:ascii="Times New Roman" w:cs="Times New Roman" w:eastAsia="Times New Roman" w:hAnsi="Times New Roman"/>
          <w:sz w:val="20"/>
          <w:szCs w:val="20"/>
          <w:color w:val="auto"/>
        </w:rPr>
        <w:t xml:space="preserve"> Cucurbitaceae.</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Introduction</w:t>
      </w:r>
    </w:p>
    <w:p>
      <w:pPr>
        <w:spacing w:after="0" w:line="1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i w:val="1"/>
          <w:iCs w:val="1"/>
          <w:color w:val="auto"/>
        </w:rPr>
        <w:t xml:space="preserve">Ibervillea sonorae </w:t>
      </w:r>
      <w:r>
        <w:rPr>
          <w:rFonts w:ascii="Times New Roman" w:cs="Times New Roman" w:eastAsia="Times New Roman" w:hAnsi="Times New Roman"/>
          <w:sz w:val="19"/>
          <w:szCs w:val="19"/>
          <w:color w:val="auto"/>
        </w:rPr>
        <w:t>Greene (</w:t>
      </w:r>
      <w:r>
        <w:rPr>
          <w:rFonts w:ascii="Times New Roman" w:cs="Times New Roman" w:eastAsia="Times New Roman" w:hAnsi="Times New Roman"/>
          <w:sz w:val="19"/>
          <w:szCs w:val="19"/>
          <w:i w:val="1"/>
          <w:iCs w:val="1"/>
          <w:color w:val="auto"/>
        </w:rPr>
        <w:t xml:space="preserve">Maximowiczia sonorae </w:t>
      </w:r>
      <w:r>
        <w:rPr>
          <w:rFonts w:ascii="Times New Roman" w:cs="Times New Roman" w:eastAsia="Times New Roman" w:hAnsi="Times New Roman"/>
          <w:sz w:val="19"/>
          <w:szCs w:val="19"/>
          <w:color w:val="auto"/>
        </w:rPr>
        <w:t>S. Wats.),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Cucurbitaceae, locally known as “wareke” or “guareke,” is a perennial dioecious plant which is distributed in the states of Sinaloa and Sonora in Mexico. Mayo, Opata, Seri, and Yaqui indigenous tribes have traditionally used this plant for skin ailments (Lopez &amp; Hinojosa, 1988; Xolalpa-Molina, 1994). Ignacio Pfefferkorn, a Jesuit missionary who spent 11 years in the antique region of Sonora State, mentioned that “wareke” has been recommended for wound treatment ever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262890</wp:posOffset>
            </wp:positionV>
            <wp:extent cx="6480175" cy="254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6480175" cy="25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since the 18</w:t>
      </w:r>
      <w:r>
        <w:rPr>
          <w:rFonts w:ascii="Times New Roman" w:cs="Times New Roman" w:eastAsia="Times New Roman" w:hAnsi="Times New Roman"/>
          <w:sz w:val="23"/>
          <w:szCs w:val="23"/>
          <w:color w:val="auto"/>
          <w:vertAlign w:val="superscript"/>
        </w:rPr>
        <w:t>th</w:t>
      </w:r>
      <w:r>
        <w:rPr>
          <w:rFonts w:ascii="Times New Roman" w:cs="Times New Roman" w:eastAsia="Times New Roman" w:hAnsi="Times New Roman"/>
          <w:sz w:val="19"/>
          <w:szCs w:val="19"/>
          <w:color w:val="auto"/>
        </w:rPr>
        <w:t xml:space="preserve"> century (Pfefferkorn, 1984). The decoction of the root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is one of the most highly used plant remedies in Mexico for the treatment of diabetes mellitus, a metabolic disorder that has one of the highest rates of inci-dence and mortality (Alpizar et al., 1998; ADA, 2000). However, until now, the anti-diabetic properties of this plant have not been investigated. The objective of this research was to study the hypoglycaemic activity of the traditional prepa-ration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roots in healthy and alloxan-diabetic mice and rats in order to validate the popular use of the plant in the control of diabetes mellitus.</w:t>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Materials and methods</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Plant material</w:t>
      </w:r>
    </w:p>
    <w:p>
      <w:pPr>
        <w:spacing w:after="0" w:line="14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Roots of </w:t>
      </w:r>
      <w:r>
        <w:rPr>
          <w:rFonts w:ascii="Times New Roman" w:cs="Times New Roman" w:eastAsia="Times New Roman" w:hAnsi="Times New Roman"/>
          <w:sz w:val="20"/>
          <w:szCs w:val="20"/>
          <w:i w:val="1"/>
          <w:iCs w:val="1"/>
          <w:color w:val="auto"/>
        </w:rPr>
        <w:t>Ibervillea sonorae</w:t>
      </w:r>
      <w:r>
        <w:rPr>
          <w:rFonts w:ascii="Times New Roman" w:cs="Times New Roman" w:eastAsia="Times New Roman" w:hAnsi="Times New Roman"/>
          <w:sz w:val="20"/>
          <w:szCs w:val="20"/>
          <w:color w:val="auto"/>
        </w:rPr>
        <w:t xml:space="preserve"> were acquired from the Sonora Herbal Market at Mexico City. The identification was made, with the help of an expert in botany from HERBARIUM-IMSSM, using taxonomic rules (Herbarium IMSSM-Voucher Number 14, 184).</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Traditional preparation of </w:t>
      </w:r>
      <w:r>
        <w:rPr>
          <w:rFonts w:ascii="Times New Roman" w:cs="Times New Roman" w:eastAsia="Times New Roman" w:hAnsi="Times New Roman"/>
          <w:sz w:val="20"/>
          <w:szCs w:val="20"/>
          <w:b w:val="1"/>
          <w:bCs w:val="1"/>
          <w:i w:val="1"/>
          <w:iCs w:val="1"/>
          <w:color w:val="auto"/>
        </w:rPr>
        <w:t>Ibervillea sonorae</w:t>
      </w:r>
    </w:p>
    <w:p>
      <w:pPr>
        <w:spacing w:after="0" w:line="14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plant was prepared as follows: ground dried roots (5 g) were steeped in boiling water (500 ml) for 15 min and then left to cool at room temperature. A similar decoction is the common form of administration used for diabetes mellitus. The decoction then was decanted and centrifuged. The supernatant was freeze-dried (yelding 1.2 g) and orally or intraperitoneally administered to experimental</w:t>
      </w:r>
    </w:p>
    <w:p>
      <w:pPr>
        <w:spacing w:after="0" w:line="211" w:lineRule="exact"/>
        <w:rPr>
          <w:sz w:val="20"/>
          <w:szCs w:val="20"/>
          <w:color w:val="auto"/>
        </w:rPr>
      </w:pPr>
    </w:p>
    <w:p>
      <w:pPr>
        <w:sectPr>
          <w:pgSz w:w="11900" w:h="15860" w:orient="portrait"/>
          <w:cols w:equalWidth="0" w:num="2">
            <w:col w:w="4860" w:space="500"/>
            <w:col w:w="4840"/>
          </w:cols>
          <w:pgMar w:left="620" w:top="1016" w:right="1080" w:bottom="303" w:gutter="0" w:footer="0" w:header="0"/>
          <w:type w:val="continuous"/>
        </w:sect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Accepted: April 19, 2002</w:t>
      </w:r>
    </w:p>
    <w:p>
      <w:pPr>
        <w:spacing w:after="0" w:line="12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Address correspondence to</w:t>
      </w:r>
      <w:r>
        <w:rPr>
          <w:rFonts w:ascii="Times New Roman" w:cs="Times New Roman" w:eastAsia="Times New Roman" w:hAnsi="Times New Roman"/>
          <w:sz w:val="18"/>
          <w:szCs w:val="18"/>
          <w:color w:val="auto"/>
        </w:rPr>
        <w:t>: F.J. Alarcon-Aguilar, División de Ciencias Biológicas y de la Salud, Universsidad Autónoma Metropolitana</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Unidad Iztapalapa., Apdo. P. 55-535.09340., México, D.F. México. Fax: +52 5804 4727; E-mail: aaasj2@prodigy.net.mx</w:t>
      </w:r>
    </w:p>
    <w:p>
      <w:pPr>
        <w:sectPr>
          <w:pgSz w:w="11900" w:h="15860" w:orient="portrait"/>
          <w:cols w:equalWidth="0" w:num="1">
            <w:col w:w="10200"/>
          </w:cols>
          <w:pgMar w:left="620" w:top="1016" w:right="1080" w:bottom="303" w:gutter="0" w:footer="0" w:header="0"/>
          <w:type w:val="continuous"/>
        </w:sectPr>
      </w:pPr>
    </w:p>
    <w:bookmarkStart w:id="2" w:name="page3"/>
    <w:bookmarkEnd w:id="2"/>
    <w:tbl>
      <w:tblPr>
        <w:tblLayout w:type="fixed"/>
        <w:tblInd w:w="3280" w:type="dxa"/>
        <w:tblCellMar>
          <w:top w:w="0" w:type="dxa"/>
          <w:left w:w="0" w:type="dxa"/>
          <w:bottom w:w="0" w:type="dxa"/>
          <w:right w:w="0" w:type="dxa"/>
        </w:tblCellMar>
      </w:tblPr>
      <w:tr>
        <w:trPr>
          <w:trHeight w:val="230"/>
        </w:trPr>
        <w:tc>
          <w:tcPr>
            <w:tcW w:w="51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Hypoglycaemic activity of </w:t>
            </w:r>
            <w:r>
              <w:rPr>
                <w:rFonts w:ascii="Times New Roman" w:cs="Times New Roman" w:eastAsia="Times New Roman" w:hAnsi="Times New Roman"/>
                <w:sz w:val="20"/>
                <w:szCs w:val="20"/>
                <w:i w:val="1"/>
                <w:iCs w:val="1"/>
                <w:color w:val="auto"/>
              </w:rPr>
              <w:t>Ibervillea sonorae</w:t>
            </w:r>
          </w:p>
        </w:tc>
        <w:tc>
          <w:tcPr>
            <w:tcW w:w="1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571</w:t>
            </w:r>
          </w:p>
        </w:tc>
      </w:tr>
    </w:tbl>
    <w:p>
      <w:pPr>
        <w:spacing w:after="0" w:line="200" w:lineRule="exact"/>
        <w:rPr>
          <w:sz w:val="20"/>
          <w:szCs w:val="20"/>
          <w:color w:val="auto"/>
        </w:rPr>
      </w:pPr>
    </w:p>
    <w:p>
      <w:pPr>
        <w:sectPr>
          <w:pgSz w:w="11900" w:h="15860" w:orient="portrait"/>
          <w:cols w:equalWidth="0" w:num="1">
            <w:col w:w="10200"/>
          </w:cols>
          <w:pgMar w:left="1080" w:top="971" w:right="620" w:bottom="276" w:gutter="0" w:footer="0" w:header="0"/>
        </w:sectPr>
      </w:pPr>
    </w:p>
    <w:p>
      <w:pPr>
        <w:spacing w:after="0" w:line="183" w:lineRule="exact"/>
        <w:rPr>
          <w:sz w:val="20"/>
          <w:szCs w:val="20"/>
          <w:color w:val="auto"/>
        </w:rPr>
      </w:pPr>
    </w:p>
    <w:p>
      <w:pPr>
        <w:jc w:val="both"/>
        <w:ind w:right="20"/>
        <w:spacing w:after="0" w:line="238" w:lineRule="auto"/>
        <w:rPr>
          <w:sz w:val="20"/>
          <w:szCs w:val="20"/>
          <w:color w:val="auto"/>
        </w:rPr>
      </w:pPr>
      <w:r>
        <w:rPr>
          <w:rFonts w:ascii="Times New Roman" w:cs="Times New Roman" w:eastAsia="Times New Roman" w:hAnsi="Times New Roman"/>
          <w:sz w:val="20"/>
          <w:szCs w:val="20"/>
          <w:color w:val="auto"/>
        </w:rPr>
        <w:t>animals (it was dissolved in 4 ml/kg weight of isotonic saline solution, ISS).</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Experimental animals</w:t>
      </w:r>
    </w:p>
    <w:p>
      <w:pPr>
        <w:spacing w:after="0" w:line="14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experimental animals were male adult mice (CD1 strain) weighing from 25 to 35 g, and male adult rats (Wistar strain) weighing from 250 to 350 g. They were given free access to food and water. Experimental diabetes in mice and rats, sub-jected to previous fasting for 18 h, was induced by intraperi-toneal injection of alloxan (Rodriguez et al., 1975). The total dose of alloxan (450 mg/kg weight) was administered in 3 injections at intervals of 48 h (150 mg/kg body weight each time). Seven days after the last administration, the animals were fasted for 18 h and blood glucose levels were deter-mined. Diabetic rats were included in two experimental groups: (a) mild alloxan-diabetic rats, whose basal glycemia ranged between 200 to 349 mg/dl, and (b) severe alloxan-diabetic rats, whose basal glycemia was equal or higher than 350 mg/dl.</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Biological assays</w:t>
      </w:r>
    </w:p>
    <w:p>
      <w:pPr>
        <w:spacing w:after="0" w:line="143" w:lineRule="exact"/>
        <w:rPr>
          <w:sz w:val="20"/>
          <w:szCs w:val="20"/>
          <w:color w:val="auto"/>
        </w:rPr>
      </w:pPr>
    </w:p>
    <w:p>
      <w:pPr>
        <w:ind w:right="640"/>
        <w:spacing w:after="0" w:line="237" w:lineRule="auto"/>
        <w:rPr>
          <w:sz w:val="20"/>
          <w:szCs w:val="20"/>
          <w:color w:val="auto"/>
        </w:rPr>
      </w:pPr>
      <w:r>
        <w:rPr>
          <w:rFonts w:ascii="Times New Roman" w:cs="Times New Roman" w:eastAsia="Times New Roman" w:hAnsi="Times New Roman"/>
          <w:sz w:val="20"/>
          <w:szCs w:val="20"/>
          <w:i w:val="1"/>
          <w:iCs w:val="1"/>
          <w:color w:val="auto"/>
        </w:rPr>
        <w:t xml:space="preserve">Hypoglycemic effect of the freeze-dried decoction of </w:t>
      </w:r>
      <w:r>
        <w:rPr>
          <w:rFonts w:ascii="Times New Roman" w:cs="Times New Roman" w:eastAsia="Times New Roman" w:hAnsi="Times New Roman"/>
          <w:sz w:val="20"/>
          <w:szCs w:val="20"/>
          <w:color w:val="auto"/>
        </w:rPr>
        <w:t xml:space="preserve">Ibervillea sonorae </w:t>
      </w:r>
      <w:r>
        <w:rPr>
          <w:rFonts w:ascii="Times New Roman" w:cs="Times New Roman" w:eastAsia="Times New Roman" w:hAnsi="Times New Roman"/>
          <w:sz w:val="20"/>
          <w:szCs w:val="20"/>
          <w:i w:val="1"/>
          <w:iCs w:val="1"/>
          <w:color w:val="auto"/>
        </w:rPr>
        <w:t>roots in healthy mice</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Crossover trial using two administration routes</w:t>
      </w:r>
    </w:p>
    <w:p>
      <w:pPr>
        <w:spacing w:after="0" w:line="14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Intraperitoneal route (ip). Healthy mice were divided into two groups of six animals each (I-II). Group I served as control and received ISS. Group II received 300 mg/kg body weight of the freeze-dried decoction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After 7 days, Group I received 300 mg/kg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and Group II served as control, receiving ISS.</w:t>
      </w:r>
    </w:p>
    <w:p>
      <w:pPr>
        <w:spacing w:after="0" w:line="20"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 xml:space="preserve">Per os route (po). Two groups of six animals each (III and IV, respectively) were treated under the same conditions but in this case the freeze-dried decoction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was administered po (300 mg/kg). After seven days in a single test, Groups III and IV were also treated with ISS and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sonorae</w:t>
      </w:r>
      <w:r>
        <w:rPr>
          <w:rFonts w:ascii="Times New Roman" w:cs="Times New Roman" w:eastAsia="Times New Roman" w:hAnsi="Times New Roman"/>
          <w:sz w:val="20"/>
          <w:szCs w:val="20"/>
          <w:color w:val="auto"/>
        </w:rPr>
        <w:t>, but in this case the administered dose of the plant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was 600 mg/kg.</w:t>
      </w:r>
    </w:p>
    <w:p>
      <w:pPr>
        <w:spacing w:after="0" w:line="318" w:lineRule="exact"/>
        <w:rPr>
          <w:sz w:val="20"/>
          <w:szCs w:val="20"/>
          <w:color w:val="auto"/>
        </w:rPr>
      </w:pPr>
    </w:p>
    <w:p>
      <w:pPr>
        <w:ind w:right="680"/>
        <w:spacing w:after="0" w:line="237" w:lineRule="auto"/>
        <w:rPr>
          <w:sz w:val="20"/>
          <w:szCs w:val="20"/>
          <w:color w:val="auto"/>
        </w:rPr>
      </w:pPr>
      <w:r>
        <w:rPr>
          <w:rFonts w:ascii="Times New Roman" w:cs="Times New Roman" w:eastAsia="Times New Roman" w:hAnsi="Times New Roman"/>
          <w:sz w:val="20"/>
          <w:szCs w:val="20"/>
          <w:i w:val="1"/>
          <w:iCs w:val="1"/>
          <w:color w:val="auto"/>
        </w:rPr>
        <w:t>Hypoglycemic effect produced by the ip injection of different doses</w:t>
      </w:r>
    </w:p>
    <w:p>
      <w:pPr>
        <w:spacing w:after="0" w:line="14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Healthy mice were divided to one group of 10 animals and five groups with 6 mice each (V-X). Groups V and VI served as controls, receiving ISS and tolbutamide (80 mg/kg), respectively. The other groups received different doses of the freeze-dried decoction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roots (150, 300, 600, and 850 mg/kg body weight).</w:t>
      </w:r>
    </w:p>
    <w:p>
      <w:pPr>
        <w:spacing w:after="0" w:line="322" w:lineRule="exact"/>
        <w:rPr>
          <w:sz w:val="20"/>
          <w:szCs w:val="20"/>
          <w:color w:val="auto"/>
        </w:rPr>
      </w:pPr>
    </w:p>
    <w:p>
      <w:pPr>
        <w:ind w:right="500"/>
        <w:spacing w:after="0" w:line="242" w:lineRule="auto"/>
        <w:rPr>
          <w:sz w:val="20"/>
          <w:szCs w:val="20"/>
          <w:color w:val="auto"/>
        </w:rPr>
      </w:pPr>
      <w:r>
        <w:rPr>
          <w:rFonts w:ascii="Times New Roman" w:cs="Times New Roman" w:eastAsia="Times New Roman" w:hAnsi="Times New Roman"/>
          <w:sz w:val="20"/>
          <w:szCs w:val="20"/>
          <w:i w:val="1"/>
          <w:iCs w:val="1"/>
          <w:color w:val="auto"/>
        </w:rPr>
        <w:t xml:space="preserve">Hypoglycemic effect of the ip injection of freeze-dried decoction from </w:t>
      </w:r>
      <w:r>
        <w:rPr>
          <w:rFonts w:ascii="Times New Roman" w:cs="Times New Roman" w:eastAsia="Times New Roman" w:hAnsi="Times New Roman"/>
          <w:sz w:val="20"/>
          <w:szCs w:val="20"/>
          <w:color w:val="auto"/>
        </w:rPr>
        <w:t>Ibervillea sonorae</w:t>
      </w:r>
      <w:r>
        <w:rPr>
          <w:rFonts w:ascii="Times New Roman" w:cs="Times New Roman" w:eastAsia="Times New Roman" w:hAnsi="Times New Roman"/>
          <w:sz w:val="20"/>
          <w:szCs w:val="20"/>
          <w:i w:val="1"/>
          <w:iCs w:val="1"/>
          <w:color w:val="auto"/>
        </w:rPr>
        <w:t xml:space="preserve"> roots in alloxan-diabetic mice</w:t>
      </w:r>
    </w:p>
    <w:p>
      <w:pPr>
        <w:spacing w:after="0" w:line="142"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Alloxan-diabetic mice were divided into four groups of 6 to 9 animals (XI–XIV). Group XI served as control and received</w: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ISS; Group XII received tolbutamide as reference (80 mg/kg weight); Groups XIII and XIV received 300 and 500 mg/kg of the freeze-dried decoction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roots, respectively.</w:t>
      </w:r>
    </w:p>
    <w:p>
      <w:pPr>
        <w:spacing w:after="0" w:line="326" w:lineRule="exact"/>
        <w:rPr>
          <w:sz w:val="20"/>
          <w:szCs w:val="20"/>
          <w:color w:val="auto"/>
        </w:rPr>
      </w:pPr>
    </w:p>
    <w:p>
      <w:pPr>
        <w:ind w:right="400"/>
        <w:spacing w:after="0" w:line="242" w:lineRule="auto"/>
        <w:rPr>
          <w:sz w:val="20"/>
          <w:szCs w:val="20"/>
          <w:color w:val="auto"/>
        </w:rPr>
      </w:pPr>
      <w:r>
        <w:rPr>
          <w:rFonts w:ascii="Times New Roman" w:cs="Times New Roman" w:eastAsia="Times New Roman" w:hAnsi="Times New Roman"/>
          <w:sz w:val="20"/>
          <w:szCs w:val="20"/>
          <w:i w:val="1"/>
          <w:iCs w:val="1"/>
          <w:color w:val="auto"/>
        </w:rPr>
        <w:t xml:space="preserve">Hypoglycemic effects of the ip injection of freeze-dried decoction from </w:t>
      </w:r>
      <w:r>
        <w:rPr>
          <w:rFonts w:ascii="Times New Roman" w:cs="Times New Roman" w:eastAsia="Times New Roman" w:hAnsi="Times New Roman"/>
          <w:sz w:val="20"/>
          <w:szCs w:val="20"/>
          <w:color w:val="auto"/>
        </w:rPr>
        <w:t>Ibervillea sonorae</w:t>
      </w:r>
      <w:r>
        <w:rPr>
          <w:rFonts w:ascii="Times New Roman" w:cs="Times New Roman" w:eastAsia="Times New Roman" w:hAnsi="Times New Roman"/>
          <w:sz w:val="20"/>
          <w:szCs w:val="20"/>
          <w:i w:val="1"/>
          <w:iCs w:val="1"/>
          <w:color w:val="auto"/>
        </w:rPr>
        <w:t xml:space="preserve"> in mild and severe alloxan-diabetic rats</w:t>
      </w:r>
    </w:p>
    <w:p>
      <w:pPr>
        <w:spacing w:after="0" w:line="14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 xml:space="preserve">Mild alloxan-diabetic rats were divided into two groups of 5 animals. Group 1 served as control and received ISS; Group 2 received freeze-dried decoction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roots (500 mg/kg weight).</w:t>
      </w:r>
    </w:p>
    <w:p>
      <w:pPr>
        <w:spacing w:after="0" w:line="21"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 xml:space="preserve">Severe alloxan-diabetic rats were divided into three groups (3–5) with 5 animals: Group 3 served as control and received ISS; Group 4 received tolbutamide (80 mg/kg), and Group 5 freeze-dried decoction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roots (500 mg/kg body weight).</w:t>
      </w:r>
    </w:p>
    <w:p>
      <w:pPr>
        <w:spacing w:after="0" w:line="17"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color w:val="auto"/>
        </w:rPr>
        <w:t>In all cases, the control substances, extracts, and fractions were dissolved in 4 ml/kg body weight of ISS. Blood samples were obtained from the tail vein of the animals at fasting (t = 0) and at 120, 240, and in some cases 360 min after the administration of test substances. Glycemia was quantita-tively determined with an Accutrend Sensor apparatus using reagent strips (Roche).</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Statistical analysis</w:t>
      </w:r>
    </w:p>
    <w:p>
      <w:pPr>
        <w:spacing w:after="0" w:line="115"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 xml:space="preserve">Results were expressed as mean ± S.E.M. The significance of the differences between the means of tests and control studies was established by Student’s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-test for independent samples with one tail. P-values &lt; 0.05 were considered significant.</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Results</w:t>
      </w:r>
    </w:p>
    <w:p>
      <w:pPr>
        <w:spacing w:after="0" w:line="13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 xml:space="preserve">Figure 1 illustrates the hypoglycemic effect produced by the ip injection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in healthy mice. The plant signifi-cantly reduced the blood glucose level at 240 min from 42.3</w:t>
      </w:r>
    </w:p>
    <w:p>
      <w:pPr>
        <w:spacing w:after="0" w:line="1" w:lineRule="exact"/>
        <w:rPr>
          <w:sz w:val="20"/>
          <w:szCs w:val="20"/>
          <w:color w:val="auto"/>
        </w:rPr>
      </w:pPr>
    </w:p>
    <w:p>
      <w:pPr>
        <w:jc w:val="both"/>
        <w:spacing w:after="0" w:line="251" w:lineRule="auto"/>
        <w:tabs>
          <w:tab w:leader="none" w:pos="158"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2.3 to 27.9 ± 2.5 mg/dl when it was compared to that of the control (P &lt; 0.05). When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was administered po at doses of 300 and 600 mg/kg to healthy mice, the glycemic levels remained without changes throughout the test (Tables 1 and 2). Figure 2 shows the results from the ip injection of different doses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to healthy mice (150, 300, 600 and 850 mg/kg). The doses of 150 and 300 mg/kg reduced significantly the glycemia at 120 and 240 min (P &lt; 0.05). Doses of 600 and 850 mg/kg caused higher glycemic reduc-tions at 240 min. The blood glucose level reductions pro-duced by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were more evident than those caused by tolbutamide (Fig. 2).</w:t>
      </w:r>
    </w:p>
    <w:p>
      <w:pPr>
        <w:spacing w:after="0" w:line="16" w:lineRule="exact"/>
        <w:rPr>
          <w:rFonts w:ascii="Times New Roman" w:cs="Times New Roman" w:eastAsia="Times New Roman" w:hAnsi="Times New Roman"/>
          <w:sz w:val="20"/>
          <w:szCs w:val="20"/>
          <w:color w:val="auto"/>
        </w:rPr>
      </w:pPr>
    </w:p>
    <w:p>
      <w:pPr>
        <w:jc w:val="both"/>
        <w:ind w:firstLine="24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hypoglycemic effect produced by the ip injection of 300 and 500 mg/kg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to mild alloxan-diabetic mice is shown in Figure 3. Both doses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signifi-cantly reduced glycemia at 240 and 360 min (P &lt; 0.05). The dose of ip injected tolbutamide (80 mg/kg) also reduced glycemia. However, the effect was minor.</w:t>
      </w:r>
    </w:p>
    <w:p>
      <w:pPr>
        <w:sectPr>
          <w:pgSz w:w="11900" w:h="15860" w:orient="portrait"/>
          <w:cols w:equalWidth="0" w:num="2">
            <w:col w:w="4860" w:space="500"/>
            <w:col w:w="4840"/>
          </w:cols>
          <w:pgMar w:left="1080" w:top="971" w:right="620" w:bottom="276" w:gutter="0" w:footer="0" w:header="0"/>
          <w:type w:val="continuous"/>
        </w:sectPr>
      </w:pPr>
    </w:p>
    <w:bookmarkStart w:id="3" w:name="page4"/>
    <w:bookmarkEnd w:id="3"/>
    <w:p>
      <w:pPr>
        <w:spacing w:after="0"/>
        <w:tabs>
          <w:tab w:leader="none" w:pos="4040" w:val="left"/>
        </w:tabs>
        <w:rPr>
          <w:sz w:val="20"/>
          <w:szCs w:val="20"/>
          <w:color w:val="auto"/>
        </w:rPr>
      </w:pPr>
      <w:r>
        <w:rPr>
          <w:rFonts w:ascii="Times New Roman" w:cs="Times New Roman" w:eastAsia="Times New Roman" w:hAnsi="Times New Roman"/>
          <w:sz w:val="19"/>
          <w:szCs w:val="19"/>
          <w:color w:val="auto"/>
        </w:rPr>
        <w:t>572</w:t>
      </w:r>
      <w:r>
        <w:rPr>
          <w:sz w:val="20"/>
          <w:szCs w:val="20"/>
          <w:color w:val="auto"/>
        </w:rPr>
        <w:tab/>
      </w:r>
      <w:r>
        <w:rPr>
          <w:rFonts w:ascii="Times New Roman" w:cs="Times New Roman" w:eastAsia="Times New Roman" w:hAnsi="Times New Roman"/>
          <w:sz w:val="19"/>
          <w:szCs w:val="19"/>
          <w:color w:val="auto"/>
        </w:rPr>
        <w:t>F.J. Alarcon-Aguilar et al.</w:t>
      </w:r>
    </w:p>
    <w:p>
      <w:pPr>
        <w:sectPr>
          <w:pgSz w:w="11900" w:h="15860" w:orient="portrait"/>
          <w:cols w:equalWidth="0" w:num="1">
            <w:col w:w="10200"/>
          </w:cols>
          <w:pgMar w:left="620" w:top="982" w:right="1080"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tbl>
      <w:tblPr>
        <w:tblLayout w:type="fixed"/>
        <w:tblInd w:w="1707" w:type="dxa"/>
        <w:tblCellMar>
          <w:top w:w="0" w:type="dxa"/>
          <w:left w:w="0" w:type="dxa"/>
          <w:bottom w:w="0" w:type="dxa"/>
          <w:right w:w="0" w:type="dxa"/>
        </w:tblCellMar>
      </w:tblPr>
      <w:tr>
        <w:trPr>
          <w:trHeight w:val="1540"/>
        </w:trPr>
        <w:tc>
          <w:tcPr>
            <w:tcW w:w="207" w:type="dxa"/>
            <w:vAlign w:val="bottom"/>
            <w:textDirection w:val="btLr"/>
          </w:tcPr>
          <w:p>
            <w:pPr>
              <w:spacing w:after="0"/>
              <w:rPr>
                <w:sz w:val="20"/>
                <w:szCs w:val="20"/>
                <w:color w:val="auto"/>
              </w:rPr>
            </w:pPr>
            <w:r>
              <w:rPr>
                <w:rFonts w:ascii="Arial" w:cs="Arial" w:eastAsia="Arial" w:hAnsi="Arial"/>
                <w:sz w:val="18"/>
                <w:szCs w:val="18"/>
                <w:color w:val="auto"/>
              </w:rPr>
              <w:t>GLYCEMIA mg/dl</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7"/>
          <w:szCs w:val="17"/>
          <w:color w:val="auto"/>
        </w:rPr>
        <w:t>70</w:t>
      </w:r>
    </w:p>
    <w:p>
      <w:pPr>
        <w:spacing w:after="0" w:line="235" w:lineRule="exact"/>
        <w:rPr>
          <w:sz w:val="20"/>
          <w:szCs w:val="20"/>
          <w:color w:val="auto"/>
        </w:rPr>
      </w:pPr>
    </w:p>
    <w:p>
      <w:pPr>
        <w:spacing w:after="0"/>
        <w:rPr>
          <w:sz w:val="20"/>
          <w:szCs w:val="20"/>
          <w:color w:val="auto"/>
        </w:rPr>
      </w:pPr>
      <w:r>
        <w:rPr>
          <w:rFonts w:ascii="Arial" w:cs="Arial" w:eastAsia="Arial" w:hAnsi="Arial"/>
          <w:sz w:val="17"/>
          <w:szCs w:val="17"/>
          <w:color w:val="auto"/>
        </w:rPr>
        <w:t>60</w:t>
      </w:r>
    </w:p>
    <w:p>
      <w:pPr>
        <w:spacing w:after="0" w:line="235" w:lineRule="exact"/>
        <w:rPr>
          <w:sz w:val="20"/>
          <w:szCs w:val="20"/>
          <w:color w:val="auto"/>
        </w:rPr>
      </w:pPr>
    </w:p>
    <w:p>
      <w:pPr>
        <w:spacing w:after="0"/>
        <w:rPr>
          <w:sz w:val="20"/>
          <w:szCs w:val="20"/>
          <w:color w:val="auto"/>
        </w:rPr>
      </w:pPr>
      <w:r>
        <w:rPr>
          <w:rFonts w:ascii="Arial" w:cs="Arial" w:eastAsia="Arial" w:hAnsi="Arial"/>
          <w:sz w:val="17"/>
          <w:szCs w:val="17"/>
          <w:color w:val="auto"/>
        </w:rPr>
        <w:t>50</w:t>
      </w:r>
    </w:p>
    <w:p>
      <w:pPr>
        <w:spacing w:after="0" w:line="234" w:lineRule="exact"/>
        <w:rPr>
          <w:sz w:val="20"/>
          <w:szCs w:val="20"/>
          <w:color w:val="auto"/>
        </w:rPr>
      </w:pPr>
    </w:p>
    <w:p>
      <w:pPr>
        <w:spacing w:after="0"/>
        <w:rPr>
          <w:sz w:val="20"/>
          <w:szCs w:val="20"/>
          <w:color w:val="auto"/>
        </w:rPr>
      </w:pPr>
      <w:r>
        <w:rPr>
          <w:rFonts w:ascii="Arial" w:cs="Arial" w:eastAsia="Arial" w:hAnsi="Arial"/>
          <w:sz w:val="17"/>
          <w:szCs w:val="17"/>
          <w:color w:val="auto"/>
        </w:rPr>
        <w:t>40</w:t>
      </w:r>
    </w:p>
    <w:p>
      <w:pPr>
        <w:spacing w:after="0" w:line="239" w:lineRule="exact"/>
        <w:rPr>
          <w:sz w:val="20"/>
          <w:szCs w:val="20"/>
          <w:color w:val="auto"/>
        </w:rPr>
      </w:pPr>
    </w:p>
    <w:p>
      <w:pPr>
        <w:spacing w:after="0"/>
        <w:rPr>
          <w:sz w:val="20"/>
          <w:szCs w:val="20"/>
          <w:color w:val="auto"/>
        </w:rPr>
      </w:pPr>
      <w:r>
        <w:rPr>
          <w:rFonts w:ascii="Arial" w:cs="Arial" w:eastAsia="Arial" w:hAnsi="Arial"/>
          <w:sz w:val="17"/>
          <w:szCs w:val="17"/>
          <w:color w:val="auto"/>
        </w:rPr>
        <w:t>30</w:t>
      </w:r>
    </w:p>
    <w:p>
      <w:pPr>
        <w:spacing w:after="0" w:line="235" w:lineRule="exact"/>
        <w:rPr>
          <w:sz w:val="20"/>
          <w:szCs w:val="20"/>
          <w:color w:val="auto"/>
        </w:rPr>
      </w:pPr>
    </w:p>
    <w:p>
      <w:pPr>
        <w:spacing w:after="0"/>
        <w:rPr>
          <w:sz w:val="20"/>
          <w:szCs w:val="20"/>
          <w:color w:val="auto"/>
        </w:rPr>
      </w:pPr>
      <w:r>
        <w:rPr>
          <w:rFonts w:ascii="Arial" w:cs="Arial" w:eastAsia="Arial" w:hAnsi="Arial"/>
          <w:sz w:val="17"/>
          <w:szCs w:val="17"/>
          <w:color w:val="auto"/>
        </w:rPr>
        <w:t>20</w:t>
      </w:r>
    </w:p>
    <w:p>
      <w:pPr>
        <w:spacing w:after="0" w:line="200" w:lineRule="exact"/>
        <w:rPr>
          <w:sz w:val="20"/>
          <w:szCs w:val="20"/>
          <w:color w:val="auto"/>
        </w:rPr>
      </w:pPr>
    </w:p>
    <w:p>
      <w:pPr>
        <w:spacing w:after="0"/>
        <w:rPr>
          <w:sz w:val="20"/>
          <w:szCs w:val="20"/>
          <w:color w:val="auto"/>
        </w:rPr>
      </w:pPr>
      <w:r>
        <w:rPr>
          <w:rFonts w:ascii="Arial" w:cs="Arial" w:eastAsia="Arial" w:hAnsi="Arial"/>
          <w:sz w:val="17"/>
          <w:szCs w:val="17"/>
          <w:color w:val="auto"/>
        </w:rPr>
        <w:t>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sz w:val="1"/>
          <w:szCs w:val="1"/>
          <w:color w:val="auto"/>
        </w:rPr>
        <w:drawing>
          <wp:inline distT="0" distB="0" distL="0" distR="0">
            <wp:extent cx="60325" cy="59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extLst>
                    </a:blip>
                    <a:srcRect/>
                    <a:stretch>
                      <a:fillRect/>
                    </a:stretch>
                  </pic:blipFill>
                  <pic:spPr bwMode="auto">
                    <a:xfrm>
                      <a:off x="0" y="0"/>
                      <a:ext cx="60325" cy="59055"/>
                    </a:xfrm>
                    <a:prstGeom prst="rect">
                      <a:avLst/>
                    </a:prstGeom>
                    <a:noFill/>
                    <a:ln>
                      <a:noFill/>
                    </a:ln>
                  </pic:spPr>
                </pic:pic>
              </a:graphicData>
            </a:graphic>
          </wp:inline>
        </w:drawing>
        <w:drawing>
          <wp:inline distT="0" distB="0" distL="0" distR="0">
            <wp:extent cx="10160" cy="59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extLst>
                    </a:blip>
                    <a:srcRect/>
                    <a:stretch>
                      <a:fillRect/>
                    </a:stretch>
                  </pic:blipFill>
                  <pic:spPr bwMode="auto">
                    <a:xfrm>
                      <a:off x="0" y="0"/>
                      <a:ext cx="10160" cy="59055"/>
                    </a:xfrm>
                    <a:prstGeom prst="rect">
                      <a:avLst/>
                    </a:prstGeom>
                    <a:noFill/>
                    <a:ln>
                      <a:noFill/>
                    </a:ln>
                  </pic:spPr>
                </pic:pic>
              </a:graphicData>
            </a:graphic>
          </wp:inline>
        </w:drawing>
      </w:r>
      <w:r>
        <w:rPr>
          <w:rFonts w:ascii="Arial" w:cs="Arial" w:eastAsia="Arial" w:hAnsi="Arial"/>
          <w:sz w:val="10"/>
          <w:szCs w:val="10"/>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-3255010</wp:posOffset>
            </wp:positionH>
            <wp:positionV relativeFrom="paragraph">
              <wp:posOffset>-1169035</wp:posOffset>
            </wp:positionV>
            <wp:extent cx="3949065" cy="19615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3949065" cy="1961515"/>
                    </a:xfrm>
                    <a:prstGeom prst="rect">
                      <a:avLst/>
                    </a:prstGeom>
                    <a:noFill/>
                  </pic:spPr>
                </pic:pic>
              </a:graphicData>
            </a:graphic>
          </wp:anchor>
        </w:drawing>
      </w:r>
    </w:p>
    <w:p>
      <w:pPr>
        <w:spacing w:after="0" w:line="821" w:lineRule="exact"/>
        <w:rPr>
          <w:sz w:val="20"/>
          <w:szCs w:val="20"/>
          <w:color w:val="auto"/>
        </w:rPr>
      </w:pPr>
    </w:p>
    <w:p>
      <w:pPr>
        <w:sectPr>
          <w:pgSz w:w="11900" w:h="15860" w:orient="portrait"/>
          <w:cols w:equalWidth="0" w:num="3">
            <w:col w:w="1914" w:space="106"/>
            <w:col w:w="4680" w:space="720"/>
            <w:col w:w="2780"/>
          </w:cols>
          <w:pgMar w:left="620" w:top="982" w:right="1080" w:bottom="287" w:gutter="0" w:footer="0" w:header="0"/>
          <w:type w:val="continuous"/>
        </w:sectPr>
      </w:pPr>
    </w:p>
    <w:p>
      <w:pPr>
        <w:ind w:left="3060"/>
        <w:spacing w:after="0" w:line="195" w:lineRule="auto"/>
        <w:rPr>
          <w:sz w:val="20"/>
          <w:szCs w:val="20"/>
          <w:color w:val="auto"/>
        </w:rPr>
      </w:pPr>
      <w:r>
        <w:rPr>
          <w:sz w:val="1"/>
          <w:szCs w:val="1"/>
          <w:color w:val="auto"/>
        </w:rPr>
        <w:drawing>
          <wp:inline distT="0" distB="0" distL="0" distR="0">
            <wp:extent cx="216535" cy="89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216535" cy="89535"/>
                    </a:xfrm>
                    <a:prstGeom prst="rect">
                      <a:avLst/>
                    </a:prstGeom>
                    <a:noFill/>
                    <a:ln>
                      <a:noFill/>
                    </a:ln>
                  </pic:spPr>
                </pic:pic>
              </a:graphicData>
            </a:graphic>
          </wp:inline>
        </w:drawing>
      </w:r>
      <w:r>
        <w:rPr>
          <w:rFonts w:ascii="Arial" w:cs="Arial" w:eastAsia="Arial" w:hAnsi="Arial"/>
          <w:sz w:val="20"/>
          <w:szCs w:val="20"/>
          <w:color w:val="auto"/>
        </w:rPr>
        <w:t xml:space="preserve"> ISS  </w:t>
      </w:r>
      <w:r>
        <w:rPr>
          <w:sz w:val="1"/>
          <w:szCs w:val="1"/>
          <w:color w:val="auto"/>
        </w:rPr>
        <w:drawing>
          <wp:inline distT="0" distB="0" distL="0" distR="0">
            <wp:extent cx="137795" cy="59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37795" cy="59055"/>
                    </a:xfrm>
                    <a:prstGeom prst="rect">
                      <a:avLst/>
                    </a:prstGeom>
                    <a:noFill/>
                    <a:ln>
                      <a:noFill/>
                    </a:ln>
                  </pic:spPr>
                </pic:pic>
              </a:graphicData>
            </a:graphic>
          </wp:inline>
        </w:drawing>
        <w:drawing>
          <wp:inline distT="0" distB="0" distL="0" distR="0">
            <wp:extent cx="88900" cy="59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88900" cy="59055"/>
                    </a:xfrm>
                    <a:prstGeom prst="rect">
                      <a:avLst/>
                    </a:prstGeom>
                    <a:noFill/>
                    <a:ln>
                      <a:noFill/>
                    </a:ln>
                  </pic:spPr>
                </pic:pic>
              </a:graphicData>
            </a:graphic>
          </wp:inline>
        </w:drawing>
      </w:r>
      <w:r>
        <w:rPr>
          <w:rFonts w:ascii="Arial" w:cs="Arial" w:eastAsia="Arial" w:hAnsi="Arial"/>
          <w:sz w:val="20"/>
          <w:szCs w:val="20"/>
          <w:i w:val="1"/>
          <w:iCs w:val="1"/>
          <w:color w:val="auto"/>
        </w:rPr>
        <w:t xml:space="preserve"> I. sonorae 300 mg/kg</w:t>
      </w:r>
    </w:p>
    <w:p>
      <w:pPr>
        <w:spacing w:after="0" w:line="83" w:lineRule="exact"/>
        <w:rPr>
          <w:sz w:val="20"/>
          <w:szCs w:val="20"/>
          <w:color w:val="auto"/>
        </w:rPr>
      </w:pPr>
    </w:p>
    <w:p>
      <w:pPr>
        <w:ind w:left="2120"/>
        <w:spacing w:after="0"/>
        <w:rPr>
          <w:sz w:val="20"/>
          <w:szCs w:val="20"/>
          <w:color w:val="auto"/>
        </w:rPr>
      </w:pPr>
      <w:r>
        <w:rPr>
          <w:rFonts w:ascii="Arial" w:cs="Arial" w:eastAsia="Arial" w:hAnsi="Arial"/>
          <w:sz w:val="17"/>
          <w:szCs w:val="17"/>
          <w:color w:val="auto"/>
        </w:rPr>
        <w:t>0</w:t>
      </w:r>
    </w:p>
    <w:p>
      <w:pPr>
        <w:spacing w:after="0" w:line="51" w:lineRule="exact"/>
        <w:rPr>
          <w:sz w:val="20"/>
          <w:szCs w:val="20"/>
          <w:color w:val="auto"/>
        </w:rPr>
      </w:pPr>
    </w:p>
    <w:p>
      <w:pPr>
        <w:ind w:left="3320"/>
        <w:spacing w:after="0"/>
        <w:tabs>
          <w:tab w:leader="none" w:pos="5260" w:val="left"/>
          <w:tab w:leader="none" w:pos="7300" w:val="left"/>
        </w:tabs>
        <w:rPr>
          <w:sz w:val="20"/>
          <w:szCs w:val="20"/>
          <w:color w:val="auto"/>
        </w:rPr>
      </w:pPr>
      <w:r>
        <w:rPr>
          <w:rFonts w:ascii="Arial" w:cs="Arial" w:eastAsia="Arial" w:hAnsi="Arial"/>
          <w:sz w:val="17"/>
          <w:szCs w:val="17"/>
          <w:color w:val="auto"/>
        </w:rPr>
        <w:t>0</w:t>
      </w:r>
      <w:r>
        <w:rPr>
          <w:sz w:val="20"/>
          <w:szCs w:val="20"/>
          <w:color w:val="auto"/>
        </w:rPr>
        <w:tab/>
      </w:r>
      <w:r>
        <w:rPr>
          <w:rFonts w:ascii="Arial" w:cs="Arial" w:eastAsia="Arial" w:hAnsi="Arial"/>
          <w:sz w:val="17"/>
          <w:szCs w:val="17"/>
          <w:color w:val="auto"/>
        </w:rPr>
        <w:t>120</w:t>
      </w:r>
      <w:r>
        <w:rPr>
          <w:sz w:val="20"/>
          <w:szCs w:val="20"/>
          <w:color w:val="auto"/>
        </w:rPr>
        <w:tab/>
      </w:r>
      <w:r>
        <w:rPr>
          <w:rFonts w:ascii="Arial" w:cs="Arial" w:eastAsia="Arial" w:hAnsi="Arial"/>
          <w:sz w:val="16"/>
          <w:szCs w:val="16"/>
          <w:color w:val="auto"/>
        </w:rPr>
        <w:t>240</w:t>
      </w:r>
    </w:p>
    <w:p>
      <w:pPr>
        <w:ind w:left="5060"/>
        <w:spacing w:after="0" w:line="212" w:lineRule="auto"/>
        <w:rPr>
          <w:sz w:val="20"/>
          <w:szCs w:val="20"/>
          <w:color w:val="auto"/>
        </w:rPr>
      </w:pPr>
      <w:r>
        <w:rPr>
          <w:rFonts w:ascii="Arial" w:cs="Arial" w:eastAsia="Arial" w:hAnsi="Arial"/>
          <w:sz w:val="20"/>
          <w:szCs w:val="20"/>
          <w:color w:val="auto"/>
        </w:rPr>
        <w:t>TIME (min)</w:t>
      </w:r>
    </w:p>
    <w:p>
      <w:pPr>
        <w:spacing w:after="0" w:line="180" w:lineRule="exact"/>
        <w:rPr>
          <w:sz w:val="20"/>
          <w:szCs w:val="20"/>
          <w:color w:val="auto"/>
        </w:rPr>
      </w:pPr>
    </w:p>
    <w:p>
      <w:pPr>
        <w:spacing w:after="0"/>
        <w:tabs>
          <w:tab w:leader="none" w:pos="820" w:val="left"/>
        </w:tabs>
        <w:rPr>
          <w:sz w:val="20"/>
          <w:szCs w:val="20"/>
          <w:color w:val="auto"/>
        </w:rPr>
      </w:pPr>
      <w:r>
        <w:rPr>
          <w:rFonts w:ascii="Times New Roman" w:cs="Times New Roman" w:eastAsia="Times New Roman" w:hAnsi="Times New Roman"/>
          <w:sz w:val="18"/>
          <w:szCs w:val="18"/>
          <w:i w:val="1"/>
          <w:iCs w:val="1"/>
          <w:color w:val="auto"/>
        </w:rPr>
        <w:t>Figure 1.</w:t>
      </w:r>
      <w:r>
        <w:rPr>
          <w:sz w:val="20"/>
          <w:szCs w:val="20"/>
          <w:color w:val="auto"/>
        </w:rPr>
        <w:tab/>
      </w:r>
      <w:r>
        <w:rPr>
          <w:rFonts w:ascii="Times New Roman" w:cs="Times New Roman" w:eastAsia="Times New Roman" w:hAnsi="Times New Roman"/>
          <w:sz w:val="18"/>
          <w:szCs w:val="18"/>
          <w:color w:val="auto"/>
        </w:rPr>
        <w:t xml:space="preserve">Hypoglycemic effect produced by ip injection of the freeze-dried decoction of </w:t>
      </w:r>
      <w:r>
        <w:rPr>
          <w:rFonts w:ascii="Times New Roman" w:cs="Times New Roman" w:eastAsia="Times New Roman" w:hAnsi="Times New Roman"/>
          <w:sz w:val="18"/>
          <w:szCs w:val="18"/>
          <w:i w:val="1"/>
          <w:iCs w:val="1"/>
          <w:color w:val="auto"/>
        </w:rPr>
        <w:t>Ibervillea sonorae</w:t>
      </w:r>
      <w:r>
        <w:rPr>
          <w:rFonts w:ascii="Times New Roman" w:cs="Times New Roman" w:eastAsia="Times New Roman" w:hAnsi="Times New Roman"/>
          <w:sz w:val="18"/>
          <w:szCs w:val="18"/>
          <w:color w:val="auto"/>
        </w:rPr>
        <w:t xml:space="preserve"> roots in healthy mice (n = 12).</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Significantly different from control: * P &lt; 0.05.</w:t>
      </w:r>
    </w:p>
    <w:p>
      <w:pPr>
        <w:spacing w:after="0" w:line="200" w:lineRule="exact"/>
        <w:rPr>
          <w:sz w:val="20"/>
          <w:szCs w:val="20"/>
          <w:color w:val="auto"/>
        </w:rPr>
      </w:pPr>
    </w:p>
    <w:p>
      <w:pPr>
        <w:spacing w:after="0" w:line="201" w:lineRule="exact"/>
        <w:rPr>
          <w:sz w:val="20"/>
          <w:szCs w:val="20"/>
          <w:color w:val="auto"/>
        </w:rPr>
      </w:pPr>
    </w:p>
    <w:p>
      <w:pPr>
        <w:ind w:left="1700" w:right="1700"/>
        <w:spacing w:after="0" w:line="266" w:lineRule="auto"/>
        <w:rPr>
          <w:sz w:val="20"/>
          <w:szCs w:val="20"/>
          <w:color w:val="auto"/>
        </w:rPr>
      </w:pPr>
      <w:r>
        <w:rPr>
          <w:rFonts w:ascii="Times New Roman" w:cs="Times New Roman" w:eastAsia="Times New Roman" w:hAnsi="Times New Roman"/>
          <w:sz w:val="18"/>
          <w:szCs w:val="18"/>
          <w:i w:val="1"/>
          <w:iCs w:val="1"/>
          <w:color w:val="auto"/>
        </w:rPr>
        <w:t xml:space="preserve">Table 1. </w:t>
      </w:r>
      <w:r>
        <w:rPr>
          <w:rFonts w:ascii="Times New Roman" w:cs="Times New Roman" w:eastAsia="Times New Roman" w:hAnsi="Times New Roman"/>
          <w:sz w:val="18"/>
          <w:szCs w:val="18"/>
          <w:color w:val="auto"/>
        </w:rPr>
        <w:t>Hypoglycemic effect produced by po administration of the freeze-dried decoction of</w:t>
      </w:r>
      <w:r>
        <w:rPr>
          <w:rFonts w:ascii="Times New Roman" w:cs="Times New Roman" w:eastAsia="Times New Roman" w:hAnsi="Times New Roman"/>
          <w:sz w:val="18"/>
          <w:szCs w:val="18"/>
          <w:i w:val="1"/>
          <w:iCs w:val="1"/>
          <w:color w:val="auto"/>
        </w:rPr>
        <w:t xml:space="preserve"> Ibervillea sonorae </w:t>
      </w:r>
      <w:r>
        <w:rPr>
          <w:rFonts w:ascii="Times New Roman" w:cs="Times New Roman" w:eastAsia="Times New Roman" w:hAnsi="Times New Roman"/>
          <w:sz w:val="18"/>
          <w:szCs w:val="18"/>
          <w:color w:val="auto"/>
        </w:rPr>
        <w:t>roots in healthy mice (n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1082040</wp:posOffset>
            </wp:positionH>
            <wp:positionV relativeFrom="paragraph">
              <wp:posOffset>43180</wp:posOffset>
            </wp:positionV>
            <wp:extent cx="4319905"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4319905" cy="6350"/>
                    </a:xfrm>
                    <a:prstGeom prst="rect">
                      <a:avLst/>
                    </a:prstGeom>
                    <a:noFill/>
                  </pic:spPr>
                </pic:pic>
              </a:graphicData>
            </a:graphic>
          </wp:anchor>
        </w:drawing>
      </w:r>
    </w:p>
    <w:p>
      <w:pPr>
        <w:spacing w:after="0" w:line="157" w:lineRule="exact"/>
        <w:rPr>
          <w:sz w:val="20"/>
          <w:szCs w:val="20"/>
          <w:color w:val="auto"/>
        </w:rPr>
      </w:pPr>
    </w:p>
    <w:tbl>
      <w:tblPr>
        <w:tblLayout w:type="fixed"/>
        <w:tblInd w:w="1700" w:type="dxa"/>
        <w:tblCellMar>
          <w:top w:w="0" w:type="dxa"/>
          <w:left w:w="0" w:type="dxa"/>
          <w:bottom w:w="0" w:type="dxa"/>
          <w:right w:w="0" w:type="dxa"/>
        </w:tblCellMar>
      </w:tblPr>
      <w:tr>
        <w:trPr>
          <w:trHeight w:val="241"/>
        </w:trPr>
        <w:tc>
          <w:tcPr>
            <w:tcW w:w="150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3220" w:type="dxa"/>
            <w:vAlign w:val="bottom"/>
            <w:gridSpan w:val="3"/>
          </w:tcPr>
          <w:p>
            <w:pPr>
              <w:ind w:left="720"/>
              <w:spacing w:after="0"/>
              <w:rPr>
                <w:sz w:val="20"/>
                <w:szCs w:val="20"/>
                <w:color w:val="auto"/>
              </w:rPr>
            </w:pPr>
            <w:r>
              <w:rPr>
                <w:rFonts w:ascii="Times New Roman" w:cs="Times New Roman" w:eastAsia="Times New Roman" w:hAnsi="Times New Roman"/>
                <w:sz w:val="18"/>
                <w:szCs w:val="18"/>
                <w:color w:val="auto"/>
              </w:rPr>
              <w:t>Glycemia mg/dl (Mean ± S.E.M.)</w:t>
            </w:r>
          </w:p>
        </w:tc>
        <w:tc>
          <w:tcPr>
            <w:tcW w:w="800" w:type="dxa"/>
            <w:vAlign w:val="bottom"/>
          </w:tcPr>
          <w:p>
            <w:pPr>
              <w:spacing w:after="0"/>
              <w:rPr>
                <w:sz w:val="20"/>
                <w:szCs w:val="20"/>
                <w:color w:val="auto"/>
              </w:rPr>
            </w:pPr>
          </w:p>
        </w:tc>
      </w:tr>
      <w:tr>
        <w:trPr>
          <w:trHeight w:val="90"/>
        </w:trPr>
        <w:tc>
          <w:tcPr>
            <w:tcW w:w="1500" w:type="dxa"/>
            <w:vAlign w:val="bottom"/>
          </w:tcPr>
          <w:p>
            <w:pPr>
              <w:spacing w:after="0"/>
              <w:rPr>
                <w:sz w:val="7"/>
                <w:szCs w:val="7"/>
                <w:color w:val="auto"/>
              </w:rPr>
            </w:pPr>
          </w:p>
        </w:tc>
        <w:tc>
          <w:tcPr>
            <w:tcW w:w="1280" w:type="dxa"/>
            <w:vAlign w:val="bottom"/>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r>
        <w:trPr>
          <w:trHeight w:val="308"/>
        </w:trPr>
        <w:tc>
          <w:tcPr>
            <w:tcW w:w="1500" w:type="dxa"/>
            <w:vAlign w:val="bottom"/>
          </w:tcPr>
          <w:p>
            <w:pPr>
              <w:spacing w:after="0"/>
              <w:rPr>
                <w:sz w:val="20"/>
                <w:szCs w:val="20"/>
                <w:color w:val="auto"/>
              </w:rPr>
            </w:pPr>
            <w:r>
              <w:rPr>
                <w:rFonts w:ascii="Times New Roman" w:cs="Times New Roman" w:eastAsia="Times New Roman" w:hAnsi="Times New Roman"/>
                <w:sz w:val="18"/>
                <w:szCs w:val="18"/>
                <w:color w:val="auto"/>
              </w:rPr>
              <w:t>Study</w:t>
            </w:r>
          </w:p>
        </w:tc>
        <w:tc>
          <w:tcPr>
            <w:tcW w:w="12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7"/>
              </w:rPr>
              <w:t>DOSE</w:t>
            </w:r>
          </w:p>
        </w:tc>
        <w:tc>
          <w:tcPr>
            <w:tcW w:w="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 fasting</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120 min</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4"/>
              </w:rPr>
              <w:t>240 min</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360 min</w:t>
            </w:r>
          </w:p>
        </w:tc>
      </w:tr>
      <w:tr>
        <w:trPr>
          <w:trHeight w:val="112"/>
        </w:trPr>
        <w:tc>
          <w:tcPr>
            <w:tcW w:w="1500" w:type="dxa"/>
            <w:vAlign w:val="bottom"/>
            <w:tcBorders>
              <w:bottom w:val="single" w:sz="8" w:color="auto"/>
            </w:tcBorders>
          </w:tcPr>
          <w:p>
            <w:pPr>
              <w:spacing w:after="0"/>
              <w:rPr>
                <w:sz w:val="9"/>
                <w:szCs w:val="9"/>
                <w:color w:val="auto"/>
              </w:rPr>
            </w:pPr>
          </w:p>
        </w:tc>
        <w:tc>
          <w:tcPr>
            <w:tcW w:w="1280" w:type="dxa"/>
            <w:vAlign w:val="bottom"/>
            <w:tcBorders>
              <w:bottom w:val="single" w:sz="8" w:color="auto"/>
            </w:tcBorders>
          </w:tcPr>
          <w:p>
            <w:pPr>
              <w:spacing w:after="0"/>
              <w:rPr>
                <w:sz w:val="9"/>
                <w:szCs w:val="9"/>
                <w:color w:val="auto"/>
              </w:rPr>
            </w:pPr>
          </w:p>
        </w:tc>
        <w:tc>
          <w:tcPr>
            <w:tcW w:w="920" w:type="dxa"/>
            <w:vAlign w:val="bottom"/>
            <w:tcBorders>
              <w:bottom w:val="single" w:sz="8" w:color="auto"/>
            </w:tcBorders>
          </w:tcPr>
          <w:p>
            <w:pPr>
              <w:spacing w:after="0"/>
              <w:rPr>
                <w:sz w:val="9"/>
                <w:szCs w:val="9"/>
                <w:color w:val="auto"/>
              </w:rPr>
            </w:pPr>
          </w:p>
        </w:tc>
        <w:tc>
          <w:tcPr>
            <w:tcW w:w="1100" w:type="dxa"/>
            <w:vAlign w:val="bottom"/>
            <w:tcBorders>
              <w:bottom w:val="single" w:sz="8" w:color="auto"/>
            </w:tcBorders>
          </w:tcPr>
          <w:p>
            <w:pPr>
              <w:spacing w:after="0"/>
              <w:rPr>
                <w:sz w:val="9"/>
                <w:szCs w:val="9"/>
                <w:color w:val="auto"/>
              </w:rPr>
            </w:pPr>
          </w:p>
        </w:tc>
        <w:tc>
          <w:tcPr>
            <w:tcW w:w="120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r>
      <w:tr>
        <w:trPr>
          <w:trHeight w:val="309"/>
        </w:trPr>
        <w:tc>
          <w:tcPr>
            <w:tcW w:w="1500" w:type="dxa"/>
            <w:vAlign w:val="bottom"/>
          </w:tcPr>
          <w:p>
            <w:pPr>
              <w:spacing w:after="0"/>
              <w:rPr>
                <w:sz w:val="20"/>
                <w:szCs w:val="20"/>
                <w:color w:val="auto"/>
              </w:rPr>
            </w:pPr>
            <w:r>
              <w:rPr>
                <w:rFonts w:ascii="Times New Roman" w:cs="Times New Roman" w:eastAsia="Times New Roman" w:hAnsi="Times New Roman"/>
                <w:sz w:val="18"/>
                <w:szCs w:val="18"/>
                <w:color w:val="auto"/>
              </w:rPr>
              <w:t>Control (ISS)</w:t>
            </w:r>
          </w:p>
        </w:tc>
        <w:tc>
          <w:tcPr>
            <w:tcW w:w="12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4 ml/kg</w:t>
            </w:r>
          </w:p>
        </w:tc>
        <w:tc>
          <w:tcPr>
            <w:tcW w:w="920" w:type="dxa"/>
            <w:vAlign w:val="bottom"/>
          </w:tcPr>
          <w:p>
            <w:pPr>
              <w:spacing w:after="0"/>
              <w:rPr>
                <w:sz w:val="20"/>
                <w:szCs w:val="20"/>
                <w:color w:val="auto"/>
              </w:rPr>
            </w:pPr>
            <w:r>
              <w:rPr>
                <w:rFonts w:ascii="Times New Roman" w:cs="Times New Roman" w:eastAsia="Times New Roman" w:hAnsi="Times New Roman"/>
                <w:sz w:val="18"/>
                <w:szCs w:val="18"/>
                <w:color w:val="auto"/>
              </w:rPr>
              <w:t>41.1 ± 2.3</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43.1 ± 3.5</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rPr>
              <w:t>43.3 ± 4.3</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40.0 ± 4.6</w:t>
            </w:r>
          </w:p>
        </w:tc>
      </w:tr>
      <w:tr>
        <w:trPr>
          <w:trHeight w:val="241"/>
        </w:trPr>
        <w:tc>
          <w:tcPr>
            <w:tcW w:w="150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Ibervillea sonorae</w:t>
            </w:r>
          </w:p>
        </w:tc>
        <w:tc>
          <w:tcPr>
            <w:tcW w:w="1280" w:type="dxa"/>
            <w:vAlign w:val="bottom"/>
          </w:tcPr>
          <w:p>
            <w:pPr>
              <w:jc w:val="center"/>
              <w:ind w:right="70"/>
              <w:spacing w:after="0"/>
              <w:rPr>
                <w:sz w:val="20"/>
                <w:szCs w:val="20"/>
                <w:color w:val="auto"/>
              </w:rPr>
            </w:pPr>
            <w:r>
              <w:rPr>
                <w:rFonts w:ascii="Times New Roman" w:cs="Times New Roman" w:eastAsia="Times New Roman" w:hAnsi="Times New Roman"/>
                <w:sz w:val="18"/>
                <w:szCs w:val="18"/>
                <w:color w:val="auto"/>
                <w:w w:val="97"/>
              </w:rPr>
              <w:t>300 mg/kg</w:t>
            </w:r>
          </w:p>
        </w:tc>
        <w:tc>
          <w:tcPr>
            <w:tcW w:w="920" w:type="dxa"/>
            <w:vAlign w:val="bottom"/>
          </w:tcPr>
          <w:p>
            <w:pPr>
              <w:spacing w:after="0"/>
              <w:rPr>
                <w:sz w:val="20"/>
                <w:szCs w:val="20"/>
                <w:color w:val="auto"/>
              </w:rPr>
            </w:pPr>
            <w:r>
              <w:rPr>
                <w:rFonts w:ascii="Times New Roman" w:cs="Times New Roman" w:eastAsia="Times New Roman" w:hAnsi="Times New Roman"/>
                <w:sz w:val="18"/>
                <w:szCs w:val="18"/>
                <w:color w:val="auto"/>
              </w:rPr>
              <w:t>41.4 ± 1.5</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43.7 ± 2.7</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rPr>
              <w:t>41.8 ± 4.0</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36.5 ± 2.3</w:t>
            </w:r>
          </w:p>
        </w:tc>
      </w:tr>
      <w:tr>
        <w:trPr>
          <w:trHeight w:val="90"/>
        </w:trPr>
        <w:tc>
          <w:tcPr>
            <w:tcW w:w="150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bl>
    <w:p>
      <w:pPr>
        <w:spacing w:after="0" w:line="200" w:lineRule="exact"/>
        <w:rPr>
          <w:sz w:val="20"/>
          <w:szCs w:val="20"/>
          <w:color w:val="auto"/>
        </w:rPr>
      </w:pPr>
    </w:p>
    <w:p>
      <w:pPr>
        <w:spacing w:after="0" w:line="248" w:lineRule="exact"/>
        <w:rPr>
          <w:sz w:val="20"/>
          <w:szCs w:val="20"/>
          <w:color w:val="auto"/>
        </w:rPr>
      </w:pPr>
    </w:p>
    <w:p>
      <w:pPr>
        <w:ind w:left="1700" w:right="1700"/>
        <w:spacing w:after="0" w:line="266" w:lineRule="auto"/>
        <w:rPr>
          <w:sz w:val="20"/>
          <w:szCs w:val="20"/>
          <w:color w:val="auto"/>
        </w:rPr>
      </w:pPr>
      <w:r>
        <w:rPr>
          <w:rFonts w:ascii="Times New Roman" w:cs="Times New Roman" w:eastAsia="Times New Roman" w:hAnsi="Times New Roman"/>
          <w:sz w:val="18"/>
          <w:szCs w:val="18"/>
          <w:i w:val="1"/>
          <w:iCs w:val="1"/>
          <w:color w:val="auto"/>
        </w:rPr>
        <w:t xml:space="preserve">Table 2. </w:t>
      </w:r>
      <w:r>
        <w:rPr>
          <w:rFonts w:ascii="Times New Roman" w:cs="Times New Roman" w:eastAsia="Times New Roman" w:hAnsi="Times New Roman"/>
          <w:sz w:val="18"/>
          <w:szCs w:val="18"/>
          <w:color w:val="auto"/>
        </w:rPr>
        <w:t>Hypoglycemic effect produced by po injection of the freeze-dried decoction of</w:t>
      </w:r>
      <w:r>
        <w:rPr>
          <w:rFonts w:ascii="Times New Roman" w:cs="Times New Roman" w:eastAsia="Times New Roman" w:hAnsi="Times New Roman"/>
          <w:sz w:val="18"/>
          <w:szCs w:val="18"/>
          <w:i w:val="1"/>
          <w:iCs w:val="1"/>
          <w:color w:val="auto"/>
        </w:rPr>
        <w:t xml:space="preserve"> Ibervillea sonorae </w:t>
      </w:r>
      <w:r>
        <w:rPr>
          <w:rFonts w:ascii="Times New Roman" w:cs="Times New Roman" w:eastAsia="Times New Roman" w:hAnsi="Times New Roman"/>
          <w:sz w:val="18"/>
          <w:szCs w:val="18"/>
          <w:color w:val="auto"/>
        </w:rPr>
        <w:t>roots in healthy mice (n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1082040</wp:posOffset>
            </wp:positionH>
            <wp:positionV relativeFrom="paragraph">
              <wp:posOffset>43180</wp:posOffset>
            </wp:positionV>
            <wp:extent cx="4319905"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4319905" cy="6350"/>
                    </a:xfrm>
                    <a:prstGeom prst="rect">
                      <a:avLst/>
                    </a:prstGeom>
                    <a:noFill/>
                  </pic:spPr>
                </pic:pic>
              </a:graphicData>
            </a:graphic>
          </wp:anchor>
        </w:drawing>
      </w:r>
    </w:p>
    <w:p>
      <w:pPr>
        <w:spacing w:after="0" w:line="157" w:lineRule="exact"/>
        <w:rPr>
          <w:sz w:val="20"/>
          <w:szCs w:val="20"/>
          <w:color w:val="auto"/>
        </w:rPr>
      </w:pPr>
    </w:p>
    <w:tbl>
      <w:tblPr>
        <w:tblLayout w:type="fixed"/>
        <w:tblInd w:w="1700" w:type="dxa"/>
        <w:tblCellMar>
          <w:top w:w="0" w:type="dxa"/>
          <w:left w:w="0" w:type="dxa"/>
          <w:bottom w:w="0" w:type="dxa"/>
          <w:right w:w="0" w:type="dxa"/>
        </w:tblCellMar>
      </w:tblPr>
      <w:tr>
        <w:trPr>
          <w:trHeight w:val="241"/>
        </w:trPr>
        <w:tc>
          <w:tcPr>
            <w:tcW w:w="150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3220" w:type="dxa"/>
            <w:vAlign w:val="bottom"/>
            <w:gridSpan w:val="3"/>
          </w:tcPr>
          <w:p>
            <w:pPr>
              <w:ind w:left="720"/>
              <w:spacing w:after="0"/>
              <w:rPr>
                <w:sz w:val="20"/>
                <w:szCs w:val="20"/>
                <w:color w:val="auto"/>
              </w:rPr>
            </w:pPr>
            <w:r>
              <w:rPr>
                <w:rFonts w:ascii="Times New Roman" w:cs="Times New Roman" w:eastAsia="Times New Roman" w:hAnsi="Times New Roman"/>
                <w:sz w:val="18"/>
                <w:szCs w:val="18"/>
                <w:color w:val="auto"/>
              </w:rPr>
              <w:t>Glycemia mg/dl (Mean ± S.E.M.)</w:t>
            </w:r>
          </w:p>
        </w:tc>
        <w:tc>
          <w:tcPr>
            <w:tcW w:w="800" w:type="dxa"/>
            <w:vAlign w:val="bottom"/>
          </w:tcPr>
          <w:p>
            <w:pPr>
              <w:spacing w:after="0"/>
              <w:rPr>
                <w:sz w:val="20"/>
                <w:szCs w:val="20"/>
                <w:color w:val="auto"/>
              </w:rPr>
            </w:pPr>
          </w:p>
        </w:tc>
      </w:tr>
      <w:tr>
        <w:trPr>
          <w:trHeight w:val="90"/>
        </w:trPr>
        <w:tc>
          <w:tcPr>
            <w:tcW w:w="1500" w:type="dxa"/>
            <w:vAlign w:val="bottom"/>
          </w:tcPr>
          <w:p>
            <w:pPr>
              <w:spacing w:after="0"/>
              <w:rPr>
                <w:sz w:val="7"/>
                <w:szCs w:val="7"/>
                <w:color w:val="auto"/>
              </w:rPr>
            </w:pPr>
          </w:p>
        </w:tc>
        <w:tc>
          <w:tcPr>
            <w:tcW w:w="1280" w:type="dxa"/>
            <w:vAlign w:val="bottom"/>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r>
        <w:trPr>
          <w:trHeight w:val="308"/>
        </w:trPr>
        <w:tc>
          <w:tcPr>
            <w:tcW w:w="1500" w:type="dxa"/>
            <w:vAlign w:val="bottom"/>
          </w:tcPr>
          <w:p>
            <w:pPr>
              <w:spacing w:after="0"/>
              <w:rPr>
                <w:sz w:val="20"/>
                <w:szCs w:val="20"/>
                <w:color w:val="auto"/>
              </w:rPr>
            </w:pPr>
            <w:r>
              <w:rPr>
                <w:rFonts w:ascii="Times New Roman" w:cs="Times New Roman" w:eastAsia="Times New Roman" w:hAnsi="Times New Roman"/>
                <w:sz w:val="18"/>
                <w:szCs w:val="18"/>
                <w:color w:val="auto"/>
              </w:rPr>
              <w:t>Study</w:t>
            </w:r>
          </w:p>
        </w:tc>
        <w:tc>
          <w:tcPr>
            <w:tcW w:w="1280" w:type="dxa"/>
            <w:vAlign w:val="bottom"/>
          </w:tcPr>
          <w:p>
            <w:pPr>
              <w:jc w:val="center"/>
              <w:ind w:right="90"/>
              <w:spacing w:after="0"/>
              <w:rPr>
                <w:sz w:val="20"/>
                <w:szCs w:val="20"/>
                <w:color w:val="auto"/>
              </w:rPr>
            </w:pPr>
            <w:r>
              <w:rPr>
                <w:rFonts w:ascii="Times New Roman" w:cs="Times New Roman" w:eastAsia="Times New Roman" w:hAnsi="Times New Roman"/>
                <w:sz w:val="18"/>
                <w:szCs w:val="18"/>
                <w:color w:val="auto"/>
                <w:w w:val="97"/>
              </w:rPr>
              <w:t>DOSE</w:t>
            </w:r>
          </w:p>
        </w:tc>
        <w:tc>
          <w:tcPr>
            <w:tcW w:w="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 fasting</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120 min</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w w:val="94"/>
              </w:rPr>
              <w:t>240 min</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360 min</w:t>
            </w:r>
          </w:p>
        </w:tc>
      </w:tr>
      <w:tr>
        <w:trPr>
          <w:trHeight w:val="112"/>
        </w:trPr>
        <w:tc>
          <w:tcPr>
            <w:tcW w:w="1500" w:type="dxa"/>
            <w:vAlign w:val="bottom"/>
            <w:tcBorders>
              <w:bottom w:val="single" w:sz="8" w:color="auto"/>
            </w:tcBorders>
          </w:tcPr>
          <w:p>
            <w:pPr>
              <w:spacing w:after="0"/>
              <w:rPr>
                <w:sz w:val="9"/>
                <w:szCs w:val="9"/>
                <w:color w:val="auto"/>
              </w:rPr>
            </w:pPr>
          </w:p>
        </w:tc>
        <w:tc>
          <w:tcPr>
            <w:tcW w:w="1280" w:type="dxa"/>
            <w:vAlign w:val="bottom"/>
            <w:tcBorders>
              <w:bottom w:val="single" w:sz="8" w:color="auto"/>
            </w:tcBorders>
          </w:tcPr>
          <w:p>
            <w:pPr>
              <w:spacing w:after="0"/>
              <w:rPr>
                <w:sz w:val="9"/>
                <w:szCs w:val="9"/>
                <w:color w:val="auto"/>
              </w:rPr>
            </w:pPr>
          </w:p>
        </w:tc>
        <w:tc>
          <w:tcPr>
            <w:tcW w:w="920" w:type="dxa"/>
            <w:vAlign w:val="bottom"/>
            <w:tcBorders>
              <w:bottom w:val="single" w:sz="8" w:color="auto"/>
            </w:tcBorders>
          </w:tcPr>
          <w:p>
            <w:pPr>
              <w:spacing w:after="0"/>
              <w:rPr>
                <w:sz w:val="9"/>
                <w:szCs w:val="9"/>
                <w:color w:val="auto"/>
              </w:rPr>
            </w:pPr>
          </w:p>
        </w:tc>
        <w:tc>
          <w:tcPr>
            <w:tcW w:w="1100" w:type="dxa"/>
            <w:vAlign w:val="bottom"/>
            <w:tcBorders>
              <w:bottom w:val="single" w:sz="8" w:color="auto"/>
            </w:tcBorders>
          </w:tcPr>
          <w:p>
            <w:pPr>
              <w:spacing w:after="0"/>
              <w:rPr>
                <w:sz w:val="9"/>
                <w:szCs w:val="9"/>
                <w:color w:val="auto"/>
              </w:rPr>
            </w:pPr>
          </w:p>
        </w:tc>
        <w:tc>
          <w:tcPr>
            <w:tcW w:w="120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r>
      <w:tr>
        <w:trPr>
          <w:trHeight w:val="309"/>
        </w:trPr>
        <w:tc>
          <w:tcPr>
            <w:tcW w:w="1500" w:type="dxa"/>
            <w:vAlign w:val="bottom"/>
          </w:tcPr>
          <w:p>
            <w:pPr>
              <w:spacing w:after="0"/>
              <w:rPr>
                <w:sz w:val="20"/>
                <w:szCs w:val="20"/>
                <w:color w:val="auto"/>
              </w:rPr>
            </w:pPr>
            <w:r>
              <w:rPr>
                <w:rFonts w:ascii="Times New Roman" w:cs="Times New Roman" w:eastAsia="Times New Roman" w:hAnsi="Times New Roman"/>
                <w:sz w:val="18"/>
                <w:szCs w:val="18"/>
                <w:color w:val="auto"/>
              </w:rPr>
              <w:t>Control S.S.I.</w:t>
            </w:r>
          </w:p>
        </w:tc>
        <w:tc>
          <w:tcPr>
            <w:tcW w:w="12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4 ml/kg</w:t>
            </w:r>
          </w:p>
        </w:tc>
        <w:tc>
          <w:tcPr>
            <w:tcW w:w="920" w:type="dxa"/>
            <w:vAlign w:val="bottom"/>
          </w:tcPr>
          <w:p>
            <w:pPr>
              <w:spacing w:after="0"/>
              <w:rPr>
                <w:sz w:val="20"/>
                <w:szCs w:val="20"/>
                <w:color w:val="auto"/>
              </w:rPr>
            </w:pPr>
            <w:r>
              <w:rPr>
                <w:rFonts w:ascii="Times New Roman" w:cs="Times New Roman" w:eastAsia="Times New Roman" w:hAnsi="Times New Roman"/>
                <w:sz w:val="18"/>
                <w:szCs w:val="18"/>
                <w:color w:val="auto"/>
              </w:rPr>
              <w:t>46.0 ± 3.1</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39.7 ± 2.5</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rPr>
              <w:t>44.2 ± 2.3</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38.2 ± 1.7</w:t>
            </w:r>
          </w:p>
        </w:tc>
      </w:tr>
      <w:tr>
        <w:trPr>
          <w:trHeight w:val="241"/>
        </w:trPr>
        <w:tc>
          <w:tcPr>
            <w:tcW w:w="150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Ibervillea sonorae</w:t>
            </w:r>
          </w:p>
        </w:tc>
        <w:tc>
          <w:tcPr>
            <w:tcW w:w="1280" w:type="dxa"/>
            <w:vAlign w:val="bottom"/>
          </w:tcPr>
          <w:p>
            <w:pPr>
              <w:jc w:val="center"/>
              <w:ind w:right="70"/>
              <w:spacing w:after="0"/>
              <w:rPr>
                <w:sz w:val="20"/>
                <w:szCs w:val="20"/>
                <w:color w:val="auto"/>
              </w:rPr>
            </w:pPr>
            <w:r>
              <w:rPr>
                <w:rFonts w:ascii="Times New Roman" w:cs="Times New Roman" w:eastAsia="Times New Roman" w:hAnsi="Times New Roman"/>
                <w:sz w:val="18"/>
                <w:szCs w:val="18"/>
                <w:color w:val="auto"/>
                <w:w w:val="97"/>
              </w:rPr>
              <w:t>600 mg/kg</w:t>
            </w:r>
          </w:p>
        </w:tc>
        <w:tc>
          <w:tcPr>
            <w:tcW w:w="920" w:type="dxa"/>
            <w:vAlign w:val="bottom"/>
          </w:tcPr>
          <w:p>
            <w:pPr>
              <w:spacing w:after="0"/>
              <w:rPr>
                <w:sz w:val="20"/>
                <w:szCs w:val="20"/>
                <w:color w:val="auto"/>
              </w:rPr>
            </w:pPr>
            <w:r>
              <w:rPr>
                <w:rFonts w:ascii="Times New Roman" w:cs="Times New Roman" w:eastAsia="Times New Roman" w:hAnsi="Times New Roman"/>
                <w:sz w:val="18"/>
                <w:szCs w:val="18"/>
                <w:color w:val="auto"/>
              </w:rPr>
              <w:t>42.1 ± 3.6</w:t>
            </w:r>
          </w:p>
        </w:tc>
        <w:tc>
          <w:tcPr>
            <w:tcW w:w="11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34.5 ± 2.7</w:t>
            </w:r>
          </w:p>
        </w:tc>
        <w:tc>
          <w:tcPr>
            <w:tcW w:w="1200" w:type="dxa"/>
            <w:vAlign w:val="bottom"/>
          </w:tcPr>
          <w:p>
            <w:pPr>
              <w:jc w:val="center"/>
              <w:ind w:right="30"/>
              <w:spacing w:after="0"/>
              <w:rPr>
                <w:sz w:val="20"/>
                <w:szCs w:val="20"/>
                <w:color w:val="auto"/>
              </w:rPr>
            </w:pPr>
            <w:r>
              <w:rPr>
                <w:rFonts w:ascii="Times New Roman" w:cs="Times New Roman" w:eastAsia="Times New Roman" w:hAnsi="Times New Roman"/>
                <w:sz w:val="18"/>
                <w:szCs w:val="18"/>
                <w:color w:val="auto"/>
              </w:rPr>
              <w:t>35.8 ± 5.6</w:t>
            </w:r>
          </w:p>
        </w:tc>
        <w:tc>
          <w:tcPr>
            <w:tcW w:w="80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31.9 ± 2.2</w:t>
            </w:r>
          </w:p>
        </w:tc>
      </w:tr>
      <w:tr>
        <w:trPr>
          <w:trHeight w:val="90"/>
        </w:trPr>
        <w:tc>
          <w:tcPr>
            <w:tcW w:w="150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920" w:type="dxa"/>
            <w:vAlign w:val="bottom"/>
            <w:tcBorders>
              <w:bottom w:val="single" w:sz="8" w:color="auto"/>
            </w:tcBorders>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bl>
    <w:p>
      <w:pPr>
        <w:spacing w:after="0" w:line="200" w:lineRule="exact"/>
        <w:rPr>
          <w:sz w:val="20"/>
          <w:szCs w:val="20"/>
          <w:color w:val="auto"/>
        </w:rPr>
      </w:pPr>
    </w:p>
    <w:p>
      <w:pPr>
        <w:sectPr>
          <w:pgSz w:w="11900" w:h="15860" w:orient="portrait"/>
          <w:cols w:equalWidth="0" w:num="1">
            <w:col w:w="10200"/>
          </w:cols>
          <w:pgMar w:left="620" w:top="982" w:right="1080" w:bottom="287" w:gutter="0" w:footer="0" w:header="0"/>
          <w:type w:val="continuous"/>
        </w:sectPr>
      </w:pPr>
    </w:p>
    <w:p>
      <w:pPr>
        <w:spacing w:after="0" w:line="280"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i w:val="1"/>
          <w:iCs w:val="1"/>
          <w:color w:val="auto"/>
        </w:rPr>
        <w:t xml:space="preserve">I. sonorae </w:t>
      </w:r>
      <w:r>
        <w:rPr>
          <w:rFonts w:ascii="Times New Roman" w:cs="Times New Roman" w:eastAsia="Times New Roman" w:hAnsi="Times New Roman"/>
          <w:sz w:val="20"/>
          <w:szCs w:val="20"/>
          <w:color w:val="auto"/>
        </w:rPr>
        <w:t>also significantly reduced the blood glucose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level of mild alloxan-diabetic rats at 240 and 360 min (Fig. 4). However, in severe alloxan-diabetic rats, the plant did not show a hypoglycemic effect (Table 3).</w:t>
      </w: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Discussion</w:t>
      </w:r>
    </w:p>
    <w:p>
      <w:pPr>
        <w:spacing w:after="0" w:line="13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Some indigenous tribes from Northwest Mexico have tradi-tionally used this plant to treat skin ailments by externally applying it on the affected areas (Lopez &amp; Hinojosa, 1988; Xolalpa-Molina, 1994). However, since 12 years ago, the half-caste Mexican population has mostly used this plant to empirically control diabetes mellitus, but administering it orally.</w: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The enteric administration route of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started using either ground or encapsulated roots to eliminate the characteristic strong bitter taste of the plant. Furthermore, people that use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for the treatment of diabetes have recently started to ingest its decoction (Xolalpa-Molina, 1994). It seems the change from external use to one that requires ingestion, derived from the strong bitter taste that, according to the popular logic, could be a method to dimi-nish “the sugar in blood,” one of the diabetes mellitus popular names in Mexico. Therefore, this change can be attributed to cultural rather than technical reasons.</w:t>
      </w:r>
    </w:p>
    <w:p>
      <w:pPr>
        <w:spacing w:after="0" w:line="15"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 xml:space="preserve">The results show that when the plant is administered po even at doses as high as 600 mg/kg body weight there is no evidence of any acute hypoglycemic effect in fasted healthy mice. Since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is normally taken orally by diabetic</w:t>
      </w:r>
    </w:p>
    <w:p>
      <w:pPr>
        <w:sectPr>
          <w:pgSz w:w="11900" w:h="15860" w:orient="portrait"/>
          <w:cols w:equalWidth="0" w:num="2">
            <w:col w:w="4860" w:space="500"/>
            <w:col w:w="4840"/>
          </w:cols>
          <w:pgMar w:left="620" w:top="982" w:right="1080" w:bottom="287"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tbl>
      <w:tblPr>
        <w:tblLayout w:type="fixed"/>
        <w:tblInd w:w="1692" w:type="dxa"/>
        <w:tblCellMar>
          <w:top w:w="0" w:type="dxa"/>
          <w:left w:w="0" w:type="dxa"/>
          <w:bottom w:w="0" w:type="dxa"/>
          <w:right w:w="0" w:type="dxa"/>
        </w:tblCellMar>
      </w:tblPr>
      <w:tr>
        <w:trPr>
          <w:trHeight w:val="1520"/>
        </w:trPr>
        <w:tc>
          <w:tcPr>
            <w:tcW w:w="218" w:type="dxa"/>
            <w:vAlign w:val="bottom"/>
            <w:textDirection w:val="btLr"/>
          </w:tcPr>
          <w:p>
            <w:pPr>
              <w:spacing w:after="0"/>
              <w:rPr>
                <w:sz w:val="20"/>
                <w:szCs w:val="20"/>
                <w:color w:val="auto"/>
              </w:rPr>
            </w:pPr>
            <w:r>
              <w:rPr>
                <w:rFonts w:ascii="Arial" w:cs="Arial" w:eastAsia="Arial" w:hAnsi="Arial"/>
                <w:sz w:val="19"/>
                <w:szCs w:val="19"/>
                <w:color w:val="auto"/>
              </w:rPr>
              <w:t>GLYCEMIA mg/dl</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320" w:type="dxa"/>
        <w:tblCellMar>
          <w:top w:w="0" w:type="dxa"/>
          <w:left w:w="0" w:type="dxa"/>
          <w:bottom w:w="0" w:type="dxa"/>
          <w:right w:w="0" w:type="dxa"/>
        </w:tblCellMar>
      </w:tblPr>
      <w:tr>
        <w:trPr>
          <w:trHeight w:val="230"/>
        </w:trPr>
        <w:tc>
          <w:tcPr>
            <w:tcW w:w="51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Hypoglycaemic activity of </w:t>
            </w:r>
            <w:r>
              <w:rPr>
                <w:rFonts w:ascii="Times New Roman" w:cs="Times New Roman" w:eastAsia="Times New Roman" w:hAnsi="Times New Roman"/>
                <w:sz w:val="20"/>
                <w:szCs w:val="20"/>
                <w:i w:val="1"/>
                <w:iCs w:val="1"/>
                <w:color w:val="auto"/>
              </w:rPr>
              <w:t>Ibervillea sonorae</w:t>
            </w:r>
          </w:p>
        </w:tc>
        <w:tc>
          <w:tcPr>
            <w:tcW w:w="1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573</w:t>
            </w:r>
          </w:p>
        </w:tc>
      </w:tr>
    </w:tbl>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19"/>
          <w:szCs w:val="19"/>
          <w:color w:val="auto"/>
        </w:rPr>
        <w:t>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-69850</wp:posOffset>
            </wp:positionV>
            <wp:extent cx="3985895" cy="24530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3985895" cy="2453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19"/>
          <w:szCs w:val="19"/>
          <w:color w:val="auto"/>
        </w:rPr>
        <w:t>50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tbl>
      <w:tblPr>
        <w:tblLayout w:type="fixed"/>
        <w:tblInd w:w="0" w:type="dxa"/>
        <w:tblCellMar>
          <w:top w:w="0" w:type="dxa"/>
          <w:left w:w="0" w:type="dxa"/>
          <w:bottom w:w="0" w:type="dxa"/>
          <w:right w:w="0" w:type="dxa"/>
        </w:tblCellMar>
      </w:tblPr>
      <w:tr>
        <w:trPr>
          <w:trHeight w:val="225"/>
        </w:trPr>
        <w:tc>
          <w:tcPr>
            <w:tcW w:w="2920" w:type="dxa"/>
            <w:vAlign w:val="bottom"/>
            <w:vMerge w:val="restart"/>
          </w:tcPr>
          <w:p>
            <w:pPr>
              <w:jc w:val="right"/>
              <w:ind w:right="2620"/>
              <w:spacing w:after="0"/>
              <w:rPr>
                <w:sz w:val="20"/>
                <w:szCs w:val="20"/>
                <w:color w:val="auto"/>
              </w:rPr>
            </w:pPr>
            <w:r>
              <w:rPr>
                <w:rFonts w:ascii="Arial" w:cs="Arial" w:eastAsia="Arial" w:hAnsi="Arial"/>
                <w:sz w:val="19"/>
                <w:szCs w:val="19"/>
                <w:color w:val="auto"/>
                <w:w w:val="94"/>
              </w:rPr>
              <w:t>30</w:t>
            </w:r>
          </w:p>
        </w:tc>
        <w:tc>
          <w:tcPr>
            <w:tcW w:w="2060" w:type="dxa"/>
            <w:vAlign w:val="bottom"/>
          </w:tcPr>
          <w:p>
            <w:pPr>
              <w:spacing w:after="0"/>
              <w:rPr>
                <w:sz w:val="19"/>
                <w:szCs w:val="19"/>
                <w:color w:val="auto"/>
              </w:rPr>
            </w:pPr>
          </w:p>
        </w:tc>
        <w:tc>
          <w:tcPr>
            <w:tcW w:w="740" w:type="dxa"/>
            <w:vAlign w:val="bottom"/>
          </w:tcPr>
          <w:p>
            <w:pPr>
              <w:jc w:val="right"/>
              <w:spacing w:after="0"/>
              <w:rPr>
                <w:sz w:val="20"/>
                <w:szCs w:val="20"/>
                <w:color w:val="auto"/>
              </w:rPr>
            </w:pP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150"/>
        </w:trPr>
        <w:tc>
          <w:tcPr>
            <w:tcW w:w="2920" w:type="dxa"/>
            <w:vAlign w:val="bottom"/>
            <w:vMerge w:val="continue"/>
          </w:tcPr>
          <w:p>
            <w:pPr>
              <w:spacing w:after="0"/>
              <w:rPr>
                <w:sz w:val="13"/>
                <w:szCs w:val="13"/>
                <w:color w:val="auto"/>
              </w:rPr>
            </w:pPr>
          </w:p>
        </w:tc>
        <w:tc>
          <w:tcPr>
            <w:tcW w:w="206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06"/>
        </w:trPr>
        <w:tc>
          <w:tcPr>
            <w:tcW w:w="2920" w:type="dxa"/>
            <w:vAlign w:val="bottom"/>
            <w:vMerge w:val="restart"/>
          </w:tcPr>
          <w:p>
            <w:pPr>
              <w:ind w:left="1480"/>
              <w:spacing w:after="0"/>
              <w:rPr>
                <w:sz w:val="20"/>
                <w:szCs w:val="20"/>
                <w:color w:val="auto"/>
              </w:rPr>
            </w:pPr>
            <w:r>
              <w:rPr>
                <w:rFonts w:ascii="Arial" w:cs="Arial" w:eastAsia="Arial" w:hAnsi="Arial"/>
                <w:sz w:val="13"/>
                <w:szCs w:val="13"/>
                <w:i w:val="1"/>
                <w:iCs w:val="1"/>
                <w:color w:val="auto"/>
              </w:rPr>
              <w:t>ISS</w:t>
            </w:r>
          </w:p>
        </w:tc>
        <w:tc>
          <w:tcPr>
            <w:tcW w:w="2060" w:type="dxa"/>
            <w:vAlign w:val="bottom"/>
            <w:vMerge w:val="restart"/>
          </w:tcPr>
          <w:p>
            <w:pPr>
              <w:ind w:left="500"/>
              <w:spacing w:after="0"/>
              <w:rPr>
                <w:sz w:val="20"/>
                <w:szCs w:val="20"/>
                <w:color w:val="auto"/>
              </w:rPr>
            </w:pPr>
            <w:r>
              <w:rPr>
                <w:rFonts w:ascii="Arial" w:cs="Arial" w:eastAsia="Arial" w:hAnsi="Arial"/>
                <w:sz w:val="13"/>
                <w:szCs w:val="13"/>
                <w:i w:val="1"/>
                <w:iCs w:val="1"/>
                <w:color w:val="auto"/>
              </w:rPr>
              <w:t>Tolbutamide</w:t>
            </w:r>
          </w:p>
        </w:tc>
        <w:tc>
          <w:tcPr>
            <w:tcW w:w="740" w:type="dxa"/>
            <w:vAlign w:val="bottom"/>
          </w:tcPr>
          <w:p>
            <w:pPr>
              <w:jc w:val="right"/>
              <w:spacing w:after="0"/>
              <w:rPr>
                <w:sz w:val="20"/>
                <w:szCs w:val="20"/>
                <w:color w:val="auto"/>
              </w:rPr>
            </w:pP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130"/>
        </w:trPr>
        <w:tc>
          <w:tcPr>
            <w:tcW w:w="2920" w:type="dxa"/>
            <w:vAlign w:val="bottom"/>
            <w:vMerge w:val="continue"/>
          </w:tcPr>
          <w:p>
            <w:pPr>
              <w:spacing w:after="0"/>
              <w:rPr>
                <w:sz w:val="11"/>
                <w:szCs w:val="11"/>
                <w:color w:val="auto"/>
              </w:rPr>
            </w:pPr>
          </w:p>
        </w:tc>
        <w:tc>
          <w:tcPr>
            <w:tcW w:w="2060" w:type="dxa"/>
            <w:vAlign w:val="bottom"/>
            <w:vMerge w:val="continue"/>
          </w:tcPr>
          <w:p>
            <w:pPr>
              <w:spacing w:after="0"/>
              <w:rPr>
                <w:sz w:val="11"/>
                <w:szCs w:val="11"/>
                <w:color w:val="auto"/>
              </w:rPr>
            </w:pPr>
          </w:p>
        </w:tc>
        <w:tc>
          <w:tcPr>
            <w:tcW w:w="740" w:type="dxa"/>
            <w:vAlign w:val="bottom"/>
          </w:tcPr>
          <w:p>
            <w:pPr>
              <w:jc w:val="right"/>
              <w:spacing w:after="0" w:line="130" w:lineRule="exact"/>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148"/>
        </w:trPr>
        <w:tc>
          <w:tcPr>
            <w:tcW w:w="2920" w:type="dxa"/>
            <w:vAlign w:val="bottom"/>
          </w:tcPr>
          <w:p>
            <w:pPr>
              <w:ind w:left="1480"/>
              <w:spacing w:after="0" w:line="149" w:lineRule="exact"/>
              <w:rPr>
                <w:sz w:val="20"/>
                <w:szCs w:val="20"/>
                <w:color w:val="auto"/>
              </w:rPr>
            </w:pPr>
            <w:r>
              <w:rPr>
                <w:rFonts w:ascii="Arial" w:cs="Arial" w:eastAsia="Arial" w:hAnsi="Arial"/>
                <w:sz w:val="13"/>
                <w:szCs w:val="13"/>
                <w:i w:val="1"/>
                <w:iCs w:val="1"/>
                <w:color w:val="auto"/>
              </w:rPr>
              <w:t>I. sonorae 150 mg/kg</w:t>
            </w:r>
          </w:p>
        </w:tc>
        <w:tc>
          <w:tcPr>
            <w:tcW w:w="2060" w:type="dxa"/>
            <w:vAlign w:val="bottom"/>
          </w:tcPr>
          <w:p>
            <w:pPr>
              <w:ind w:left="500"/>
              <w:spacing w:after="0" w:line="149" w:lineRule="exact"/>
              <w:rPr>
                <w:sz w:val="20"/>
                <w:szCs w:val="20"/>
                <w:color w:val="auto"/>
              </w:rPr>
            </w:pPr>
            <w:r>
              <w:rPr>
                <w:rFonts w:ascii="Arial" w:cs="Arial" w:eastAsia="Arial" w:hAnsi="Arial"/>
                <w:sz w:val="13"/>
                <w:szCs w:val="13"/>
                <w:i w:val="1"/>
                <w:iCs w:val="1"/>
                <w:color w:val="auto"/>
              </w:rPr>
              <w:t>I. sonorae 300 mg/kg</w:t>
            </w:r>
          </w:p>
        </w:tc>
        <w:tc>
          <w:tcPr>
            <w:tcW w:w="740" w:type="dxa"/>
            <w:vAlign w:val="bottom"/>
            <w:vMerge w:val="restart"/>
          </w:tcPr>
          <w:p>
            <w:pPr>
              <w:jc w:val="right"/>
              <w:spacing w:after="0"/>
              <w:rPr>
                <w:sz w:val="20"/>
                <w:szCs w:val="20"/>
                <w:color w:val="auto"/>
              </w:rPr>
            </w:pP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173"/>
        </w:trPr>
        <w:tc>
          <w:tcPr>
            <w:tcW w:w="2920" w:type="dxa"/>
            <w:vAlign w:val="bottom"/>
          </w:tcPr>
          <w:p>
            <w:pPr>
              <w:ind w:left="1480"/>
              <w:spacing w:after="0"/>
              <w:rPr>
                <w:sz w:val="20"/>
                <w:szCs w:val="20"/>
                <w:color w:val="auto"/>
              </w:rPr>
            </w:pPr>
            <w:r>
              <w:rPr>
                <w:rFonts w:ascii="Arial" w:cs="Arial" w:eastAsia="Arial" w:hAnsi="Arial"/>
                <w:sz w:val="13"/>
                <w:szCs w:val="13"/>
                <w:i w:val="1"/>
                <w:iCs w:val="1"/>
                <w:color w:val="auto"/>
              </w:rPr>
              <w:t>I. sonorae 600 mg/kg</w:t>
            </w:r>
          </w:p>
        </w:tc>
        <w:tc>
          <w:tcPr>
            <w:tcW w:w="2060" w:type="dxa"/>
            <w:vAlign w:val="bottom"/>
          </w:tcPr>
          <w:p>
            <w:pPr>
              <w:ind w:left="500"/>
              <w:spacing w:after="0"/>
              <w:rPr>
                <w:sz w:val="20"/>
                <w:szCs w:val="20"/>
                <w:color w:val="auto"/>
              </w:rPr>
            </w:pPr>
            <w:r>
              <w:rPr>
                <w:rFonts w:ascii="Arial" w:cs="Arial" w:eastAsia="Arial" w:hAnsi="Arial"/>
                <w:sz w:val="13"/>
                <w:szCs w:val="13"/>
                <w:i w:val="1"/>
                <w:iCs w:val="1"/>
                <w:color w:val="auto"/>
              </w:rPr>
              <w:t>I. sonorae 850 mg/kg</w:t>
            </w:r>
          </w:p>
        </w:tc>
        <w:tc>
          <w:tcPr>
            <w:tcW w:w="7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8"/>
        </w:trPr>
        <w:tc>
          <w:tcPr>
            <w:tcW w:w="2920" w:type="dxa"/>
            <w:vAlign w:val="bottom"/>
          </w:tcPr>
          <w:p>
            <w:pPr>
              <w:jc w:val="right"/>
              <w:ind w:right="2620"/>
              <w:spacing w:after="0"/>
              <w:rPr>
                <w:sz w:val="20"/>
                <w:szCs w:val="20"/>
                <w:color w:val="auto"/>
              </w:rPr>
            </w:pPr>
            <w:r>
              <w:rPr>
                <w:rFonts w:ascii="Arial" w:cs="Arial" w:eastAsia="Arial" w:hAnsi="Arial"/>
                <w:sz w:val="19"/>
                <w:szCs w:val="19"/>
                <w:color w:val="auto"/>
                <w:w w:val="94"/>
              </w:rPr>
              <w:t>10</w:t>
            </w:r>
          </w:p>
        </w:tc>
        <w:tc>
          <w:tcPr>
            <w:tcW w:w="2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2920" w:type="dxa"/>
            <w:vAlign w:val="bottom"/>
          </w:tcPr>
          <w:p>
            <w:pPr>
              <w:jc w:val="right"/>
              <w:ind w:right="1420"/>
              <w:spacing w:after="0"/>
              <w:rPr>
                <w:sz w:val="20"/>
                <w:szCs w:val="20"/>
                <w:color w:val="auto"/>
              </w:rPr>
            </w:pPr>
            <w:r>
              <w:rPr>
                <w:rFonts w:ascii="Arial" w:cs="Arial" w:eastAsia="Arial" w:hAnsi="Arial"/>
                <w:sz w:val="19"/>
                <w:szCs w:val="19"/>
                <w:color w:val="auto"/>
              </w:rPr>
              <w:t>0</w:t>
            </w:r>
          </w:p>
        </w:tc>
        <w:tc>
          <w:tcPr>
            <w:tcW w:w="2060" w:type="dxa"/>
            <w:vAlign w:val="bottom"/>
          </w:tcPr>
          <w:p>
            <w:pPr>
              <w:ind w:left="460"/>
              <w:spacing w:after="0"/>
              <w:rPr>
                <w:sz w:val="20"/>
                <w:szCs w:val="20"/>
                <w:color w:val="auto"/>
              </w:rPr>
            </w:pPr>
            <w:r>
              <w:rPr>
                <w:rFonts w:ascii="Arial" w:cs="Arial" w:eastAsia="Arial" w:hAnsi="Arial"/>
                <w:sz w:val="19"/>
                <w:szCs w:val="19"/>
                <w:color w:val="auto"/>
              </w:rPr>
              <w:t>120</w:t>
            </w:r>
          </w:p>
        </w:tc>
        <w:tc>
          <w:tcPr>
            <w:tcW w:w="740" w:type="dxa"/>
            <w:vAlign w:val="bottom"/>
          </w:tcPr>
          <w:p>
            <w:pPr>
              <w:jc w:val="right"/>
              <w:spacing w:after="0"/>
              <w:rPr>
                <w:sz w:val="20"/>
                <w:szCs w:val="20"/>
                <w:color w:val="auto"/>
              </w:rPr>
            </w:pPr>
            <w:r>
              <w:rPr>
                <w:rFonts w:ascii="Arial" w:cs="Arial" w:eastAsia="Arial" w:hAnsi="Arial"/>
                <w:sz w:val="19"/>
                <w:szCs w:val="19"/>
                <w:color w:val="auto"/>
              </w:rPr>
              <w:t>240</w:t>
            </w:r>
          </w:p>
        </w:tc>
        <w:tc>
          <w:tcPr>
            <w:tcW w:w="0" w:type="dxa"/>
            <w:vAlign w:val="bottom"/>
          </w:tcPr>
          <w:p>
            <w:pPr>
              <w:spacing w:after="0"/>
              <w:rPr>
                <w:sz w:val="1"/>
                <w:szCs w:val="1"/>
                <w:color w:val="auto"/>
              </w:rPr>
            </w:pPr>
          </w:p>
        </w:tc>
      </w:tr>
      <w:tr>
        <w:trPr>
          <w:trHeight w:val="225"/>
        </w:trPr>
        <w:tc>
          <w:tcPr>
            <w:tcW w:w="2920" w:type="dxa"/>
            <w:vAlign w:val="bottom"/>
          </w:tcPr>
          <w:p>
            <w:pPr>
              <w:spacing w:after="0"/>
              <w:rPr>
                <w:sz w:val="19"/>
                <w:szCs w:val="19"/>
                <w:color w:val="auto"/>
              </w:rPr>
            </w:pPr>
          </w:p>
        </w:tc>
        <w:tc>
          <w:tcPr>
            <w:tcW w:w="2060" w:type="dxa"/>
            <w:vAlign w:val="bottom"/>
          </w:tcPr>
          <w:p>
            <w:pPr>
              <w:ind w:left="260"/>
              <w:spacing w:after="0"/>
              <w:rPr>
                <w:sz w:val="20"/>
                <w:szCs w:val="20"/>
                <w:color w:val="auto"/>
              </w:rPr>
            </w:pPr>
            <w:r>
              <w:rPr>
                <w:rFonts w:ascii="Arial" w:cs="Arial" w:eastAsia="Arial" w:hAnsi="Arial"/>
                <w:sz w:val="19"/>
                <w:szCs w:val="19"/>
                <w:color w:val="auto"/>
              </w:rPr>
              <w:t>TIME (min)</w:t>
            </w: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60" w:orient="portrait"/>
          <w:cols w:equalWidth="0" w:num="2">
            <w:col w:w="1910" w:space="50"/>
            <w:col w:w="8240"/>
          </w:cols>
          <w:pgMar w:left="1080" w:top="971" w:right="620" w:bottom="274" w:gutter="0" w:footer="0" w:header="0"/>
        </w:sectPr>
      </w:pPr>
    </w:p>
    <w:p>
      <w:pPr>
        <w:spacing w:after="0" w:line="7"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8"/>
          <w:szCs w:val="18"/>
          <w:i w:val="1"/>
          <w:iCs w:val="1"/>
          <w:color w:val="auto"/>
        </w:rPr>
        <w:t xml:space="preserve">Figure 2. </w:t>
      </w:r>
      <w:r>
        <w:rPr>
          <w:rFonts w:ascii="Times New Roman" w:cs="Times New Roman" w:eastAsia="Times New Roman" w:hAnsi="Times New Roman"/>
          <w:sz w:val="18"/>
          <w:szCs w:val="18"/>
          <w:color w:val="auto"/>
        </w:rPr>
        <w:t>Hypoglycemic effect produced the ip injection of different doses of freeze-dried decoction of</w:t>
      </w:r>
      <w:r>
        <w:rPr>
          <w:rFonts w:ascii="Times New Roman" w:cs="Times New Roman" w:eastAsia="Times New Roman" w:hAnsi="Times New Roman"/>
          <w:sz w:val="18"/>
          <w:szCs w:val="18"/>
          <w:i w:val="1"/>
          <w:iCs w:val="1"/>
          <w:color w:val="auto"/>
        </w:rPr>
        <w:t xml:space="preserve"> Ibervillea sonorae </w:t>
      </w:r>
      <w:r>
        <w:rPr>
          <w:rFonts w:ascii="Times New Roman" w:cs="Times New Roman" w:eastAsia="Times New Roman" w:hAnsi="Times New Roman"/>
          <w:sz w:val="18"/>
          <w:szCs w:val="18"/>
          <w:color w:val="auto"/>
        </w:rPr>
        <w:t>roots in healthy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mice. Significantly different from control: * P &lt; 0.05.</w:t>
      </w:r>
    </w:p>
    <w:p>
      <w:pPr>
        <w:spacing w:after="0" w:line="200" w:lineRule="exact"/>
        <w:rPr>
          <w:sz w:val="20"/>
          <w:szCs w:val="20"/>
          <w:color w:val="auto"/>
        </w:rPr>
      </w:pPr>
    </w:p>
    <w:p>
      <w:pPr>
        <w:spacing w:after="0" w:line="285" w:lineRule="exact"/>
        <w:rPr>
          <w:sz w:val="20"/>
          <w:szCs w:val="20"/>
          <w:color w:val="auto"/>
        </w:rPr>
      </w:pPr>
    </w:p>
    <w:tbl>
      <w:tblPr>
        <w:tblLayout w:type="fixed"/>
        <w:tblInd w:w="1740" w:type="dxa"/>
        <w:tblCellMar>
          <w:top w:w="0" w:type="dxa"/>
          <w:left w:w="0" w:type="dxa"/>
          <w:bottom w:w="0" w:type="dxa"/>
          <w:right w:w="0" w:type="dxa"/>
        </w:tblCellMar>
      </w:tblPr>
      <w:tr>
        <w:trPr>
          <w:trHeight w:val="172"/>
        </w:trPr>
        <w:tc>
          <w:tcPr>
            <w:tcW w:w="200" w:type="dxa"/>
            <w:vAlign w:val="bottom"/>
          </w:tcPr>
          <w:p>
            <w:pPr>
              <w:spacing w:after="0"/>
              <w:rPr>
                <w:sz w:val="15"/>
                <w:szCs w:val="15"/>
                <w:color w:val="auto"/>
              </w:rPr>
            </w:pPr>
          </w:p>
        </w:tc>
        <w:tc>
          <w:tcPr>
            <w:tcW w:w="1440" w:type="dxa"/>
            <w:vAlign w:val="bottom"/>
          </w:tcPr>
          <w:p>
            <w:pPr>
              <w:jc w:val="right"/>
              <w:ind w:right="1024"/>
              <w:spacing w:after="0"/>
              <w:rPr>
                <w:sz w:val="20"/>
                <w:szCs w:val="20"/>
                <w:color w:val="auto"/>
              </w:rPr>
            </w:pPr>
            <w:r>
              <w:rPr>
                <w:rFonts w:ascii="Arial" w:cs="Arial" w:eastAsia="Arial" w:hAnsi="Arial"/>
                <w:sz w:val="15"/>
                <w:szCs w:val="15"/>
                <w:color w:val="auto"/>
              </w:rPr>
              <w:t>300</w:t>
            </w:r>
          </w:p>
        </w:tc>
        <w:tc>
          <w:tcPr>
            <w:tcW w:w="204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5"/>
        </w:trPr>
        <w:tc>
          <w:tcPr>
            <w:tcW w:w="20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2040" w:type="dxa"/>
            <w:vAlign w:val="bottom"/>
          </w:tcPr>
          <w:p>
            <w:pPr>
              <w:ind w:left="180"/>
              <w:spacing w:after="0"/>
              <w:rPr>
                <w:sz w:val="20"/>
                <w:szCs w:val="20"/>
                <w:color w:val="auto"/>
              </w:rPr>
            </w:pPr>
            <w:r>
              <w:rPr>
                <w:rFonts w:ascii="Arial" w:cs="Arial" w:eastAsia="Arial" w:hAnsi="Arial"/>
                <w:sz w:val="13"/>
                <w:szCs w:val="13"/>
                <w:i w:val="1"/>
                <w:iCs w:val="1"/>
                <w:color w:val="auto"/>
              </w:rPr>
              <w:t>ISS</w:t>
            </w:r>
          </w:p>
        </w:tc>
        <w:tc>
          <w:tcPr>
            <w:tcW w:w="980" w:type="dxa"/>
            <w:vAlign w:val="bottom"/>
          </w:tcPr>
          <w:p>
            <w:pPr>
              <w:spacing w:after="0"/>
              <w:rPr>
                <w:sz w:val="23"/>
                <w:szCs w:val="23"/>
                <w:color w:val="auto"/>
              </w:rPr>
            </w:pPr>
          </w:p>
        </w:tc>
        <w:tc>
          <w:tcPr>
            <w:tcW w:w="1480" w:type="dxa"/>
            <w:vAlign w:val="bottom"/>
          </w:tcPr>
          <w:p>
            <w:pPr>
              <w:ind w:left="100"/>
              <w:spacing w:after="0"/>
              <w:rPr>
                <w:sz w:val="20"/>
                <w:szCs w:val="20"/>
                <w:color w:val="auto"/>
              </w:rPr>
            </w:pPr>
            <w:r>
              <w:rPr>
                <w:rFonts w:ascii="Arial" w:cs="Arial" w:eastAsia="Arial" w:hAnsi="Arial"/>
                <w:sz w:val="13"/>
                <w:szCs w:val="13"/>
                <w:i w:val="1"/>
                <w:iCs w:val="1"/>
                <w:color w:val="auto"/>
              </w:rPr>
              <w:t>Tolbutamide 80 mg/kg</w:t>
            </w:r>
          </w:p>
        </w:tc>
        <w:tc>
          <w:tcPr>
            <w:tcW w:w="0" w:type="dxa"/>
            <w:vAlign w:val="bottom"/>
          </w:tcPr>
          <w:p>
            <w:pPr>
              <w:spacing w:after="0"/>
              <w:rPr>
                <w:sz w:val="1"/>
                <w:szCs w:val="1"/>
                <w:color w:val="auto"/>
              </w:rPr>
            </w:pPr>
          </w:p>
        </w:tc>
      </w:tr>
      <w:tr>
        <w:trPr>
          <w:trHeight w:val="174"/>
        </w:trPr>
        <w:tc>
          <w:tcPr>
            <w:tcW w:w="200" w:type="dxa"/>
            <w:vAlign w:val="bottom"/>
          </w:tcPr>
          <w:p>
            <w:pPr>
              <w:spacing w:after="0"/>
              <w:rPr>
                <w:sz w:val="15"/>
                <w:szCs w:val="15"/>
                <w:color w:val="auto"/>
              </w:rPr>
            </w:pPr>
          </w:p>
        </w:tc>
        <w:tc>
          <w:tcPr>
            <w:tcW w:w="1440" w:type="dxa"/>
            <w:vAlign w:val="bottom"/>
            <w:vMerge w:val="restart"/>
          </w:tcPr>
          <w:p>
            <w:pPr>
              <w:jc w:val="right"/>
              <w:ind w:right="1024"/>
              <w:spacing w:after="0"/>
              <w:rPr>
                <w:sz w:val="20"/>
                <w:szCs w:val="20"/>
                <w:color w:val="auto"/>
              </w:rPr>
            </w:pPr>
            <w:r>
              <w:rPr>
                <w:rFonts w:ascii="Arial" w:cs="Arial" w:eastAsia="Arial" w:hAnsi="Arial"/>
                <w:sz w:val="15"/>
                <w:szCs w:val="15"/>
                <w:color w:val="auto"/>
              </w:rPr>
              <w:t>250</w:t>
            </w:r>
          </w:p>
        </w:tc>
        <w:tc>
          <w:tcPr>
            <w:tcW w:w="2040" w:type="dxa"/>
            <w:vAlign w:val="bottom"/>
          </w:tcPr>
          <w:p>
            <w:pPr>
              <w:ind w:left="180"/>
              <w:spacing w:after="0"/>
              <w:rPr>
                <w:sz w:val="20"/>
                <w:szCs w:val="20"/>
                <w:color w:val="auto"/>
              </w:rPr>
            </w:pPr>
            <w:r>
              <w:rPr>
                <w:rFonts w:ascii="Arial" w:cs="Arial" w:eastAsia="Arial" w:hAnsi="Arial"/>
                <w:sz w:val="13"/>
                <w:szCs w:val="13"/>
                <w:i w:val="1"/>
                <w:iCs w:val="1"/>
                <w:color w:val="auto"/>
              </w:rPr>
              <w:t>I. sonorae 300 mg/kg</w:t>
            </w:r>
          </w:p>
        </w:tc>
        <w:tc>
          <w:tcPr>
            <w:tcW w:w="980" w:type="dxa"/>
            <w:vAlign w:val="bottom"/>
          </w:tcPr>
          <w:p>
            <w:pPr>
              <w:spacing w:after="0"/>
              <w:rPr>
                <w:sz w:val="15"/>
                <w:szCs w:val="15"/>
                <w:color w:val="auto"/>
              </w:rPr>
            </w:pPr>
          </w:p>
        </w:tc>
        <w:tc>
          <w:tcPr>
            <w:tcW w:w="1480" w:type="dxa"/>
            <w:vAlign w:val="bottom"/>
          </w:tcPr>
          <w:p>
            <w:pPr>
              <w:ind w:left="100"/>
              <w:spacing w:after="0"/>
              <w:rPr>
                <w:sz w:val="20"/>
                <w:szCs w:val="20"/>
                <w:color w:val="auto"/>
              </w:rPr>
            </w:pPr>
            <w:r>
              <w:rPr>
                <w:rFonts w:ascii="Arial" w:cs="Arial" w:eastAsia="Arial" w:hAnsi="Arial"/>
                <w:sz w:val="13"/>
                <w:szCs w:val="13"/>
                <w:i w:val="1"/>
                <w:iCs w:val="1"/>
                <w:color w:val="auto"/>
              </w:rPr>
              <w:t>I. sonorae 500 mg/kg</w:t>
            </w:r>
          </w:p>
        </w:tc>
        <w:tc>
          <w:tcPr>
            <w:tcW w:w="0" w:type="dxa"/>
            <w:vAlign w:val="bottom"/>
          </w:tcPr>
          <w:p>
            <w:pPr>
              <w:spacing w:after="0"/>
              <w:rPr>
                <w:sz w:val="1"/>
                <w:szCs w:val="1"/>
                <w:color w:val="auto"/>
              </w:rPr>
            </w:pPr>
          </w:p>
        </w:tc>
      </w:tr>
      <w:tr>
        <w:trPr>
          <w:trHeight w:val="80"/>
        </w:trPr>
        <w:tc>
          <w:tcPr>
            <w:tcW w:w="200" w:type="dxa"/>
            <w:vAlign w:val="bottom"/>
          </w:tcPr>
          <w:p>
            <w:pPr>
              <w:spacing w:after="0"/>
              <w:rPr>
                <w:sz w:val="6"/>
                <w:szCs w:val="6"/>
                <w:color w:val="auto"/>
              </w:rPr>
            </w:pPr>
          </w:p>
        </w:tc>
        <w:tc>
          <w:tcPr>
            <w:tcW w:w="1440" w:type="dxa"/>
            <w:vAlign w:val="bottom"/>
            <w:vMerge w:val="continue"/>
          </w:tcPr>
          <w:p>
            <w:pPr>
              <w:spacing w:after="0"/>
              <w:rPr>
                <w:sz w:val="6"/>
                <w:szCs w:val="6"/>
                <w:color w:val="auto"/>
              </w:rPr>
            </w:pPr>
          </w:p>
        </w:tc>
        <w:tc>
          <w:tcPr>
            <w:tcW w:w="2040" w:type="dxa"/>
            <w:vAlign w:val="bottom"/>
          </w:tcPr>
          <w:p>
            <w:pPr>
              <w:spacing w:after="0"/>
              <w:rPr>
                <w:sz w:val="6"/>
                <w:szCs w:val="6"/>
                <w:color w:val="auto"/>
              </w:rPr>
            </w:pPr>
          </w:p>
        </w:tc>
        <w:tc>
          <w:tcPr>
            <w:tcW w:w="980" w:type="dxa"/>
            <w:vAlign w:val="bottom"/>
          </w:tcPr>
          <w:p>
            <w:pPr>
              <w:spacing w:after="0"/>
              <w:rPr>
                <w:sz w:val="6"/>
                <w:szCs w:val="6"/>
                <w:color w:val="auto"/>
              </w:rPr>
            </w:pPr>
          </w:p>
        </w:tc>
        <w:tc>
          <w:tcPr>
            <w:tcW w:w="1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21"/>
        </w:trPr>
        <w:tc>
          <w:tcPr>
            <w:tcW w:w="200" w:type="dxa"/>
            <w:vAlign w:val="bottom"/>
            <w:vMerge w:val="restart"/>
            <w:textDirection w:val="btLr"/>
          </w:tcPr>
          <w:p>
            <w:pPr>
              <w:spacing w:after="0"/>
              <w:rPr>
                <w:sz w:val="20"/>
                <w:szCs w:val="20"/>
                <w:color w:val="auto"/>
              </w:rPr>
            </w:pPr>
            <w:r>
              <w:rPr>
                <w:rFonts w:ascii="Arial" w:cs="Arial" w:eastAsia="Arial" w:hAnsi="Arial"/>
                <w:sz w:val="20"/>
                <w:szCs w:val="20"/>
                <w:color w:val="auto"/>
                <w:w w:val="98"/>
              </w:rPr>
              <w:t>mg/dl</w:t>
            </w:r>
          </w:p>
        </w:tc>
        <w:tc>
          <w:tcPr>
            <w:tcW w:w="1440" w:type="dxa"/>
            <w:vAlign w:val="bottom"/>
          </w:tcPr>
          <w:p>
            <w:pPr>
              <w:jc w:val="right"/>
              <w:ind w:right="1024"/>
              <w:spacing w:after="0"/>
              <w:rPr>
                <w:sz w:val="20"/>
                <w:szCs w:val="20"/>
                <w:color w:val="auto"/>
              </w:rPr>
            </w:pPr>
            <w:r>
              <w:rPr>
                <w:rFonts w:ascii="Arial" w:cs="Arial" w:eastAsia="Arial" w:hAnsi="Arial"/>
                <w:sz w:val="15"/>
                <w:szCs w:val="15"/>
                <w:color w:val="auto"/>
              </w:rPr>
              <w:t>200</w:t>
            </w:r>
          </w:p>
        </w:tc>
        <w:tc>
          <w:tcPr>
            <w:tcW w:w="20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5"/>
        </w:trPr>
        <w:tc>
          <w:tcPr>
            <w:tcW w:w="200" w:type="dxa"/>
            <w:vAlign w:val="bottom"/>
            <w:vMerge w:val="continue"/>
          </w:tcPr>
          <w:p>
            <w:pPr>
              <w:spacing w:after="0"/>
              <w:rPr>
                <w:sz w:val="12"/>
                <w:szCs w:val="12"/>
                <w:color w:val="auto"/>
              </w:rPr>
            </w:pPr>
          </w:p>
        </w:tc>
        <w:tc>
          <w:tcPr>
            <w:tcW w:w="1440" w:type="dxa"/>
            <w:vAlign w:val="bottom"/>
          </w:tcPr>
          <w:p>
            <w:pPr>
              <w:spacing w:after="0"/>
              <w:rPr>
                <w:sz w:val="12"/>
                <w:szCs w:val="12"/>
                <w:color w:val="auto"/>
              </w:rPr>
            </w:pPr>
          </w:p>
        </w:tc>
        <w:tc>
          <w:tcPr>
            <w:tcW w:w="204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14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73"/>
        </w:trPr>
        <w:tc>
          <w:tcPr>
            <w:tcW w:w="200" w:type="dxa"/>
            <w:vAlign w:val="bottom"/>
            <w:vMerge w:val="restart"/>
            <w:textDirection w:val="btLr"/>
          </w:tcPr>
          <w:p>
            <w:pPr>
              <w:spacing w:after="0"/>
              <w:rPr>
                <w:sz w:val="20"/>
                <w:szCs w:val="20"/>
                <w:color w:val="auto"/>
              </w:rPr>
            </w:pPr>
            <w:r>
              <w:rPr>
                <w:rFonts w:ascii="Arial" w:cs="Arial" w:eastAsia="Arial" w:hAnsi="Arial"/>
                <w:sz w:val="20"/>
                <w:szCs w:val="20"/>
                <w:color w:val="auto"/>
                <w:w w:val="98"/>
              </w:rPr>
              <w:t>GLYCEMIA</w:t>
            </w:r>
          </w:p>
        </w:tc>
        <w:tc>
          <w:tcPr>
            <w:tcW w:w="1440" w:type="dxa"/>
            <w:vAlign w:val="bottom"/>
          </w:tcPr>
          <w:p>
            <w:pPr>
              <w:jc w:val="right"/>
              <w:ind w:right="1024"/>
              <w:spacing w:after="0"/>
              <w:rPr>
                <w:sz w:val="20"/>
                <w:szCs w:val="20"/>
                <w:color w:val="auto"/>
              </w:rPr>
            </w:pPr>
            <w:r>
              <w:rPr>
                <w:rFonts w:ascii="Arial" w:cs="Arial" w:eastAsia="Arial" w:hAnsi="Arial"/>
                <w:sz w:val="15"/>
                <w:szCs w:val="15"/>
                <w:color w:val="auto"/>
              </w:rPr>
              <w:t>150</w:t>
            </w:r>
          </w:p>
        </w:tc>
        <w:tc>
          <w:tcPr>
            <w:tcW w:w="20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200" w:type="dxa"/>
            <w:vAlign w:val="bottom"/>
            <w:vMerge w:val="continue"/>
          </w:tcPr>
          <w:p>
            <w:pPr>
              <w:spacing w:after="0"/>
              <w:rPr>
                <w:sz w:val="24"/>
                <w:szCs w:val="24"/>
                <w:color w:val="auto"/>
              </w:rPr>
            </w:pPr>
          </w:p>
        </w:tc>
        <w:tc>
          <w:tcPr>
            <w:tcW w:w="1440" w:type="dxa"/>
            <w:vAlign w:val="bottom"/>
            <w:vMerge w:val="restart"/>
          </w:tcPr>
          <w:p>
            <w:pPr>
              <w:jc w:val="right"/>
              <w:ind w:right="1024"/>
              <w:spacing w:after="0"/>
              <w:rPr>
                <w:sz w:val="20"/>
                <w:szCs w:val="20"/>
                <w:color w:val="auto"/>
              </w:rPr>
            </w:pPr>
            <w:r>
              <w:rPr>
                <w:rFonts w:ascii="Arial" w:cs="Arial" w:eastAsia="Arial" w:hAnsi="Arial"/>
                <w:sz w:val="15"/>
                <w:szCs w:val="15"/>
                <w:color w:val="auto"/>
              </w:rPr>
              <w:t>100</w:t>
            </w:r>
          </w:p>
        </w:tc>
        <w:tc>
          <w:tcPr>
            <w:tcW w:w="20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39"/>
        </w:trPr>
        <w:tc>
          <w:tcPr>
            <w:tcW w:w="20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204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14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200" w:type="dxa"/>
            <w:vAlign w:val="bottom"/>
            <w:vMerge w:val="continue"/>
          </w:tcPr>
          <w:p>
            <w:pPr>
              <w:spacing w:after="0"/>
              <w:rPr>
                <w:sz w:val="16"/>
                <w:szCs w:val="16"/>
                <w:color w:val="auto"/>
              </w:rPr>
            </w:pPr>
          </w:p>
        </w:tc>
        <w:tc>
          <w:tcPr>
            <w:tcW w:w="1440" w:type="dxa"/>
            <w:vAlign w:val="bottom"/>
          </w:tcPr>
          <w:p>
            <w:pPr>
              <w:spacing w:after="0"/>
              <w:rPr>
                <w:sz w:val="16"/>
                <w:szCs w:val="16"/>
                <w:color w:val="auto"/>
              </w:rPr>
            </w:pPr>
          </w:p>
        </w:tc>
        <w:tc>
          <w:tcPr>
            <w:tcW w:w="204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36"/>
        </w:trPr>
        <w:tc>
          <w:tcPr>
            <w:tcW w:w="200" w:type="dxa"/>
            <w:vAlign w:val="bottom"/>
          </w:tcPr>
          <w:p>
            <w:pPr>
              <w:spacing w:after="0"/>
              <w:rPr>
                <w:sz w:val="24"/>
                <w:szCs w:val="24"/>
                <w:color w:val="auto"/>
              </w:rPr>
            </w:pPr>
          </w:p>
        </w:tc>
        <w:tc>
          <w:tcPr>
            <w:tcW w:w="1440" w:type="dxa"/>
            <w:vAlign w:val="bottom"/>
          </w:tcPr>
          <w:p>
            <w:pPr>
              <w:jc w:val="right"/>
              <w:ind w:right="1024"/>
              <w:spacing w:after="0"/>
              <w:rPr>
                <w:sz w:val="20"/>
                <w:szCs w:val="20"/>
                <w:color w:val="auto"/>
              </w:rPr>
            </w:pPr>
            <w:r>
              <w:rPr>
                <w:rFonts w:ascii="Arial" w:cs="Arial" w:eastAsia="Arial" w:hAnsi="Arial"/>
                <w:sz w:val="15"/>
                <w:szCs w:val="15"/>
                <w:color w:val="auto"/>
              </w:rPr>
              <w:t>50</w:t>
            </w:r>
          </w:p>
        </w:tc>
        <w:tc>
          <w:tcPr>
            <w:tcW w:w="20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4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85"/>
        </w:trPr>
        <w:tc>
          <w:tcPr>
            <w:tcW w:w="20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204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14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9"/>
        </w:trPr>
        <w:tc>
          <w:tcPr>
            <w:tcW w:w="200" w:type="dxa"/>
            <w:vAlign w:val="bottom"/>
          </w:tcPr>
          <w:p>
            <w:pPr>
              <w:spacing w:after="0"/>
              <w:rPr>
                <w:sz w:val="21"/>
                <w:szCs w:val="21"/>
                <w:color w:val="auto"/>
              </w:rPr>
            </w:pPr>
          </w:p>
        </w:tc>
        <w:tc>
          <w:tcPr>
            <w:tcW w:w="1440" w:type="dxa"/>
            <w:vAlign w:val="bottom"/>
            <w:vMerge w:val="restart"/>
          </w:tcPr>
          <w:p>
            <w:pPr>
              <w:jc w:val="right"/>
              <w:ind w:right="1024"/>
              <w:spacing w:after="0"/>
              <w:rPr>
                <w:sz w:val="20"/>
                <w:szCs w:val="20"/>
                <w:color w:val="auto"/>
              </w:rPr>
            </w:pPr>
            <w:r>
              <w:rPr>
                <w:rFonts w:ascii="Arial" w:cs="Arial" w:eastAsia="Arial" w:hAnsi="Arial"/>
                <w:sz w:val="15"/>
                <w:szCs w:val="15"/>
                <w:color w:val="auto"/>
              </w:rPr>
              <w:t>0</w:t>
            </w:r>
          </w:p>
        </w:tc>
        <w:tc>
          <w:tcPr>
            <w:tcW w:w="204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14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3"/>
        </w:trPr>
        <w:tc>
          <w:tcPr>
            <w:tcW w:w="200" w:type="dxa"/>
            <w:vAlign w:val="bottom"/>
          </w:tcPr>
          <w:p>
            <w:pPr>
              <w:spacing w:after="0"/>
              <w:rPr>
                <w:sz w:val="7"/>
                <w:szCs w:val="7"/>
                <w:color w:val="auto"/>
              </w:rPr>
            </w:pPr>
          </w:p>
        </w:tc>
        <w:tc>
          <w:tcPr>
            <w:tcW w:w="1440" w:type="dxa"/>
            <w:vAlign w:val="bottom"/>
            <w:vMerge w:val="continue"/>
          </w:tcPr>
          <w:p>
            <w:pPr>
              <w:spacing w:after="0"/>
              <w:rPr>
                <w:sz w:val="7"/>
                <w:szCs w:val="7"/>
                <w:color w:val="auto"/>
              </w:rPr>
            </w:pPr>
          </w:p>
        </w:tc>
        <w:tc>
          <w:tcPr>
            <w:tcW w:w="2040" w:type="dxa"/>
            <w:vAlign w:val="bottom"/>
          </w:tcPr>
          <w:p>
            <w:pPr>
              <w:spacing w:after="0"/>
              <w:rPr>
                <w:sz w:val="7"/>
                <w:szCs w:val="7"/>
                <w:color w:val="auto"/>
              </w:rPr>
            </w:pPr>
          </w:p>
        </w:tc>
        <w:tc>
          <w:tcPr>
            <w:tcW w:w="980" w:type="dxa"/>
            <w:vAlign w:val="bottom"/>
          </w:tcPr>
          <w:p>
            <w:pPr>
              <w:spacing w:after="0"/>
              <w:rPr>
                <w:sz w:val="7"/>
                <w:szCs w:val="7"/>
                <w:color w:val="auto"/>
              </w:rPr>
            </w:pPr>
          </w:p>
        </w:tc>
        <w:tc>
          <w:tcPr>
            <w:tcW w:w="1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2"/>
        </w:trPr>
        <w:tc>
          <w:tcPr>
            <w:tcW w:w="200" w:type="dxa"/>
            <w:vAlign w:val="bottom"/>
          </w:tcPr>
          <w:p>
            <w:pPr>
              <w:spacing w:after="0"/>
              <w:rPr>
                <w:sz w:val="21"/>
                <w:szCs w:val="21"/>
                <w:color w:val="auto"/>
              </w:rPr>
            </w:pPr>
          </w:p>
        </w:tc>
        <w:tc>
          <w:tcPr>
            <w:tcW w:w="1440" w:type="dxa"/>
            <w:vAlign w:val="bottom"/>
          </w:tcPr>
          <w:p>
            <w:pPr>
              <w:jc w:val="right"/>
              <w:ind w:right="104"/>
              <w:spacing w:after="0"/>
              <w:rPr>
                <w:sz w:val="20"/>
                <w:szCs w:val="20"/>
                <w:color w:val="auto"/>
              </w:rPr>
            </w:pPr>
            <w:r>
              <w:rPr>
                <w:rFonts w:ascii="Arial" w:cs="Arial" w:eastAsia="Arial" w:hAnsi="Arial"/>
                <w:sz w:val="17"/>
                <w:szCs w:val="17"/>
                <w:color w:val="auto"/>
              </w:rPr>
              <w:t>0</w:t>
            </w:r>
          </w:p>
        </w:tc>
        <w:tc>
          <w:tcPr>
            <w:tcW w:w="2040" w:type="dxa"/>
            <w:vAlign w:val="bottom"/>
          </w:tcPr>
          <w:p>
            <w:pPr>
              <w:jc w:val="right"/>
              <w:ind w:right="549"/>
              <w:spacing w:after="0"/>
              <w:rPr>
                <w:sz w:val="20"/>
                <w:szCs w:val="20"/>
                <w:color w:val="auto"/>
              </w:rPr>
            </w:pPr>
            <w:r>
              <w:rPr>
                <w:rFonts w:ascii="Arial" w:cs="Arial" w:eastAsia="Arial" w:hAnsi="Arial"/>
                <w:sz w:val="17"/>
                <w:szCs w:val="17"/>
                <w:color w:val="auto"/>
              </w:rPr>
              <w:t>120</w:t>
            </w:r>
          </w:p>
        </w:tc>
        <w:tc>
          <w:tcPr>
            <w:tcW w:w="980" w:type="dxa"/>
            <w:vAlign w:val="bottom"/>
          </w:tcPr>
          <w:p>
            <w:pPr>
              <w:jc w:val="right"/>
              <w:ind w:right="17"/>
              <w:spacing w:after="0"/>
              <w:rPr>
                <w:sz w:val="20"/>
                <w:szCs w:val="20"/>
                <w:color w:val="auto"/>
              </w:rPr>
            </w:pPr>
            <w:r>
              <w:rPr>
                <w:rFonts w:ascii="Arial" w:cs="Arial" w:eastAsia="Arial" w:hAnsi="Arial"/>
                <w:sz w:val="17"/>
                <w:szCs w:val="17"/>
                <w:color w:val="auto"/>
              </w:rPr>
              <w:t>240</w:t>
            </w:r>
          </w:p>
        </w:tc>
        <w:tc>
          <w:tcPr>
            <w:tcW w:w="1480" w:type="dxa"/>
            <w:vAlign w:val="bottom"/>
          </w:tcPr>
          <w:p>
            <w:pPr>
              <w:jc w:val="right"/>
              <w:spacing w:after="0"/>
              <w:rPr>
                <w:sz w:val="20"/>
                <w:szCs w:val="20"/>
                <w:color w:val="auto"/>
              </w:rPr>
            </w:pPr>
            <w:r>
              <w:rPr>
                <w:rFonts w:ascii="Arial" w:cs="Arial" w:eastAsia="Arial" w:hAnsi="Arial"/>
                <w:sz w:val="17"/>
                <w:szCs w:val="17"/>
                <w:color w:val="auto"/>
              </w:rPr>
              <w:t>360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1448435</wp:posOffset>
            </wp:positionH>
            <wp:positionV relativeFrom="paragraph">
              <wp:posOffset>-2226310</wp:posOffset>
            </wp:positionV>
            <wp:extent cx="3927475" cy="20929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3927475" cy="2092960"/>
                    </a:xfrm>
                    <a:prstGeom prst="rect">
                      <a:avLst/>
                    </a:prstGeom>
                    <a:noFill/>
                  </pic:spPr>
                </pic:pic>
              </a:graphicData>
            </a:graphic>
          </wp:anchor>
        </w:drawing>
      </w:r>
    </w:p>
    <w:p>
      <w:pPr>
        <w:spacing w:after="0" w:line="75" w:lineRule="exact"/>
        <w:rPr>
          <w:sz w:val="20"/>
          <w:szCs w:val="20"/>
          <w:color w:val="auto"/>
        </w:rPr>
      </w:pPr>
    </w:p>
    <w:p>
      <w:pPr>
        <w:ind w:left="4920"/>
        <w:spacing w:after="0"/>
        <w:rPr>
          <w:sz w:val="20"/>
          <w:szCs w:val="20"/>
          <w:color w:val="auto"/>
        </w:rPr>
      </w:pPr>
      <w:r>
        <w:rPr>
          <w:rFonts w:ascii="Arial" w:cs="Arial" w:eastAsia="Arial" w:hAnsi="Arial"/>
          <w:sz w:val="20"/>
          <w:szCs w:val="20"/>
          <w:color w:val="auto"/>
        </w:rPr>
        <w:t>TIME (min)</w:t>
      </w:r>
    </w:p>
    <w:p>
      <w:pPr>
        <w:spacing w:after="0" w:line="203" w:lineRule="exact"/>
        <w:rPr>
          <w:sz w:val="20"/>
          <w:szCs w:val="20"/>
          <w:color w:val="auto"/>
        </w:rPr>
      </w:pPr>
    </w:p>
    <w:p>
      <w:pPr>
        <w:spacing w:after="0"/>
        <w:tabs>
          <w:tab w:leader="none" w:pos="860" w:val="left"/>
        </w:tabs>
        <w:rPr>
          <w:sz w:val="20"/>
          <w:szCs w:val="20"/>
          <w:color w:val="auto"/>
        </w:rPr>
      </w:pPr>
      <w:r>
        <w:rPr>
          <w:rFonts w:ascii="Times New Roman" w:cs="Times New Roman" w:eastAsia="Times New Roman" w:hAnsi="Times New Roman"/>
          <w:sz w:val="18"/>
          <w:szCs w:val="18"/>
          <w:i w:val="1"/>
          <w:iCs w:val="1"/>
          <w:color w:val="auto"/>
        </w:rPr>
        <w:t>Figure 3.</w:t>
      </w:r>
      <w:r>
        <w:rPr>
          <w:sz w:val="20"/>
          <w:szCs w:val="20"/>
          <w:color w:val="auto"/>
        </w:rPr>
        <w:tab/>
      </w:r>
      <w:r>
        <w:rPr>
          <w:rFonts w:ascii="Times New Roman" w:cs="Times New Roman" w:eastAsia="Times New Roman" w:hAnsi="Times New Roman"/>
          <w:sz w:val="18"/>
          <w:szCs w:val="18"/>
          <w:color w:val="auto"/>
        </w:rPr>
        <w:t xml:space="preserve">Hypoglycemic effect of the ip injection of freeze-dried decoction from </w:t>
      </w:r>
      <w:r>
        <w:rPr>
          <w:rFonts w:ascii="Times New Roman" w:cs="Times New Roman" w:eastAsia="Times New Roman" w:hAnsi="Times New Roman"/>
          <w:sz w:val="18"/>
          <w:szCs w:val="18"/>
          <w:i w:val="1"/>
          <w:iCs w:val="1"/>
          <w:color w:val="auto"/>
        </w:rPr>
        <w:t>Ibervillea sonorae</w:t>
      </w:r>
      <w:r>
        <w:rPr>
          <w:rFonts w:ascii="Times New Roman" w:cs="Times New Roman" w:eastAsia="Times New Roman" w:hAnsi="Times New Roman"/>
          <w:sz w:val="18"/>
          <w:szCs w:val="18"/>
          <w:color w:val="auto"/>
        </w:rPr>
        <w:t xml:space="preserve"> roots in alloxan-diabetic mice.</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Significantly different from control: * P &lt; 0.05.</w:t>
      </w:r>
    </w:p>
    <w:p>
      <w:pPr>
        <w:sectPr>
          <w:pgSz w:w="11900" w:h="15860" w:orient="portrait"/>
          <w:cols w:equalWidth="0" w:num="1">
            <w:col w:w="10200"/>
          </w:cols>
          <w:pgMar w:left="1080" w:top="971" w:right="620" w:bottom="274" w:gutter="0" w:footer="0" w:header="0"/>
          <w:type w:val="continuous"/>
        </w:sectPr>
      </w:pPr>
    </w:p>
    <w:p>
      <w:pPr>
        <w:spacing w:after="0" w:line="36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patients, it may be the observed hypoglycemic effect in them is produced because the plant needs to be stored in the body. Therefore, it is necessary to start chronic studies to observe the oral effect.</w:t>
      </w:r>
    </w:p>
    <w:p>
      <w:pPr>
        <w:spacing w:after="0" w:line="21"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color w:val="auto"/>
        </w:rPr>
        <w:t xml:space="preserve">The results show that when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is injected by the ip route in healthy mice, it produces a hypoglycemic effect. It is possible to obtain more complete absorption of the active substances this way, making it easier to detect hypoglycaemic activity. Consequently, the ip route was selected to continue this investigation.</w:t>
      </w:r>
    </w:p>
    <w:p>
      <w:pPr>
        <w:spacing w:after="0" w:line="20" w:lineRule="exact"/>
        <w:rPr>
          <w:sz w:val="20"/>
          <w:szCs w:val="20"/>
          <w:color w:val="auto"/>
        </w:rPr>
      </w:pPr>
    </w:p>
    <w:p>
      <w:pPr>
        <w:jc w:val="both"/>
        <w:ind w:right="20" w:firstLine="240"/>
        <w:spacing w:after="0" w:line="261" w:lineRule="auto"/>
        <w:rPr>
          <w:sz w:val="20"/>
          <w:szCs w:val="20"/>
          <w:color w:val="auto"/>
        </w:rPr>
      </w:pPr>
      <w:r>
        <w:rPr>
          <w:rFonts w:ascii="Times New Roman" w:cs="Times New Roman" w:eastAsia="Times New Roman" w:hAnsi="Times New Roman"/>
          <w:sz w:val="19"/>
          <w:szCs w:val="19"/>
          <w:i w:val="1"/>
          <w:iCs w:val="1"/>
          <w:color w:val="auto"/>
        </w:rPr>
        <w:t xml:space="preserve">I. sonorae </w:t>
      </w:r>
      <w:r>
        <w:rPr>
          <w:rFonts w:ascii="Times New Roman" w:cs="Times New Roman" w:eastAsia="Times New Roman" w:hAnsi="Times New Roman"/>
          <w:sz w:val="19"/>
          <w:szCs w:val="19"/>
          <w:color w:val="auto"/>
        </w:rPr>
        <w:t>at doses of 150 and 300 mg/kg administered ip,</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significantly reduced the glycemia of healthy mice at 120 and</w:t>
      </w:r>
    </w:p>
    <w:p>
      <w:pPr>
        <w:spacing w:after="0" w:line="20" w:lineRule="exact"/>
        <w:rPr>
          <w:sz w:val="20"/>
          <w:szCs w:val="20"/>
          <w:color w:val="auto"/>
        </w:rPr>
      </w:pPr>
      <w:r>
        <w:rPr>
          <w:sz w:val="20"/>
          <w:szCs w:val="20"/>
          <w:color w:val="auto"/>
        </w:rPr>
        <w:br w:type="column"/>
      </w:r>
    </w:p>
    <w:p>
      <w:pPr>
        <w:spacing w:after="0" w:line="34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240 min, while those of 600 and 850 mg/kg responded at 240 min. However, it is important to note that the plant shows a dose-dependent hypoglycemic effect at 240 min.</w:t>
      </w:r>
    </w:p>
    <w:p>
      <w:pPr>
        <w:spacing w:after="0" w:line="2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With regard to the hypoglycemic effect in alloxan-diabetic mice and rats, the results indicate that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reduced the glycemia in mild-diabetic, but did not in severe diabetic animals. To prove that the hypoglycemic activity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roots requires the presence of functional pancreatic beta cells, it is necessary to observe an improvement in plasma insulin levels. Although this improvement did not happen, the fasting glycemia in severe alloxan-diabetic rats was higher than 350 mg/dl, indicating greater damage to the insulin</w:t>
      </w:r>
    </w:p>
    <w:p>
      <w:pPr>
        <w:sectPr>
          <w:pgSz w:w="11900" w:h="15860" w:orient="portrait"/>
          <w:cols w:equalWidth="0" w:num="2">
            <w:col w:w="4860" w:space="500"/>
            <w:col w:w="4840"/>
          </w:cols>
          <w:pgMar w:left="1080" w:top="971" w:right="620" w:bottom="274" w:gutter="0" w:footer="0" w:header="0"/>
          <w:type w:val="continuous"/>
        </w:sectPr>
      </w:pPr>
    </w:p>
    <w:bookmarkStart w:id="5" w:name="page6"/>
    <w:bookmarkEnd w:id="5"/>
    <w:p>
      <w:pPr>
        <w:spacing w:after="0"/>
        <w:tabs>
          <w:tab w:leader="none" w:pos="4040" w:val="left"/>
        </w:tabs>
        <w:rPr>
          <w:sz w:val="20"/>
          <w:szCs w:val="20"/>
          <w:color w:val="auto"/>
        </w:rPr>
      </w:pPr>
      <w:r>
        <w:rPr>
          <w:rFonts w:ascii="Times New Roman" w:cs="Times New Roman" w:eastAsia="Times New Roman" w:hAnsi="Times New Roman"/>
          <w:sz w:val="20"/>
          <w:szCs w:val="20"/>
          <w:color w:val="auto"/>
        </w:rPr>
        <w:t>574</w:t>
      </w:r>
      <w:r>
        <w:rPr>
          <w:sz w:val="20"/>
          <w:szCs w:val="20"/>
          <w:color w:val="auto"/>
        </w:rPr>
        <w:tab/>
      </w:r>
      <w:r>
        <w:rPr>
          <w:rFonts w:ascii="Times New Roman" w:cs="Times New Roman" w:eastAsia="Times New Roman" w:hAnsi="Times New Roman"/>
          <w:sz w:val="20"/>
          <w:szCs w:val="20"/>
          <w:color w:val="auto"/>
        </w:rPr>
        <w:t>F.J. Alarcon-Aguilar et al.</w:t>
      </w:r>
    </w:p>
    <w:p>
      <w:pPr>
        <w:spacing w:after="0" w:line="200" w:lineRule="exact"/>
        <w:rPr>
          <w:sz w:val="20"/>
          <w:szCs w:val="20"/>
          <w:color w:val="auto"/>
        </w:rPr>
      </w:pPr>
    </w:p>
    <w:p>
      <w:pPr>
        <w:spacing w:after="0" w:line="225" w:lineRule="exact"/>
        <w:rPr>
          <w:sz w:val="20"/>
          <w:szCs w:val="20"/>
          <w:color w:val="auto"/>
        </w:rPr>
      </w:pPr>
    </w:p>
    <w:tbl>
      <w:tblPr>
        <w:tblLayout w:type="fixed"/>
        <w:tblInd w:w="1720" w:type="dxa"/>
        <w:tblCellMar>
          <w:top w:w="0" w:type="dxa"/>
          <w:left w:w="0" w:type="dxa"/>
          <w:bottom w:w="0" w:type="dxa"/>
          <w:right w:w="0" w:type="dxa"/>
        </w:tblCellMar>
      </w:tblPr>
      <w:tr>
        <w:trPr>
          <w:trHeight w:val="172"/>
        </w:trPr>
        <w:tc>
          <w:tcPr>
            <w:tcW w:w="200" w:type="dxa"/>
            <w:vAlign w:val="bottom"/>
          </w:tcPr>
          <w:p>
            <w:pPr>
              <w:spacing w:after="0"/>
              <w:rPr>
                <w:sz w:val="14"/>
                <w:szCs w:val="14"/>
                <w:color w:val="auto"/>
              </w:rPr>
            </w:pP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300</w:t>
            </w:r>
          </w:p>
        </w:tc>
        <w:tc>
          <w:tcPr>
            <w:tcW w:w="210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9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33"/>
        </w:trPr>
        <w:tc>
          <w:tcPr>
            <w:tcW w:w="200" w:type="dxa"/>
            <w:vAlign w:val="bottom"/>
          </w:tcPr>
          <w:p>
            <w:pPr>
              <w:spacing w:after="0"/>
              <w:rPr>
                <w:sz w:val="24"/>
                <w:szCs w:val="24"/>
                <w:color w:val="auto"/>
              </w:rPr>
            </w:pP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250</w:t>
            </w:r>
          </w:p>
        </w:tc>
        <w:tc>
          <w:tcPr>
            <w:tcW w:w="2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2"/>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rPr>
              <w:t>mg/dl</w:t>
            </w: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200</w:t>
            </w:r>
          </w:p>
        </w:tc>
        <w:tc>
          <w:tcPr>
            <w:tcW w:w="2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200" w:type="dxa"/>
            <w:vAlign w:val="bottom"/>
            <w:vMerge w:val="continue"/>
          </w:tcPr>
          <w:p>
            <w:pPr>
              <w:spacing w:after="0"/>
              <w:rPr>
                <w:sz w:val="18"/>
                <w:szCs w:val="18"/>
                <w:color w:val="auto"/>
              </w:rPr>
            </w:pPr>
          </w:p>
        </w:tc>
        <w:tc>
          <w:tcPr>
            <w:tcW w:w="1660" w:type="dxa"/>
            <w:vAlign w:val="bottom"/>
          </w:tcPr>
          <w:p>
            <w:pPr>
              <w:spacing w:after="0"/>
              <w:rPr>
                <w:sz w:val="18"/>
                <w:szCs w:val="18"/>
                <w:color w:val="auto"/>
              </w:rPr>
            </w:pPr>
          </w:p>
        </w:tc>
        <w:tc>
          <w:tcPr>
            <w:tcW w:w="210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28"/>
        </w:trPr>
        <w:tc>
          <w:tcPr>
            <w:tcW w:w="200" w:type="dxa"/>
            <w:vAlign w:val="bottom"/>
            <w:vMerge w:val="restart"/>
            <w:textDirection w:val="btLr"/>
          </w:tcPr>
          <w:p>
            <w:pPr>
              <w:spacing w:after="0"/>
              <w:rPr>
                <w:sz w:val="20"/>
                <w:szCs w:val="20"/>
                <w:color w:val="auto"/>
              </w:rPr>
            </w:pPr>
            <w:r>
              <w:rPr>
                <w:rFonts w:ascii="Arial" w:cs="Arial" w:eastAsia="Arial" w:hAnsi="Arial"/>
                <w:sz w:val="16"/>
                <w:szCs w:val="16"/>
                <w:color w:val="auto"/>
              </w:rPr>
              <w:t>GLYCEMIA</w:t>
            </w: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150</w:t>
            </w:r>
          </w:p>
        </w:tc>
        <w:tc>
          <w:tcPr>
            <w:tcW w:w="2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3"/>
        </w:trPr>
        <w:tc>
          <w:tcPr>
            <w:tcW w:w="200" w:type="dxa"/>
            <w:vAlign w:val="bottom"/>
            <w:vMerge w:val="continue"/>
          </w:tcPr>
          <w:p>
            <w:pPr>
              <w:spacing w:after="0"/>
              <w:rPr>
                <w:sz w:val="24"/>
                <w:szCs w:val="24"/>
                <w:color w:val="auto"/>
              </w:rPr>
            </w:pP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100</w:t>
            </w:r>
          </w:p>
        </w:tc>
        <w:tc>
          <w:tcPr>
            <w:tcW w:w="2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00" w:type="dxa"/>
            <w:vAlign w:val="bottom"/>
            <w:vMerge w:val="continue"/>
          </w:tcPr>
          <w:p>
            <w:pPr>
              <w:spacing w:after="0"/>
              <w:rPr>
                <w:sz w:val="3"/>
                <w:szCs w:val="3"/>
                <w:color w:val="auto"/>
              </w:rPr>
            </w:pPr>
          </w:p>
        </w:tc>
        <w:tc>
          <w:tcPr>
            <w:tcW w:w="1660" w:type="dxa"/>
            <w:vAlign w:val="bottom"/>
          </w:tcPr>
          <w:p>
            <w:pPr>
              <w:spacing w:after="0"/>
              <w:rPr>
                <w:sz w:val="3"/>
                <w:szCs w:val="3"/>
                <w:color w:val="auto"/>
              </w:rPr>
            </w:pPr>
          </w:p>
        </w:tc>
        <w:tc>
          <w:tcPr>
            <w:tcW w:w="2100" w:type="dxa"/>
            <w:vAlign w:val="bottom"/>
          </w:tcPr>
          <w:p>
            <w:pPr>
              <w:spacing w:after="0"/>
              <w:rPr>
                <w:sz w:val="3"/>
                <w:szCs w:val="3"/>
                <w:color w:val="auto"/>
              </w:rPr>
            </w:pPr>
          </w:p>
        </w:tc>
        <w:tc>
          <w:tcPr>
            <w:tcW w:w="128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25"/>
        </w:trPr>
        <w:tc>
          <w:tcPr>
            <w:tcW w:w="200" w:type="dxa"/>
            <w:vAlign w:val="bottom"/>
          </w:tcPr>
          <w:p>
            <w:pPr>
              <w:spacing w:after="0"/>
              <w:rPr>
                <w:sz w:val="24"/>
                <w:szCs w:val="24"/>
                <w:color w:val="auto"/>
              </w:rPr>
            </w:pP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50</w:t>
            </w:r>
          </w:p>
        </w:tc>
        <w:tc>
          <w:tcPr>
            <w:tcW w:w="2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Arial" w:cs="Arial" w:eastAsia="Arial" w:hAnsi="Arial"/>
                <w:sz w:val="25"/>
                <w:szCs w:val="25"/>
                <w:color w:val="auto"/>
              </w:rPr>
              <w:t>*</w:t>
            </w:r>
          </w:p>
        </w:tc>
        <w:tc>
          <w:tcPr>
            <w:tcW w:w="0" w:type="dxa"/>
            <w:vAlign w:val="bottom"/>
          </w:tcPr>
          <w:p>
            <w:pPr>
              <w:spacing w:after="0"/>
              <w:rPr>
                <w:sz w:val="1"/>
                <w:szCs w:val="1"/>
                <w:color w:val="auto"/>
              </w:rPr>
            </w:pPr>
          </w:p>
        </w:tc>
      </w:tr>
      <w:tr>
        <w:trPr>
          <w:trHeight w:val="261"/>
        </w:trPr>
        <w:tc>
          <w:tcPr>
            <w:tcW w:w="200" w:type="dxa"/>
            <w:vAlign w:val="bottom"/>
          </w:tcPr>
          <w:p>
            <w:pPr>
              <w:spacing w:after="0"/>
              <w:rPr>
                <w:sz w:val="22"/>
                <w:szCs w:val="22"/>
                <w:color w:val="auto"/>
              </w:rPr>
            </w:pPr>
          </w:p>
        </w:tc>
        <w:tc>
          <w:tcPr>
            <w:tcW w:w="1660" w:type="dxa"/>
            <w:vAlign w:val="bottom"/>
          </w:tcPr>
          <w:p>
            <w:pPr>
              <w:jc w:val="right"/>
              <w:ind w:right="145"/>
              <w:spacing w:after="0"/>
              <w:rPr>
                <w:sz w:val="20"/>
                <w:szCs w:val="20"/>
                <w:color w:val="auto"/>
              </w:rPr>
            </w:pPr>
            <w:r>
              <w:rPr>
                <w:rFonts w:ascii="Arial" w:cs="Arial" w:eastAsia="Arial" w:hAnsi="Arial"/>
                <w:sz w:val="19"/>
                <w:szCs w:val="19"/>
                <w:color w:val="auto"/>
              </w:rPr>
              <w:t>ISS</w:t>
            </w:r>
          </w:p>
        </w:tc>
        <w:tc>
          <w:tcPr>
            <w:tcW w:w="2100" w:type="dxa"/>
            <w:vAlign w:val="bottom"/>
          </w:tcPr>
          <w:p>
            <w:pPr>
              <w:jc w:val="right"/>
              <w:ind w:right="297"/>
              <w:spacing w:after="0"/>
              <w:rPr>
                <w:sz w:val="20"/>
                <w:szCs w:val="20"/>
                <w:color w:val="auto"/>
              </w:rPr>
            </w:pPr>
            <w:r>
              <w:rPr>
                <w:rFonts w:ascii="Arial" w:cs="Arial" w:eastAsia="Arial" w:hAnsi="Arial"/>
                <w:sz w:val="19"/>
                <w:szCs w:val="19"/>
                <w:i w:val="1"/>
                <w:iCs w:val="1"/>
                <w:color w:val="auto"/>
                <w:w w:val="95"/>
              </w:rPr>
              <w:t>I. sonorae 500 mg/kg</w:t>
            </w:r>
          </w:p>
        </w:tc>
        <w:tc>
          <w:tcPr>
            <w:tcW w:w="128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3"/>
        </w:trPr>
        <w:tc>
          <w:tcPr>
            <w:tcW w:w="200" w:type="dxa"/>
            <w:vAlign w:val="bottom"/>
          </w:tcPr>
          <w:p>
            <w:pPr>
              <w:spacing w:after="0"/>
              <w:rPr>
                <w:sz w:val="21"/>
                <w:szCs w:val="21"/>
                <w:color w:val="auto"/>
              </w:rPr>
            </w:pPr>
          </w:p>
        </w:tc>
        <w:tc>
          <w:tcPr>
            <w:tcW w:w="1660" w:type="dxa"/>
            <w:vAlign w:val="bottom"/>
          </w:tcPr>
          <w:p>
            <w:pPr>
              <w:jc w:val="right"/>
              <w:ind w:right="1265"/>
              <w:spacing w:after="0"/>
              <w:rPr>
                <w:sz w:val="20"/>
                <w:szCs w:val="20"/>
                <w:color w:val="auto"/>
              </w:rPr>
            </w:pPr>
            <w:r>
              <w:rPr>
                <w:rFonts w:ascii="Arial" w:cs="Arial" w:eastAsia="Arial" w:hAnsi="Arial"/>
                <w:sz w:val="15"/>
                <w:szCs w:val="15"/>
                <w:color w:val="auto"/>
              </w:rPr>
              <w:t>0</w:t>
            </w:r>
          </w:p>
        </w:tc>
        <w:tc>
          <w:tcPr>
            <w:tcW w:w="2100" w:type="dxa"/>
            <w:vAlign w:val="bottom"/>
          </w:tcPr>
          <w:p>
            <w:pPr>
              <w:spacing w:after="0"/>
              <w:rPr>
                <w:sz w:val="21"/>
                <w:szCs w:val="21"/>
                <w:color w:val="auto"/>
              </w:rPr>
            </w:pPr>
          </w:p>
        </w:tc>
        <w:tc>
          <w:tcPr>
            <w:tcW w:w="128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13"/>
        </w:trPr>
        <w:tc>
          <w:tcPr>
            <w:tcW w:w="200" w:type="dxa"/>
            <w:vAlign w:val="bottom"/>
          </w:tcPr>
          <w:p>
            <w:pPr>
              <w:spacing w:after="0"/>
              <w:rPr>
                <w:sz w:val="18"/>
                <w:szCs w:val="18"/>
                <w:color w:val="auto"/>
              </w:rPr>
            </w:pPr>
          </w:p>
        </w:tc>
        <w:tc>
          <w:tcPr>
            <w:tcW w:w="1660" w:type="dxa"/>
            <w:vAlign w:val="bottom"/>
          </w:tcPr>
          <w:p>
            <w:pPr>
              <w:jc w:val="right"/>
              <w:ind w:right="345"/>
              <w:spacing w:after="0"/>
              <w:rPr>
                <w:sz w:val="20"/>
                <w:szCs w:val="20"/>
                <w:color w:val="auto"/>
              </w:rPr>
            </w:pPr>
            <w:r>
              <w:rPr>
                <w:rFonts w:ascii="Arial" w:cs="Arial" w:eastAsia="Arial" w:hAnsi="Arial"/>
                <w:sz w:val="15"/>
                <w:szCs w:val="15"/>
                <w:color w:val="auto"/>
              </w:rPr>
              <w:t>0</w:t>
            </w:r>
          </w:p>
        </w:tc>
        <w:tc>
          <w:tcPr>
            <w:tcW w:w="2100" w:type="dxa"/>
            <w:vAlign w:val="bottom"/>
          </w:tcPr>
          <w:p>
            <w:pPr>
              <w:jc w:val="right"/>
              <w:ind w:right="817"/>
              <w:spacing w:after="0"/>
              <w:rPr>
                <w:sz w:val="20"/>
                <w:szCs w:val="20"/>
                <w:color w:val="auto"/>
              </w:rPr>
            </w:pPr>
            <w:r>
              <w:rPr>
                <w:rFonts w:ascii="Arial" w:cs="Arial" w:eastAsia="Arial" w:hAnsi="Arial"/>
                <w:sz w:val="15"/>
                <w:szCs w:val="15"/>
                <w:color w:val="auto"/>
              </w:rPr>
              <w:t>120</w:t>
            </w:r>
          </w:p>
        </w:tc>
        <w:tc>
          <w:tcPr>
            <w:tcW w:w="1280" w:type="dxa"/>
            <w:vAlign w:val="bottom"/>
          </w:tcPr>
          <w:p>
            <w:pPr>
              <w:jc w:val="right"/>
              <w:ind w:right="567"/>
              <w:spacing w:after="0"/>
              <w:rPr>
                <w:sz w:val="20"/>
                <w:szCs w:val="20"/>
                <w:color w:val="auto"/>
              </w:rPr>
            </w:pPr>
            <w:r>
              <w:rPr>
                <w:rFonts w:ascii="Arial" w:cs="Arial" w:eastAsia="Arial" w:hAnsi="Arial"/>
                <w:sz w:val="15"/>
                <w:szCs w:val="15"/>
                <w:color w:val="auto"/>
              </w:rPr>
              <w:t>240</w:t>
            </w:r>
          </w:p>
        </w:tc>
        <w:tc>
          <w:tcPr>
            <w:tcW w:w="980" w:type="dxa"/>
            <w:vAlign w:val="bottom"/>
          </w:tcPr>
          <w:p>
            <w:pPr>
              <w:jc w:val="right"/>
              <w:spacing w:after="0"/>
              <w:rPr>
                <w:sz w:val="20"/>
                <w:szCs w:val="20"/>
                <w:color w:val="auto"/>
              </w:rPr>
            </w:pPr>
            <w:r>
              <w:rPr>
                <w:rFonts w:ascii="Arial" w:cs="Arial" w:eastAsia="Arial" w:hAnsi="Arial"/>
                <w:sz w:val="15"/>
                <w:szCs w:val="15"/>
                <w:color w:val="auto"/>
              </w:rPr>
              <w:t>360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1463040</wp:posOffset>
            </wp:positionH>
            <wp:positionV relativeFrom="paragraph">
              <wp:posOffset>-2230755</wp:posOffset>
            </wp:positionV>
            <wp:extent cx="3940175" cy="20758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3940175" cy="2075815"/>
                    </a:xfrm>
                    <a:prstGeom prst="rect">
                      <a:avLst/>
                    </a:prstGeom>
                    <a:noFill/>
                  </pic:spPr>
                </pic:pic>
              </a:graphicData>
            </a:graphic>
          </wp:anchor>
        </w:drawing>
      </w:r>
    </w:p>
    <w:p>
      <w:pPr>
        <w:spacing w:after="0" w:line="71" w:lineRule="exact"/>
        <w:rPr>
          <w:sz w:val="20"/>
          <w:szCs w:val="20"/>
          <w:color w:val="auto"/>
        </w:rPr>
      </w:pPr>
    </w:p>
    <w:p>
      <w:pPr>
        <w:ind w:left="4980"/>
        <w:spacing w:after="0"/>
        <w:rPr>
          <w:sz w:val="20"/>
          <w:szCs w:val="20"/>
          <w:color w:val="auto"/>
        </w:rPr>
      </w:pPr>
      <w:r>
        <w:rPr>
          <w:rFonts w:ascii="Arial" w:cs="Arial" w:eastAsia="Arial" w:hAnsi="Arial"/>
          <w:sz w:val="17"/>
          <w:szCs w:val="17"/>
          <w:color w:val="auto"/>
        </w:rPr>
        <w:t>TIME (min)</w:t>
      </w:r>
    </w:p>
    <w:p>
      <w:pPr>
        <w:spacing w:after="0" w:line="181" w:lineRule="exact"/>
        <w:rPr>
          <w:sz w:val="20"/>
          <w:szCs w:val="20"/>
          <w:color w:val="auto"/>
        </w:rPr>
      </w:pPr>
    </w:p>
    <w:p>
      <w:pPr>
        <w:spacing w:after="0"/>
        <w:tabs>
          <w:tab w:leader="none" w:pos="840" w:val="left"/>
        </w:tabs>
        <w:rPr>
          <w:sz w:val="20"/>
          <w:szCs w:val="20"/>
          <w:color w:val="auto"/>
        </w:rPr>
      </w:pPr>
      <w:r>
        <w:rPr>
          <w:rFonts w:ascii="Times New Roman" w:cs="Times New Roman" w:eastAsia="Times New Roman" w:hAnsi="Times New Roman"/>
          <w:sz w:val="18"/>
          <w:szCs w:val="18"/>
          <w:i w:val="1"/>
          <w:iCs w:val="1"/>
          <w:color w:val="auto"/>
        </w:rPr>
        <w:t>Figure 4.</w:t>
      </w:r>
      <w:r>
        <w:rPr>
          <w:sz w:val="20"/>
          <w:szCs w:val="20"/>
          <w:color w:val="auto"/>
        </w:rPr>
        <w:tab/>
      </w:r>
      <w:r>
        <w:rPr>
          <w:rFonts w:ascii="Times New Roman" w:cs="Times New Roman" w:eastAsia="Times New Roman" w:hAnsi="Times New Roman"/>
          <w:sz w:val="18"/>
          <w:szCs w:val="18"/>
          <w:color w:val="auto"/>
        </w:rPr>
        <w:t xml:space="preserve">Hypoglycemic effect of the ip injection of freeze-dried decoction from </w:t>
      </w:r>
      <w:r>
        <w:rPr>
          <w:rFonts w:ascii="Times New Roman" w:cs="Times New Roman" w:eastAsia="Times New Roman" w:hAnsi="Times New Roman"/>
          <w:sz w:val="18"/>
          <w:szCs w:val="18"/>
          <w:i w:val="1"/>
          <w:iCs w:val="1"/>
          <w:color w:val="auto"/>
        </w:rPr>
        <w:t>Ibervillea sonorae</w:t>
      </w:r>
      <w:r>
        <w:rPr>
          <w:rFonts w:ascii="Times New Roman" w:cs="Times New Roman" w:eastAsia="Times New Roman" w:hAnsi="Times New Roman"/>
          <w:sz w:val="18"/>
          <w:szCs w:val="18"/>
          <w:color w:val="auto"/>
        </w:rPr>
        <w:t xml:space="preserve"> in mild alloxan-diabetic rats (n = 5).</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Significantly different from control: * P &lt; 0.05.</w:t>
      </w:r>
    </w:p>
    <w:p>
      <w:pPr>
        <w:spacing w:after="0" w:line="200" w:lineRule="exact"/>
        <w:rPr>
          <w:sz w:val="20"/>
          <w:szCs w:val="20"/>
          <w:color w:val="auto"/>
        </w:rPr>
      </w:pPr>
    </w:p>
    <w:p>
      <w:pPr>
        <w:spacing w:after="0" w:line="206" w:lineRule="exact"/>
        <w:rPr>
          <w:sz w:val="20"/>
          <w:szCs w:val="20"/>
          <w:color w:val="auto"/>
        </w:rPr>
      </w:pPr>
    </w:p>
    <w:p>
      <w:pPr>
        <w:ind w:left="1700" w:right="1700"/>
        <w:spacing w:after="0" w:line="266" w:lineRule="auto"/>
        <w:rPr>
          <w:sz w:val="20"/>
          <w:szCs w:val="20"/>
          <w:color w:val="auto"/>
        </w:rPr>
      </w:pPr>
      <w:r>
        <w:rPr>
          <w:rFonts w:ascii="Times New Roman" w:cs="Times New Roman" w:eastAsia="Times New Roman" w:hAnsi="Times New Roman"/>
          <w:sz w:val="18"/>
          <w:szCs w:val="18"/>
          <w:i w:val="1"/>
          <w:iCs w:val="1"/>
          <w:color w:val="auto"/>
        </w:rPr>
        <w:t xml:space="preserve">Table 3. </w:t>
      </w:r>
      <w:r>
        <w:rPr>
          <w:rFonts w:ascii="Times New Roman" w:cs="Times New Roman" w:eastAsia="Times New Roman" w:hAnsi="Times New Roman"/>
          <w:sz w:val="18"/>
          <w:szCs w:val="18"/>
          <w:color w:val="auto"/>
        </w:rPr>
        <w:t>Hypoglycaemic effects of the ip injection of freeze-dried decoction from</w:t>
      </w:r>
      <w:r>
        <w:rPr>
          <w:rFonts w:ascii="Times New Roman" w:cs="Times New Roman" w:eastAsia="Times New Roman" w:hAnsi="Times New Roman"/>
          <w:sz w:val="18"/>
          <w:szCs w:val="18"/>
          <w:i w:val="1"/>
          <w:iCs w:val="1"/>
          <w:color w:val="auto"/>
        </w:rPr>
        <w:t xml:space="preserve"> Ibervillea sonorae </w:t>
      </w:r>
      <w:r>
        <w:rPr>
          <w:rFonts w:ascii="Times New Roman" w:cs="Times New Roman" w:eastAsia="Times New Roman" w:hAnsi="Times New Roman"/>
          <w:sz w:val="18"/>
          <w:szCs w:val="18"/>
          <w:color w:val="auto"/>
        </w:rPr>
        <w:t>in severe alloxan-diabetic rats (n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1082040</wp:posOffset>
            </wp:positionH>
            <wp:positionV relativeFrom="paragraph">
              <wp:posOffset>43180</wp:posOffset>
            </wp:positionV>
            <wp:extent cx="4319905"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4319905" cy="6350"/>
                    </a:xfrm>
                    <a:prstGeom prst="rect">
                      <a:avLst/>
                    </a:prstGeom>
                    <a:noFill/>
                  </pic:spPr>
                </pic:pic>
              </a:graphicData>
            </a:graphic>
          </wp:anchor>
        </w:drawing>
      </w:r>
    </w:p>
    <w:p>
      <w:pPr>
        <w:spacing w:after="0" w:line="157" w:lineRule="exact"/>
        <w:rPr>
          <w:sz w:val="20"/>
          <w:szCs w:val="20"/>
          <w:color w:val="auto"/>
        </w:rPr>
      </w:pPr>
    </w:p>
    <w:tbl>
      <w:tblPr>
        <w:tblLayout w:type="fixed"/>
        <w:tblInd w:w="1700" w:type="dxa"/>
        <w:tblCellMar>
          <w:top w:w="0" w:type="dxa"/>
          <w:left w:w="0" w:type="dxa"/>
          <w:bottom w:w="0" w:type="dxa"/>
          <w:right w:w="0" w:type="dxa"/>
        </w:tblCellMar>
      </w:tblPr>
      <w:tr>
        <w:trPr>
          <w:trHeight w:val="241"/>
        </w:trPr>
        <w:tc>
          <w:tcPr>
            <w:tcW w:w="112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600" w:type="dxa"/>
            <w:vAlign w:val="bottom"/>
            <w:gridSpan w:val="6"/>
          </w:tcPr>
          <w:p>
            <w:pPr>
              <w:jc w:val="right"/>
              <w:spacing w:after="0"/>
              <w:rPr>
                <w:sz w:val="20"/>
                <w:szCs w:val="20"/>
                <w:color w:val="auto"/>
              </w:rPr>
            </w:pPr>
            <w:r>
              <w:rPr>
                <w:rFonts w:ascii="Times New Roman" w:cs="Times New Roman" w:eastAsia="Times New Roman" w:hAnsi="Times New Roman"/>
                <w:sz w:val="18"/>
                <w:szCs w:val="18"/>
                <w:color w:val="auto"/>
              </w:rPr>
              <w:t>Glycemia mg/dl (Mean ± S.E.M.)</w:t>
            </w:r>
          </w:p>
        </w:tc>
        <w:tc>
          <w:tcPr>
            <w:tcW w:w="4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80" w:type="dxa"/>
            <w:vAlign w:val="bottom"/>
          </w:tcPr>
          <w:p>
            <w:pPr>
              <w:spacing w:after="0"/>
              <w:rPr>
                <w:sz w:val="20"/>
                <w:szCs w:val="20"/>
                <w:color w:val="auto"/>
              </w:rPr>
            </w:pPr>
          </w:p>
        </w:tc>
      </w:tr>
      <w:tr>
        <w:trPr>
          <w:trHeight w:val="90"/>
        </w:trPr>
        <w:tc>
          <w:tcPr>
            <w:tcW w:w="11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80" w:type="dxa"/>
            <w:vAlign w:val="bottom"/>
            <w:tcBorders>
              <w:bottom w:val="single" w:sz="8" w:color="auto"/>
            </w:tcBorders>
            <w:gridSpan w:val="3"/>
          </w:tcPr>
          <w:p>
            <w:pPr>
              <w:spacing w:after="0"/>
              <w:rPr>
                <w:sz w:val="7"/>
                <w:szCs w:val="7"/>
                <w:color w:val="auto"/>
              </w:rPr>
            </w:pPr>
          </w:p>
        </w:tc>
        <w:tc>
          <w:tcPr>
            <w:tcW w:w="1180" w:type="dxa"/>
            <w:vAlign w:val="bottom"/>
            <w:tcBorders>
              <w:bottom w:val="single" w:sz="8" w:color="auto"/>
            </w:tcBorders>
            <w:gridSpan w:val="2"/>
          </w:tcPr>
          <w:p>
            <w:pPr>
              <w:spacing w:after="0"/>
              <w:rPr>
                <w:sz w:val="7"/>
                <w:szCs w:val="7"/>
                <w:color w:val="auto"/>
              </w:rPr>
            </w:pPr>
          </w:p>
        </w:tc>
        <w:tc>
          <w:tcPr>
            <w:tcW w:w="1200" w:type="dxa"/>
            <w:vAlign w:val="bottom"/>
            <w:tcBorders>
              <w:bottom w:val="single" w:sz="8" w:color="auto"/>
            </w:tcBorders>
            <w:gridSpan w:val="3"/>
          </w:tcPr>
          <w:p>
            <w:pPr>
              <w:spacing w:after="0"/>
              <w:rPr>
                <w:sz w:val="7"/>
                <w:szCs w:val="7"/>
                <w:color w:val="auto"/>
              </w:rPr>
            </w:pPr>
          </w:p>
        </w:tc>
        <w:tc>
          <w:tcPr>
            <w:tcW w:w="1060" w:type="dxa"/>
            <w:vAlign w:val="bottom"/>
            <w:tcBorders>
              <w:bottom w:val="single" w:sz="8" w:color="auto"/>
            </w:tcBorders>
            <w:gridSpan w:val="2"/>
          </w:tcPr>
          <w:p>
            <w:pPr>
              <w:spacing w:after="0"/>
              <w:rPr>
                <w:sz w:val="7"/>
                <w:szCs w:val="7"/>
                <w:color w:val="auto"/>
              </w:rPr>
            </w:pPr>
          </w:p>
        </w:tc>
      </w:tr>
      <w:tr>
        <w:trPr>
          <w:trHeight w:val="308"/>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Study</w:t>
            </w:r>
          </w:p>
        </w:tc>
        <w:tc>
          <w:tcPr>
            <w:tcW w:w="104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rPr>
              <w:t>DOSE</w:t>
            </w:r>
          </w:p>
        </w:tc>
        <w:tc>
          <w:tcPr>
            <w:tcW w:w="120" w:type="dxa"/>
            <w:vAlign w:val="bottom"/>
          </w:tcPr>
          <w:p>
            <w:pPr>
              <w:spacing w:after="0"/>
              <w:rPr>
                <w:sz w:val="24"/>
                <w:szCs w:val="24"/>
                <w:color w:val="auto"/>
              </w:rPr>
            </w:pPr>
          </w:p>
        </w:tc>
        <w:tc>
          <w:tcPr>
            <w:tcW w:w="1080" w:type="dxa"/>
            <w:vAlign w:val="bottom"/>
            <w:gridSpan w:val="3"/>
          </w:tcPr>
          <w:p>
            <w:pPr>
              <w:jc w:val="right"/>
              <w:ind w:right="170"/>
              <w:spacing w:after="0"/>
              <w:rPr>
                <w:sz w:val="20"/>
                <w:szCs w:val="20"/>
                <w:color w:val="auto"/>
              </w:rPr>
            </w:pPr>
            <w:r>
              <w:rPr>
                <w:rFonts w:ascii="Times New Roman" w:cs="Times New Roman" w:eastAsia="Times New Roman" w:hAnsi="Times New Roman"/>
                <w:sz w:val="18"/>
                <w:szCs w:val="18"/>
                <w:color w:val="auto"/>
              </w:rPr>
              <w:t>In fasting</w:t>
            </w:r>
          </w:p>
        </w:tc>
        <w:tc>
          <w:tcPr>
            <w:tcW w:w="1180" w:type="dxa"/>
            <w:vAlign w:val="bottom"/>
            <w:gridSpan w:val="2"/>
          </w:tcPr>
          <w:p>
            <w:pPr>
              <w:jc w:val="right"/>
              <w:ind w:right="210"/>
              <w:spacing w:after="0"/>
              <w:rPr>
                <w:sz w:val="20"/>
                <w:szCs w:val="20"/>
                <w:color w:val="auto"/>
              </w:rPr>
            </w:pPr>
            <w:r>
              <w:rPr>
                <w:rFonts w:ascii="Times New Roman" w:cs="Times New Roman" w:eastAsia="Times New Roman" w:hAnsi="Times New Roman"/>
                <w:sz w:val="18"/>
                <w:szCs w:val="18"/>
                <w:color w:val="auto"/>
              </w:rPr>
              <w:t>120 min</w:t>
            </w:r>
          </w:p>
        </w:tc>
        <w:tc>
          <w:tcPr>
            <w:tcW w:w="1200" w:type="dxa"/>
            <w:vAlign w:val="bottom"/>
            <w:gridSpan w:val="3"/>
          </w:tcPr>
          <w:p>
            <w:pPr>
              <w:jc w:val="right"/>
              <w:ind w:right="210"/>
              <w:spacing w:after="0"/>
              <w:rPr>
                <w:sz w:val="20"/>
                <w:szCs w:val="20"/>
                <w:color w:val="auto"/>
              </w:rPr>
            </w:pPr>
            <w:r>
              <w:rPr>
                <w:rFonts w:ascii="Times New Roman" w:cs="Times New Roman" w:eastAsia="Times New Roman" w:hAnsi="Times New Roman"/>
                <w:sz w:val="18"/>
                <w:szCs w:val="18"/>
                <w:color w:val="auto"/>
              </w:rPr>
              <w:t>240 min</w:t>
            </w:r>
          </w:p>
        </w:tc>
        <w:tc>
          <w:tcPr>
            <w:tcW w:w="1060" w:type="dxa"/>
            <w:vAlign w:val="bottom"/>
            <w:gridSpan w:val="2"/>
          </w:tcPr>
          <w:p>
            <w:pPr>
              <w:jc w:val="right"/>
              <w:ind w:right="70"/>
              <w:spacing w:after="0"/>
              <w:rPr>
                <w:sz w:val="20"/>
                <w:szCs w:val="20"/>
                <w:color w:val="auto"/>
              </w:rPr>
            </w:pPr>
            <w:r>
              <w:rPr>
                <w:rFonts w:ascii="Times New Roman" w:cs="Times New Roman" w:eastAsia="Times New Roman" w:hAnsi="Times New Roman"/>
                <w:sz w:val="18"/>
                <w:szCs w:val="18"/>
                <w:color w:val="auto"/>
              </w:rPr>
              <w:t>360 min</w:t>
            </w:r>
          </w:p>
        </w:tc>
      </w:tr>
      <w:tr>
        <w:trPr>
          <w:trHeight w:val="112"/>
        </w:trPr>
        <w:tc>
          <w:tcPr>
            <w:tcW w:w="112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gridSpan w:val="2"/>
          </w:tcPr>
          <w:p>
            <w:pPr>
              <w:spacing w:after="0"/>
              <w:rPr>
                <w:sz w:val="9"/>
                <w:szCs w:val="9"/>
                <w:color w:val="auto"/>
              </w:rPr>
            </w:pPr>
          </w:p>
        </w:tc>
        <w:tc>
          <w:tcPr>
            <w:tcW w:w="640" w:type="dxa"/>
            <w:vAlign w:val="bottom"/>
            <w:tcBorders>
              <w:bottom w:val="single" w:sz="8" w:color="auto"/>
            </w:tcBorders>
            <w:gridSpan w:val="2"/>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r>
      <w:tr>
        <w:trPr>
          <w:trHeight w:val="309"/>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Control (ISS)</w:t>
            </w:r>
          </w:p>
        </w:tc>
        <w:tc>
          <w:tcPr>
            <w:tcW w:w="104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4 ml/kg</w:t>
            </w:r>
          </w:p>
        </w:tc>
        <w:tc>
          <w:tcPr>
            <w:tcW w:w="56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367.5</w:t>
            </w:r>
          </w:p>
        </w:tc>
        <w:tc>
          <w:tcPr>
            <w:tcW w:w="640" w:type="dxa"/>
            <w:vAlign w:val="bottom"/>
            <w:gridSpan w:val="2"/>
          </w:tcPr>
          <w:p>
            <w:pPr>
              <w:jc w:val="right"/>
              <w:ind w:right="50"/>
              <w:spacing w:after="0"/>
              <w:rPr>
                <w:sz w:val="20"/>
                <w:szCs w:val="20"/>
                <w:color w:val="auto"/>
              </w:rPr>
            </w:pPr>
            <w:r>
              <w:rPr>
                <w:rFonts w:ascii="Times New Roman" w:cs="Times New Roman" w:eastAsia="Times New Roman" w:hAnsi="Times New Roman"/>
                <w:sz w:val="18"/>
                <w:szCs w:val="18"/>
                <w:color w:val="auto"/>
              </w:rPr>
              <w:t>± 14.2</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368.0</w:t>
            </w:r>
          </w:p>
        </w:tc>
        <w:tc>
          <w:tcPr>
            <w:tcW w:w="62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rPr>
              <w:t>± 14.8</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366.5</w:t>
            </w:r>
          </w:p>
        </w:tc>
        <w:tc>
          <w:tcPr>
            <w:tcW w:w="2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2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7.6</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365.3</w:t>
            </w:r>
          </w:p>
        </w:tc>
        <w:tc>
          <w:tcPr>
            <w:tcW w:w="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11.4</w:t>
            </w:r>
          </w:p>
        </w:tc>
      </w:tr>
      <w:tr>
        <w:trPr>
          <w:trHeight w:val="220"/>
        </w:trPr>
        <w:tc>
          <w:tcPr>
            <w:tcW w:w="1120" w:type="dxa"/>
            <w:vAlign w:val="bottom"/>
          </w:tcPr>
          <w:p>
            <w:pPr>
              <w:spacing w:after="0"/>
              <w:rPr>
                <w:sz w:val="20"/>
                <w:szCs w:val="20"/>
                <w:color w:val="auto"/>
              </w:rPr>
            </w:pPr>
            <w:r>
              <w:rPr>
                <w:rFonts w:ascii="Times New Roman" w:cs="Times New Roman" w:eastAsia="Times New Roman" w:hAnsi="Times New Roman"/>
                <w:sz w:val="18"/>
                <w:szCs w:val="18"/>
                <w:color w:val="auto"/>
              </w:rPr>
              <w:t>Tolbutamide</w:t>
            </w:r>
          </w:p>
        </w:tc>
        <w:tc>
          <w:tcPr>
            <w:tcW w:w="10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80 mg/kg</w:t>
            </w:r>
          </w:p>
        </w:tc>
        <w:tc>
          <w:tcPr>
            <w:tcW w:w="56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365.0</w:t>
            </w:r>
          </w:p>
        </w:tc>
        <w:tc>
          <w:tcPr>
            <w:tcW w:w="2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9.5</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396.0</w:t>
            </w:r>
          </w:p>
        </w:tc>
        <w:tc>
          <w:tcPr>
            <w:tcW w:w="62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rPr>
              <w:t>±  6.9</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362.0</w:t>
            </w:r>
          </w:p>
        </w:tc>
        <w:tc>
          <w:tcPr>
            <w:tcW w:w="2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2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6.4</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355.5</w:t>
            </w:r>
          </w:p>
        </w:tc>
        <w:tc>
          <w:tcPr>
            <w:tcW w:w="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4.7</w:t>
            </w:r>
          </w:p>
        </w:tc>
      </w:tr>
      <w:tr>
        <w:trPr>
          <w:trHeight w:val="241"/>
        </w:trPr>
        <w:tc>
          <w:tcPr>
            <w:tcW w:w="112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rPr>
              <w:t>Ibervillea</w:t>
            </w:r>
          </w:p>
        </w:tc>
        <w:tc>
          <w:tcPr>
            <w:tcW w:w="10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500 mg/kg</w:t>
            </w:r>
          </w:p>
        </w:tc>
        <w:tc>
          <w:tcPr>
            <w:tcW w:w="56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376.5</w:t>
            </w:r>
          </w:p>
        </w:tc>
        <w:tc>
          <w:tcPr>
            <w:tcW w:w="2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rPr>
              <w:t>5.3</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394.0</w:t>
            </w:r>
          </w:p>
        </w:tc>
        <w:tc>
          <w:tcPr>
            <w:tcW w:w="62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rPr>
              <w:t>± 16.5</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372.0</w:t>
            </w:r>
          </w:p>
        </w:tc>
        <w:tc>
          <w:tcPr>
            <w:tcW w:w="620" w:type="dxa"/>
            <w:vAlign w:val="bottom"/>
            <w:gridSpan w:val="2"/>
          </w:tcPr>
          <w:p>
            <w:pPr>
              <w:jc w:val="right"/>
              <w:ind w:right="50"/>
              <w:spacing w:after="0"/>
              <w:rPr>
                <w:sz w:val="20"/>
                <w:szCs w:val="20"/>
                <w:color w:val="auto"/>
              </w:rPr>
            </w:pPr>
            <w:r>
              <w:rPr>
                <w:rFonts w:ascii="Times New Roman" w:cs="Times New Roman" w:eastAsia="Times New Roman" w:hAnsi="Times New Roman"/>
                <w:sz w:val="18"/>
                <w:szCs w:val="18"/>
                <w:color w:val="auto"/>
              </w:rPr>
              <w:t>± 19.1</w:t>
            </w: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379.0</w:t>
            </w:r>
          </w:p>
        </w:tc>
        <w:tc>
          <w:tcPr>
            <w:tcW w:w="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11.6</w:t>
            </w:r>
          </w:p>
        </w:tc>
      </w:tr>
      <w:tr>
        <w:trPr>
          <w:trHeight w:val="198"/>
        </w:trPr>
        <w:tc>
          <w:tcPr>
            <w:tcW w:w="1120" w:type="dxa"/>
            <w:vAlign w:val="bottom"/>
          </w:tcPr>
          <w:p>
            <w:pPr>
              <w:ind w:left="180"/>
              <w:spacing w:after="0" w:line="198" w:lineRule="exact"/>
              <w:rPr>
                <w:sz w:val="20"/>
                <w:szCs w:val="20"/>
                <w:color w:val="auto"/>
              </w:rPr>
            </w:pPr>
            <w:r>
              <w:rPr>
                <w:rFonts w:ascii="Times New Roman" w:cs="Times New Roman" w:eastAsia="Times New Roman" w:hAnsi="Times New Roman"/>
                <w:sz w:val="18"/>
                <w:szCs w:val="18"/>
                <w:i w:val="1"/>
                <w:iCs w:val="1"/>
                <w:color w:val="auto"/>
              </w:rPr>
              <w:t>sonorae</w:t>
            </w:r>
          </w:p>
        </w:tc>
        <w:tc>
          <w:tcPr>
            <w:tcW w:w="10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r>
      <w:tr>
        <w:trPr>
          <w:trHeight w:val="112"/>
        </w:trPr>
        <w:tc>
          <w:tcPr>
            <w:tcW w:w="112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60" w:orient="portrait"/>
          <w:cols w:equalWidth="0" w:num="1">
            <w:col w:w="10200"/>
          </w:cols>
          <w:pgMar w:left="620" w:top="971" w:right="1080" w:bottom="273" w:gutter="0" w:footer="0" w:header="0"/>
        </w:sectPr>
      </w:pPr>
    </w:p>
    <w:p>
      <w:pPr>
        <w:spacing w:after="0" w:line="24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secreting cells of the pancreas in these animals than to those with mild alloxan diabetic animals (fasting glycemia between 200–349 mg/dl). The presence of insulin in mild diabetic animals and its absence in severe diabetic animals was indi-rectly demonstrated by means of the tolbutamide effects. This hypoglycaemic agent, whose principal mechanism of action is to induce the synthesis and secretion of insulin, caused a hypoglycemic effect in mild diabetic mice and rats, but did not in severe diabetic rats.</w:t>
      </w:r>
    </w:p>
    <w:p>
      <w:pPr>
        <w:spacing w:after="0" w:line="2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Hence, this investigation confirms the results obtained with other anti-diabetic plants whose traditional preparations have been evaluated (</w:t>
      </w:r>
      <w:r>
        <w:rPr>
          <w:rFonts w:ascii="Times New Roman" w:cs="Times New Roman" w:eastAsia="Times New Roman" w:hAnsi="Times New Roman"/>
          <w:sz w:val="19"/>
          <w:szCs w:val="19"/>
          <w:i w:val="1"/>
          <w:iCs w:val="1"/>
          <w:color w:val="auto"/>
        </w:rPr>
        <w:t>Psacalium decompositum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 peltatum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Cucurbita ficifolia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Lepechinia caulescens</w:t>
      </w:r>
      <w:r>
        <w:rPr>
          <w:rFonts w:ascii="Times New Roman" w:cs="Times New Roman" w:eastAsia="Times New Roman" w:hAnsi="Times New Roman"/>
          <w:sz w:val="19"/>
          <w:szCs w:val="19"/>
          <w:color w:val="auto"/>
        </w:rPr>
        <w:t>). All of them</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suggest that the endogenous insulin is necessary for hypo-glycaemic activity, although extra-pancreatic activity cannot yet be excluded (Roman-Ramos et al., 1992; Alarcon-Aguilar et al., 2000).</w:t>
      </w:r>
    </w:p>
    <w:p>
      <w:pPr>
        <w:spacing w:after="0" w:line="5"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20"/>
          <w:szCs w:val="20"/>
          <w:i w:val="1"/>
          <w:iCs w:val="1"/>
          <w:color w:val="auto"/>
        </w:rPr>
        <w:t xml:space="preserve">Ibervillea sonorae </w:t>
      </w:r>
      <w:r>
        <w:rPr>
          <w:rFonts w:ascii="Times New Roman" w:cs="Times New Roman" w:eastAsia="Times New Roman" w:hAnsi="Times New Roman"/>
          <w:sz w:val="20"/>
          <w:szCs w:val="20"/>
          <w:color w:val="auto"/>
        </w:rPr>
        <w:t>belongs to the Cucurbitaceae family,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and although not many Cucurbitaceae plants are used as anti-diabetic remedies, some genera have been mentioned by Marles and Farnsworth (1995): </w:t>
      </w:r>
      <w:r>
        <w:rPr>
          <w:rFonts w:ascii="Times New Roman" w:cs="Times New Roman" w:eastAsia="Times New Roman" w:hAnsi="Times New Roman"/>
          <w:sz w:val="20"/>
          <w:szCs w:val="20"/>
          <w:i w:val="1"/>
          <w:iCs w:val="1"/>
          <w:color w:val="auto"/>
        </w:rPr>
        <w:t>Benincasa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Bryonia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Citrullus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Coccinia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Cucumis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Cucurbita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Lagenaria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Luffa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Melothria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Momordica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Trichosanthes</w:t>
      </w:r>
      <w:r>
        <w:rPr>
          <w:rFonts w:ascii="Times New Roman" w:cs="Times New Roman" w:eastAsia="Times New Roman" w:hAnsi="Times New Roman"/>
          <w:sz w:val="20"/>
          <w:szCs w:val="20"/>
          <w:color w:val="auto"/>
        </w:rPr>
        <w:t>. This is the first</w:t>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investigation with an anti-diabetic plant that belongs to the </w:t>
      </w:r>
      <w:r>
        <w:rPr>
          <w:rFonts w:ascii="Times New Roman" w:cs="Times New Roman" w:eastAsia="Times New Roman" w:hAnsi="Times New Roman"/>
          <w:sz w:val="20"/>
          <w:szCs w:val="20"/>
          <w:i w:val="1"/>
          <w:iCs w:val="1"/>
          <w:color w:val="auto"/>
        </w:rPr>
        <w:t xml:space="preserve">Ibervillea </w:t>
      </w:r>
      <w:r>
        <w:rPr>
          <w:rFonts w:ascii="Times New Roman" w:cs="Times New Roman" w:eastAsia="Times New Roman" w:hAnsi="Times New Roman"/>
          <w:sz w:val="20"/>
          <w:szCs w:val="20"/>
          <w:color w:val="auto"/>
        </w:rPr>
        <w:t>genus.</w:t>
      </w:r>
    </w:p>
    <w:p>
      <w:pPr>
        <w:spacing w:after="0" w:line="2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Thirty species were included in the genera mentioned before, twelve that have shown hypoglycaemic activity in clinical and experimental trials. However, excluding </w:t>
      </w:r>
      <w:r>
        <w:rPr>
          <w:rFonts w:ascii="Times New Roman" w:cs="Times New Roman" w:eastAsia="Times New Roman" w:hAnsi="Times New Roman"/>
          <w:sz w:val="20"/>
          <w:szCs w:val="20"/>
          <w:i w:val="1"/>
          <w:iCs w:val="1"/>
          <w:color w:val="auto"/>
        </w:rPr>
        <w:t xml:space="preserve">Coc-cinia indica </w:t>
      </w:r>
      <w:r>
        <w:rPr>
          <w:rFonts w:ascii="Times New Roman" w:cs="Times New Roman" w:eastAsia="Times New Roman" w:hAnsi="Times New Roman"/>
          <w:sz w:val="20"/>
          <w:szCs w:val="20"/>
          <w:color w:val="auto"/>
        </w:rPr>
        <w:t>Wight and Arn.,</w:t>
      </w:r>
      <w:r>
        <w:rPr>
          <w:rFonts w:ascii="Times New Roman" w:cs="Times New Roman" w:eastAsia="Times New Roman" w:hAnsi="Times New Roman"/>
          <w:sz w:val="20"/>
          <w:szCs w:val="20"/>
          <w:i w:val="1"/>
          <w:iCs w:val="1"/>
          <w:color w:val="auto"/>
        </w:rPr>
        <w:t xml:space="preserve"> Trichosanthes dioica </w:t>
      </w:r>
      <w:r>
        <w:rPr>
          <w:rFonts w:ascii="Times New Roman" w:cs="Times New Roman" w:eastAsia="Times New Roman" w:hAnsi="Times New Roman"/>
          <w:sz w:val="20"/>
          <w:szCs w:val="20"/>
          <w:color w:val="auto"/>
        </w:rPr>
        <w:t>Roxb.,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some edible plants (e.g., </w:t>
      </w:r>
      <w:r>
        <w:rPr>
          <w:rFonts w:ascii="Times New Roman" w:cs="Times New Roman" w:eastAsia="Times New Roman" w:hAnsi="Times New Roman"/>
          <w:sz w:val="20"/>
          <w:szCs w:val="20"/>
          <w:i w:val="1"/>
          <w:iCs w:val="1"/>
          <w:color w:val="auto"/>
        </w:rPr>
        <w:t>Cucumis sativus</w:t>
      </w:r>
      <w:r>
        <w:rPr>
          <w:rFonts w:ascii="Times New Roman" w:cs="Times New Roman" w:eastAsia="Times New Roman" w:hAnsi="Times New Roman"/>
          <w:sz w:val="20"/>
          <w:szCs w:val="20"/>
          <w:color w:val="auto"/>
        </w:rPr>
        <w:t xml:space="preserve"> Linn. and </w:t>
      </w:r>
      <w:r>
        <w:rPr>
          <w:rFonts w:ascii="Times New Roman" w:cs="Times New Roman" w:eastAsia="Times New Roman" w:hAnsi="Times New Roman"/>
          <w:sz w:val="20"/>
          <w:szCs w:val="20"/>
          <w:i w:val="1"/>
          <w:iCs w:val="1"/>
          <w:color w:val="auto"/>
        </w:rPr>
        <w:t xml:space="preserve">Cucur-bita ficifolia </w:t>
      </w:r>
      <w:r>
        <w:rPr>
          <w:rFonts w:ascii="Times New Roman" w:cs="Times New Roman" w:eastAsia="Times New Roman" w:hAnsi="Times New Roman"/>
          <w:sz w:val="20"/>
          <w:szCs w:val="20"/>
          <w:color w:val="auto"/>
        </w:rPr>
        <w:t>Bouché), the majority of the other species seem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have some toxic effect when they were orally administered (Marles &amp; Farnsworth, 1995; Roman-Ramos et al., 1995). In this research, the part tested from </w:t>
      </w:r>
      <w:r>
        <w:rPr>
          <w:rFonts w:ascii="Times New Roman" w:cs="Times New Roman" w:eastAsia="Times New Roman" w:hAnsi="Times New Roman"/>
          <w:sz w:val="20"/>
          <w:szCs w:val="20"/>
          <w:i w:val="1"/>
          <w:iCs w:val="1"/>
          <w:color w:val="auto"/>
        </w:rPr>
        <w:t>I. sonorae</w:t>
      </w:r>
      <w:r>
        <w:rPr>
          <w:rFonts w:ascii="Times New Roman" w:cs="Times New Roman" w:eastAsia="Times New Roman" w:hAnsi="Times New Roman"/>
          <w:sz w:val="20"/>
          <w:szCs w:val="20"/>
          <w:color w:val="auto"/>
        </w:rPr>
        <w:t xml:space="preserve"> was the root. The hypoglycemic effects of the roots from </w:t>
      </w:r>
      <w:r>
        <w:rPr>
          <w:rFonts w:ascii="Times New Roman" w:cs="Times New Roman" w:eastAsia="Times New Roman" w:hAnsi="Times New Roman"/>
          <w:sz w:val="20"/>
          <w:szCs w:val="20"/>
          <w:i w:val="1"/>
          <w:iCs w:val="1"/>
          <w:color w:val="auto"/>
        </w:rPr>
        <w:t>Bryonia alba</w:t>
      </w:r>
      <w:r>
        <w:rPr>
          <w:rFonts w:ascii="Times New Roman" w:cs="Times New Roman" w:eastAsia="Times New Roman" w:hAnsi="Times New Roman"/>
          <w:sz w:val="20"/>
          <w:szCs w:val="20"/>
          <w:color w:val="auto"/>
        </w:rPr>
        <w:t xml:space="preserve"> Linn., </w:t>
      </w:r>
      <w:r>
        <w:rPr>
          <w:rFonts w:ascii="Times New Roman" w:cs="Times New Roman" w:eastAsia="Times New Roman" w:hAnsi="Times New Roman"/>
          <w:sz w:val="20"/>
          <w:szCs w:val="20"/>
          <w:i w:val="1"/>
          <w:iCs w:val="1"/>
          <w:color w:val="auto"/>
        </w:rPr>
        <w:t>B. dioica</w:t>
      </w:r>
      <w:r>
        <w:rPr>
          <w:rFonts w:ascii="Times New Roman" w:cs="Times New Roman" w:eastAsia="Times New Roman" w:hAnsi="Times New Roman"/>
          <w:sz w:val="20"/>
          <w:szCs w:val="20"/>
          <w:color w:val="auto"/>
        </w:rPr>
        <w:t xml:space="preserve"> Jacq., </w:t>
      </w:r>
      <w:r>
        <w:rPr>
          <w:rFonts w:ascii="Times New Roman" w:cs="Times New Roman" w:eastAsia="Times New Roman" w:hAnsi="Times New Roman"/>
          <w:sz w:val="20"/>
          <w:szCs w:val="20"/>
          <w:i w:val="1"/>
          <w:iCs w:val="1"/>
          <w:color w:val="auto"/>
        </w:rPr>
        <w:t>Coccinia cordifolia</w:t>
      </w:r>
      <w:r>
        <w:rPr>
          <w:rFonts w:ascii="Times New Roman" w:cs="Times New Roman" w:eastAsia="Times New Roman" w:hAnsi="Times New Roman"/>
          <w:sz w:val="20"/>
          <w:szCs w:val="20"/>
          <w:color w:val="auto"/>
        </w:rPr>
        <w:t xml:space="preserve"> (L.) Cogn., </w:t>
      </w:r>
      <w:r>
        <w:rPr>
          <w:rFonts w:ascii="Times New Roman" w:cs="Times New Roman" w:eastAsia="Times New Roman" w:hAnsi="Times New Roman"/>
          <w:sz w:val="20"/>
          <w:szCs w:val="20"/>
          <w:i w:val="1"/>
          <w:iCs w:val="1"/>
          <w:color w:val="auto"/>
        </w:rPr>
        <w:t>C. indica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Trichosanthes dioica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T. kirilowii </w:t>
      </w:r>
      <w:r>
        <w:rPr>
          <w:rFonts w:ascii="Times New Roman" w:cs="Times New Roman" w:eastAsia="Times New Roman" w:hAnsi="Times New Roman"/>
          <w:sz w:val="20"/>
          <w:szCs w:val="20"/>
          <w:color w:val="auto"/>
        </w:rPr>
        <w:t>Maxim.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have been experimentally evaluated. Only the roots of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cordifolia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T. dioica </w:t>
      </w:r>
      <w:r>
        <w:rPr>
          <w:rFonts w:ascii="Times New Roman" w:cs="Times New Roman" w:eastAsia="Times New Roman" w:hAnsi="Times New Roman"/>
          <w:sz w:val="20"/>
          <w:szCs w:val="20"/>
          <w:color w:val="auto"/>
        </w:rPr>
        <w:t>did not show toxic effects (Marles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&amp; Farnsworth, 1995).</w:t>
      </w:r>
    </w:p>
    <w:p>
      <w:pPr>
        <w:spacing w:after="0" w:line="2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Although these results seem to predict toxicity in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sonorae</w:t>
      </w:r>
      <w:r>
        <w:rPr>
          <w:rFonts w:ascii="Times New Roman" w:cs="Times New Roman" w:eastAsia="Times New Roman" w:hAnsi="Times New Roman"/>
          <w:sz w:val="19"/>
          <w:szCs w:val="19"/>
          <w:color w:val="auto"/>
        </w:rPr>
        <w:t>, when it was intraperitoneally injected at doses as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high as 850 mg/kg body weight, or when it was orally admin-istered at doses at high as 2000 mg/kg, no signs of toxicity were observed in healthy mice. Therefore, in order to achieve its lethal effect, it is necessary to increase these doses</w:t>
      </w:r>
      <w:r>
        <w:rPr>
          <w:rFonts w:ascii="Times New Roman" w:cs="Times New Roman" w:eastAsia="Times New Roman" w:hAnsi="Times New Roman"/>
          <w:sz w:val="19"/>
          <w:szCs w:val="19"/>
          <w:i w:val="1"/>
          <w:iCs w:val="1"/>
          <w:color w:val="auto"/>
        </w:rPr>
        <w:t>.</w:t>
      </w:r>
    </w:p>
    <w:p>
      <w:pPr>
        <w:sectPr>
          <w:pgSz w:w="11900" w:h="15860" w:orient="portrait"/>
          <w:cols w:equalWidth="0" w:num="2">
            <w:col w:w="4860" w:space="500"/>
            <w:col w:w="4840"/>
          </w:cols>
          <w:pgMar w:left="620" w:top="971" w:right="1080" w:bottom="273" w:gutter="0" w:footer="0" w:header="0"/>
          <w:type w:val="continuous"/>
        </w:sectPr>
      </w:pPr>
    </w:p>
    <w:bookmarkStart w:id="6" w:name="page7"/>
    <w:bookmarkEnd w:id="6"/>
    <w:tbl>
      <w:tblPr>
        <w:tblLayout w:type="fixed"/>
        <w:tblInd w:w="3280" w:type="dxa"/>
        <w:tblCellMar>
          <w:top w:w="0" w:type="dxa"/>
          <w:left w:w="0" w:type="dxa"/>
          <w:bottom w:w="0" w:type="dxa"/>
          <w:right w:w="0" w:type="dxa"/>
        </w:tblCellMar>
      </w:tblPr>
      <w:tr>
        <w:trPr>
          <w:trHeight w:val="230"/>
        </w:trPr>
        <w:tc>
          <w:tcPr>
            <w:tcW w:w="514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Hypoglycaemic activity of </w:t>
            </w:r>
            <w:r>
              <w:rPr>
                <w:rFonts w:ascii="Times New Roman" w:cs="Times New Roman" w:eastAsia="Times New Roman" w:hAnsi="Times New Roman"/>
                <w:sz w:val="20"/>
                <w:szCs w:val="20"/>
                <w:i w:val="1"/>
                <w:iCs w:val="1"/>
                <w:color w:val="auto"/>
              </w:rPr>
              <w:t>Ibervillea sonorae</w:t>
            </w:r>
          </w:p>
        </w:tc>
        <w:tc>
          <w:tcPr>
            <w:tcW w:w="1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575</w:t>
            </w:r>
          </w:p>
        </w:tc>
      </w:tr>
    </w:tbl>
    <w:p>
      <w:pPr>
        <w:spacing w:after="0" w:line="200" w:lineRule="exact"/>
        <w:rPr>
          <w:sz w:val="20"/>
          <w:szCs w:val="20"/>
          <w:color w:val="auto"/>
        </w:rPr>
      </w:pPr>
    </w:p>
    <w:p>
      <w:pPr>
        <w:sectPr>
          <w:pgSz w:w="11900" w:h="15860" w:orient="portrait"/>
          <w:cols w:equalWidth="0" w:num="1">
            <w:col w:w="10200"/>
          </w:cols>
          <w:pgMar w:left="1080" w:top="971" w:right="620" w:bottom="1440" w:gutter="0" w:footer="0" w:header="0"/>
        </w:sectPr>
      </w:pPr>
    </w:p>
    <w:p>
      <w:pPr>
        <w:spacing w:after="0" w:line="18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Some active constituents from Cucurbitaceae species have been isolated, such as: trihydroxyoctadecadienoic acid from </w:t>
      </w:r>
      <w:r>
        <w:rPr>
          <w:rFonts w:ascii="Times New Roman" w:cs="Times New Roman" w:eastAsia="Times New Roman" w:hAnsi="Times New Roman"/>
          <w:sz w:val="19"/>
          <w:szCs w:val="19"/>
          <w:i w:val="1"/>
          <w:iCs w:val="1"/>
          <w:color w:val="auto"/>
        </w:rPr>
        <w:t>Bryonia alba</w:t>
      </w:r>
      <w:r>
        <w:rPr>
          <w:rFonts w:ascii="Times New Roman" w:cs="Times New Roman" w:eastAsia="Times New Roman" w:hAnsi="Times New Roman"/>
          <w:sz w:val="19"/>
          <w:szCs w:val="19"/>
          <w:color w:val="auto"/>
        </w:rPr>
        <w:t>, pectin and a quaternary alkaloid from</w:t>
      </w:r>
      <w:r>
        <w:rPr>
          <w:rFonts w:ascii="Times New Roman" w:cs="Times New Roman" w:eastAsia="Times New Roman" w:hAnsi="Times New Roman"/>
          <w:sz w:val="19"/>
          <w:szCs w:val="19"/>
          <w:i w:val="1"/>
          <w:iCs w:val="1"/>
          <w:color w:val="auto"/>
        </w:rPr>
        <w:t xml:space="preserve"> Coc-cinia indica</w:t>
      </w:r>
      <w:r>
        <w:rPr>
          <w:rFonts w:ascii="Times New Roman" w:cs="Times New Roman" w:eastAsia="Times New Roman" w:hAnsi="Times New Roman"/>
          <w:sz w:val="19"/>
          <w:szCs w:val="19"/>
          <w:color w:val="auto"/>
        </w:rPr>
        <w:t>, and charantin from</w:t>
      </w:r>
      <w:r>
        <w:rPr>
          <w:rFonts w:ascii="Times New Roman" w:cs="Times New Roman" w:eastAsia="Times New Roman" w:hAnsi="Times New Roman"/>
          <w:sz w:val="19"/>
          <w:szCs w:val="19"/>
          <w:i w:val="1"/>
          <w:iCs w:val="1"/>
          <w:color w:val="auto"/>
        </w:rPr>
        <w:t xml:space="preserve"> Momordica foetida </w:t>
      </w:r>
      <w:r>
        <w:rPr>
          <w:rFonts w:ascii="Times New Roman" w:cs="Times New Roman" w:eastAsia="Times New Roman" w:hAnsi="Times New Roman"/>
          <w:sz w:val="19"/>
          <w:szCs w:val="19"/>
          <w:color w:val="auto"/>
        </w:rPr>
        <w:t xml:space="preserve">Schu-mach and Thonn. Charantin was isolated from </w:t>
      </w:r>
      <w:r>
        <w:rPr>
          <w:rFonts w:ascii="Times New Roman" w:cs="Times New Roman" w:eastAsia="Times New Roman" w:hAnsi="Times New Roman"/>
          <w:sz w:val="19"/>
          <w:szCs w:val="19"/>
          <w:i w:val="1"/>
          <w:iCs w:val="1"/>
          <w:color w:val="auto"/>
        </w:rPr>
        <w:t>Momordica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charantia </w:t>
      </w:r>
      <w:r>
        <w:rPr>
          <w:rFonts w:ascii="Times New Roman" w:cs="Times New Roman" w:eastAsia="Times New Roman" w:hAnsi="Times New Roman"/>
          <w:sz w:val="19"/>
          <w:szCs w:val="19"/>
          <w:color w:val="auto"/>
        </w:rPr>
        <w:t>Linn., the most widely used medicinal plant in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control of diabetes mellitus, and one of the most studied anti-diabetic plants as well (Karunanayake et al., 1984, 1990; Welihinda &amp; Karunanayake, 1986; Ali et al., 1993; Tennekoon et al., 1994; Marles &amp; Farnsworth, 1995; De Smet, 1997; Perez et al., 1998).</w:t>
      </w:r>
    </w:p>
    <w:p>
      <w:pPr>
        <w:spacing w:after="0" w:line="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It is very important to consider the impact of the depre-dation of this wild plant species caused by human beings. The reproductive process of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is decreasing because the root is the part of the plant used for the empiri-cal treatment of diabetes. Although the quantity of plant material extracted is unknown, it is important to start pro-grams leading to the preservation of this interesting resource. It is also a priority to start the toxicological studies of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sonorae</w:t>
      </w:r>
      <w:r>
        <w:rPr>
          <w:rFonts w:ascii="Times New Roman" w:cs="Times New Roman" w:eastAsia="Times New Roman" w:hAnsi="Times New Roman"/>
          <w:sz w:val="19"/>
          <w:szCs w:val="19"/>
          <w:color w:val="auto"/>
        </w:rPr>
        <w:t>, as well as the chemical and pharmacological trials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aimed to isolate and characterize the active constituent. The plant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exists in two reproductive forms (male and female). Although people in Mexico traditionally use a mixture of the male and female plants, it is necessary to determine if both forms cause the same hypoglycemic effect.</w:t>
      </w:r>
    </w:p>
    <w:p>
      <w:pPr>
        <w:spacing w:after="0" w:line="8"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The present investigation shows that </w:t>
      </w:r>
      <w:r>
        <w:rPr>
          <w:rFonts w:ascii="Times New Roman" w:cs="Times New Roman" w:eastAsia="Times New Roman" w:hAnsi="Times New Roman"/>
          <w:sz w:val="19"/>
          <w:szCs w:val="19"/>
          <w:i w:val="1"/>
          <w:iCs w:val="1"/>
          <w:color w:val="auto"/>
        </w:rPr>
        <w:t>Ibervillea sonorae</w:t>
      </w:r>
      <w:r>
        <w:rPr>
          <w:rFonts w:ascii="Times New Roman" w:cs="Times New Roman" w:eastAsia="Times New Roman" w:hAnsi="Times New Roman"/>
          <w:sz w:val="19"/>
          <w:szCs w:val="19"/>
          <w:color w:val="auto"/>
        </w:rPr>
        <w:t xml:space="preserve"> roots reduce the blood glucose levels in healthy mice and mild alloxan-diabetic mice and rats, but do not reduce hyper-glycemia in severe alloxan-diabetic rats. In conjunction with previous toxicological studies, these results validate the use of </w:t>
      </w:r>
      <w:r>
        <w:rPr>
          <w:rFonts w:ascii="Times New Roman" w:cs="Times New Roman" w:eastAsia="Times New Roman" w:hAnsi="Times New Roman"/>
          <w:sz w:val="19"/>
          <w:szCs w:val="19"/>
          <w:i w:val="1"/>
          <w:iCs w:val="1"/>
          <w:color w:val="auto"/>
        </w:rPr>
        <w:t>I. sonorae</w:t>
      </w:r>
      <w:r>
        <w:rPr>
          <w:rFonts w:ascii="Times New Roman" w:cs="Times New Roman" w:eastAsia="Times New Roman" w:hAnsi="Times New Roman"/>
          <w:sz w:val="19"/>
          <w:szCs w:val="19"/>
          <w:color w:val="auto"/>
        </w:rPr>
        <w:t xml:space="preserve"> in the treatment of type 2 diabetes.</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138" w:lineRule="exact"/>
        <w:rPr>
          <w:sz w:val="20"/>
          <w:szCs w:val="20"/>
          <w:color w:val="auto"/>
        </w:rPr>
      </w:pPr>
    </w:p>
    <w:p>
      <w:pPr>
        <w:jc w:val="both"/>
        <w:ind w:left="360" w:hanging="359"/>
        <w:spacing w:after="0" w:line="254" w:lineRule="auto"/>
        <w:rPr>
          <w:sz w:val="20"/>
          <w:szCs w:val="20"/>
          <w:color w:val="auto"/>
        </w:rPr>
      </w:pPr>
      <w:r>
        <w:rPr>
          <w:rFonts w:ascii="Times New Roman" w:cs="Times New Roman" w:eastAsia="Times New Roman" w:hAnsi="Times New Roman"/>
          <w:sz w:val="19"/>
          <w:szCs w:val="19"/>
          <w:color w:val="auto"/>
        </w:rPr>
        <w:t>Alarcon-Aguilar</w:t>
      </w:r>
      <w:r>
        <w:rPr>
          <w:sz w:val="20"/>
          <w:szCs w:val="20"/>
          <w:color w:val="auto"/>
        </w:rPr>
        <w:t xml:space="preserve"> </w:t>
      </w:r>
      <w:r>
        <w:rPr>
          <w:rFonts w:ascii="Times New Roman" w:cs="Times New Roman" w:eastAsia="Times New Roman" w:hAnsi="Times New Roman"/>
          <w:sz w:val="19"/>
          <w:szCs w:val="19"/>
          <w:color w:val="auto"/>
        </w:rPr>
        <w:t xml:space="preserve">FJ, Jimenez-Estrada M, Reyes-Chilpa R, Roman-Ramos R (2000): Hypoglycaemic effect of extracts and fractions from </w:t>
      </w:r>
      <w:r>
        <w:rPr>
          <w:rFonts w:ascii="Times New Roman" w:cs="Times New Roman" w:eastAsia="Times New Roman" w:hAnsi="Times New Roman"/>
          <w:sz w:val="19"/>
          <w:szCs w:val="19"/>
          <w:i w:val="1"/>
          <w:iCs w:val="1"/>
          <w:color w:val="auto"/>
        </w:rPr>
        <w:t>Psacalium decompositum</w:t>
      </w:r>
      <w:r>
        <w:rPr>
          <w:rFonts w:ascii="Times New Roman" w:cs="Times New Roman" w:eastAsia="Times New Roman" w:hAnsi="Times New Roman"/>
          <w:sz w:val="19"/>
          <w:szCs w:val="19"/>
          <w:color w:val="auto"/>
        </w:rPr>
        <w:t xml:space="preserve"> in healthy and alloxan-diabetic mice. </w:t>
      </w:r>
      <w:r>
        <w:rPr>
          <w:rFonts w:ascii="Times New Roman" w:cs="Times New Roman" w:eastAsia="Times New Roman" w:hAnsi="Times New Roman"/>
          <w:sz w:val="19"/>
          <w:szCs w:val="19"/>
          <w:i w:val="1"/>
          <w:iCs w:val="1"/>
          <w:color w:val="auto"/>
        </w:rPr>
        <w:t>J Ethnopharmacol 72</w:t>
      </w:r>
      <w:r>
        <w:rPr>
          <w:rFonts w:ascii="Times New Roman" w:cs="Times New Roman" w:eastAsia="Times New Roman" w:hAnsi="Times New Roman"/>
          <w:sz w:val="19"/>
          <w:szCs w:val="19"/>
          <w:color w:val="auto"/>
        </w:rPr>
        <w:t>: 21–27.</w:t>
      </w:r>
    </w:p>
    <w:p>
      <w:pPr>
        <w:spacing w:after="0" w:line="19" w:lineRule="exact"/>
        <w:rPr>
          <w:sz w:val="20"/>
          <w:szCs w:val="20"/>
          <w:color w:val="auto"/>
        </w:rPr>
      </w:pPr>
    </w:p>
    <w:p>
      <w:pPr>
        <w:jc w:val="both"/>
        <w:ind w:left="360" w:hanging="359"/>
        <w:spacing w:after="0" w:line="255" w:lineRule="auto"/>
        <w:rPr>
          <w:sz w:val="20"/>
          <w:szCs w:val="20"/>
          <w:color w:val="auto"/>
        </w:rPr>
      </w:pPr>
      <w:r>
        <w:rPr>
          <w:rFonts w:ascii="Times New Roman" w:cs="Times New Roman" w:eastAsia="Times New Roman" w:hAnsi="Times New Roman"/>
          <w:sz w:val="19"/>
          <w:szCs w:val="19"/>
          <w:color w:val="auto"/>
        </w:rPr>
        <w:t xml:space="preserve">Ali L, Azad Khan AK, Rouf Mamun MI, Mosihuzzaman M, Nahar N, Nur-e-Alam M, Rokeya B (1993): Studies on hypoglycemic effects of fruit pulp, seed, and whole plant of </w:t>
      </w:r>
      <w:r>
        <w:rPr>
          <w:rFonts w:ascii="Times New Roman" w:cs="Times New Roman" w:eastAsia="Times New Roman" w:hAnsi="Times New Roman"/>
          <w:sz w:val="19"/>
          <w:szCs w:val="19"/>
          <w:i w:val="1"/>
          <w:iCs w:val="1"/>
          <w:color w:val="auto"/>
        </w:rPr>
        <w:t xml:space="preserve">Momordica charantia </w:t>
      </w:r>
      <w:r>
        <w:rPr>
          <w:rFonts w:ascii="Times New Roman" w:cs="Times New Roman" w:eastAsia="Times New Roman" w:hAnsi="Times New Roman"/>
          <w:sz w:val="19"/>
          <w:szCs w:val="19"/>
          <w:color w:val="auto"/>
        </w:rPr>
        <w:t>on normal and diabetic model rats.</w:t>
      </w:r>
      <w:r>
        <w:rPr>
          <w:rFonts w:ascii="Times New Roman" w:cs="Times New Roman" w:eastAsia="Times New Roman" w:hAnsi="Times New Roman"/>
          <w:sz w:val="19"/>
          <w:szCs w:val="19"/>
          <w:i w:val="1"/>
          <w:iCs w:val="1"/>
          <w:color w:val="auto"/>
        </w:rPr>
        <w:t xml:space="preserve"> Planta Med 59</w:t>
      </w:r>
      <w:r>
        <w:rPr>
          <w:rFonts w:ascii="Times New Roman" w:cs="Times New Roman" w:eastAsia="Times New Roman" w:hAnsi="Times New Roman"/>
          <w:sz w:val="19"/>
          <w:szCs w:val="19"/>
          <w:color w:val="auto"/>
        </w:rPr>
        <w:t>: 408–412.</w:t>
      </w:r>
    </w:p>
    <w:p>
      <w:pPr>
        <w:spacing w:after="0" w:line="19"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9"/>
          <w:szCs w:val="19"/>
          <w:color w:val="auto"/>
        </w:rPr>
        <w:t>Alpizar-Salazar M, Sotomayor-Gallardo A, Castro-Ramos MA, Zarate-Aguilar A, Madrazo-Navarro M (1998): Diabetes</w:t>
      </w:r>
    </w:p>
    <w:p>
      <w:pPr>
        <w:spacing w:after="0" w:line="20" w:lineRule="exact"/>
        <w:rPr>
          <w:sz w:val="20"/>
          <w:szCs w:val="20"/>
          <w:color w:val="auto"/>
        </w:rPr>
      </w:pPr>
      <w:r>
        <w:rPr>
          <w:sz w:val="20"/>
          <w:szCs w:val="20"/>
          <w:color w:val="auto"/>
        </w:rPr>
        <w:br w:type="column"/>
      </w:r>
    </w:p>
    <w:p>
      <w:pPr>
        <w:spacing w:after="0" w:line="15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mellitus,  prioridad  institucional.  </w:t>
      </w:r>
      <w:r>
        <w:rPr>
          <w:rFonts w:ascii="Times New Roman" w:cs="Times New Roman" w:eastAsia="Times New Roman" w:hAnsi="Times New Roman"/>
          <w:sz w:val="19"/>
          <w:szCs w:val="19"/>
          <w:i w:val="1"/>
          <w:iCs w:val="1"/>
          <w:color w:val="auto"/>
        </w:rPr>
        <w:t>Salud  Comunitaria  2</w:t>
      </w:r>
      <w:r>
        <w:rPr>
          <w:rFonts w:ascii="Times New Roman" w:cs="Times New Roman" w:eastAsia="Times New Roman" w:hAnsi="Times New Roman"/>
          <w:sz w:val="19"/>
          <w:szCs w:val="19"/>
          <w:color w:val="auto"/>
        </w:rPr>
        <w:t>:</w:t>
      </w:r>
    </w:p>
    <w:p>
      <w:pPr>
        <w:spacing w:after="0" w:line="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31–35.</w:t>
      </w:r>
    </w:p>
    <w:p>
      <w:pPr>
        <w:spacing w:after="0" w:line="3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American Diabetes Association (2000): Screening for type 2 diabetes (Position Statement). </w:t>
      </w:r>
      <w:r>
        <w:rPr>
          <w:rFonts w:ascii="Times New Roman" w:cs="Times New Roman" w:eastAsia="Times New Roman" w:hAnsi="Times New Roman"/>
          <w:sz w:val="19"/>
          <w:szCs w:val="19"/>
          <w:i w:val="1"/>
          <w:iCs w:val="1"/>
          <w:color w:val="auto"/>
        </w:rPr>
        <w:t>Diabetes Care 23</w:t>
      </w:r>
      <w:r>
        <w:rPr>
          <w:rFonts w:ascii="Times New Roman" w:cs="Times New Roman" w:eastAsia="Times New Roman" w:hAnsi="Times New Roman"/>
          <w:sz w:val="19"/>
          <w:szCs w:val="19"/>
          <w:color w:val="auto"/>
        </w:rPr>
        <w:t xml:space="preserve"> (Suppl. 1): 20–23.</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Smet PAGM (1997): The role of plant-derived drugs and</w:t>
      </w:r>
    </w:p>
    <w:p>
      <w:pPr>
        <w:spacing w:after="0" w:line="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herbal medicines in healthcare. </w:t>
      </w:r>
      <w:r>
        <w:rPr>
          <w:rFonts w:ascii="Times New Roman" w:cs="Times New Roman" w:eastAsia="Times New Roman" w:hAnsi="Times New Roman"/>
          <w:sz w:val="19"/>
          <w:szCs w:val="19"/>
          <w:i w:val="1"/>
          <w:iCs w:val="1"/>
          <w:color w:val="auto"/>
        </w:rPr>
        <w:t>Drugs 54</w:t>
      </w:r>
      <w:r>
        <w:rPr>
          <w:rFonts w:ascii="Times New Roman" w:cs="Times New Roman" w:eastAsia="Times New Roman" w:hAnsi="Times New Roman"/>
          <w:sz w:val="19"/>
          <w:szCs w:val="19"/>
          <w:color w:val="auto"/>
        </w:rPr>
        <w:t>: 801–840.</w:t>
      </w:r>
    </w:p>
    <w:p>
      <w:pPr>
        <w:spacing w:after="0" w:line="30" w:lineRule="exact"/>
        <w:rPr>
          <w:sz w:val="20"/>
          <w:szCs w:val="20"/>
          <w:color w:val="auto"/>
        </w:rPr>
      </w:pPr>
    </w:p>
    <w:p>
      <w:pPr>
        <w:jc w:val="both"/>
        <w:ind w:left="360" w:hanging="359"/>
        <w:spacing w:after="0" w:line="256" w:lineRule="auto"/>
        <w:rPr>
          <w:sz w:val="20"/>
          <w:szCs w:val="20"/>
          <w:color w:val="auto"/>
        </w:rPr>
      </w:pPr>
      <w:r>
        <w:rPr>
          <w:rFonts w:ascii="Times New Roman" w:cs="Times New Roman" w:eastAsia="Times New Roman" w:hAnsi="Times New Roman"/>
          <w:sz w:val="19"/>
          <w:szCs w:val="19"/>
          <w:color w:val="auto"/>
        </w:rPr>
        <w:t>Karunanayake</w:t>
      </w:r>
      <w:r>
        <w:rPr>
          <w:sz w:val="20"/>
          <w:szCs w:val="20"/>
          <w:color w:val="auto"/>
        </w:rPr>
        <w:t xml:space="preserve"> </w:t>
      </w:r>
      <w:r>
        <w:rPr>
          <w:rFonts w:ascii="Times New Roman" w:cs="Times New Roman" w:eastAsia="Times New Roman" w:hAnsi="Times New Roman"/>
          <w:sz w:val="19"/>
          <w:szCs w:val="19"/>
          <w:color w:val="auto"/>
        </w:rPr>
        <w:t xml:space="preserve">EH, Welihinda J, Sirimanne SR, Gowri Sinnadorai (1984): Oral hypoglycaemic activity of some medicinal plants of Sri Lanka. </w:t>
      </w:r>
      <w:r>
        <w:rPr>
          <w:rFonts w:ascii="Times New Roman" w:cs="Times New Roman" w:eastAsia="Times New Roman" w:hAnsi="Times New Roman"/>
          <w:sz w:val="19"/>
          <w:szCs w:val="19"/>
          <w:i w:val="1"/>
          <w:iCs w:val="1"/>
          <w:color w:val="auto"/>
        </w:rPr>
        <w:t>J Ethnopharmacol 11</w:t>
      </w:r>
      <w:r>
        <w:rPr>
          <w:rFonts w:ascii="Times New Roman" w:cs="Times New Roman" w:eastAsia="Times New Roman" w:hAnsi="Times New Roman"/>
          <w:sz w:val="19"/>
          <w:szCs w:val="19"/>
          <w:color w:val="auto"/>
        </w:rPr>
        <w:t>: 223– 231.</w:t>
      </w:r>
    </w:p>
    <w:p>
      <w:pPr>
        <w:spacing w:after="0" w:line="245" w:lineRule="exact"/>
        <w:rPr>
          <w:sz w:val="20"/>
          <w:szCs w:val="20"/>
          <w:color w:val="auto"/>
        </w:rPr>
      </w:pPr>
    </w:p>
    <w:p>
      <w:pPr>
        <w:jc w:val="both"/>
        <w:ind w:left="360" w:hanging="359"/>
        <w:spacing w:after="0" w:line="272" w:lineRule="auto"/>
        <w:rPr>
          <w:sz w:val="20"/>
          <w:szCs w:val="20"/>
          <w:color w:val="auto"/>
        </w:rPr>
      </w:pPr>
      <w:r>
        <w:rPr>
          <w:rFonts w:ascii="Times New Roman" w:cs="Times New Roman" w:eastAsia="Times New Roman" w:hAnsi="Times New Roman"/>
          <w:sz w:val="18"/>
          <w:szCs w:val="18"/>
          <w:color w:val="auto"/>
        </w:rPr>
        <w:t xml:space="preserve">Karunanayake EH, Jeevathayaparan S, Tennekoon KH (1990): Effect of </w:t>
      </w:r>
      <w:r>
        <w:rPr>
          <w:rFonts w:ascii="Times New Roman" w:cs="Times New Roman" w:eastAsia="Times New Roman" w:hAnsi="Times New Roman"/>
          <w:sz w:val="18"/>
          <w:szCs w:val="18"/>
          <w:i w:val="1"/>
          <w:iCs w:val="1"/>
          <w:color w:val="auto"/>
        </w:rPr>
        <w:t>Momordica charantia</w:t>
      </w:r>
      <w:r>
        <w:rPr>
          <w:rFonts w:ascii="Times New Roman" w:cs="Times New Roman" w:eastAsia="Times New Roman" w:hAnsi="Times New Roman"/>
          <w:sz w:val="18"/>
          <w:szCs w:val="18"/>
          <w:color w:val="auto"/>
        </w:rPr>
        <w:t xml:space="preserve"> fruit juice on streptozotocin induced diabetes in rats. </w:t>
      </w:r>
      <w:r>
        <w:rPr>
          <w:rFonts w:ascii="Times New Roman" w:cs="Times New Roman" w:eastAsia="Times New Roman" w:hAnsi="Times New Roman"/>
          <w:sz w:val="18"/>
          <w:szCs w:val="18"/>
          <w:i w:val="1"/>
          <w:iCs w:val="1"/>
          <w:color w:val="auto"/>
        </w:rPr>
        <w:t>J Ethnopharmacol 30</w:t>
      </w:r>
      <w:r>
        <w:rPr>
          <w:rFonts w:ascii="Times New Roman" w:cs="Times New Roman" w:eastAsia="Times New Roman" w:hAnsi="Times New Roman"/>
          <w:sz w:val="18"/>
          <w:szCs w:val="18"/>
          <w:color w:val="auto"/>
        </w:rPr>
        <w:t>: 199–204.</w:t>
      </w:r>
    </w:p>
    <w:p>
      <w:pPr>
        <w:spacing w:after="0" w:line="4"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Lopez R, Hinojosa A (1988): </w:t>
      </w:r>
      <w:r>
        <w:rPr>
          <w:rFonts w:ascii="Times New Roman" w:cs="Times New Roman" w:eastAsia="Times New Roman" w:hAnsi="Times New Roman"/>
          <w:sz w:val="19"/>
          <w:szCs w:val="19"/>
          <w:i w:val="1"/>
          <w:iCs w:val="1"/>
          <w:color w:val="auto"/>
        </w:rPr>
        <w:t>Catálogo de plantas medicinales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sonorenses</w:t>
      </w:r>
      <w:r>
        <w:rPr>
          <w:rFonts w:ascii="Times New Roman" w:cs="Times New Roman" w:eastAsia="Times New Roman" w:hAnsi="Times New Roman"/>
          <w:sz w:val="19"/>
          <w:szCs w:val="19"/>
          <w:color w:val="auto"/>
        </w:rPr>
        <w:t>. Universidad de Sonora, Hermosillo Son,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México. 133 p.</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Marles RJ, Farnsworth NR (1995): Antidiabetic plants and their</w:t>
      </w:r>
    </w:p>
    <w:p>
      <w:pPr>
        <w:spacing w:after="0" w:line="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active constituents. </w:t>
      </w:r>
      <w:r>
        <w:rPr>
          <w:rFonts w:ascii="Times New Roman" w:cs="Times New Roman" w:eastAsia="Times New Roman" w:hAnsi="Times New Roman"/>
          <w:sz w:val="19"/>
          <w:szCs w:val="19"/>
          <w:i w:val="1"/>
          <w:iCs w:val="1"/>
          <w:color w:val="auto"/>
        </w:rPr>
        <w:t>Phytomedicine 2</w:t>
      </w:r>
      <w:r>
        <w:rPr>
          <w:rFonts w:ascii="Times New Roman" w:cs="Times New Roman" w:eastAsia="Times New Roman" w:hAnsi="Times New Roman"/>
          <w:sz w:val="19"/>
          <w:szCs w:val="19"/>
          <w:color w:val="auto"/>
        </w:rPr>
        <w:t>: 137–189.</w:t>
      </w:r>
    </w:p>
    <w:p>
      <w:pPr>
        <w:spacing w:after="0" w:line="3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Perez GRM, Zavala SMA, Perez GS, Perez GC (1998): Anti-diabetic effect of compounds isolated from plants. </w:t>
      </w:r>
      <w:r>
        <w:rPr>
          <w:rFonts w:ascii="Times New Roman" w:cs="Times New Roman" w:eastAsia="Times New Roman" w:hAnsi="Times New Roman"/>
          <w:sz w:val="19"/>
          <w:szCs w:val="19"/>
          <w:i w:val="1"/>
          <w:iCs w:val="1"/>
          <w:color w:val="auto"/>
        </w:rPr>
        <w:t>Phytomedicine 5</w:t>
      </w:r>
      <w:r>
        <w:rPr>
          <w:rFonts w:ascii="Times New Roman" w:cs="Times New Roman" w:eastAsia="Times New Roman" w:hAnsi="Times New Roman"/>
          <w:sz w:val="19"/>
          <w:szCs w:val="19"/>
          <w:color w:val="auto"/>
        </w:rPr>
        <w:t>: 55–75.</w:t>
      </w:r>
    </w:p>
    <w:p>
      <w:pPr>
        <w:spacing w:after="0" w:line="2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Pfefferkorn I (1984): </w:t>
      </w:r>
      <w:r>
        <w:rPr>
          <w:rFonts w:ascii="Times New Roman" w:cs="Times New Roman" w:eastAsia="Times New Roman" w:hAnsi="Times New Roman"/>
          <w:sz w:val="19"/>
          <w:szCs w:val="19"/>
          <w:i w:val="1"/>
          <w:iCs w:val="1"/>
          <w:color w:val="auto"/>
        </w:rPr>
        <w:t>Descripción de la provincia de Sonora</w:t>
      </w:r>
      <w:r>
        <w:rPr>
          <w:rFonts w:ascii="Times New Roman" w:cs="Times New Roman" w:eastAsia="Times New Roman" w:hAnsi="Times New Roman"/>
          <w:sz w:val="19"/>
          <w:szCs w:val="19"/>
          <w:color w:val="auto"/>
        </w:rPr>
        <w:t>. Libro Primero. Gobierno del Estado de Sonora, Her-mosillo, Son, México.</w:t>
      </w:r>
    </w:p>
    <w:p>
      <w:pPr>
        <w:spacing w:after="0" w:line="2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Rodriguez H, Perez RM, Muñoz H, Perez C, Miranda R (1975): Inducción de diabetes en ratón por medio de aloxana. </w:t>
      </w:r>
      <w:r>
        <w:rPr>
          <w:rFonts w:ascii="Times New Roman" w:cs="Times New Roman" w:eastAsia="Times New Roman" w:hAnsi="Times New Roman"/>
          <w:sz w:val="19"/>
          <w:szCs w:val="19"/>
          <w:i w:val="1"/>
          <w:iCs w:val="1"/>
          <w:color w:val="auto"/>
        </w:rPr>
        <w:t>Acta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Medica XI</w:t>
      </w:r>
      <w:r>
        <w:rPr>
          <w:rFonts w:ascii="Times New Roman" w:cs="Times New Roman" w:eastAsia="Times New Roman" w:hAnsi="Times New Roman"/>
          <w:sz w:val="19"/>
          <w:szCs w:val="19"/>
          <w:color w:val="auto"/>
        </w:rPr>
        <w:t>: 33–36.</w:t>
      </w:r>
    </w:p>
    <w:p>
      <w:pPr>
        <w:spacing w:after="0" w:line="2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Roman-Ramos R, Lara-Lemus A, Alarcon-Aguilar F, Flores-Saenz JL (1992): Hypoglycaemic activity of some antidia-betic plants</w:t>
      </w:r>
      <w:r>
        <w:rPr>
          <w:rFonts w:ascii="Times New Roman" w:cs="Times New Roman" w:eastAsia="Times New Roman" w:hAnsi="Times New Roman"/>
          <w:sz w:val="19"/>
          <w:szCs w:val="19"/>
          <w:i w:val="1"/>
          <w:iCs w:val="1"/>
          <w:color w:val="auto"/>
        </w:rPr>
        <w:t>. Arch Med Res 23</w:t>
      </w:r>
      <w:r>
        <w:rPr>
          <w:rFonts w:ascii="Times New Roman" w:cs="Times New Roman" w:eastAsia="Times New Roman" w:hAnsi="Times New Roman"/>
          <w:sz w:val="19"/>
          <w:szCs w:val="19"/>
          <w:color w:val="auto"/>
        </w:rPr>
        <w:t>: 105–109.</w:t>
      </w:r>
    </w:p>
    <w:p>
      <w:pPr>
        <w:spacing w:after="0" w:line="20"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Roman-Ramos R, Flores-Saenz JL, Alarcon-Aguilar F (1995): Anti-hyperglycemic effect of some edible plants.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Ethnopharmacol 48</w:t>
      </w:r>
      <w:r>
        <w:rPr>
          <w:rFonts w:ascii="Times New Roman" w:cs="Times New Roman" w:eastAsia="Times New Roman" w:hAnsi="Times New Roman"/>
          <w:sz w:val="19"/>
          <w:szCs w:val="19"/>
          <w:color w:val="auto"/>
        </w:rPr>
        <w:t>: 25–32.</w:t>
      </w:r>
    </w:p>
    <w:p>
      <w:pPr>
        <w:spacing w:after="0" w:line="20" w:lineRule="exact"/>
        <w:rPr>
          <w:sz w:val="20"/>
          <w:szCs w:val="20"/>
          <w:color w:val="auto"/>
        </w:rPr>
      </w:pPr>
    </w:p>
    <w:p>
      <w:pPr>
        <w:jc w:val="both"/>
        <w:ind w:left="360" w:hanging="359"/>
        <w:spacing w:after="0" w:line="254" w:lineRule="auto"/>
        <w:rPr>
          <w:sz w:val="20"/>
          <w:szCs w:val="20"/>
          <w:color w:val="auto"/>
        </w:rPr>
      </w:pPr>
      <w:r>
        <w:rPr>
          <w:rFonts w:ascii="Times New Roman" w:cs="Times New Roman" w:eastAsia="Times New Roman" w:hAnsi="Times New Roman"/>
          <w:sz w:val="19"/>
          <w:szCs w:val="19"/>
          <w:color w:val="auto"/>
        </w:rPr>
        <w:t>Tennekoon</w:t>
      </w:r>
      <w:r>
        <w:rPr>
          <w:sz w:val="20"/>
          <w:szCs w:val="20"/>
          <w:color w:val="auto"/>
        </w:rPr>
        <w:t xml:space="preserve"> </w:t>
      </w:r>
      <w:r>
        <w:rPr>
          <w:rFonts w:ascii="Times New Roman" w:cs="Times New Roman" w:eastAsia="Times New Roman" w:hAnsi="Times New Roman"/>
          <w:sz w:val="19"/>
          <w:szCs w:val="19"/>
          <w:color w:val="auto"/>
        </w:rPr>
        <w:t xml:space="preserve">KH, Jeevathayaparan S, Angunawala P, Karunanayake EH, Jayasinghe KSA (1994): Effect of </w:t>
      </w:r>
      <w:r>
        <w:rPr>
          <w:rFonts w:ascii="Times New Roman" w:cs="Times New Roman" w:eastAsia="Times New Roman" w:hAnsi="Times New Roman"/>
          <w:sz w:val="19"/>
          <w:szCs w:val="19"/>
          <w:i w:val="1"/>
          <w:iCs w:val="1"/>
          <w:color w:val="auto"/>
        </w:rPr>
        <w:t xml:space="preserve">Momordica charantia </w:t>
      </w:r>
      <w:r>
        <w:rPr>
          <w:rFonts w:ascii="Times New Roman" w:cs="Times New Roman" w:eastAsia="Times New Roman" w:hAnsi="Times New Roman"/>
          <w:sz w:val="19"/>
          <w:szCs w:val="19"/>
          <w:color w:val="auto"/>
        </w:rPr>
        <w:t>on key hepatic enzymes.</w:t>
      </w:r>
      <w:r>
        <w:rPr>
          <w:rFonts w:ascii="Times New Roman" w:cs="Times New Roman" w:eastAsia="Times New Roman" w:hAnsi="Times New Roman"/>
          <w:sz w:val="19"/>
          <w:szCs w:val="19"/>
          <w:i w:val="1"/>
          <w:iCs w:val="1"/>
          <w:color w:val="auto"/>
        </w:rPr>
        <w:t xml:space="preserve"> J Ethnopharmacol 44</w:t>
      </w:r>
      <w:r>
        <w:rPr>
          <w:rFonts w:ascii="Times New Roman" w:cs="Times New Roman" w:eastAsia="Times New Roman" w:hAnsi="Times New Roman"/>
          <w:sz w:val="19"/>
          <w:szCs w:val="19"/>
          <w:color w:val="auto"/>
        </w:rPr>
        <w:t>: 93–97.</w:t>
      </w:r>
    </w:p>
    <w:p>
      <w:pPr>
        <w:spacing w:after="0" w:line="19"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Welihinda J, Karunanayake EH (1986): Extra-pancreatic effects of </w:t>
      </w:r>
      <w:r>
        <w:rPr>
          <w:rFonts w:ascii="Times New Roman" w:cs="Times New Roman" w:eastAsia="Times New Roman" w:hAnsi="Times New Roman"/>
          <w:sz w:val="19"/>
          <w:szCs w:val="19"/>
          <w:i w:val="1"/>
          <w:iCs w:val="1"/>
          <w:color w:val="auto"/>
        </w:rPr>
        <w:t>Momordica charantia</w:t>
      </w:r>
      <w:r>
        <w:rPr>
          <w:rFonts w:ascii="Times New Roman" w:cs="Times New Roman" w:eastAsia="Times New Roman" w:hAnsi="Times New Roman"/>
          <w:sz w:val="19"/>
          <w:szCs w:val="19"/>
          <w:color w:val="auto"/>
        </w:rPr>
        <w:t xml:space="preserve"> in rats. </w:t>
      </w:r>
      <w:r>
        <w:rPr>
          <w:rFonts w:ascii="Times New Roman" w:cs="Times New Roman" w:eastAsia="Times New Roman" w:hAnsi="Times New Roman"/>
          <w:sz w:val="19"/>
          <w:szCs w:val="19"/>
          <w:i w:val="1"/>
          <w:iCs w:val="1"/>
          <w:color w:val="auto"/>
        </w:rPr>
        <w:t>J Ethnopharmacol 17</w:t>
      </w:r>
      <w:r>
        <w:rPr>
          <w:rFonts w:ascii="Times New Roman" w:cs="Times New Roman" w:eastAsia="Times New Roman" w:hAnsi="Times New Roman"/>
          <w:sz w:val="19"/>
          <w:szCs w:val="19"/>
          <w:color w:val="auto"/>
        </w:rPr>
        <w:t>: 247–255.</w:t>
      </w:r>
    </w:p>
    <w:p>
      <w:pPr>
        <w:spacing w:after="0" w:line="20" w:lineRule="exact"/>
        <w:rPr>
          <w:sz w:val="20"/>
          <w:szCs w:val="20"/>
          <w:color w:val="auto"/>
        </w:rPr>
      </w:pPr>
    </w:p>
    <w:p>
      <w:pPr>
        <w:jc w:val="both"/>
        <w:ind w:left="360" w:hanging="359"/>
        <w:spacing w:after="0" w:line="255" w:lineRule="auto"/>
        <w:rPr>
          <w:sz w:val="20"/>
          <w:szCs w:val="20"/>
          <w:color w:val="auto"/>
        </w:rPr>
      </w:pPr>
      <w:r>
        <w:rPr>
          <w:rFonts w:ascii="Times New Roman" w:cs="Times New Roman" w:eastAsia="Times New Roman" w:hAnsi="Times New Roman"/>
          <w:sz w:val="19"/>
          <w:szCs w:val="19"/>
          <w:color w:val="auto"/>
        </w:rPr>
        <w:t xml:space="preserve">Xolalpa-Molina S (1994): Flora Medicinal Mayo de la región de El Fuerte y Choix, Sinaloa. In: Instituto Nacional Indigenista, ed., </w:t>
      </w:r>
      <w:r>
        <w:rPr>
          <w:rFonts w:ascii="Times New Roman" w:cs="Times New Roman" w:eastAsia="Times New Roman" w:hAnsi="Times New Roman"/>
          <w:sz w:val="19"/>
          <w:szCs w:val="19"/>
          <w:i w:val="1"/>
          <w:iCs w:val="1"/>
          <w:color w:val="auto"/>
        </w:rPr>
        <w:t>Biblioteca de la Medicina Tradicional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Mexicana. Flora Medicinal Indígena de México</w:t>
      </w:r>
      <w:r>
        <w:rPr>
          <w:rFonts w:ascii="Times New Roman" w:cs="Times New Roman" w:eastAsia="Times New Roman" w:hAnsi="Times New Roman"/>
          <w:sz w:val="19"/>
          <w:szCs w:val="19"/>
          <w:color w:val="auto"/>
        </w:rPr>
        <w:t>. Tomo 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México, pp. 363–411.</w:t>
      </w:r>
    </w:p>
    <w:sectPr>
      <w:pgSz w:w="11900" w:h="15860" w:orient="portrait"/>
      <w:cols w:equalWidth="0" w:num="2">
        <w:col w:w="4860" w:space="500"/>
        <w:col w:w="4840"/>
      </w:cols>
      <w:pgMar w:left="1080" w:top="971" w:right="6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10" Type="http://schemas.openxmlformats.org/officeDocument/2006/relationships/hyperlink" Target="https://www.tandfonline.com/loi/iphb20" TargetMode="External"/><Relationship Id="rId12" Type="http://schemas.openxmlformats.org/officeDocument/2006/relationships/hyperlink" Target="https://www.tandfonline.com/action/showCitFormats?doi=10.1076/phbi.40.8.570.14652" TargetMode="External"/><Relationship Id="rId13" Type="http://schemas.openxmlformats.org/officeDocument/2006/relationships/hyperlink" Target="https://doi.org/10.1076/phbi.40.8.570.14652" TargetMode="External"/><Relationship Id="rId17" Type="http://schemas.openxmlformats.org/officeDocument/2006/relationships/hyperlink" Target="https://www.tandfonline.com/action/authorSubmission?journalCode=iphb20&amp;show=instructions" TargetMode="External"/><Relationship Id="rId23" Type="http://schemas.openxmlformats.org/officeDocument/2006/relationships/hyperlink" Target="https://www.tandfonline.com/doi/mlt/10.1076/phbi.40.8.570.14652" TargetMode="External"/><Relationship Id="rId27" Type="http://schemas.openxmlformats.org/officeDocument/2006/relationships/hyperlink" Target="https://www.tandfonline.com/doi/citedby/10.1076/phbi.40.8.570.14652#tabModule" TargetMode="External"/><Relationship Id="rId30" Type="http://schemas.openxmlformats.org/officeDocument/2006/relationships/hyperlink" Target="https://www.tandfonline.com/action/journalInformation?journalCode=iphb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2020-09-15T04:09:39Z</dcterms:created>
  <dcterms:modified xsi:type="dcterms:W3CDTF">2020-09-15T04:09:39Z</dcterms:modified>
</cp:coreProperties>
</file>