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jpeg" ContentType="image/jpeg"/>
  <Default Extension="png" ContentType="image/png"/>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v="urn:schemas-microsoft-com:vml" xmlns:wp="http://schemas.openxmlformats.org/drawingml/2006/wordprocessingDrawing" xmlns:w10="urn:schemas-microsoft-com:office:word" xmlns:w="http://schemas.openxmlformats.org/wordprocessingml/2006/main" xmlns:wps="http://schemas.microsoft.com/office/word/2010/wordprocessingShape">
  <w:body>
    <w:bookmarkStart w:id="0" w:name="page1"/>
    <w:bookmarkEnd w:id="0"/>
    <w:p>
      <w:pPr>
        <w:ind w:left="1120"/>
        <w:spacing w:after="0"/>
        <w:rPr>
          <w:sz w:val="20"/>
          <w:szCs w:val="20"/>
          <w:color w:val="auto"/>
        </w:rPr>
      </w:pPr>
      <w:r>
        <w:rPr>
          <w:rFonts w:ascii="Courier New" w:cs="Courier New" w:eastAsia="Courier New" w:hAnsi="Courier New"/>
          <w:sz w:val="30"/>
          <w:szCs w:val="30"/>
          <w:b w:val="1"/>
          <w:bCs w:val="1"/>
          <w:color w:val="auto"/>
        </w:rPr>
        <w:drawing>
          <wp:anchor simplePos="0" relativeHeight="251657728" behindDoc="1" locked="0" layoutInCell="0" allowOverlap="1">
            <wp:simplePos x="0" y="0"/>
            <wp:positionH relativeFrom="page">
              <wp:posOffset>274320</wp:posOffset>
            </wp:positionH>
            <wp:positionV relativeFrom="page">
              <wp:posOffset>240665</wp:posOffset>
            </wp:positionV>
            <wp:extent cx="1179830" cy="158178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clrChange>
                        <a:clrFrom>
                          <a:srgbClr val="FFFFFF"/>
                        </a:clrFrom>
                        <a:clrTo>
                          <a:srgbClr val="FFFFFF">
                            <a:alpha val="0"/>
                          </a:srgbClr>
                        </a:clrTo>
                      </a:clrChange>
                      <a:extLst>
                        <a:ext uri="{28A0092B-C50C-407E-A947-70E740481C1C}"/>
                      </a:extLst>
                    </a:blip>
                    <a:srcRect/>
                    <a:stretch>
                      <a:fillRect/>
                    </a:stretch>
                  </pic:blipFill>
                  <pic:spPr bwMode="auto">
                    <a:xfrm>
                      <a:off x="0" y="0"/>
                      <a:ext cx="1179830" cy="1581785"/>
                    </a:xfrm>
                    <a:prstGeom prst="rect">
                      <a:avLst/>
                    </a:prstGeom>
                    <a:noFill/>
                  </pic:spPr>
                </pic:pic>
              </a:graphicData>
            </a:graphic>
          </wp:anchor>
        </w:drawing>
        <w:drawing>
          <wp:anchor simplePos="0" relativeHeight="251657728" behindDoc="1" locked="0" layoutInCell="0" allowOverlap="1">
            <wp:simplePos x="0" y="0"/>
            <wp:positionH relativeFrom="page">
              <wp:posOffset>6866890</wp:posOffset>
            </wp:positionH>
            <wp:positionV relativeFrom="page">
              <wp:posOffset>240665</wp:posOffset>
            </wp:positionV>
            <wp:extent cx="914400" cy="21653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clrChange>
                        <a:clrFrom>
                          <a:srgbClr val="FFFFFF"/>
                        </a:clrFrom>
                        <a:clrTo>
                          <a:srgbClr val="FFFFFF">
                            <a:alpha val="0"/>
                          </a:srgbClr>
                        </a:clrTo>
                      </a:clrChange>
                      <a:extLst>
                        <a:ext uri="{28A0092B-C50C-407E-A947-70E740481C1C}"/>
                      </a:extLst>
                    </a:blip>
                    <a:srcRect/>
                    <a:stretch>
                      <a:fillRect/>
                    </a:stretch>
                  </pic:blipFill>
                  <pic:spPr bwMode="auto">
                    <a:xfrm>
                      <a:off x="0" y="0"/>
                      <a:ext cx="914400" cy="216535"/>
                    </a:xfrm>
                    <a:prstGeom prst="rect">
                      <a:avLst/>
                    </a:prstGeom>
                    <a:noFill/>
                  </pic:spPr>
                </pic:pic>
              </a:graphicData>
            </a:graphic>
          </wp:anchor>
        </w:drawing>
        <w:t>Lake and Reservoir Management</w:t>
      </w: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335" w:lineRule="exact"/>
        <w:rPr>
          <w:sz w:val="24"/>
          <w:szCs w:val="24"/>
          <w:color w:val="auto"/>
        </w:rPr>
      </w:pPr>
    </w:p>
    <w:p>
      <w:pPr>
        <w:ind w:left="1120"/>
        <w:spacing w:after="0"/>
        <w:rPr>
          <w:rFonts w:ascii="Courier New" w:cs="Courier New" w:eastAsia="Courier New" w:hAnsi="Courier New"/>
          <w:sz w:val="16"/>
          <w:szCs w:val="16"/>
          <w:b w:val="1"/>
          <w:bCs w:val="1"/>
          <w:color w:val="auto"/>
        </w:rPr>
      </w:pPr>
      <w:r>
        <w:rPr>
          <w:rFonts w:ascii="Courier New" w:cs="Courier New" w:eastAsia="Courier New" w:hAnsi="Courier New"/>
          <w:sz w:val="16"/>
          <w:szCs w:val="16"/>
          <w:b w:val="1"/>
          <w:bCs w:val="1"/>
          <w:color w:val="auto"/>
        </w:rPr>
        <w:t xml:space="preserve">ISSN: (Print) (Online) Journal homepage: </w:t>
      </w:r>
      <w:hyperlink r:id="rId10">
        <w:r>
          <w:rPr>
            <w:rFonts w:ascii="Courier New" w:cs="Courier New" w:eastAsia="Courier New" w:hAnsi="Courier New"/>
            <w:sz w:val="16"/>
            <w:szCs w:val="16"/>
            <w:b w:val="1"/>
            <w:bCs w:val="1"/>
            <w:u w:val="single" w:color="auto"/>
            <w:color w:val="auto"/>
          </w:rPr>
          <w:t>https://www.tandfonline.com/loi/ulrm20</w:t>
        </w:r>
      </w:hyperlink>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5952490</wp:posOffset>
            </wp:positionH>
            <wp:positionV relativeFrom="paragraph">
              <wp:posOffset>52705</wp:posOffset>
            </wp:positionV>
            <wp:extent cx="914400" cy="2540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extLst>
                    </a:blip>
                    <a:srcRect/>
                    <a:stretch>
                      <a:fillRect/>
                    </a:stretch>
                  </pic:blipFill>
                  <pic:spPr bwMode="auto">
                    <a:xfrm>
                      <a:off x="0" y="0"/>
                      <a:ext cx="914400" cy="25400"/>
                    </a:xfrm>
                    <a:prstGeom prst="rect">
                      <a:avLst/>
                    </a:prstGeom>
                    <a:noFill/>
                  </pic:spPr>
                </pic:pic>
              </a:graphicData>
            </a:graphic>
          </wp:anchor>
        </w:drawing>
      </w:r>
    </w:p>
    <w:p>
      <w:pPr>
        <w:spacing w:after="0" w:line="200" w:lineRule="exact"/>
        <w:rPr>
          <w:sz w:val="24"/>
          <w:szCs w:val="24"/>
          <w:color w:val="auto"/>
        </w:rPr>
      </w:pPr>
    </w:p>
    <w:p>
      <w:pPr>
        <w:spacing w:after="0" w:line="259" w:lineRule="exact"/>
        <w:rPr>
          <w:sz w:val="24"/>
          <w:szCs w:val="24"/>
          <w:color w:val="auto"/>
        </w:rPr>
      </w:pPr>
    </w:p>
    <w:p>
      <w:pPr>
        <w:ind w:left="500" w:right="1606"/>
        <w:spacing w:after="0" w:line="257" w:lineRule="auto"/>
        <w:rPr>
          <w:sz w:val="20"/>
          <w:szCs w:val="20"/>
          <w:color w:val="auto"/>
        </w:rPr>
      </w:pPr>
      <w:r>
        <w:rPr>
          <w:rFonts w:ascii="Courier New" w:cs="Courier New" w:eastAsia="Courier New" w:hAnsi="Courier New"/>
          <w:sz w:val="36"/>
          <w:szCs w:val="36"/>
          <w:b w:val="1"/>
          <w:bCs w:val="1"/>
          <w:color w:val="auto"/>
        </w:rPr>
        <w:t>Paleolimnological Assessment of Six Lakes on the Kissimmee Chain, with Implications for Restoration of the Kissimmee–Okeechobee–Everglades system, Florida, USA</w:t>
      </w:r>
    </w:p>
    <w:p>
      <w:pPr>
        <w:spacing w:after="0" w:line="200" w:lineRule="exact"/>
        <w:rPr>
          <w:sz w:val="24"/>
          <w:szCs w:val="24"/>
          <w:color w:val="auto"/>
        </w:rPr>
      </w:pPr>
    </w:p>
    <w:p>
      <w:pPr>
        <w:spacing w:after="0" w:line="271" w:lineRule="exact"/>
        <w:rPr>
          <w:sz w:val="24"/>
          <w:szCs w:val="24"/>
          <w:color w:val="auto"/>
        </w:rPr>
      </w:pPr>
    </w:p>
    <w:p>
      <w:pPr>
        <w:ind w:left="500" w:right="1046"/>
        <w:spacing w:after="0" w:line="328" w:lineRule="auto"/>
        <w:rPr>
          <w:sz w:val="20"/>
          <w:szCs w:val="20"/>
          <w:color w:val="auto"/>
        </w:rPr>
      </w:pPr>
      <w:r>
        <w:rPr>
          <w:rFonts w:ascii="Courier New" w:cs="Courier New" w:eastAsia="Courier New" w:hAnsi="Courier New"/>
          <w:sz w:val="20"/>
          <w:szCs w:val="20"/>
          <w:b w:val="1"/>
          <w:bCs w:val="1"/>
          <w:color w:val="auto"/>
        </w:rPr>
        <w:t>Thomas J. Whitmore , Melanie A. Riedinger-Whitmore , Zachary E. Reed , Jason H. Curtis , Handong Yang , Deveny E. Evans , Nicholas R. Cropper , Karla S. Alvarado , Francesca M. Lauterman , Austyn Scott , Christine R. Leonard &amp; Daniel L. Franklin</w:t>
      </w:r>
    </w:p>
    <w:p>
      <w:pPr>
        <w:spacing w:after="0" w:line="343" w:lineRule="exact"/>
        <w:rPr>
          <w:sz w:val="24"/>
          <w:szCs w:val="24"/>
          <w:color w:val="auto"/>
        </w:rPr>
      </w:pPr>
    </w:p>
    <w:p>
      <w:pPr>
        <w:jc w:val="both"/>
        <w:ind w:left="500" w:right="946"/>
        <w:spacing w:after="0" w:line="243" w:lineRule="exact"/>
        <w:rPr>
          <w:sz w:val="20"/>
          <w:szCs w:val="20"/>
          <w:color w:val="auto"/>
        </w:rPr>
      </w:pPr>
      <w:r>
        <w:rPr>
          <w:rFonts w:ascii="Courier New" w:cs="Courier New" w:eastAsia="Courier New" w:hAnsi="Courier New"/>
          <w:sz w:val="18"/>
          <w:szCs w:val="18"/>
          <w:b w:val="1"/>
          <w:bCs w:val="1"/>
          <w:color w:val="auto"/>
        </w:rPr>
        <w:t xml:space="preserve">To cite this article: </w:t>
      </w:r>
      <w:r>
        <w:rPr>
          <w:rFonts w:ascii="Arial Unicode MS" w:cs="Arial Unicode MS" w:eastAsia="Arial Unicode MS" w:hAnsi="Arial Unicode MS"/>
          <w:sz w:val="18"/>
          <w:szCs w:val="18"/>
          <w:color w:val="auto"/>
        </w:rPr>
        <w:t>Thomas J. Whitmore , Melanie A. Riedinger-Whitmore , Zachary E. Reed ,</w:t>
      </w:r>
      <w:r>
        <w:rPr>
          <w:rFonts w:ascii="Courier New" w:cs="Courier New" w:eastAsia="Courier New" w:hAnsi="Courier New"/>
          <w:sz w:val="18"/>
          <w:szCs w:val="18"/>
          <w:b w:val="1"/>
          <w:bCs w:val="1"/>
          <w:color w:val="auto"/>
        </w:rPr>
        <w:t xml:space="preserve"> </w:t>
      </w:r>
      <w:r>
        <w:rPr>
          <w:rFonts w:ascii="Arial Unicode MS" w:cs="Arial Unicode MS" w:eastAsia="Arial Unicode MS" w:hAnsi="Arial Unicode MS"/>
          <w:sz w:val="18"/>
          <w:szCs w:val="18"/>
          <w:color w:val="auto"/>
        </w:rPr>
        <w:t>Jason H. Curtis , Handong Yang , Deveny E. Evans , Nicholas R. Cropper , Karla S. Alvarado , Francesca M. Lauterman , Austyn Scott , Christine R. Leonard &amp; Daniel L. Franklin (2020):</w:t>
      </w:r>
    </w:p>
    <w:p>
      <w:pPr>
        <w:spacing w:after="0" w:line="1" w:lineRule="exact"/>
        <w:rPr>
          <w:sz w:val="24"/>
          <w:szCs w:val="24"/>
          <w:color w:val="auto"/>
        </w:rPr>
      </w:pPr>
    </w:p>
    <w:p>
      <w:pPr>
        <w:ind w:left="500" w:right="586"/>
        <w:spacing w:after="0" w:line="254" w:lineRule="exact"/>
        <w:rPr>
          <w:rFonts w:ascii="Arial Unicode MS" w:cs="Arial Unicode MS" w:eastAsia="Arial Unicode MS" w:hAnsi="Arial Unicode MS"/>
          <w:sz w:val="20"/>
          <w:szCs w:val="20"/>
          <w:color w:val="auto"/>
        </w:rPr>
      </w:pPr>
      <w:r>
        <w:rPr>
          <w:rFonts w:ascii="Arial Unicode MS" w:cs="Arial Unicode MS" w:eastAsia="Arial Unicode MS" w:hAnsi="Arial Unicode MS"/>
          <w:sz w:val="20"/>
          <w:szCs w:val="20"/>
          <w:color w:val="auto"/>
        </w:rPr>
        <w:t xml:space="preserve">Paleolimnological Assessment of Six Lakes on the Kissimmee Chain, with Implications for Restoration of the Kissimmee–Okeechobee–Everglades system, Florida, USA, Lake and Reservoir Management, DOI: </w:t>
      </w:r>
      <w:hyperlink r:id="rId12">
        <w:r>
          <w:rPr>
            <w:rFonts w:ascii="Arial Unicode MS" w:cs="Arial Unicode MS" w:eastAsia="Arial Unicode MS" w:hAnsi="Arial Unicode MS"/>
            <w:sz w:val="20"/>
            <w:szCs w:val="20"/>
            <w:u w:val="single" w:color="auto"/>
            <w:color w:val="auto"/>
          </w:rPr>
          <w:t>10.1080/10402381.2020.1785064</w:t>
        </w:r>
      </w:hyperlink>
    </w:p>
    <w:p>
      <w:pPr>
        <w:spacing w:after="0" w:line="132" w:lineRule="exact"/>
        <w:rPr>
          <w:sz w:val="24"/>
          <w:szCs w:val="24"/>
          <w:color w:val="auto"/>
        </w:rPr>
      </w:pPr>
    </w:p>
    <w:p>
      <w:pPr>
        <w:ind w:left="500"/>
        <w:spacing w:after="0"/>
        <w:rPr>
          <w:rFonts w:ascii="Courier New" w:cs="Courier New" w:eastAsia="Courier New" w:hAnsi="Courier New"/>
          <w:sz w:val="20"/>
          <w:szCs w:val="20"/>
          <w:b w:val="1"/>
          <w:bCs w:val="1"/>
          <w:color w:val="auto"/>
        </w:rPr>
      </w:pPr>
      <w:r>
        <w:rPr>
          <w:rFonts w:ascii="Courier New" w:cs="Courier New" w:eastAsia="Courier New" w:hAnsi="Courier New"/>
          <w:sz w:val="20"/>
          <w:szCs w:val="20"/>
          <w:b w:val="1"/>
          <w:bCs w:val="1"/>
          <w:color w:val="auto"/>
        </w:rPr>
        <w:t xml:space="preserve">To link to this article: </w:t>
      </w:r>
      <w:hyperlink r:id="rId13">
        <w:r>
          <w:rPr>
            <w:rFonts w:ascii="Courier New" w:cs="Courier New" w:eastAsia="Courier New" w:hAnsi="Courier New"/>
            <w:sz w:val="20"/>
            <w:szCs w:val="20"/>
            <w:u w:val="single" w:color="auto"/>
            <w:color w:val="auto"/>
          </w:rPr>
          <w:t>https://doi.org/10.1080/10402381.2020.1785064</w:t>
        </w:r>
      </w:hyperlink>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439420</wp:posOffset>
            </wp:positionH>
            <wp:positionV relativeFrom="paragraph">
              <wp:posOffset>525145</wp:posOffset>
            </wp:positionV>
            <wp:extent cx="201295" cy="23558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extLst>
                    </a:blip>
                    <a:srcRect/>
                    <a:stretch>
                      <a:fillRect/>
                    </a:stretch>
                  </pic:blipFill>
                  <pic:spPr bwMode="auto">
                    <a:xfrm>
                      <a:off x="0" y="0"/>
                      <a:ext cx="201295" cy="235585"/>
                    </a:xfrm>
                    <a:prstGeom prst="rect">
                      <a:avLst/>
                    </a:prstGeom>
                    <a:noFill/>
                  </pic:spPr>
                </pic:pic>
              </a:graphicData>
            </a:graphic>
          </wp:anchor>
        </w:drawing>
        <w:drawing>
          <wp:anchor simplePos="0" relativeHeight="251657728" behindDoc="1" locked="0" layoutInCell="0" allowOverlap="1">
            <wp:simplePos x="0" y="0"/>
            <wp:positionH relativeFrom="column">
              <wp:posOffset>3228340</wp:posOffset>
            </wp:positionH>
            <wp:positionV relativeFrom="paragraph">
              <wp:posOffset>525145</wp:posOffset>
            </wp:positionV>
            <wp:extent cx="210185" cy="22479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extLst>
                    </a:blip>
                    <a:srcRect/>
                    <a:stretch>
                      <a:fillRect/>
                    </a:stretch>
                  </pic:blipFill>
                  <pic:spPr bwMode="auto">
                    <a:xfrm>
                      <a:off x="0" y="0"/>
                      <a:ext cx="210185" cy="224790"/>
                    </a:xfrm>
                    <a:prstGeom prst="rect">
                      <a:avLst/>
                    </a:prstGeom>
                    <a:noFill/>
                  </pic:spPr>
                </pic:pic>
              </a:graphicData>
            </a:graphic>
          </wp:anchor>
        </w:drawing>
      </w:r>
    </w:p>
    <w:p>
      <w:pPr>
        <w:sectPr>
          <w:pgSz w:w="12680" w:h="16661" w:orient="portrait"/>
          <w:cols w:equalWidth="0" w:num="1">
            <w:col w:w="9806"/>
          </w:cols>
          <w:pgMar w:left="1440" w:top="811" w:right="1440" w:bottom="355" w:gutter="0" w:footer="0" w:header="0"/>
        </w:sect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324" w:lineRule="exact"/>
        <w:rPr>
          <w:sz w:val="24"/>
          <w:szCs w:val="24"/>
          <w:color w:val="auto"/>
        </w:rPr>
      </w:pPr>
    </w:p>
    <w:p>
      <w:pPr>
        <w:ind w:left="1200"/>
        <w:spacing w:after="0"/>
        <w:rPr>
          <w:rFonts w:ascii="Courier New" w:cs="Courier New" w:eastAsia="Courier New" w:hAnsi="Courier New"/>
          <w:sz w:val="16"/>
          <w:szCs w:val="16"/>
          <w:color w:val="auto"/>
        </w:rPr>
      </w:pPr>
      <w:hyperlink r:id="rId16">
        <w:r>
          <w:rPr>
            <w:rFonts w:ascii="Courier New" w:cs="Courier New" w:eastAsia="Courier New" w:hAnsi="Courier New"/>
            <w:sz w:val="16"/>
            <w:szCs w:val="16"/>
            <w:color w:val="auto"/>
          </w:rPr>
          <w:t xml:space="preserve">View supplementary material </w:t>
        </w:r>
      </w:hyperlink>
      <w:r>
        <w:rPr>
          <w:rFonts w:ascii="Courier New" w:cs="Courier New" w:eastAsia="Courier New" w:hAnsi="Courier New"/>
          <w:sz w:val="1"/>
          <w:szCs w:val="1"/>
          <w:color w:val="auto"/>
        </w:rPr>
        <w:drawing>
          <wp:inline distT="0" distB="0" distL="0" distR="0">
            <wp:extent cx="165100" cy="1117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extLst>
                    </a:blip>
                    <a:srcRect/>
                    <a:stretch>
                      <a:fillRect/>
                    </a:stretch>
                  </pic:blipFill>
                  <pic:spPr bwMode="auto">
                    <a:xfrm>
                      <a:off x="0" y="0"/>
                      <a:ext cx="165100" cy="111760"/>
                    </a:xfrm>
                    <a:prstGeom prst="rect">
                      <a:avLst/>
                    </a:prstGeom>
                    <a:noFill/>
                    <a:ln>
                      <a:noFill/>
                    </a:ln>
                  </pic:spPr>
                </pic:pic>
              </a:graphicData>
            </a:graphic>
          </wp:inline>
        </w:drawing>
      </w:r>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363220</wp:posOffset>
            </wp:positionH>
            <wp:positionV relativeFrom="paragraph">
              <wp:posOffset>240665</wp:posOffset>
            </wp:positionV>
            <wp:extent cx="2712720" cy="1143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extLst>
                    </a:blip>
                    <a:srcRect/>
                    <a:stretch>
                      <a:fillRect/>
                    </a:stretch>
                  </pic:blipFill>
                  <pic:spPr bwMode="auto">
                    <a:xfrm>
                      <a:off x="0" y="0"/>
                      <a:ext cx="2712720" cy="11430"/>
                    </a:xfrm>
                    <a:prstGeom prst="rect">
                      <a:avLst/>
                    </a:prstGeom>
                    <a:noFill/>
                  </pic:spPr>
                </pic:pic>
              </a:graphicData>
            </a:graphic>
          </wp:anchor>
        </w:drawing>
        <w:drawing>
          <wp:anchor simplePos="0" relativeHeight="251657728" behindDoc="1" locked="0" layoutInCell="0" allowOverlap="1">
            <wp:simplePos x="0" y="0"/>
            <wp:positionH relativeFrom="column">
              <wp:posOffset>439420</wp:posOffset>
            </wp:positionH>
            <wp:positionV relativeFrom="paragraph">
              <wp:posOffset>340995</wp:posOffset>
            </wp:positionV>
            <wp:extent cx="223520" cy="17462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extLst>
                    </a:blip>
                    <a:srcRect/>
                    <a:stretch>
                      <a:fillRect/>
                    </a:stretch>
                  </pic:blipFill>
                  <pic:spPr bwMode="auto">
                    <a:xfrm>
                      <a:off x="0" y="0"/>
                      <a:ext cx="223520" cy="174625"/>
                    </a:xfrm>
                    <a:prstGeom prst="rect">
                      <a:avLst/>
                    </a:prstGeom>
                    <a:noFill/>
                  </pic:spPr>
                </pic:pic>
              </a:graphicData>
            </a:graphic>
          </wp:anchor>
        </w:drawing>
      </w:r>
    </w:p>
    <w:p>
      <w:pPr>
        <w:spacing w:after="0" w:line="200" w:lineRule="exact"/>
        <w:rPr>
          <w:sz w:val="24"/>
          <w:szCs w:val="24"/>
          <w:color w:val="auto"/>
        </w:rPr>
      </w:pPr>
    </w:p>
    <w:p>
      <w:pPr>
        <w:spacing w:after="0" w:line="200" w:lineRule="exact"/>
        <w:rPr>
          <w:sz w:val="24"/>
          <w:szCs w:val="24"/>
          <w:color w:val="auto"/>
        </w:rPr>
      </w:pPr>
    </w:p>
    <w:p>
      <w:pPr>
        <w:spacing w:after="0" w:line="214" w:lineRule="exact"/>
        <w:rPr>
          <w:sz w:val="24"/>
          <w:szCs w:val="24"/>
          <w:color w:val="auto"/>
        </w:rPr>
      </w:pPr>
    </w:p>
    <w:p>
      <w:pPr>
        <w:ind w:left="1200"/>
        <w:spacing w:after="0"/>
        <w:rPr>
          <w:rFonts w:ascii="Courier New" w:cs="Courier New" w:eastAsia="Courier New" w:hAnsi="Courier New"/>
          <w:sz w:val="12"/>
          <w:szCs w:val="12"/>
          <w:color w:val="auto"/>
        </w:rPr>
      </w:pPr>
      <w:hyperlink r:id="rId20">
        <w:r>
          <w:rPr>
            <w:rFonts w:ascii="Courier New" w:cs="Courier New" w:eastAsia="Courier New" w:hAnsi="Courier New"/>
            <w:sz w:val="12"/>
            <w:szCs w:val="12"/>
            <w:color w:val="auto"/>
          </w:rPr>
          <w:t xml:space="preserve">Submit your article to this journal </w:t>
        </w:r>
      </w:hyperlink>
      <w:r>
        <w:rPr>
          <w:rFonts w:ascii="Courier New" w:cs="Courier New" w:eastAsia="Courier New" w:hAnsi="Courier New"/>
          <w:sz w:val="1"/>
          <w:szCs w:val="1"/>
          <w:color w:val="auto"/>
        </w:rPr>
        <w:drawing>
          <wp:inline distT="0" distB="0" distL="0" distR="0">
            <wp:extent cx="165100" cy="1117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extLst>
                    </a:blip>
                    <a:srcRect/>
                    <a:stretch>
                      <a:fillRect/>
                    </a:stretch>
                  </pic:blipFill>
                  <pic:spPr bwMode="auto">
                    <a:xfrm>
                      <a:off x="0" y="0"/>
                      <a:ext cx="165100" cy="111760"/>
                    </a:xfrm>
                    <a:prstGeom prst="rect">
                      <a:avLst/>
                    </a:prstGeom>
                    <a:noFill/>
                    <a:ln>
                      <a:noFill/>
                    </a:ln>
                  </pic:spPr>
                </pic:pic>
              </a:graphicData>
            </a:graphic>
          </wp:inline>
        </w:drawing>
      </w:r>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363220</wp:posOffset>
            </wp:positionH>
            <wp:positionV relativeFrom="paragraph">
              <wp:posOffset>248285</wp:posOffset>
            </wp:positionV>
            <wp:extent cx="2712720" cy="1143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extLst>
                    </a:blip>
                    <a:srcRect/>
                    <a:stretch>
                      <a:fillRect/>
                    </a:stretch>
                  </pic:blipFill>
                  <pic:spPr bwMode="auto">
                    <a:xfrm>
                      <a:off x="0" y="0"/>
                      <a:ext cx="2712720" cy="11430"/>
                    </a:xfrm>
                    <a:prstGeom prst="rect">
                      <a:avLst/>
                    </a:prstGeom>
                    <a:noFill/>
                  </pic:spPr>
                </pic:pic>
              </a:graphicData>
            </a:graphic>
          </wp:anchor>
        </w:drawing>
        <w:drawing>
          <wp:anchor simplePos="0" relativeHeight="251657728" behindDoc="1" locked="0" layoutInCell="0" allowOverlap="1">
            <wp:simplePos x="0" y="0"/>
            <wp:positionH relativeFrom="column">
              <wp:posOffset>439420</wp:posOffset>
            </wp:positionH>
            <wp:positionV relativeFrom="paragraph">
              <wp:posOffset>348615</wp:posOffset>
            </wp:positionV>
            <wp:extent cx="200025" cy="23177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extLst>
                    </a:blip>
                    <a:srcRect/>
                    <a:stretch>
                      <a:fillRect/>
                    </a:stretch>
                  </pic:blipFill>
                  <pic:spPr bwMode="auto">
                    <a:xfrm>
                      <a:off x="0" y="0"/>
                      <a:ext cx="200025" cy="231775"/>
                    </a:xfrm>
                    <a:prstGeom prst="rect">
                      <a:avLst/>
                    </a:prstGeom>
                    <a:noFill/>
                  </pic:spPr>
                </pic:pic>
              </a:graphicData>
            </a:graphic>
          </wp:anchor>
        </w:drawing>
      </w:r>
    </w:p>
    <w:p>
      <w:pPr>
        <w:spacing w:after="0" w:line="200" w:lineRule="exact"/>
        <w:rPr>
          <w:sz w:val="24"/>
          <w:szCs w:val="24"/>
          <w:color w:val="auto"/>
        </w:rPr>
      </w:pPr>
    </w:p>
    <w:p>
      <w:pPr>
        <w:spacing w:after="0" w:line="200" w:lineRule="exact"/>
        <w:rPr>
          <w:sz w:val="24"/>
          <w:szCs w:val="24"/>
          <w:color w:val="auto"/>
        </w:rPr>
      </w:pPr>
    </w:p>
    <w:p>
      <w:pPr>
        <w:spacing w:after="0" w:line="226" w:lineRule="exact"/>
        <w:rPr>
          <w:sz w:val="24"/>
          <w:szCs w:val="24"/>
          <w:color w:val="auto"/>
        </w:rPr>
      </w:pPr>
    </w:p>
    <w:p>
      <w:pPr>
        <w:ind w:left="1200"/>
        <w:spacing w:after="0"/>
        <w:rPr>
          <w:rFonts w:ascii="Courier New" w:cs="Courier New" w:eastAsia="Courier New" w:hAnsi="Courier New"/>
          <w:sz w:val="18"/>
          <w:szCs w:val="18"/>
          <w:color w:val="auto"/>
        </w:rPr>
      </w:pPr>
      <w:hyperlink r:id="rId24">
        <w:r>
          <w:rPr>
            <w:rFonts w:ascii="Courier New" w:cs="Courier New" w:eastAsia="Courier New" w:hAnsi="Courier New"/>
            <w:sz w:val="18"/>
            <w:szCs w:val="18"/>
            <w:color w:val="auto"/>
          </w:rPr>
          <w:t xml:space="preserve">View related articles </w:t>
        </w:r>
      </w:hyperlink>
      <w:r>
        <w:rPr>
          <w:rFonts w:ascii="Courier New" w:cs="Courier New" w:eastAsia="Courier New" w:hAnsi="Courier New"/>
          <w:sz w:val="1"/>
          <w:szCs w:val="1"/>
          <w:color w:val="auto"/>
        </w:rPr>
        <w:drawing>
          <wp:inline distT="0" distB="0" distL="0" distR="0">
            <wp:extent cx="165100" cy="1117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extLst>
                    </a:blip>
                    <a:srcRect/>
                    <a:stretch>
                      <a:fillRect/>
                    </a:stretch>
                  </pic:blipFill>
                  <pic:spPr bwMode="auto">
                    <a:xfrm>
                      <a:off x="0" y="0"/>
                      <a:ext cx="165100" cy="111760"/>
                    </a:xfrm>
                    <a:prstGeom prst="rect">
                      <a:avLst/>
                    </a:prstGeom>
                    <a:noFill/>
                    <a:ln>
                      <a:noFill/>
                    </a:ln>
                  </pic:spPr>
                </pic:pic>
              </a:graphicData>
            </a:graphic>
          </wp:inline>
        </w:drawing>
      </w:r>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363220</wp:posOffset>
            </wp:positionH>
            <wp:positionV relativeFrom="paragraph">
              <wp:posOffset>236855</wp:posOffset>
            </wp:positionV>
            <wp:extent cx="2712720" cy="1143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extLst>
                    </a:blip>
                    <a:srcRect/>
                    <a:stretch>
                      <a:fillRect/>
                    </a:stretch>
                  </pic:blipFill>
                  <pic:spPr bwMode="auto">
                    <a:xfrm>
                      <a:off x="0" y="0"/>
                      <a:ext cx="2712720" cy="11430"/>
                    </a:xfrm>
                    <a:prstGeom prst="rect">
                      <a:avLst/>
                    </a:prstGeom>
                    <a:noFill/>
                  </pic:spPr>
                </pic:pic>
              </a:graphicData>
            </a:graphic>
          </wp:anchor>
        </w:drawing>
      </w:r>
    </w:p>
    <w:p>
      <w:pPr>
        <w:spacing w:after="0" w:line="20" w:lineRule="exact"/>
        <w:rPr>
          <w:sz w:val="24"/>
          <w:szCs w:val="24"/>
          <w:color w:val="auto"/>
        </w:rPr>
      </w:pPr>
      <w:r>
        <w:rPr>
          <w:sz w:val="24"/>
          <w:szCs w:val="24"/>
          <w:color w:val="auto"/>
        </w:rPr>
        <w:br w:type="column"/>
      </w: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65" w:lineRule="exact"/>
        <w:rPr>
          <w:sz w:val="24"/>
          <w:szCs w:val="24"/>
          <w:color w:val="auto"/>
        </w:rPr>
      </w:pPr>
    </w:p>
    <w:p>
      <w:pPr>
        <w:spacing w:after="0"/>
        <w:rPr>
          <w:sz w:val="20"/>
          <w:szCs w:val="20"/>
          <w:color w:val="auto"/>
        </w:rPr>
      </w:pPr>
      <w:r>
        <w:rPr>
          <w:rFonts w:ascii="Courier New" w:cs="Courier New" w:eastAsia="Courier New" w:hAnsi="Courier New"/>
          <w:sz w:val="13"/>
          <w:szCs w:val="13"/>
          <w:color w:val="auto"/>
        </w:rPr>
        <w:t>Published online: 21 Jul 2020.</w:t>
      </w:r>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-390525</wp:posOffset>
            </wp:positionH>
            <wp:positionV relativeFrom="paragraph">
              <wp:posOffset>313690</wp:posOffset>
            </wp:positionV>
            <wp:extent cx="2712720" cy="1143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extLst>
                    </a:blip>
                    <a:srcRect/>
                    <a:stretch>
                      <a:fillRect/>
                    </a:stretch>
                  </pic:blipFill>
                  <pic:spPr bwMode="auto">
                    <a:xfrm>
                      <a:off x="0" y="0"/>
                      <a:ext cx="2712720" cy="11430"/>
                    </a:xfrm>
                    <a:prstGeom prst="rect">
                      <a:avLst/>
                    </a:prstGeom>
                    <a:noFill/>
                  </pic:spPr>
                </pic:pic>
              </a:graphicData>
            </a:graphic>
          </wp:anchor>
        </w:drawing>
        <w:drawing>
          <wp:anchor simplePos="0" relativeHeight="251657728" behindDoc="1" locked="0" layoutInCell="0" allowOverlap="1">
            <wp:simplePos x="0" y="0"/>
            <wp:positionH relativeFrom="column">
              <wp:posOffset>-314325</wp:posOffset>
            </wp:positionH>
            <wp:positionV relativeFrom="paragraph">
              <wp:posOffset>414655</wp:posOffset>
            </wp:positionV>
            <wp:extent cx="255905" cy="19113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extLst>
                    </a:blip>
                    <a:srcRect/>
                    <a:stretch>
                      <a:fillRect/>
                    </a:stretch>
                  </pic:blipFill>
                  <pic:spPr bwMode="auto">
                    <a:xfrm>
                      <a:off x="0" y="0"/>
                      <a:ext cx="255905" cy="191135"/>
                    </a:xfrm>
                    <a:prstGeom prst="rect">
                      <a:avLst/>
                    </a:prstGeom>
                    <a:noFill/>
                  </pic:spPr>
                </pic:pic>
              </a:graphicData>
            </a:graphic>
          </wp:anchor>
        </w:drawing>
      </w:r>
    </w:p>
    <w:p>
      <w:pPr>
        <w:spacing w:after="0" w:line="200" w:lineRule="exact"/>
        <w:rPr>
          <w:sz w:val="24"/>
          <w:szCs w:val="24"/>
          <w:color w:val="auto"/>
        </w:rPr>
      </w:pPr>
    </w:p>
    <w:p>
      <w:pPr>
        <w:spacing w:after="0" w:line="200" w:lineRule="exact"/>
        <w:rPr>
          <w:sz w:val="24"/>
          <w:szCs w:val="24"/>
          <w:color w:val="auto"/>
        </w:rPr>
      </w:pPr>
    </w:p>
    <w:p>
      <w:pPr>
        <w:spacing w:after="0" w:line="291" w:lineRule="exact"/>
        <w:rPr>
          <w:sz w:val="24"/>
          <w:szCs w:val="24"/>
          <w:color w:val="auto"/>
        </w:rPr>
      </w:pPr>
    </w:p>
    <w:p>
      <w:pPr>
        <w:spacing w:after="0"/>
        <w:rPr>
          <w:sz w:val="20"/>
          <w:szCs w:val="20"/>
          <w:color w:val="auto"/>
        </w:rPr>
      </w:pPr>
      <w:r>
        <w:rPr>
          <w:rFonts w:ascii="Courier New" w:cs="Courier New" w:eastAsia="Courier New" w:hAnsi="Courier New"/>
          <w:sz w:val="18"/>
          <w:szCs w:val="18"/>
          <w:color w:val="auto"/>
        </w:rPr>
        <w:t>Article views: 34</w:t>
      </w:r>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-390525</wp:posOffset>
            </wp:positionH>
            <wp:positionV relativeFrom="paragraph">
              <wp:posOffset>278130</wp:posOffset>
            </wp:positionV>
            <wp:extent cx="2712720" cy="1143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extLst>
                    </a:blip>
                    <a:srcRect/>
                    <a:stretch>
                      <a:fillRect/>
                    </a:stretch>
                  </pic:blipFill>
                  <pic:spPr bwMode="auto">
                    <a:xfrm>
                      <a:off x="0" y="0"/>
                      <a:ext cx="2712720" cy="11430"/>
                    </a:xfrm>
                    <a:prstGeom prst="rect">
                      <a:avLst/>
                    </a:prstGeom>
                    <a:noFill/>
                  </pic:spPr>
                </pic:pic>
              </a:graphicData>
            </a:graphic>
          </wp:anchor>
        </w:drawing>
        <w:drawing>
          <wp:anchor simplePos="0" relativeHeight="251657728" behindDoc="1" locked="0" layoutInCell="0" allowOverlap="1">
            <wp:simplePos x="0" y="0"/>
            <wp:positionH relativeFrom="column">
              <wp:posOffset>-314325</wp:posOffset>
            </wp:positionH>
            <wp:positionV relativeFrom="paragraph">
              <wp:posOffset>378460</wp:posOffset>
            </wp:positionV>
            <wp:extent cx="235585" cy="26479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extLst>
                    </a:blip>
                    <a:srcRect/>
                    <a:stretch>
                      <a:fillRect/>
                    </a:stretch>
                  </pic:blipFill>
                  <pic:spPr bwMode="auto">
                    <a:xfrm>
                      <a:off x="0" y="0"/>
                      <a:ext cx="235585" cy="264795"/>
                    </a:xfrm>
                    <a:prstGeom prst="rect">
                      <a:avLst/>
                    </a:prstGeom>
                    <a:noFill/>
                  </pic:spPr>
                </pic:pic>
              </a:graphicData>
            </a:graphic>
          </wp:anchor>
        </w:drawing>
      </w:r>
    </w:p>
    <w:p>
      <w:pPr>
        <w:spacing w:after="0" w:line="200" w:lineRule="exact"/>
        <w:rPr>
          <w:sz w:val="24"/>
          <w:szCs w:val="24"/>
          <w:color w:val="auto"/>
        </w:rPr>
      </w:pPr>
    </w:p>
    <w:p>
      <w:pPr>
        <w:spacing w:after="0" w:line="200" w:lineRule="exact"/>
        <w:rPr>
          <w:sz w:val="24"/>
          <w:szCs w:val="24"/>
          <w:color w:val="auto"/>
        </w:rPr>
      </w:pPr>
    </w:p>
    <w:p>
      <w:pPr>
        <w:spacing w:after="0" w:line="273" w:lineRule="exact"/>
        <w:rPr>
          <w:sz w:val="24"/>
          <w:szCs w:val="24"/>
          <w:color w:val="auto"/>
        </w:rPr>
      </w:pPr>
    </w:p>
    <w:p>
      <w:pPr>
        <w:spacing w:after="0"/>
        <w:rPr>
          <w:rFonts w:ascii="Courier New" w:cs="Courier New" w:eastAsia="Courier New" w:hAnsi="Courier New"/>
          <w:sz w:val="18"/>
          <w:szCs w:val="18"/>
          <w:color w:val="auto"/>
        </w:rPr>
      </w:pPr>
      <w:hyperlink r:id="rId31">
        <w:r>
          <w:rPr>
            <w:rFonts w:ascii="Courier New" w:cs="Courier New" w:eastAsia="Courier New" w:hAnsi="Courier New"/>
            <w:sz w:val="18"/>
            <w:szCs w:val="18"/>
            <w:color w:val="auto"/>
          </w:rPr>
          <w:t>View Crossmark data</w:t>
        </w:r>
      </w:hyperlink>
      <w:r>
        <w:rPr>
          <w:rFonts w:ascii="Courier New" w:cs="Courier New" w:eastAsia="Courier New" w:hAnsi="Courier New"/>
          <w:sz w:val="1"/>
          <w:szCs w:val="1"/>
          <w:color w:val="auto"/>
        </w:rPr>
        <w:drawing>
          <wp:inline distT="0" distB="0" distL="0" distR="0">
            <wp:extent cx="165100" cy="1117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extLst>
                        <a:ext uri="{28A0092B-C50C-407E-A947-70E740481C1C}"/>
                      </a:extLst>
                    </a:blip>
                    <a:srcRect/>
                    <a:stretch>
                      <a:fillRect/>
                    </a:stretch>
                  </pic:blipFill>
                  <pic:spPr bwMode="auto">
                    <a:xfrm>
                      <a:off x="0" y="0"/>
                      <a:ext cx="165100" cy="111760"/>
                    </a:xfrm>
                    <a:prstGeom prst="rect">
                      <a:avLst/>
                    </a:prstGeom>
                    <a:noFill/>
                    <a:ln>
                      <a:noFill/>
                    </a:ln>
                  </pic:spPr>
                </pic:pic>
              </a:graphicData>
            </a:graphic>
          </wp:inline>
        </w:drawing>
      </w:r>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-390525</wp:posOffset>
            </wp:positionH>
            <wp:positionV relativeFrom="paragraph">
              <wp:posOffset>236855</wp:posOffset>
            </wp:positionV>
            <wp:extent cx="2712720" cy="1143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extLst>
                    </a:blip>
                    <a:srcRect/>
                    <a:stretch>
                      <a:fillRect/>
                    </a:stretch>
                  </pic:blipFill>
                  <pic:spPr bwMode="auto">
                    <a:xfrm>
                      <a:off x="0" y="0"/>
                      <a:ext cx="2712720" cy="11430"/>
                    </a:xfrm>
                    <a:prstGeom prst="rect">
                      <a:avLst/>
                    </a:prstGeom>
                    <a:noFill/>
                  </pic:spPr>
                </pic:pic>
              </a:graphicData>
            </a:graphic>
          </wp:anchor>
        </w:drawing>
      </w:r>
    </w:p>
    <w:p>
      <w:pPr>
        <w:spacing w:after="0" w:line="200" w:lineRule="exact"/>
        <w:rPr>
          <w:sz w:val="24"/>
          <w:szCs w:val="24"/>
          <w:color w:val="auto"/>
        </w:rPr>
      </w:pPr>
    </w:p>
    <w:p>
      <w:pPr>
        <w:sectPr>
          <w:pgSz w:w="12680" w:h="16661" w:orient="portrait"/>
          <w:cols w:equalWidth="0" w:num="2">
            <w:col w:w="4860" w:space="720"/>
            <w:col w:w="4226"/>
          </w:cols>
          <w:pgMar w:left="1440" w:top="811" w:right="1440" w:bottom="355" w:gutter="0" w:footer="0" w:header="0"/>
          <w:type w:val="continuous"/>
        </w:sect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51" w:lineRule="exact"/>
        <w:rPr>
          <w:sz w:val="24"/>
          <w:szCs w:val="24"/>
          <w:color w:val="auto"/>
        </w:rPr>
      </w:pPr>
    </w:p>
    <w:p>
      <w:pPr>
        <w:jc w:val="center"/>
        <w:ind w:right="-13"/>
        <w:spacing w:after="0"/>
        <w:rPr>
          <w:sz w:val="20"/>
          <w:szCs w:val="20"/>
          <w:color w:val="auto"/>
        </w:rPr>
      </w:pPr>
      <w:r>
        <w:rPr>
          <w:rFonts w:ascii="Courier New" w:cs="Courier New" w:eastAsia="Courier New" w:hAnsi="Courier New"/>
          <w:sz w:val="18"/>
          <w:szCs w:val="18"/>
          <w:color w:val="auto"/>
        </w:rPr>
        <w:t>Full Terms &amp; Conditions of access and use can be found at</w:t>
      </w:r>
    </w:p>
    <w:p>
      <w:pPr>
        <w:spacing w:after="0" w:line="16" w:lineRule="exact"/>
        <w:rPr>
          <w:sz w:val="24"/>
          <w:szCs w:val="24"/>
          <w:color w:val="auto"/>
        </w:rPr>
      </w:pPr>
    </w:p>
    <w:p>
      <w:pPr>
        <w:jc w:val="center"/>
        <w:ind w:right="-13"/>
        <w:spacing w:after="0"/>
        <w:rPr>
          <w:rFonts w:ascii="Courier New" w:cs="Courier New" w:eastAsia="Courier New" w:hAnsi="Courier New"/>
          <w:sz w:val="15"/>
          <w:szCs w:val="15"/>
          <w:color w:val="auto"/>
        </w:rPr>
      </w:pPr>
      <w:hyperlink r:id="rId34">
        <w:r>
          <w:rPr>
            <w:rFonts w:ascii="Courier New" w:cs="Courier New" w:eastAsia="Courier New" w:hAnsi="Courier New"/>
            <w:sz w:val="15"/>
            <w:szCs w:val="15"/>
            <w:color w:val="auto"/>
          </w:rPr>
          <w:t>https://www.tandfonline.com/action/journalInformation?journalCode=ulrm20</w:t>
        </w:r>
      </w:hyperlink>
    </w:p>
    <w:p>
      <w:pPr>
        <w:sectPr>
          <w:pgSz w:w="12680" w:h="16661" w:orient="portrait"/>
          <w:cols w:equalWidth="0" w:num="1">
            <w:col w:w="9806"/>
          </w:cols>
          <w:pgMar w:left="1440" w:top="811" w:right="1440" w:bottom="355" w:gutter="0" w:footer="0" w:header="0"/>
          <w:type w:val="continuous"/>
        </w:sectPr>
      </w:pPr>
    </w:p>
    <w:bookmarkStart w:id="1" w:name="page2"/>
    <w:bookmarkEnd w:id="1"/>
    <w:p>
      <w:pPr>
        <w:spacing w:after="0"/>
        <w:rPr>
          <w:sz w:val="20"/>
          <w:szCs w:val="20"/>
          <w:color w:val="auto"/>
        </w:rPr>
      </w:pPr>
      <w:r>
        <w:rPr>
          <w:rFonts w:ascii="Arial" w:cs="Arial" w:eastAsia="Arial" w:hAnsi="Arial"/>
          <w:sz w:val="15"/>
          <w:szCs w:val="15"/>
          <w:color w:val="auto"/>
        </w:rPr>
        <w:drawing>
          <wp:anchor simplePos="0" relativeHeight="251657728" behindDoc="1" locked="0" layoutInCell="0" allowOverlap="1">
            <wp:simplePos x="0" y="0"/>
            <wp:positionH relativeFrom="page">
              <wp:posOffset>5721985</wp:posOffset>
            </wp:positionH>
            <wp:positionV relativeFrom="page">
              <wp:posOffset>537210</wp:posOffset>
            </wp:positionV>
            <wp:extent cx="1290955" cy="30480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a:extLst>
                        <a:ext uri="{28A0092B-C50C-407E-A947-70E740481C1C}"/>
                      </a:extLst>
                    </a:blip>
                    <a:srcRect/>
                    <a:stretch>
                      <a:fillRect/>
                    </a:stretch>
                  </pic:blipFill>
                  <pic:spPr bwMode="auto">
                    <a:xfrm>
                      <a:off x="0" y="0"/>
                      <a:ext cx="1290955" cy="304800"/>
                    </a:xfrm>
                    <a:prstGeom prst="rect">
                      <a:avLst/>
                    </a:prstGeom>
                    <a:noFill/>
                  </pic:spPr>
                </pic:pic>
              </a:graphicData>
            </a:graphic>
          </wp:anchor>
        </w:drawing>
        <w:t>LAKE AND RESERVOIR MANAGEMENT</w:t>
      </w:r>
    </w:p>
    <w:p>
      <w:pPr>
        <w:spacing w:after="0" w:line="8" w:lineRule="exact"/>
        <w:rPr>
          <w:sz w:val="20"/>
          <w:szCs w:val="20"/>
          <w:color w:val="auto"/>
        </w:rPr>
      </w:pPr>
    </w:p>
    <w:p>
      <w:pPr>
        <w:spacing w:after="0"/>
        <w:rPr>
          <w:rFonts w:ascii="Arial" w:cs="Arial" w:eastAsia="Arial" w:hAnsi="Arial"/>
          <w:sz w:val="15"/>
          <w:szCs w:val="15"/>
          <w:color w:val="000080"/>
        </w:rPr>
      </w:pPr>
      <w:hyperlink r:id="rId13">
        <w:r>
          <w:rPr>
            <w:rFonts w:ascii="Arial" w:cs="Arial" w:eastAsia="Arial" w:hAnsi="Arial"/>
            <w:sz w:val="15"/>
            <w:szCs w:val="15"/>
            <w:color w:val="000080"/>
          </w:rPr>
          <w:t>https://doi.org/10.1080/10402381.2020.1785064</w:t>
        </w:r>
      </w:hyperlink>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5457190</wp:posOffset>
            </wp:positionH>
            <wp:positionV relativeFrom="paragraph">
              <wp:posOffset>129540</wp:posOffset>
            </wp:positionV>
            <wp:extent cx="793750" cy="15240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a:extLst>
                        <a:ext uri="{28A0092B-C50C-407E-A947-70E740481C1C}"/>
                      </a:extLst>
                    </a:blip>
                    <a:srcRect/>
                    <a:stretch>
                      <a:fillRect/>
                    </a:stretch>
                  </pic:blipFill>
                  <pic:spPr bwMode="auto">
                    <a:xfrm>
                      <a:off x="0" y="0"/>
                      <a:ext cx="793750" cy="152400"/>
                    </a:xfrm>
                    <a:prstGeom prst="rect">
                      <a:avLst/>
                    </a:prstGeom>
                    <a:noFill/>
                  </pic:spPr>
                </pic:pic>
              </a:graphicData>
            </a:graphic>
          </wp:anchor>
        </w:drawing>
        <mc:AlternateContent>
          <mc:Choice Requires="wps">
            <w:drawing>
              <wp:anchor simplePos="0" relativeHeight="251657728" behindDoc="1" locked="0" layoutInCell="0" allowOverlap="1">
                <wp:simplePos x="0" y="0"/>
                <wp:positionH relativeFrom="column">
                  <wp:posOffset>-1905</wp:posOffset>
                </wp:positionH>
                <wp:positionV relativeFrom="paragraph">
                  <wp:posOffset>57785</wp:posOffset>
                </wp:positionV>
                <wp:extent cx="6252845" cy="0"/>
                <wp:wrapNone/>
                <wp:docPr id="22" name="Shape 2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252845" cy="4763"/>
                        </a:xfrm>
                        <a:prstGeom prst="line">
                          <a:avLst/>
                        </a:prstGeom>
                        <a:solidFill>
                          <a:srgbClr val="FFFFFF"/>
                        </a:solidFill>
                        <a:ln w="22059">
                          <a:solidFill>
                            <a:srgbClr val="10157E"/>
                          </a:solidFill>
                          <a:miter lim="800000"/>
                          <a:headEnd/>
                          <a:tailEnd/>
                        </a:ln>
                      </wps:spPr>
                      <wps:bodyPr/>
                    </wps:wsp>
                  </a:graphicData>
                </a:graphic>
              </wp:anchor>
            </w:drawing>
          </mc:Choice>
          <mc:Fallback>
            <w:pict>
              <v:line id="Shape 22" o:spid="_x0000_s104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1499pt,4.55pt" to="492.2pt,4.55pt" o:allowincell="f" strokecolor="#10157E" strokeweight="1.7369pt"/>
            </w:pict>
          </mc:Fallback>
        </mc:AlternateContent>
        <mc:AlternateContent>
          <mc:Choice Requires="wps">
            <w:drawing>
              <wp:anchor simplePos="0" relativeHeight="251657728" behindDoc="1" locked="0" layoutInCell="0" allowOverlap="1">
                <wp:simplePos x="0" y="0"/>
                <wp:positionH relativeFrom="column">
                  <wp:posOffset>-8255</wp:posOffset>
                </wp:positionH>
                <wp:positionV relativeFrom="paragraph">
                  <wp:posOffset>57785</wp:posOffset>
                </wp:positionV>
                <wp:extent cx="12065" cy="0"/>
                <wp:wrapNone/>
                <wp:docPr id="23" name="Shape 2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065" cy="4763"/>
                        </a:xfrm>
                        <a:prstGeom prst="line">
                          <a:avLst/>
                        </a:prstGeom>
                        <a:solidFill>
                          <a:srgbClr val="FFFFFF"/>
                        </a:solidFill>
                        <a:ln w="9359">
                          <a:solidFill>
                            <a:srgbClr val="10157E"/>
                          </a:solidFill>
                          <a:miter lim="800000"/>
                          <a:headEnd/>
                          <a:tailEnd/>
                        </a:ln>
                      </wps:spPr>
                      <wps:bodyPr/>
                    </wps:wsp>
                  </a:graphicData>
                </a:graphic>
              </wp:anchor>
            </w:drawing>
          </mc:Choice>
          <mc:Fallback>
            <w:pict>
              <v:line id="Shape 23" o:spid="_x0000_s104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6499pt,4.55pt" to="0.3pt,4.55pt" o:allowincell="f" strokecolor="#10157E" strokeweight="0.7369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57" w:lineRule="exact"/>
        <w:rPr>
          <w:sz w:val="20"/>
          <w:szCs w:val="20"/>
          <w:color w:val="auto"/>
        </w:rPr>
      </w:pPr>
    </w:p>
    <w:p>
      <w:pPr>
        <w:ind w:right="780"/>
        <w:spacing w:after="0" w:line="237" w:lineRule="auto"/>
        <w:rPr>
          <w:sz w:val="20"/>
          <w:szCs w:val="20"/>
          <w:color w:val="auto"/>
        </w:rPr>
      </w:pPr>
      <w:r>
        <w:rPr>
          <w:rFonts w:ascii="Arial" w:cs="Arial" w:eastAsia="Arial" w:hAnsi="Arial"/>
          <w:sz w:val="28"/>
          <w:szCs w:val="28"/>
          <w:color w:val="10157E"/>
        </w:rPr>
        <w:t>Paleolimnological Assessment of Six Lakes on the Kissimmee Chain, with Implications for Restoration of the Kissimmee–Okeechobee–Everglades system, Florida, USA</w:t>
      </w:r>
    </w:p>
    <w:p>
      <w:pPr>
        <w:spacing w:after="0" w:line="190" w:lineRule="exact"/>
        <w:rPr>
          <w:sz w:val="20"/>
          <w:szCs w:val="20"/>
          <w:color w:val="auto"/>
        </w:rPr>
      </w:pPr>
    </w:p>
    <w:p>
      <w:pPr>
        <w:spacing w:after="0"/>
        <w:rPr>
          <w:sz w:val="20"/>
          <w:szCs w:val="20"/>
          <w:color w:val="auto"/>
        </w:rPr>
      </w:pPr>
      <w:r>
        <w:rPr>
          <w:rFonts w:ascii="Arial" w:cs="Arial" w:eastAsia="Arial" w:hAnsi="Arial"/>
          <w:sz w:val="21"/>
          <w:szCs w:val="21"/>
          <w:color w:val="auto"/>
        </w:rPr>
        <w:t>Thomas J. Whitmore</w:t>
      </w:r>
      <w:r>
        <w:rPr>
          <w:rFonts w:ascii="Arial" w:cs="Arial" w:eastAsia="Arial" w:hAnsi="Arial"/>
          <w:sz w:val="27"/>
          <w:szCs w:val="27"/>
          <w:color w:val="000080"/>
          <w:vertAlign w:val="superscript"/>
        </w:rPr>
        <w:t>a</w:t>
      </w:r>
      <w:r>
        <w:rPr>
          <w:rFonts w:ascii="Arial" w:cs="Arial" w:eastAsia="Arial" w:hAnsi="Arial"/>
          <w:sz w:val="21"/>
          <w:szCs w:val="21"/>
          <w:color w:val="auto"/>
        </w:rPr>
        <w:t>, Melanie A. Riedinger-Whitmore</w:t>
      </w:r>
      <w:r>
        <w:rPr>
          <w:rFonts w:ascii="Arial" w:cs="Arial" w:eastAsia="Arial" w:hAnsi="Arial"/>
          <w:sz w:val="27"/>
          <w:szCs w:val="27"/>
          <w:color w:val="000080"/>
          <w:vertAlign w:val="superscript"/>
        </w:rPr>
        <w:t>a</w:t>
      </w:r>
      <w:r>
        <w:rPr>
          <w:rFonts w:ascii="Arial" w:cs="Arial" w:eastAsia="Arial" w:hAnsi="Arial"/>
          <w:sz w:val="21"/>
          <w:szCs w:val="21"/>
          <w:color w:val="auto"/>
        </w:rPr>
        <w:t>, Zachary E. Reed</w:t>
      </w:r>
      <w:r>
        <w:rPr>
          <w:rFonts w:ascii="Arial" w:cs="Arial" w:eastAsia="Arial" w:hAnsi="Arial"/>
          <w:sz w:val="27"/>
          <w:szCs w:val="27"/>
          <w:color w:val="000080"/>
          <w:vertAlign w:val="superscript"/>
        </w:rPr>
        <w:t>a</w:t>
      </w:r>
      <w:r>
        <w:rPr>
          <w:rFonts w:ascii="Arial" w:cs="Arial" w:eastAsia="Arial" w:hAnsi="Arial"/>
          <w:sz w:val="21"/>
          <w:szCs w:val="21"/>
          <w:color w:val="auto"/>
        </w:rPr>
        <w:t>, Jason H. Curtis</w:t>
      </w:r>
      <w:r>
        <w:rPr>
          <w:rFonts w:ascii="Arial" w:cs="Arial" w:eastAsia="Arial" w:hAnsi="Arial"/>
          <w:sz w:val="27"/>
          <w:szCs w:val="27"/>
          <w:color w:val="000080"/>
          <w:vertAlign w:val="superscript"/>
        </w:rPr>
        <w:t>b</w:t>
      </w:r>
      <w:r>
        <w:rPr>
          <w:rFonts w:ascii="Arial" w:cs="Arial" w:eastAsia="Arial" w:hAnsi="Arial"/>
          <w:sz w:val="21"/>
          <w:szCs w:val="21"/>
          <w:color w:val="auto"/>
        </w:rPr>
        <w:t>,</w:t>
      </w:r>
    </w:p>
    <w:p>
      <w:pPr>
        <w:ind w:right="720"/>
        <w:spacing w:after="0" w:line="202" w:lineRule="auto"/>
        <w:rPr>
          <w:sz w:val="20"/>
          <w:szCs w:val="20"/>
          <w:color w:val="auto"/>
        </w:rPr>
      </w:pPr>
      <w:r>
        <w:rPr>
          <w:rFonts w:ascii="Arial" w:cs="Arial" w:eastAsia="Arial" w:hAnsi="Arial"/>
          <w:sz w:val="21"/>
          <w:szCs w:val="21"/>
          <w:color w:val="auto"/>
        </w:rPr>
        <w:t>Handong Yang</w:t>
      </w:r>
      <w:r>
        <w:rPr>
          <w:rFonts w:ascii="Arial" w:cs="Arial" w:eastAsia="Arial" w:hAnsi="Arial"/>
          <w:sz w:val="27"/>
          <w:szCs w:val="27"/>
          <w:color w:val="000080"/>
          <w:vertAlign w:val="superscript"/>
        </w:rPr>
        <w:t>c</w:t>
      </w:r>
      <w:r>
        <w:rPr>
          <w:rFonts w:ascii="Arial" w:cs="Arial" w:eastAsia="Arial" w:hAnsi="Arial"/>
          <w:sz w:val="21"/>
          <w:szCs w:val="21"/>
          <w:color w:val="auto"/>
        </w:rPr>
        <w:t>, Deveny E. Evans</w:t>
      </w:r>
      <w:r>
        <w:rPr>
          <w:rFonts w:ascii="Arial" w:cs="Arial" w:eastAsia="Arial" w:hAnsi="Arial"/>
          <w:sz w:val="27"/>
          <w:szCs w:val="27"/>
          <w:color w:val="000080"/>
          <w:vertAlign w:val="superscript"/>
        </w:rPr>
        <w:t>a</w:t>
      </w:r>
      <w:r>
        <w:rPr>
          <w:rFonts w:ascii="Arial" w:cs="Arial" w:eastAsia="Arial" w:hAnsi="Arial"/>
          <w:sz w:val="21"/>
          <w:szCs w:val="21"/>
          <w:color w:val="auto"/>
        </w:rPr>
        <w:t>, Nicholas R. Cropper</w:t>
      </w:r>
      <w:r>
        <w:rPr>
          <w:rFonts w:ascii="Arial" w:cs="Arial" w:eastAsia="Arial" w:hAnsi="Arial"/>
          <w:sz w:val="27"/>
          <w:szCs w:val="27"/>
          <w:color w:val="000080"/>
          <w:vertAlign w:val="superscript"/>
        </w:rPr>
        <w:t>a</w:t>
      </w:r>
      <w:r>
        <w:rPr>
          <w:rFonts w:ascii="Arial" w:cs="Arial" w:eastAsia="Arial" w:hAnsi="Arial"/>
          <w:sz w:val="21"/>
          <w:szCs w:val="21"/>
          <w:color w:val="auto"/>
        </w:rPr>
        <w:t>, Karla S. Alvarado</w:t>
      </w:r>
      <w:r>
        <w:rPr>
          <w:rFonts w:ascii="Arial" w:cs="Arial" w:eastAsia="Arial" w:hAnsi="Arial"/>
          <w:sz w:val="27"/>
          <w:szCs w:val="27"/>
          <w:color w:val="000080"/>
          <w:vertAlign w:val="superscript"/>
        </w:rPr>
        <w:t>a</w:t>
      </w:r>
      <w:r>
        <w:rPr>
          <w:rFonts w:ascii="Arial" w:cs="Arial" w:eastAsia="Arial" w:hAnsi="Arial"/>
          <w:sz w:val="21"/>
          <w:szCs w:val="21"/>
          <w:color w:val="auto"/>
        </w:rPr>
        <w:t>, Francesca M. Lauterman</w:t>
      </w:r>
      <w:r>
        <w:rPr>
          <w:rFonts w:ascii="Arial" w:cs="Arial" w:eastAsia="Arial" w:hAnsi="Arial"/>
          <w:sz w:val="27"/>
          <w:szCs w:val="27"/>
          <w:color w:val="000080"/>
          <w:vertAlign w:val="superscript"/>
        </w:rPr>
        <w:t>a</w:t>
      </w:r>
      <w:r>
        <w:rPr>
          <w:rFonts w:ascii="Arial" w:cs="Arial" w:eastAsia="Arial" w:hAnsi="Arial"/>
          <w:sz w:val="21"/>
          <w:szCs w:val="21"/>
          <w:color w:val="auto"/>
        </w:rPr>
        <w:t>, Austyn Scott</w:t>
      </w:r>
      <w:r>
        <w:rPr>
          <w:rFonts w:ascii="Arial" w:cs="Arial" w:eastAsia="Arial" w:hAnsi="Arial"/>
          <w:sz w:val="27"/>
          <w:szCs w:val="27"/>
          <w:color w:val="000080"/>
          <w:vertAlign w:val="superscript"/>
        </w:rPr>
        <w:t>a</w:t>
      </w:r>
      <w:r>
        <w:rPr>
          <w:rFonts w:ascii="Arial" w:cs="Arial" w:eastAsia="Arial" w:hAnsi="Arial"/>
          <w:sz w:val="21"/>
          <w:szCs w:val="21"/>
          <w:color w:val="auto"/>
        </w:rPr>
        <w:t>, Christine R. Leonard</w:t>
      </w:r>
      <w:r>
        <w:rPr>
          <w:rFonts w:ascii="Arial" w:cs="Arial" w:eastAsia="Arial" w:hAnsi="Arial"/>
          <w:sz w:val="27"/>
          <w:szCs w:val="27"/>
          <w:color w:val="000080"/>
          <w:vertAlign w:val="superscript"/>
        </w:rPr>
        <w:t>a</w:t>
      </w:r>
      <w:r>
        <w:rPr>
          <w:rFonts w:ascii="Arial" w:cs="Arial" w:eastAsia="Arial" w:hAnsi="Arial"/>
          <w:sz w:val="21"/>
          <w:szCs w:val="21"/>
          <w:color w:val="auto"/>
        </w:rPr>
        <w:t xml:space="preserve"> and Daniel L. Franklin</w:t>
      </w:r>
      <w:r>
        <w:rPr>
          <w:rFonts w:ascii="Arial" w:cs="Arial" w:eastAsia="Arial" w:hAnsi="Arial"/>
          <w:sz w:val="27"/>
          <w:szCs w:val="27"/>
          <w:color w:val="000080"/>
          <w:vertAlign w:val="superscript"/>
        </w:rPr>
        <w:t>a</w:t>
      </w:r>
    </w:p>
    <w:p>
      <w:pPr>
        <w:spacing w:after="0" w:line="84" w:lineRule="exact"/>
        <w:rPr>
          <w:sz w:val="20"/>
          <w:szCs w:val="20"/>
          <w:color w:val="auto"/>
        </w:rPr>
      </w:pPr>
    </w:p>
    <w:p>
      <w:pPr>
        <w:jc w:val="both"/>
        <w:ind w:right="420"/>
        <w:spacing w:after="0" w:line="190" w:lineRule="auto"/>
        <w:rPr>
          <w:sz w:val="20"/>
          <w:szCs w:val="20"/>
          <w:color w:val="auto"/>
        </w:rPr>
      </w:pPr>
      <w:r>
        <w:rPr>
          <w:rFonts w:ascii="Arial" w:cs="Arial" w:eastAsia="Arial" w:hAnsi="Arial"/>
          <w:sz w:val="23"/>
          <w:szCs w:val="23"/>
          <w:color w:val="auto"/>
          <w:vertAlign w:val="superscript"/>
        </w:rPr>
        <w:t>a</w:t>
      </w:r>
      <w:r>
        <w:rPr>
          <w:rFonts w:ascii="Arial" w:cs="Arial" w:eastAsia="Arial" w:hAnsi="Arial"/>
          <w:sz w:val="18"/>
          <w:szCs w:val="18"/>
          <w:color w:val="auto"/>
        </w:rPr>
        <w:t xml:space="preserve">Department of Integrative Biology, University of South Florida, 140 7th Avenue S., St. Petersburg, FL, 33701, USA; </w:t>
      </w:r>
      <w:r>
        <w:rPr>
          <w:rFonts w:ascii="Arial" w:cs="Arial" w:eastAsia="Arial" w:hAnsi="Arial"/>
          <w:sz w:val="23"/>
          <w:szCs w:val="23"/>
          <w:color w:val="auto"/>
          <w:vertAlign w:val="superscript"/>
        </w:rPr>
        <w:t>b</w:t>
      </w:r>
      <w:r>
        <w:rPr>
          <w:rFonts w:ascii="Arial" w:cs="Arial" w:eastAsia="Arial" w:hAnsi="Arial"/>
          <w:sz w:val="18"/>
          <w:szCs w:val="18"/>
          <w:color w:val="auto"/>
        </w:rPr>
        <w:t xml:space="preserve">Department of Geological Sciences, University of Florida, 241 Williamson Hall, Gainesville, FL, 32611, USA; </w:t>
      </w:r>
      <w:r>
        <w:rPr>
          <w:rFonts w:ascii="Arial" w:cs="Arial" w:eastAsia="Arial" w:hAnsi="Arial"/>
          <w:sz w:val="23"/>
          <w:szCs w:val="23"/>
          <w:color w:val="auto"/>
          <w:vertAlign w:val="superscript"/>
        </w:rPr>
        <w:t>c</w:t>
      </w:r>
      <w:r>
        <w:rPr>
          <w:rFonts w:ascii="Arial" w:cs="Arial" w:eastAsia="Arial" w:hAnsi="Arial"/>
          <w:sz w:val="18"/>
          <w:szCs w:val="18"/>
          <w:color w:val="auto"/>
        </w:rPr>
        <w:t>Environmental Change Research Centre, University College London, Gower Street, London, WC1E 6BT, UK</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-1905</wp:posOffset>
                </wp:positionH>
                <wp:positionV relativeFrom="paragraph">
                  <wp:posOffset>154305</wp:posOffset>
                </wp:positionV>
                <wp:extent cx="5033645" cy="3677285"/>
                <wp:wrapNone/>
                <wp:docPr id="24" name="Shape 2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33645" cy="3677285"/>
                        </a:xfrm>
                        <a:prstGeom prst="rect">
                          <a:avLst/>
                        </a:prstGeom>
                        <a:solidFill>
                          <a:srgbClr val="E7E9F2"/>
                        </a:solidFill>
                      </wps:spPr>
                      <wps:bodyPr/>
                    </wps:wsp>
                  </a:graphicData>
                </a:graphic>
              </wp:anchor>
            </w:drawing>
          </mc:Choice>
          <mc:Fallback>
            <w:pict>
              <v:rect id="Shape 24" o:spid="_x0000_s1049" style="position:absolute;margin-left:-0.1499pt;margin-top:12.15pt;width:396.35pt;height:289.5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E7E9F2" stroked="f"/>
            </w:pict>
          </mc:Fallback>
        </mc:AlternateContent>
      </w:r>
    </w:p>
    <w:p>
      <w:pPr>
        <w:sectPr>
          <w:pgSz w:w="12240" w:h="15840" w:orient="portrait"/>
          <w:cols w:equalWidth="0" w:num="1">
            <w:col w:w="9840"/>
          </w:cols>
          <w:pgMar w:left="1200" w:top="999" w:right="1200" w:bottom="369" w:gutter="0" w:footer="0" w:header="0"/>
        </w:sectPr>
      </w:pPr>
    </w:p>
    <w:p>
      <w:pPr>
        <w:spacing w:after="0" w:line="200" w:lineRule="exact"/>
        <w:rPr>
          <w:sz w:val="20"/>
          <w:szCs w:val="20"/>
          <w:color w:val="auto"/>
        </w:rPr>
      </w:pPr>
    </w:p>
    <w:p>
      <w:pPr>
        <w:spacing w:after="0" w:line="247" w:lineRule="exact"/>
        <w:rPr>
          <w:sz w:val="20"/>
          <w:szCs w:val="20"/>
          <w:color w:val="auto"/>
        </w:rPr>
      </w:pPr>
    </w:p>
    <w:p>
      <w:pPr>
        <w:ind w:left="240"/>
        <w:spacing w:after="0"/>
        <w:rPr>
          <w:sz w:val="20"/>
          <w:szCs w:val="20"/>
          <w:color w:val="auto"/>
        </w:rPr>
      </w:pPr>
      <w:r>
        <w:rPr>
          <w:rFonts w:ascii="Arial" w:cs="Arial" w:eastAsia="Arial" w:hAnsi="Arial"/>
          <w:sz w:val="15"/>
          <w:szCs w:val="15"/>
          <w:color w:val="10157E"/>
        </w:rPr>
        <w:t>ABSTRACT</w:t>
      </w:r>
    </w:p>
    <w:p>
      <w:pPr>
        <w:spacing w:after="0" w:line="7" w:lineRule="exact"/>
        <w:rPr>
          <w:sz w:val="20"/>
          <w:szCs w:val="20"/>
          <w:color w:val="auto"/>
        </w:rPr>
      </w:pPr>
    </w:p>
    <w:p>
      <w:pPr>
        <w:jc w:val="both"/>
        <w:ind w:left="240"/>
        <w:spacing w:after="0" w:line="248" w:lineRule="auto"/>
        <w:rPr>
          <w:sz w:val="20"/>
          <w:szCs w:val="20"/>
          <w:color w:val="auto"/>
        </w:rPr>
      </w:pPr>
      <w:r>
        <w:rPr>
          <w:rFonts w:ascii="Arial" w:cs="Arial" w:eastAsia="Arial" w:hAnsi="Arial"/>
          <w:sz w:val="17"/>
          <w:szCs w:val="17"/>
          <w:color w:val="auto"/>
        </w:rPr>
        <w:t>Whitmore TJ, Riedinger-Whitmore MA, Reed, ZE, Curtis, JH, Yang H, Evans DE, Cropper NR, Alvarado KS, Lauterman FM, Scott A, Leonard DE, Franklin DL. 2020. Paleolimnological assessment of six lakes on the Kissimmee Chain, with implications for restoration of the Kissimmee–Okeechobee–Everglades systerm, Florida, USA. Lake Resrv Manage. XX:XX–XX.</w:t>
      </w:r>
    </w:p>
    <w:p>
      <w:pPr>
        <w:spacing w:after="0" w:line="191" w:lineRule="exact"/>
        <w:rPr>
          <w:sz w:val="20"/>
          <w:szCs w:val="20"/>
          <w:color w:val="auto"/>
        </w:rPr>
      </w:pPr>
    </w:p>
    <w:p>
      <w:pPr>
        <w:jc w:val="both"/>
        <w:ind w:left="240"/>
        <w:spacing w:after="0" w:line="232" w:lineRule="auto"/>
        <w:rPr>
          <w:sz w:val="20"/>
          <w:szCs w:val="20"/>
          <w:color w:val="auto"/>
        </w:rPr>
      </w:pPr>
      <w:r>
        <w:rPr>
          <w:rFonts w:ascii="Arial" w:cs="Arial" w:eastAsia="Arial" w:hAnsi="Arial"/>
          <w:sz w:val="18"/>
          <w:szCs w:val="18"/>
          <w:color w:val="auto"/>
        </w:rPr>
        <w:t>The Kissimmee Basin in south central Florida contains a large, freshwater network that includes the Kissimmee River and nearly 2 dozen lakes that are headwaters of the Florida Everglades. Management of these lakes is an important part of Everglades restoration. We report a paleolimnological investigation of 6 lakes in the Upper Kissimmee Basin. Engineering activities connected the lakes and permanently altered hydrology in the 19th and 20th centuries. The lakes were naturally meso-eutrophic, but changes in lake levels and nutrient loading contributed to different degrees of eutrophication. Cyanobacteria were pre-sent historically at low levels in Lakes East Tohopekaliga, Cypress, and Tohopekaliga, but increased during the 20th century. Lake Jackson lacked cyanobacteria until recently, but Lakes Kissimmee and Marian have had high levels of cyanobacteria since predisturbance times. Profound changes in the lakes occurred after engineering activities eliminated natural large fluctuations in water levels that periodically dried large portions of the basins. Salt-tol-erant biological indicators previously alternated with freshwater organisms. Large water-level fluctuations moderated aquatic-plant standing crops and reduced organic matter accu-mulation. Lakes Kissimmee and Marian showed greatest evidence of former associated wet-lands, but lacked large variations in water levels. We recommend disconnecting these lakes from each other and from the Kissimmee River to reestablish large, natural fluctuations in water levels that were part of healthy ecosystem function. Former wetlands should be restored to slow the downstream cascade of nutrients to Lake Okeechobee and the Everglades. This study demonstrates that paleolimnology is useful for assessing hydrological changes that potentially affect lake restoration efforts.</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11" w:lineRule="exact"/>
        <w:rPr>
          <w:sz w:val="20"/>
          <w:szCs w:val="20"/>
          <w:color w:val="auto"/>
        </w:rPr>
      </w:pPr>
    </w:p>
    <w:p>
      <w:pPr>
        <w:spacing w:after="0"/>
        <w:rPr>
          <w:sz w:val="20"/>
          <w:szCs w:val="20"/>
          <w:color w:val="auto"/>
        </w:rPr>
      </w:pPr>
      <w:r>
        <w:rPr>
          <w:rFonts w:ascii="Arial" w:cs="Arial" w:eastAsia="Arial" w:hAnsi="Arial"/>
          <w:sz w:val="15"/>
          <w:szCs w:val="15"/>
          <w:color w:val="10157E"/>
        </w:rPr>
        <w:t>KEYWORDS</w:t>
      </w:r>
    </w:p>
    <w:p>
      <w:pPr>
        <w:spacing w:after="0" w:line="5" w:lineRule="exact"/>
        <w:rPr>
          <w:sz w:val="20"/>
          <w:szCs w:val="20"/>
          <w:color w:val="auto"/>
        </w:rPr>
      </w:pPr>
    </w:p>
    <w:p>
      <w:pPr>
        <w:ind w:right="40"/>
        <w:spacing w:after="0" w:line="251" w:lineRule="auto"/>
        <w:rPr>
          <w:sz w:val="20"/>
          <w:szCs w:val="20"/>
          <w:color w:val="auto"/>
        </w:rPr>
      </w:pPr>
      <w:r>
        <w:rPr>
          <w:rFonts w:ascii="Arial" w:cs="Arial" w:eastAsia="Arial" w:hAnsi="Arial"/>
          <w:sz w:val="15"/>
          <w:szCs w:val="15"/>
          <w:color w:val="auto"/>
        </w:rPr>
        <w:t>Aquatic plants; diatoms; Florida; Kissimmee Chain of Lakes; paleolimnology; paleohydrology; stable isotopes</w:t>
      </w:r>
    </w:p>
    <w:p>
      <w:pPr>
        <w:spacing w:after="0" w:line="4516" w:lineRule="exact"/>
        <w:rPr>
          <w:sz w:val="20"/>
          <w:szCs w:val="20"/>
          <w:color w:val="auto"/>
        </w:rPr>
      </w:pPr>
    </w:p>
    <w:p>
      <w:pPr>
        <w:sectPr>
          <w:pgSz w:w="12240" w:h="15840" w:orient="portrait"/>
          <w:cols w:equalWidth="0" w:num="2">
            <w:col w:w="7680" w:space="360"/>
            <w:col w:w="1800"/>
          </w:cols>
          <w:pgMar w:left="1200" w:top="999" w:right="1200" w:bottom="369"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78" w:lineRule="exact"/>
        <w:rPr>
          <w:sz w:val="20"/>
          <w:szCs w:val="20"/>
          <w:color w:val="auto"/>
        </w:rPr>
      </w:pPr>
    </w:p>
    <w:p>
      <w:pPr>
        <w:jc w:val="both"/>
        <w:spacing w:after="0" w:line="258" w:lineRule="auto"/>
        <w:rPr>
          <w:sz w:val="20"/>
          <w:szCs w:val="20"/>
          <w:color w:val="auto"/>
        </w:rPr>
      </w:pPr>
      <w:r>
        <w:rPr>
          <w:rFonts w:ascii="Times New Roman" w:cs="Times New Roman" w:eastAsia="Times New Roman" w:hAnsi="Times New Roman"/>
          <w:sz w:val="23"/>
          <w:szCs w:val="23"/>
          <w:color w:val="auto"/>
        </w:rPr>
        <w:t>The Kissimmee Chain of Lakes is a series of shal-low, connected warm-temperate lakes in central Florida. Lakes on the chain are headwaters of the Kissimmee</w:t>
      </w:r>
      <w:r>
        <w:rPr>
          <w:rFonts w:ascii="Arial" w:cs="Arial" w:eastAsia="Arial" w:hAnsi="Arial"/>
          <w:sz w:val="23"/>
          <w:szCs w:val="23"/>
          <w:color w:val="auto"/>
        </w:rPr>
        <w:t>–</w:t>
      </w:r>
      <w:r>
        <w:rPr>
          <w:rFonts w:ascii="Times New Roman" w:cs="Times New Roman" w:eastAsia="Times New Roman" w:hAnsi="Times New Roman"/>
          <w:sz w:val="23"/>
          <w:szCs w:val="23"/>
          <w:color w:val="auto"/>
        </w:rPr>
        <w:t>Okeechobee</w:t>
      </w:r>
      <w:r>
        <w:rPr>
          <w:rFonts w:ascii="Arial" w:cs="Arial" w:eastAsia="Arial" w:hAnsi="Arial"/>
          <w:sz w:val="23"/>
          <w:szCs w:val="23"/>
          <w:color w:val="auto"/>
        </w:rPr>
        <w:t>–</w:t>
      </w:r>
      <w:r>
        <w:rPr>
          <w:rFonts w:ascii="Times New Roman" w:cs="Times New Roman" w:eastAsia="Times New Roman" w:hAnsi="Times New Roman"/>
          <w:sz w:val="23"/>
          <w:szCs w:val="23"/>
          <w:color w:val="auto"/>
        </w:rPr>
        <w:t>Everglades system, which extends from Orange County southward through Lake Okeechobee to the tip of the Florida Everglades, where discharge from the Everglades affects nearshore coral reefs. The lakes are situated in the 6164 km</w:t>
      </w:r>
      <w:r>
        <w:rPr>
          <w:rFonts w:ascii="Times New Roman" w:cs="Times New Roman" w:eastAsia="Times New Roman" w:hAnsi="Times New Roman"/>
          <w:sz w:val="30"/>
          <w:szCs w:val="30"/>
          <w:color w:val="auto"/>
          <w:vertAlign w:val="superscript"/>
        </w:rPr>
        <w:t>2</w:t>
      </w:r>
      <w:r>
        <w:rPr>
          <w:rFonts w:ascii="Times New Roman" w:cs="Times New Roman" w:eastAsia="Times New Roman" w:hAnsi="Times New Roman"/>
          <w:sz w:val="23"/>
          <w:szCs w:val="23"/>
          <w:color w:val="auto"/>
        </w:rPr>
        <w:t xml:space="preserve"> Kissimmee Basin, which</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-1905</wp:posOffset>
                </wp:positionH>
                <wp:positionV relativeFrom="paragraph">
                  <wp:posOffset>84455</wp:posOffset>
                </wp:positionV>
                <wp:extent cx="6252845" cy="0"/>
                <wp:wrapNone/>
                <wp:docPr id="25" name="Shape 2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252845" cy="4763"/>
                        </a:xfrm>
                        <a:prstGeom prst="line">
                          <a:avLst/>
                        </a:prstGeom>
                        <a:solidFill>
                          <a:srgbClr val="FFFFFF"/>
                        </a:solidFill>
                        <a:ln w="19176">
                          <a:solidFill>
                            <a:srgbClr val="10157E"/>
                          </a:solidFill>
                          <a:miter lim="800000"/>
                          <a:headEnd/>
                          <a:tailEnd/>
                        </a:ln>
                      </wps:spPr>
                      <wps:bodyPr/>
                    </wps:wsp>
                  </a:graphicData>
                </a:graphic>
              </wp:anchor>
            </w:drawing>
          </mc:Choice>
          <mc:Fallback>
            <w:pict>
              <v:line id="Shape 25" o:spid="_x0000_s105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1499pt,6.65pt" to="492.2pt,6.65pt" o:allowincell="f" strokecolor="#10157E" strokeweight="1.5099pt"/>
            </w:pict>
          </mc:Fallback>
        </mc:AlternateContent>
        <mc:AlternateContent>
          <mc:Choice Requires="wps">
            <w:drawing>
              <wp:anchor simplePos="0" relativeHeight="251657728" behindDoc="1" locked="0" layoutInCell="0" allowOverlap="1">
                <wp:simplePos x="0" y="0"/>
                <wp:positionH relativeFrom="column">
                  <wp:posOffset>-8255</wp:posOffset>
                </wp:positionH>
                <wp:positionV relativeFrom="paragraph">
                  <wp:posOffset>84455</wp:posOffset>
                </wp:positionV>
                <wp:extent cx="12065" cy="0"/>
                <wp:wrapNone/>
                <wp:docPr id="26" name="Shape 2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065" cy="4763"/>
                        </a:xfrm>
                        <a:prstGeom prst="line">
                          <a:avLst/>
                        </a:prstGeom>
                        <a:solidFill>
                          <a:srgbClr val="FFFFFF"/>
                        </a:solidFill>
                        <a:ln w="6476">
                          <a:solidFill>
                            <a:srgbClr val="10157E"/>
                          </a:solidFill>
                          <a:miter lim="800000"/>
                          <a:headEnd/>
                          <a:tailEnd/>
                        </a:ln>
                      </wps:spPr>
                      <wps:bodyPr/>
                    </wps:wsp>
                  </a:graphicData>
                </a:graphic>
              </wp:anchor>
            </w:drawing>
          </mc:Choice>
          <mc:Fallback>
            <w:pict>
              <v:line id="Shape 26" o:spid="_x0000_s105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6499pt,6.65pt" to="0.3pt,6.65pt" o:allowincell="f" strokecolor="#10157E" strokeweight="0.5099pt"/>
            </w:pict>
          </mc:Fallback>
        </mc:AlternateConten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58" w:lineRule="exact"/>
        <w:rPr>
          <w:sz w:val="20"/>
          <w:szCs w:val="20"/>
          <w:color w:val="auto"/>
        </w:rPr>
      </w:pPr>
    </w:p>
    <w:p>
      <w:pPr>
        <w:jc w:val="both"/>
        <w:spacing w:after="0" w:line="277" w:lineRule="auto"/>
        <w:rPr>
          <w:sz w:val="20"/>
          <w:szCs w:val="20"/>
          <w:color w:val="auto"/>
        </w:rPr>
      </w:pPr>
      <w:r>
        <w:rPr>
          <w:rFonts w:ascii="Times New Roman" w:cs="Times New Roman" w:eastAsia="Times New Roman" w:hAnsi="Times New Roman"/>
          <w:sz w:val="22"/>
          <w:szCs w:val="22"/>
          <w:color w:val="auto"/>
        </w:rPr>
        <w:t xml:space="preserve">contains the Kissimmee River, as well as associated streams and wetlands. Historically, the lakes were surrounded by freshwater marshes, pine flatwoods, and wet prairies that were connected by broad, shallow wetlands and creeks (South Florida Water Management District </w:t>
      </w:r>
      <w:r>
        <w:rPr>
          <w:rFonts w:ascii="Times New Roman" w:cs="Times New Roman" w:eastAsia="Times New Roman" w:hAnsi="Times New Roman"/>
          <w:sz w:val="22"/>
          <w:szCs w:val="22"/>
          <w:color w:val="000080"/>
        </w:rPr>
        <w:t>2019</w:t>
      </w:r>
      <w:r>
        <w:rPr>
          <w:rFonts w:ascii="Times New Roman" w:cs="Times New Roman" w:eastAsia="Times New Roman" w:hAnsi="Times New Roman"/>
          <w:sz w:val="22"/>
          <w:szCs w:val="22"/>
          <w:color w:val="auto"/>
        </w:rPr>
        <w:t xml:space="preserve">). Water levels fluctu-ated seasonally, which facilitated the connection of upper to lower lakes through an extensive marsh complex (US Army Corps of Engineers </w:t>
      </w:r>
      <w:r>
        <w:rPr>
          <w:rFonts w:ascii="Times New Roman" w:cs="Times New Roman" w:eastAsia="Times New Roman" w:hAnsi="Times New Roman"/>
          <w:sz w:val="22"/>
          <w:szCs w:val="22"/>
          <w:color w:val="000080"/>
        </w:rPr>
        <w:t>1996</w:t>
      </w:r>
      <w:r>
        <w:rPr>
          <w:rFonts w:ascii="Times New Roman" w:cs="Times New Roman" w:eastAsia="Times New Roman" w:hAnsi="Times New Roman"/>
          <w:sz w:val="22"/>
          <w:szCs w:val="22"/>
          <w:color w:val="auto"/>
        </w:rPr>
        <w:t>).</w:t>
      </w:r>
    </w:p>
    <w:p>
      <w:pPr>
        <w:spacing w:after="0" w:line="204" w:lineRule="exact"/>
        <w:rPr>
          <w:sz w:val="20"/>
          <w:szCs w:val="20"/>
          <w:color w:val="auto"/>
        </w:rPr>
      </w:pPr>
    </w:p>
    <w:p>
      <w:pPr>
        <w:sectPr>
          <w:pgSz w:w="12240" w:h="15840" w:orient="portrait"/>
          <w:cols w:equalWidth="0" w:num="2">
            <w:col w:w="4740" w:space="360"/>
            <w:col w:w="4740"/>
          </w:cols>
          <w:pgMar w:left="1200" w:top="999" w:right="1200" w:bottom="369" w:gutter="0" w:footer="0" w:header="0"/>
          <w:type w:val="continuous"/>
        </w:sectPr>
      </w:pPr>
    </w:p>
    <w:p>
      <w:pPr>
        <w:spacing w:after="0"/>
        <w:rPr>
          <w:sz w:val="20"/>
          <w:szCs w:val="20"/>
          <w:color w:val="auto"/>
        </w:rPr>
      </w:pPr>
      <w:r>
        <w:rPr>
          <w:rFonts w:ascii="Arial" w:cs="Arial" w:eastAsia="Arial" w:hAnsi="Arial"/>
          <w:sz w:val="16"/>
          <w:szCs w:val="16"/>
          <w:color w:val="10157E"/>
        </w:rPr>
        <w:t xml:space="preserve">CONTACT </w:t>
      </w:r>
      <w:r>
        <w:rPr>
          <w:rFonts w:ascii="Arial" w:cs="Arial" w:eastAsia="Arial" w:hAnsi="Arial"/>
          <w:sz w:val="16"/>
          <w:szCs w:val="16"/>
          <w:color w:val="000000"/>
        </w:rPr>
        <w:t xml:space="preserve">Thomas J. Whitmore </w:t>
      </w:r>
      <w:r>
        <w:rPr>
          <w:sz w:val="1"/>
          <w:szCs w:val="1"/>
          <w:color w:val="auto"/>
        </w:rPr>
        <w:drawing>
          <wp:inline distT="0" distB="0" distL="0" distR="0">
            <wp:extent cx="127000" cy="127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7">
                      <a:extLst>
                        <a:ext uri="{28A0092B-C50C-407E-A947-70E740481C1C}"/>
                      </a:extLst>
                    </a:blip>
                    <a:srcRect/>
                    <a:stretch>
                      <a:fillRect/>
                    </a:stretch>
                  </pic:blipFill>
                  <pic:spPr bwMode="auto">
                    <a:xfrm>
                      <a:off x="0" y="0"/>
                      <a:ext cx="127000" cy="127000"/>
                    </a:xfrm>
                    <a:prstGeom prst="rect">
                      <a:avLst/>
                    </a:prstGeom>
                    <a:noFill/>
                    <a:ln>
                      <a:noFill/>
                    </a:ln>
                  </pic:spPr>
                </pic:pic>
              </a:graphicData>
            </a:graphic>
          </wp:inline>
        </w:drawing>
      </w:r>
      <w:r>
        <w:rPr>
          <w:rFonts w:ascii="Arial" w:cs="Arial" w:eastAsia="Arial" w:hAnsi="Arial"/>
          <w:sz w:val="16"/>
          <w:szCs w:val="16"/>
          <w:color w:val="000080"/>
        </w:rPr>
        <w:t xml:space="preserve"> whitmore@usf.edu</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-14605</wp:posOffset>
            </wp:positionH>
            <wp:positionV relativeFrom="paragraph">
              <wp:posOffset>-8890</wp:posOffset>
            </wp:positionV>
            <wp:extent cx="152400" cy="15240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8">
                      <a:extLst>
                        <a:ext uri="{28A0092B-C50C-407E-A947-70E740481C1C}"/>
                      </a:extLst>
                    </a:blip>
                    <a:srcRect/>
                    <a:stretch>
                      <a:fillRect/>
                    </a:stretch>
                  </pic:blipFill>
                  <pic:spPr bwMode="auto">
                    <a:xfrm>
                      <a:off x="0" y="0"/>
                      <a:ext cx="152400" cy="152400"/>
                    </a:xfrm>
                    <a:prstGeom prst="rect">
                      <a:avLst/>
                    </a:prstGeom>
                    <a:noFill/>
                  </pic:spPr>
                </pic:pic>
              </a:graphicData>
            </a:graphic>
          </wp:anchor>
        </w:drawing>
      </w:r>
    </w:p>
    <w:p>
      <w:pPr>
        <w:spacing w:after="0" w:line="6" w:lineRule="exact"/>
        <w:rPr>
          <w:sz w:val="20"/>
          <w:szCs w:val="20"/>
          <w:color w:val="auto"/>
        </w:rPr>
      </w:pPr>
    </w:p>
    <w:p>
      <w:pPr>
        <w:ind w:left="240"/>
        <w:spacing w:after="0"/>
        <w:rPr>
          <w:rFonts w:ascii="Arial" w:cs="Arial" w:eastAsia="Arial" w:hAnsi="Arial"/>
          <w:sz w:val="14"/>
          <w:szCs w:val="14"/>
          <w:color w:val="auto"/>
        </w:rPr>
      </w:pPr>
      <w:r>
        <w:rPr>
          <w:rFonts w:ascii="Arial" w:cs="Arial" w:eastAsia="Arial" w:hAnsi="Arial"/>
          <w:sz w:val="14"/>
          <w:szCs w:val="14"/>
          <w:color w:val="auto"/>
        </w:rPr>
        <w:t xml:space="preserve">Supplemental data for this article is available online at </w:t>
      </w:r>
      <w:hyperlink r:id="rId13">
        <w:r>
          <w:rPr>
            <w:rFonts w:ascii="Arial" w:cs="Arial" w:eastAsia="Arial" w:hAnsi="Arial"/>
            <w:sz w:val="14"/>
            <w:szCs w:val="14"/>
            <w:color w:val="000080"/>
          </w:rPr>
          <w:t>https://doi.org/10.1080/10402381.2020.1785064</w:t>
        </w:r>
      </w:hyperlink>
      <w:r>
        <w:rPr>
          <w:rFonts w:ascii="Arial" w:cs="Arial" w:eastAsia="Arial" w:hAnsi="Arial"/>
          <w:sz w:val="14"/>
          <w:szCs w:val="14"/>
          <w:color w:val="auto"/>
        </w:rPr>
        <w:t>.</w:t>
      </w:r>
    </w:p>
    <w:p>
      <w:pPr>
        <w:spacing w:after="0" w:line="69" w:lineRule="exact"/>
        <w:rPr>
          <w:sz w:val="20"/>
          <w:szCs w:val="20"/>
          <w:color w:val="auto"/>
        </w:rPr>
      </w:pPr>
    </w:p>
    <w:p>
      <w:pPr>
        <w:spacing w:after="0"/>
        <w:rPr>
          <w:sz w:val="20"/>
          <w:szCs w:val="20"/>
          <w:color w:val="auto"/>
        </w:rPr>
      </w:pPr>
      <w:r>
        <w:rPr>
          <w:rFonts w:ascii="Arial" w:cs="Arial" w:eastAsia="Arial" w:hAnsi="Arial"/>
          <w:sz w:val="14"/>
          <w:szCs w:val="14"/>
          <w:color w:val="auto"/>
        </w:rPr>
        <w:t>2020 North American Lake Management Society</w:t>
      </w:r>
    </w:p>
    <w:p>
      <w:pPr>
        <w:sectPr>
          <w:pgSz w:w="12240" w:h="15840" w:orient="portrait"/>
          <w:cols w:equalWidth="0" w:num="1">
            <w:col w:w="9840"/>
          </w:cols>
          <w:pgMar w:left="1200" w:top="999" w:right="1200" w:bottom="369" w:gutter="0" w:footer="0" w:header="0"/>
          <w:type w:val="continuous"/>
        </w:sectPr>
      </w:pPr>
    </w:p>
    <w:bookmarkStart w:id="2" w:name="page3"/>
    <w:bookmarkEnd w:id="2"/>
    <w:p>
      <w:pPr>
        <w:spacing w:after="0"/>
        <w:rPr>
          <w:sz w:val="20"/>
          <w:szCs w:val="20"/>
          <w:color w:val="auto"/>
        </w:rPr>
      </w:pPr>
      <w:r>
        <w:rPr>
          <w:rFonts w:ascii="Arial" w:cs="Arial" w:eastAsia="Arial" w:hAnsi="Arial"/>
          <w:sz w:val="15"/>
          <w:szCs w:val="15"/>
          <w:color w:val="auto"/>
        </w:rPr>
        <w:t xml:space="preserve">2  </w:t>
      </w:r>
      <w:r>
        <w:rPr>
          <w:sz w:val="1"/>
          <w:szCs w:val="1"/>
          <w:color w:val="auto"/>
        </w:rPr>
        <w:drawing>
          <wp:inline distT="0" distB="0" distL="0" distR="0">
            <wp:extent cx="165100" cy="1651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9">
                      <a:extLst>
                        <a:ext uri="{28A0092B-C50C-407E-A947-70E740481C1C}"/>
                      </a:extLst>
                    </a:blip>
                    <a:srcRect/>
                    <a:stretch>
                      <a:fillRect/>
                    </a:stretch>
                  </pic:blipFill>
                  <pic:spPr bwMode="auto">
                    <a:xfrm>
                      <a:off x="0" y="0"/>
                      <a:ext cx="165100" cy="165100"/>
                    </a:xfrm>
                    <a:prstGeom prst="rect">
                      <a:avLst/>
                    </a:prstGeom>
                    <a:noFill/>
                    <a:ln>
                      <a:noFill/>
                    </a:ln>
                  </pic:spPr>
                </pic:pic>
              </a:graphicData>
            </a:graphic>
          </wp:inline>
        </w:drawing>
      </w:r>
      <w:r>
        <w:rPr>
          <w:rFonts w:ascii="Arial" w:cs="Arial" w:eastAsia="Arial" w:hAnsi="Arial"/>
          <w:sz w:val="15"/>
          <w:szCs w:val="15"/>
          <w:color w:val="auto"/>
        </w:rPr>
        <w:t xml:space="preserve">  T. J. WHITMORE ET AL.</w:t>
      </w:r>
    </w:p>
    <w:p>
      <w:pPr>
        <w:spacing w:after="0" w:line="271" w:lineRule="exact"/>
        <w:rPr>
          <w:sz w:val="20"/>
          <w:szCs w:val="20"/>
          <w:color w:val="auto"/>
        </w:rPr>
      </w:pPr>
    </w:p>
    <w:p>
      <w:pPr>
        <w:jc w:val="both"/>
        <w:spacing w:after="0" w:line="265" w:lineRule="auto"/>
        <w:rPr>
          <w:sz w:val="20"/>
          <w:szCs w:val="20"/>
          <w:color w:val="auto"/>
        </w:rPr>
      </w:pPr>
      <w:r>
        <w:rPr>
          <w:rFonts w:ascii="Times New Roman" w:cs="Times New Roman" w:eastAsia="Times New Roman" w:hAnsi="Times New Roman"/>
          <w:sz w:val="22"/>
          <w:szCs w:val="22"/>
          <w:color w:val="auto"/>
        </w:rPr>
        <w:t xml:space="preserve">A major effort to connect the lakes to the Kissimmee River and to Lake Okeechobee through canal construction began by the early 1880s. Canals were constructed to lower water levels and drain the northern Everglades region, to lessen flood impacts, to expand areas available for agricul-ture and ranching, and to reduce water flow and flooding in the lower Everglades. Water levels dropped by 1.8 m in lakes throughout the Upper Kissimmee Basin (US Army Corps of Engineers </w:t>
      </w:r>
      <w:r>
        <w:rPr>
          <w:rFonts w:ascii="Times New Roman" w:cs="Times New Roman" w:eastAsia="Times New Roman" w:hAnsi="Times New Roman"/>
          <w:sz w:val="22"/>
          <w:szCs w:val="22"/>
          <w:color w:val="000080"/>
        </w:rPr>
        <w:t>1996</w:t>
      </w:r>
      <w:r>
        <w:rPr>
          <w:rFonts w:ascii="Times New Roman" w:cs="Times New Roman" w:eastAsia="Times New Roman" w:hAnsi="Times New Roman"/>
          <w:sz w:val="22"/>
          <w:szCs w:val="22"/>
          <w:color w:val="000000"/>
        </w:rPr>
        <w:t>), and connections between lakes and associated</w:t>
      </w:r>
      <w:r>
        <w:rPr>
          <w:rFonts w:ascii="Times New Roman" w:cs="Times New Roman" w:eastAsia="Times New Roman" w:hAnsi="Times New Roman"/>
          <w:sz w:val="22"/>
          <w:szCs w:val="22"/>
          <w:color w:val="000080"/>
        </w:rPr>
        <w:t xml:space="preserve"> </w:t>
      </w:r>
      <w:r>
        <w:rPr>
          <w:rFonts w:ascii="Times New Roman" w:cs="Times New Roman" w:eastAsia="Times New Roman" w:hAnsi="Times New Roman"/>
          <w:sz w:val="22"/>
          <w:szCs w:val="22"/>
          <w:color w:val="000000"/>
        </w:rPr>
        <w:t xml:space="preserve">wetlands were severed (Atlantic and Gulf Coast Canal and Okeechobee Land Company 1885). Throughout the 1900s, wetland areas were drained for agriculture. Marshes adjacent to lakes were reduced to narrow littoral zones, which affected plant and animal communities (US Army Corps of Engineers </w:t>
      </w:r>
      <w:r>
        <w:rPr>
          <w:rFonts w:ascii="Times New Roman" w:cs="Times New Roman" w:eastAsia="Times New Roman" w:hAnsi="Times New Roman"/>
          <w:sz w:val="22"/>
          <w:szCs w:val="22"/>
          <w:color w:val="000080"/>
        </w:rPr>
        <w:t>1996</w:t>
      </w:r>
      <w:r>
        <w:rPr>
          <w:rFonts w:ascii="Times New Roman" w:cs="Times New Roman" w:eastAsia="Times New Roman" w:hAnsi="Times New Roman"/>
          <w:sz w:val="22"/>
          <w:szCs w:val="22"/>
          <w:color w:val="000000"/>
        </w:rPr>
        <w:t xml:space="preserve">). Modern areas of the lakes are sub-stantially smaller than their historic sizes because of drainage activities (Osceola County Community Development Department </w:t>
      </w:r>
      <w:r>
        <w:rPr>
          <w:rFonts w:ascii="Times New Roman" w:cs="Times New Roman" w:eastAsia="Times New Roman" w:hAnsi="Times New Roman"/>
          <w:sz w:val="22"/>
          <w:szCs w:val="22"/>
          <w:color w:val="000080"/>
        </w:rPr>
        <w:t>2015</w:t>
      </w:r>
      <w:r>
        <w:rPr>
          <w:rFonts w:ascii="Times New Roman" w:cs="Times New Roman" w:eastAsia="Times New Roman" w:hAnsi="Times New Roman"/>
          <w:sz w:val="22"/>
          <w:szCs w:val="22"/>
          <w:color w:val="000000"/>
        </w:rPr>
        <w:t xml:space="preserve">). Upstream urban-ization and agriculture led to increases in nutrient loading in some lakes. Point-source inputs had pro-nounced effects on Lake Tohopekaliga, which in turn affected Lake Cypress (Huber et al. </w:t>
      </w:r>
      <w:r>
        <w:rPr>
          <w:rFonts w:ascii="Times New Roman" w:cs="Times New Roman" w:eastAsia="Times New Roman" w:hAnsi="Times New Roman"/>
          <w:sz w:val="22"/>
          <w:szCs w:val="22"/>
          <w:color w:val="000080"/>
        </w:rPr>
        <w:t>1982</w:t>
      </w:r>
      <w:r>
        <w:rPr>
          <w:rFonts w:ascii="Times New Roman" w:cs="Times New Roman" w:eastAsia="Times New Roman" w:hAnsi="Times New Roman"/>
          <w:sz w:val="22"/>
          <w:szCs w:val="22"/>
          <w:color w:val="000000"/>
        </w:rPr>
        <w:t xml:space="preserve">, Dierberg et al. </w:t>
      </w:r>
      <w:r>
        <w:rPr>
          <w:rFonts w:ascii="Times New Roman" w:cs="Times New Roman" w:eastAsia="Times New Roman" w:hAnsi="Times New Roman"/>
          <w:sz w:val="22"/>
          <w:szCs w:val="22"/>
          <w:color w:val="000080"/>
        </w:rPr>
        <w:t>1988</w:t>
      </w:r>
      <w:r>
        <w:rPr>
          <w:rFonts w:ascii="Times New Roman" w:cs="Times New Roman" w:eastAsia="Times New Roman" w:hAnsi="Times New Roman"/>
          <w:sz w:val="22"/>
          <w:szCs w:val="22"/>
          <w:color w:val="000000"/>
        </w:rPr>
        <w:t xml:space="preserve">, James et al. </w:t>
      </w:r>
      <w:r>
        <w:rPr>
          <w:rFonts w:ascii="Times New Roman" w:cs="Times New Roman" w:eastAsia="Times New Roman" w:hAnsi="Times New Roman"/>
          <w:sz w:val="22"/>
          <w:szCs w:val="22"/>
          <w:color w:val="000080"/>
        </w:rPr>
        <w:t>1994</w:t>
      </w:r>
      <w:r>
        <w:rPr>
          <w:rFonts w:ascii="Times New Roman" w:cs="Times New Roman" w:eastAsia="Times New Roman" w:hAnsi="Times New Roman"/>
          <w:sz w:val="22"/>
          <w:szCs w:val="22"/>
          <w:color w:val="000000"/>
        </w:rPr>
        <w:t xml:space="preserve">, Williams </w:t>
      </w:r>
      <w:r>
        <w:rPr>
          <w:rFonts w:ascii="Times New Roman" w:cs="Times New Roman" w:eastAsia="Times New Roman" w:hAnsi="Times New Roman"/>
          <w:sz w:val="22"/>
          <w:szCs w:val="22"/>
          <w:color w:val="000080"/>
        </w:rPr>
        <w:t>2001</w:t>
      </w:r>
      <w:r>
        <w:rPr>
          <w:rFonts w:ascii="Times New Roman" w:cs="Times New Roman" w:eastAsia="Times New Roman" w:hAnsi="Times New Roman"/>
          <w:sz w:val="22"/>
          <w:szCs w:val="22"/>
          <w:color w:val="000000"/>
        </w:rPr>
        <w:t>). Subsequent channelization of the Kissimmee</w:t>
      </w:r>
      <w:r>
        <w:rPr>
          <w:rFonts w:ascii="Times New Roman" w:cs="Times New Roman" w:eastAsia="Times New Roman" w:hAnsi="Times New Roman"/>
          <w:sz w:val="22"/>
          <w:szCs w:val="22"/>
          <w:color w:val="000080"/>
        </w:rPr>
        <w:t xml:space="preserve"> </w:t>
      </w:r>
      <w:r>
        <w:rPr>
          <w:rFonts w:ascii="Times New Roman" w:cs="Times New Roman" w:eastAsia="Times New Roman" w:hAnsi="Times New Roman"/>
          <w:sz w:val="22"/>
          <w:szCs w:val="22"/>
          <w:color w:val="000000"/>
        </w:rPr>
        <w:t>River by the Army Corps of Engineers in the 1960s had adverse ecological and water-quality consequen-ces for Upper Basin lakes. Current management and nutrient mitigation of lakes on the Kissimmee Chain are important parts of the restoration initia-tive for the Florida Everglades, the largest Ramsar Convention wetland complex in the United States.</w:t>
      </w:r>
    </w:p>
    <w:p>
      <w:pPr>
        <w:spacing w:after="0" w:line="34" w:lineRule="exact"/>
        <w:rPr>
          <w:sz w:val="20"/>
          <w:szCs w:val="20"/>
          <w:color w:val="auto"/>
        </w:rPr>
      </w:pPr>
    </w:p>
    <w:p>
      <w:pPr>
        <w:jc w:val="both"/>
        <w:ind w:firstLine="240"/>
        <w:spacing w:after="0" w:line="253" w:lineRule="auto"/>
        <w:rPr>
          <w:sz w:val="20"/>
          <w:szCs w:val="20"/>
          <w:color w:val="auto"/>
        </w:rPr>
      </w:pPr>
      <w:r>
        <w:rPr>
          <w:rFonts w:ascii="Times New Roman" w:cs="Times New Roman" w:eastAsia="Times New Roman" w:hAnsi="Times New Roman"/>
          <w:sz w:val="23"/>
          <w:szCs w:val="23"/>
          <w:color w:val="auto"/>
        </w:rPr>
        <w:t xml:space="preserve">Paleolimnology has a well-established role in ecosystem management because it provides long-term environmental information that is often undocumented (Smol </w:t>
      </w:r>
      <w:r>
        <w:rPr>
          <w:rFonts w:ascii="Times New Roman" w:cs="Times New Roman" w:eastAsia="Times New Roman" w:hAnsi="Times New Roman"/>
          <w:sz w:val="23"/>
          <w:szCs w:val="23"/>
          <w:color w:val="000080"/>
        </w:rPr>
        <w:t>1992</w:t>
      </w:r>
      <w:r>
        <w:rPr>
          <w:rFonts w:ascii="Times New Roman" w:cs="Times New Roman" w:eastAsia="Times New Roman" w:hAnsi="Times New Roman"/>
          <w:sz w:val="23"/>
          <w:szCs w:val="23"/>
          <w:color w:val="auto"/>
        </w:rPr>
        <w:t xml:space="preserve">, Brenner et al. </w:t>
      </w:r>
      <w:r>
        <w:rPr>
          <w:rFonts w:ascii="Times New Roman" w:cs="Times New Roman" w:eastAsia="Times New Roman" w:hAnsi="Times New Roman"/>
          <w:sz w:val="23"/>
          <w:szCs w:val="23"/>
          <w:color w:val="000080"/>
        </w:rPr>
        <w:t>1993</w:t>
      </w:r>
      <w:r>
        <w:rPr>
          <w:rFonts w:ascii="Times New Roman" w:cs="Times New Roman" w:eastAsia="Times New Roman" w:hAnsi="Times New Roman"/>
          <w:sz w:val="23"/>
          <w:szCs w:val="23"/>
          <w:color w:val="auto"/>
        </w:rPr>
        <w:t xml:space="preserve">, Battarbee and Bennion </w:t>
      </w:r>
      <w:r>
        <w:rPr>
          <w:rFonts w:ascii="Times New Roman" w:cs="Times New Roman" w:eastAsia="Times New Roman" w:hAnsi="Times New Roman"/>
          <w:sz w:val="23"/>
          <w:szCs w:val="23"/>
          <w:color w:val="000080"/>
        </w:rPr>
        <w:t>2011</w:t>
      </w:r>
      <w:r>
        <w:rPr>
          <w:rFonts w:ascii="Times New Roman" w:cs="Times New Roman" w:eastAsia="Times New Roman" w:hAnsi="Times New Roman"/>
          <w:sz w:val="23"/>
          <w:szCs w:val="23"/>
          <w:color w:val="auto"/>
        </w:rPr>
        <w:t xml:space="preserve">, Bennion et al. </w:t>
      </w:r>
      <w:r>
        <w:rPr>
          <w:rFonts w:ascii="Times New Roman" w:cs="Times New Roman" w:eastAsia="Times New Roman" w:hAnsi="Times New Roman"/>
          <w:sz w:val="23"/>
          <w:szCs w:val="23"/>
          <w:color w:val="000080"/>
        </w:rPr>
        <w:t>2011</w:t>
      </w:r>
      <w:r>
        <w:rPr>
          <w:rFonts w:ascii="Times New Roman" w:cs="Times New Roman" w:eastAsia="Times New Roman" w:hAnsi="Times New Roman"/>
          <w:sz w:val="23"/>
          <w:szCs w:val="23"/>
          <w:color w:val="auto"/>
        </w:rPr>
        <w:t xml:space="preserve">, Davidson and Jeppesen </w:t>
      </w:r>
      <w:r>
        <w:rPr>
          <w:rFonts w:ascii="Times New Roman" w:cs="Times New Roman" w:eastAsia="Times New Roman" w:hAnsi="Times New Roman"/>
          <w:sz w:val="23"/>
          <w:szCs w:val="23"/>
          <w:color w:val="000080"/>
        </w:rPr>
        <w:t>2013</w:t>
      </w:r>
      <w:r>
        <w:rPr>
          <w:rFonts w:ascii="Times New Roman" w:cs="Times New Roman" w:eastAsia="Times New Roman" w:hAnsi="Times New Roman"/>
          <w:sz w:val="23"/>
          <w:szCs w:val="23"/>
          <w:color w:val="auto"/>
        </w:rPr>
        <w:t xml:space="preserve">, Larocque-Tobler </w:t>
      </w:r>
      <w:r>
        <w:rPr>
          <w:rFonts w:ascii="Times New Roman" w:cs="Times New Roman" w:eastAsia="Times New Roman" w:hAnsi="Times New Roman"/>
          <w:sz w:val="23"/>
          <w:szCs w:val="23"/>
          <w:color w:val="000080"/>
        </w:rPr>
        <w:t>2016</w:t>
      </w:r>
      <w:r>
        <w:rPr>
          <w:rFonts w:ascii="Times New Roman" w:cs="Times New Roman" w:eastAsia="Times New Roman" w:hAnsi="Times New Roman"/>
          <w:sz w:val="23"/>
          <w:szCs w:val="23"/>
          <w:color w:val="000000"/>
        </w:rPr>
        <w:t>). Predisturbance conditions in lakes of the</w:t>
      </w:r>
      <w:r>
        <w:rPr>
          <w:rFonts w:ascii="Times New Roman" w:cs="Times New Roman" w:eastAsia="Times New Roman" w:hAnsi="Times New Roman"/>
          <w:sz w:val="23"/>
          <w:szCs w:val="23"/>
          <w:color w:val="000080"/>
        </w:rPr>
        <w:t xml:space="preserve"> </w:t>
      </w:r>
      <w:r>
        <w:rPr>
          <w:rFonts w:ascii="Times New Roman" w:cs="Times New Roman" w:eastAsia="Times New Roman" w:hAnsi="Times New Roman"/>
          <w:sz w:val="23"/>
          <w:szCs w:val="23"/>
          <w:color w:val="000000"/>
        </w:rPr>
        <w:t>Upper Kissimmee Basin are unknown, which has posed a challenge for establishment of appropriate restoration targets for the lakes. This study used paleolimnological methods to analyze a total of 18 sediment cores from Lakes Kissimmee, Cypress, Marian, Jackson, Tohopekaliga, and East Tohopekaliga on the Kissimmee Chain (</w:t>
      </w:r>
      <w:r>
        <w:rPr>
          <w:rFonts w:ascii="Times New Roman" w:cs="Times New Roman" w:eastAsia="Times New Roman" w:hAnsi="Times New Roman"/>
          <w:sz w:val="23"/>
          <w:szCs w:val="23"/>
          <w:color w:val="000080"/>
        </w:rPr>
        <w:t>Figure 1</w:t>
      </w:r>
      <w:r>
        <w:rPr>
          <w:rFonts w:ascii="Times New Roman" w:cs="Times New Roman" w:eastAsia="Times New Roman" w:hAnsi="Times New Roman"/>
          <w:sz w:val="23"/>
          <w:szCs w:val="23"/>
          <w:color w:val="000000"/>
        </w:rPr>
        <w:t>). The objective was to describe water quality and</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343" w:lineRule="exact"/>
        <w:rPr>
          <w:sz w:val="20"/>
          <w:szCs w:val="20"/>
          <w:color w:val="auto"/>
        </w:rPr>
      </w:pPr>
    </w:p>
    <w:p>
      <w:pPr>
        <w:jc w:val="both"/>
        <w:spacing w:after="0" w:line="255" w:lineRule="auto"/>
        <w:rPr>
          <w:sz w:val="20"/>
          <w:szCs w:val="20"/>
          <w:color w:val="auto"/>
        </w:rPr>
      </w:pPr>
      <w:r>
        <w:rPr>
          <w:rFonts w:ascii="Times New Roman" w:cs="Times New Roman" w:eastAsia="Times New Roman" w:hAnsi="Times New Roman"/>
          <w:sz w:val="23"/>
          <w:szCs w:val="23"/>
          <w:color w:val="auto"/>
        </w:rPr>
        <w:t>ecological conditions, including aquatic plants, algae, and cyanobacteria, during reference periods that represented low human impact on the lakes during the early 1800s, and to document subse-quent changes. Additionally, the purposes were to assess changes in nutrient deposition rates, and to determine whether associated wetlands were pre-sent that might have contributed significant amounts of colored dissolved organic carbon to the lakes and attenuated algal production. Our intention was to assist the Osceola County Public Works Department and the Florida Department of Environmental Protection (Florida DEP) in defin-ing appropriate restoration goals for the lakes.</w:t>
      </w:r>
    </w:p>
    <w:p>
      <w:pPr>
        <w:spacing w:after="0" w:line="383" w:lineRule="exact"/>
        <w:rPr>
          <w:sz w:val="20"/>
          <w:szCs w:val="20"/>
          <w:color w:val="auto"/>
        </w:rPr>
      </w:pPr>
    </w:p>
    <w:p>
      <w:pPr>
        <w:spacing w:after="0"/>
        <w:rPr>
          <w:sz w:val="20"/>
          <w:szCs w:val="20"/>
          <w:color w:val="auto"/>
        </w:rPr>
      </w:pPr>
      <w:r>
        <w:rPr>
          <w:rFonts w:ascii="Arial" w:cs="Arial" w:eastAsia="Arial" w:hAnsi="Arial"/>
          <w:sz w:val="22"/>
          <w:szCs w:val="22"/>
          <w:color w:val="10157E"/>
        </w:rPr>
        <w:t>Study sites</w:t>
      </w:r>
    </w:p>
    <w:p>
      <w:pPr>
        <w:spacing w:after="0" w:line="145" w:lineRule="exact"/>
        <w:rPr>
          <w:sz w:val="20"/>
          <w:szCs w:val="20"/>
          <w:color w:val="auto"/>
        </w:rPr>
      </w:pPr>
    </w:p>
    <w:p>
      <w:pPr>
        <w:jc w:val="both"/>
        <w:spacing w:after="0" w:line="255" w:lineRule="auto"/>
        <w:rPr>
          <w:sz w:val="20"/>
          <w:szCs w:val="20"/>
          <w:color w:val="auto"/>
        </w:rPr>
      </w:pPr>
      <w:r>
        <w:rPr>
          <w:rFonts w:ascii="Times New Roman" w:cs="Times New Roman" w:eastAsia="Times New Roman" w:hAnsi="Times New Roman"/>
          <w:sz w:val="23"/>
          <w:szCs w:val="23"/>
          <w:color w:val="auto"/>
        </w:rPr>
        <w:t xml:space="preserve">Lakes on the Kissimmee Chain are managed by the South Florida Water Management District, the US Army Corps of Engineers, the Florida Fish and Wildlife Conservation Commission, the Osceola County Public Works Department, the Florida DEP, and the US Fish and Wildlife Service. Water quality is highly variable, but recently measured values are shown in </w:t>
      </w:r>
      <w:r>
        <w:rPr>
          <w:rFonts w:ascii="Times New Roman" w:cs="Times New Roman" w:eastAsia="Times New Roman" w:hAnsi="Times New Roman"/>
          <w:sz w:val="23"/>
          <w:szCs w:val="23"/>
          <w:color w:val="000080"/>
        </w:rPr>
        <w:t>Table 1</w:t>
      </w:r>
      <w:r>
        <w:rPr>
          <w:rFonts w:ascii="Times New Roman" w:cs="Times New Roman" w:eastAsia="Times New Roman" w:hAnsi="Times New Roman"/>
          <w:sz w:val="23"/>
          <w:szCs w:val="23"/>
          <w:color w:val="auto"/>
        </w:rPr>
        <w:t xml:space="preserve">. All lakes have high dissolved color values, and therefore are subject to target chlorophyll a values of 20 </w:t>
      </w:r>
      <w:r>
        <w:rPr>
          <w:rFonts w:ascii="Arial" w:cs="Arial" w:eastAsia="Arial" w:hAnsi="Arial"/>
          <w:sz w:val="23"/>
          <w:szCs w:val="23"/>
          <w:color w:val="auto"/>
        </w:rPr>
        <w:t>m</w:t>
      </w:r>
      <w:r>
        <w:rPr>
          <w:rFonts w:ascii="Times New Roman" w:cs="Times New Roman" w:eastAsia="Times New Roman" w:hAnsi="Times New Roman"/>
          <w:sz w:val="23"/>
          <w:szCs w:val="23"/>
          <w:color w:val="auto"/>
        </w:rPr>
        <w:t xml:space="preserve">g/L (Florida DEP </w:t>
      </w:r>
      <w:r>
        <w:rPr>
          <w:rFonts w:ascii="Times New Roman" w:cs="Times New Roman" w:eastAsia="Times New Roman" w:hAnsi="Times New Roman"/>
          <w:sz w:val="23"/>
          <w:szCs w:val="23"/>
          <w:color w:val="000080"/>
        </w:rPr>
        <w:t>2013</w:t>
      </w:r>
      <w:r>
        <w:rPr>
          <w:rFonts w:ascii="Times New Roman" w:cs="Times New Roman" w:eastAsia="Times New Roman" w:hAnsi="Times New Roman"/>
          <w:sz w:val="23"/>
          <w:szCs w:val="23"/>
          <w:color w:val="auto"/>
        </w:rPr>
        <w:t xml:space="preserve">). Lakes Cypress, Jackson, Kissimmee, and Marian are considered impaired because limnetic chlorophyll a values exceed this standard, whereas East Tohopekaliga and Tohopekaliga are not impaired (Osceola County Community Development Department </w:t>
      </w:r>
      <w:r>
        <w:rPr>
          <w:rFonts w:ascii="Times New Roman" w:cs="Times New Roman" w:eastAsia="Times New Roman" w:hAnsi="Times New Roman"/>
          <w:sz w:val="23"/>
          <w:szCs w:val="23"/>
          <w:color w:val="000080"/>
        </w:rPr>
        <w:t>2015</w:t>
      </w:r>
      <w:r>
        <w:rPr>
          <w:rFonts w:ascii="Times New Roman" w:cs="Times New Roman" w:eastAsia="Times New Roman" w:hAnsi="Times New Roman"/>
          <w:sz w:val="23"/>
          <w:szCs w:val="23"/>
          <w:color w:val="000000"/>
        </w:rPr>
        <w:t>). Because of their better water quality, East</w:t>
      </w:r>
      <w:r>
        <w:rPr>
          <w:rFonts w:ascii="Times New Roman" w:cs="Times New Roman" w:eastAsia="Times New Roman" w:hAnsi="Times New Roman"/>
          <w:sz w:val="23"/>
          <w:szCs w:val="23"/>
          <w:color w:val="000080"/>
        </w:rPr>
        <w:t xml:space="preserve"> </w:t>
      </w:r>
      <w:r>
        <w:rPr>
          <w:rFonts w:ascii="Times New Roman" w:cs="Times New Roman" w:eastAsia="Times New Roman" w:hAnsi="Times New Roman"/>
          <w:sz w:val="23"/>
          <w:szCs w:val="23"/>
          <w:color w:val="000000"/>
        </w:rPr>
        <w:t xml:space="preserve">Tohopekaliga and Tohopekaliga are designated Class III lakes that are protected for fish consump-tion, recreation, and wildlife. Tohopekaliga, how-ever, demonstrated extreme hypereutrophic conditions in recent decades (Huber et al. </w:t>
      </w:r>
      <w:r>
        <w:rPr>
          <w:rFonts w:ascii="Times New Roman" w:cs="Times New Roman" w:eastAsia="Times New Roman" w:hAnsi="Times New Roman"/>
          <w:sz w:val="23"/>
          <w:szCs w:val="23"/>
          <w:color w:val="000080"/>
        </w:rPr>
        <w:t>1982</w:t>
      </w:r>
      <w:r>
        <w:rPr>
          <w:rFonts w:ascii="Times New Roman" w:cs="Times New Roman" w:eastAsia="Times New Roman" w:hAnsi="Times New Roman"/>
          <w:sz w:val="23"/>
          <w:szCs w:val="23"/>
          <w:color w:val="000000"/>
        </w:rPr>
        <w:t>). Lakes Tohopekaliga and Cypress require manage-ment of invasive Hydrilla. Lake Cypress is impaired in terms of total phosphorus and total nitrogen concentrations, as well as for chlorophyll a. East Lake Tohopekaliga does not require man-agement to control Hydrilla, but it has extensive vegetation that creates problematic floating tus-socks. Although Lake Jackson is impaired, it is nearly surrounded by the Three Lakes Wildlife Management Area and by private agricultural</w:t>
      </w:r>
    </w:p>
    <w:p>
      <w:pPr>
        <w:sectPr>
          <w:pgSz w:w="12240" w:h="15840" w:orient="portrait"/>
          <w:cols w:equalWidth="0" w:num="2">
            <w:col w:w="4740" w:space="360"/>
            <w:col w:w="4740"/>
          </w:cols>
          <w:pgMar w:left="1200" w:top="458" w:right="1200" w:bottom="541" w:gutter="0" w:footer="0" w:header="0"/>
        </w:sectPr>
      </w:pPr>
    </w:p>
    <w:bookmarkStart w:id="3" w:name="page4"/>
    <w:bookmarkEnd w:id="3"/>
    <w:p>
      <w:pPr>
        <w:ind w:left="6920"/>
        <w:spacing w:after="0"/>
        <w:rPr>
          <w:sz w:val="20"/>
          <w:szCs w:val="20"/>
          <w:color w:val="auto"/>
        </w:rPr>
      </w:pPr>
      <w:r>
        <w:rPr>
          <w:rFonts w:ascii="Arial" w:cs="Arial" w:eastAsia="Arial" w:hAnsi="Arial"/>
          <w:sz w:val="12"/>
          <w:szCs w:val="12"/>
          <w:color w:val="auto"/>
        </w:rPr>
        <w:t xml:space="preserve">LAKE AND RESERVOIR MANAGEMENT  </w:t>
      </w:r>
      <w:r>
        <w:rPr>
          <w:sz w:val="1"/>
          <w:szCs w:val="1"/>
          <w:color w:val="auto"/>
        </w:rPr>
        <w:drawing>
          <wp:inline distT="0" distB="0" distL="0" distR="0">
            <wp:extent cx="165100" cy="1651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0">
                      <a:extLst>
                        <a:ext uri="{28A0092B-C50C-407E-A947-70E740481C1C}"/>
                      </a:extLst>
                    </a:blip>
                    <a:srcRect/>
                    <a:stretch>
                      <a:fillRect/>
                    </a:stretch>
                  </pic:blipFill>
                  <pic:spPr bwMode="auto">
                    <a:xfrm>
                      <a:off x="0" y="0"/>
                      <a:ext cx="165100" cy="165100"/>
                    </a:xfrm>
                    <a:prstGeom prst="rect">
                      <a:avLst/>
                    </a:prstGeom>
                    <a:noFill/>
                    <a:ln>
                      <a:noFill/>
                    </a:ln>
                  </pic:spPr>
                </pic:pic>
              </a:graphicData>
            </a:graphic>
          </wp:inline>
        </w:drawing>
      </w:r>
      <w:r>
        <w:rPr>
          <w:rFonts w:ascii="Arial" w:cs="Arial" w:eastAsia="Arial" w:hAnsi="Arial"/>
          <w:sz w:val="12"/>
          <w:szCs w:val="12"/>
          <w:color w:val="auto"/>
        </w:rPr>
        <w:t xml:space="preserve">  3</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823595</wp:posOffset>
            </wp:positionH>
            <wp:positionV relativeFrom="paragraph">
              <wp:posOffset>196850</wp:posOffset>
            </wp:positionV>
            <wp:extent cx="4602480" cy="411480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1">
                      <a:extLst>
                        <a:ext uri="{28A0092B-C50C-407E-A947-70E740481C1C}"/>
                      </a:extLst>
                    </a:blip>
                    <a:srcRect/>
                    <a:stretch>
                      <a:fillRect/>
                    </a:stretch>
                  </pic:blipFill>
                  <pic:spPr bwMode="auto">
                    <a:xfrm>
                      <a:off x="0" y="0"/>
                      <a:ext cx="4602480" cy="41148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9" w:lineRule="exact"/>
        <w:rPr>
          <w:sz w:val="20"/>
          <w:szCs w:val="20"/>
          <w:color w:val="auto"/>
        </w:rPr>
      </w:pPr>
    </w:p>
    <w:p>
      <w:pPr>
        <w:spacing w:after="0" w:line="238" w:lineRule="auto"/>
        <w:rPr>
          <w:sz w:val="20"/>
          <w:szCs w:val="20"/>
          <w:color w:val="auto"/>
        </w:rPr>
      </w:pPr>
      <w:r>
        <w:rPr>
          <w:rFonts w:ascii="Arial" w:cs="Arial" w:eastAsia="Arial" w:hAnsi="Arial"/>
          <w:sz w:val="19"/>
          <w:szCs w:val="19"/>
          <w:color w:val="10157E"/>
        </w:rPr>
        <w:t xml:space="preserve">Figure 1. </w:t>
      </w:r>
      <w:r>
        <w:rPr>
          <w:rFonts w:ascii="Arial" w:cs="Arial" w:eastAsia="Arial" w:hAnsi="Arial"/>
          <w:sz w:val="19"/>
          <w:szCs w:val="19"/>
          <w:color w:val="000000"/>
        </w:rPr>
        <w:t>Location of the 6 study lakes in the Upper Kissimmee Basin. Modified from a map prepared by Kissimmee Division,</w:t>
      </w:r>
      <w:r>
        <w:rPr>
          <w:rFonts w:ascii="Arial" w:cs="Arial" w:eastAsia="Arial" w:hAnsi="Arial"/>
          <w:sz w:val="19"/>
          <w:szCs w:val="19"/>
          <w:color w:val="10157E"/>
        </w:rPr>
        <w:t xml:space="preserve"> </w:t>
      </w:r>
      <w:r>
        <w:rPr>
          <w:rFonts w:ascii="Arial" w:cs="Arial" w:eastAsia="Arial" w:hAnsi="Arial"/>
          <w:sz w:val="19"/>
          <w:szCs w:val="19"/>
          <w:color w:val="000000"/>
        </w:rPr>
        <w:t>Ecosystem Restoration Department, South Florida Water Management District (</w:t>
      </w:r>
      <w:r>
        <w:rPr>
          <w:rFonts w:ascii="Arial" w:cs="Arial" w:eastAsia="Arial" w:hAnsi="Arial"/>
          <w:sz w:val="19"/>
          <w:szCs w:val="19"/>
          <w:color w:val="000080"/>
        </w:rPr>
        <w:t>2005</w:t>
      </w:r>
      <w:r>
        <w:rPr>
          <w:rFonts w:ascii="Arial" w:cs="Arial" w:eastAsia="Arial" w:hAnsi="Arial"/>
          <w:sz w:val="19"/>
          <w:szCs w:val="19"/>
          <w:color w:val="000000"/>
        </w:rPr>
        <w:t>).</w:t>
      </w:r>
    </w:p>
    <w:p>
      <w:pPr>
        <w:spacing w:after="0" w:line="200" w:lineRule="exact"/>
        <w:rPr>
          <w:sz w:val="20"/>
          <w:szCs w:val="20"/>
          <w:color w:val="auto"/>
        </w:rPr>
      </w:pPr>
    </w:p>
    <w:p>
      <w:pPr>
        <w:spacing w:after="0" w:line="200" w:lineRule="exact"/>
        <w:rPr>
          <w:sz w:val="20"/>
          <w:szCs w:val="20"/>
          <w:color w:val="auto"/>
        </w:rPr>
      </w:pPr>
    </w:p>
    <w:p>
      <w:pPr>
        <w:spacing w:after="0" w:line="203" w:lineRule="exact"/>
        <w:rPr>
          <w:sz w:val="20"/>
          <w:szCs w:val="20"/>
          <w:color w:val="auto"/>
        </w:rPr>
      </w:pPr>
    </w:p>
    <w:p>
      <w:pPr>
        <w:spacing w:after="0"/>
        <w:rPr>
          <w:sz w:val="20"/>
          <w:szCs w:val="20"/>
          <w:color w:val="auto"/>
        </w:rPr>
      </w:pPr>
      <w:r>
        <w:rPr>
          <w:rFonts w:ascii="Arial" w:cs="Arial" w:eastAsia="Arial" w:hAnsi="Arial"/>
          <w:sz w:val="19"/>
          <w:szCs w:val="19"/>
          <w:color w:val="10157E"/>
        </w:rPr>
        <w:t xml:space="preserve">Table 1. </w:t>
      </w:r>
      <w:r>
        <w:rPr>
          <w:rFonts w:ascii="Arial" w:cs="Arial" w:eastAsia="Arial" w:hAnsi="Arial"/>
          <w:sz w:val="19"/>
          <w:szCs w:val="19"/>
          <w:color w:val="000000"/>
        </w:rPr>
        <w:t>Coring locations and modern mean water quality for study lakes.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-1905</wp:posOffset>
                </wp:positionH>
                <wp:positionV relativeFrom="paragraph">
                  <wp:posOffset>18415</wp:posOffset>
                </wp:positionV>
                <wp:extent cx="6252845" cy="0"/>
                <wp:wrapNone/>
                <wp:docPr id="32" name="Shape 3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252845" cy="4763"/>
                        </a:xfrm>
                        <a:prstGeom prst="line">
                          <a:avLst/>
                        </a:prstGeom>
                        <a:solidFill>
                          <a:srgbClr val="FFFFFF"/>
                        </a:solidFill>
                        <a:ln w="19177">
                          <a:solidFill>
                            <a:srgbClr val="10157E"/>
                          </a:solidFill>
                          <a:miter lim="800000"/>
                          <a:headEnd/>
                          <a:tailEnd/>
                        </a:ln>
                      </wps:spPr>
                      <wps:bodyPr/>
                    </wps:wsp>
                  </a:graphicData>
                </a:graphic>
              </wp:anchor>
            </w:drawing>
          </mc:Choice>
          <mc:Fallback>
            <w:pict>
              <v:line id="Shape 32" o:spid="_x0000_s105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1499pt,1.45pt" to="492.2pt,1.45pt" o:allowincell="f" strokecolor="#10157E" strokeweight="1.51pt"/>
            </w:pict>
          </mc:Fallback>
        </mc:AlternateContent>
        <mc:AlternateContent>
          <mc:Choice Requires="wps">
            <w:drawing>
              <wp:anchor simplePos="0" relativeHeight="251657728" behindDoc="1" locked="0" layoutInCell="0" allowOverlap="1">
                <wp:simplePos x="0" y="0"/>
                <wp:positionH relativeFrom="column">
                  <wp:posOffset>6244590</wp:posOffset>
                </wp:positionH>
                <wp:positionV relativeFrom="paragraph">
                  <wp:posOffset>18415</wp:posOffset>
                </wp:positionV>
                <wp:extent cx="12700" cy="0"/>
                <wp:wrapNone/>
                <wp:docPr id="33" name="Shape 3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700" cy="4763"/>
                        </a:xfrm>
                        <a:prstGeom prst="line">
                          <a:avLst/>
                        </a:prstGeom>
                        <a:solidFill>
                          <a:srgbClr val="FFFFFF"/>
                        </a:solidFill>
                        <a:ln w="6477">
                          <a:solidFill>
                            <a:srgbClr val="10157E"/>
                          </a:solidFill>
                          <a:miter lim="800000"/>
                          <a:headEnd/>
                          <a:tailEnd/>
                        </a:ln>
                      </wps:spPr>
                      <wps:bodyPr/>
                    </wps:wsp>
                  </a:graphicData>
                </a:graphic>
              </wp:anchor>
            </w:drawing>
          </mc:Choice>
          <mc:Fallback>
            <w:pict>
              <v:line id="Shape 33" o:spid="_x0000_s105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91.7pt,1.45pt" to="492.7pt,1.45pt" o:allowincell="f" strokecolor="#10157E" strokeweight="0.51pt"/>
            </w:pict>
          </mc:Fallback>
        </mc:AlternateContent>
      </w:r>
    </w:p>
    <w:p>
      <w:pPr>
        <w:spacing w:after="0" w:line="49" w:lineRule="exact"/>
        <w:rPr>
          <w:sz w:val="20"/>
          <w:szCs w:val="20"/>
          <w:color w:val="auto"/>
        </w:rPr>
      </w:pPr>
    </w:p>
    <w:tbl>
      <w:tblPr>
        <w:tblLayout w:type="fixed"/>
        <w:tblInd w:w="0" w:type="dxa"/>
        <w:tblCellMar>
          <w:top w:w="0" w:type="dxa"/>
          <w:left w:w="0" w:type="dxa"/>
          <w:bottom w:w="0" w:type="dxa"/>
          <w:right w:w="0" w:type="dxa"/>
        </w:tblCellMar>
      </w:tblPr>
      <w:tr>
        <w:trPr>
          <w:trHeight w:val="205"/>
        </w:trPr>
        <w:tc>
          <w:tcPr>
            <w:tcW w:w="2380" w:type="dxa"/>
            <w:vAlign w:val="bottom"/>
          </w:tcPr>
          <w:p>
            <w:pPr>
              <w:spacing w:after="0"/>
              <w:rPr>
                <w:sz w:val="17"/>
                <w:szCs w:val="17"/>
                <w:color w:val="auto"/>
              </w:rPr>
            </w:pPr>
          </w:p>
        </w:tc>
        <w:tc>
          <w:tcPr>
            <w:tcW w:w="900" w:type="dxa"/>
            <w:vAlign w:val="bottom"/>
            <w:tcBorders>
              <w:bottom w:val="single" w:sz="8" w:color="10157E"/>
            </w:tcBorders>
          </w:tcPr>
          <w:p>
            <w:pPr>
              <w:spacing w:after="0"/>
              <w:rPr>
                <w:sz w:val="17"/>
                <w:szCs w:val="17"/>
                <w:color w:val="auto"/>
              </w:rPr>
            </w:pPr>
          </w:p>
        </w:tc>
        <w:tc>
          <w:tcPr>
            <w:tcW w:w="2040" w:type="dxa"/>
            <w:vAlign w:val="bottom"/>
            <w:tcBorders>
              <w:bottom w:val="single" w:sz="8" w:color="10157E"/>
            </w:tcBorders>
          </w:tcPr>
          <w:p>
            <w:pPr>
              <w:ind w:left="100"/>
              <w:spacing w:after="0"/>
              <w:rPr>
                <w:sz w:val="20"/>
                <w:szCs w:val="20"/>
                <w:color w:val="auto"/>
              </w:rPr>
            </w:pPr>
            <w:r>
              <w:rPr>
                <w:rFonts w:ascii="Arial" w:cs="Arial" w:eastAsia="Arial" w:hAnsi="Arial"/>
                <w:sz w:val="16"/>
                <w:szCs w:val="16"/>
                <w:color w:val="auto"/>
              </w:rPr>
              <w:t>Coring location</w:t>
            </w:r>
          </w:p>
        </w:tc>
        <w:tc>
          <w:tcPr>
            <w:tcW w:w="600" w:type="dxa"/>
            <w:vAlign w:val="bottom"/>
          </w:tcPr>
          <w:p>
            <w:pPr>
              <w:spacing w:after="0"/>
              <w:rPr>
                <w:sz w:val="17"/>
                <w:szCs w:val="17"/>
                <w:color w:val="auto"/>
              </w:rPr>
            </w:pPr>
          </w:p>
        </w:tc>
        <w:tc>
          <w:tcPr>
            <w:tcW w:w="2340" w:type="dxa"/>
            <w:vAlign w:val="bottom"/>
          </w:tcPr>
          <w:p>
            <w:pPr>
              <w:spacing w:after="0"/>
              <w:rPr>
                <w:sz w:val="17"/>
                <w:szCs w:val="17"/>
                <w:color w:val="auto"/>
              </w:rPr>
            </w:pPr>
          </w:p>
        </w:tc>
        <w:tc>
          <w:tcPr>
            <w:tcW w:w="1580" w:type="dxa"/>
            <w:vAlign w:val="bottom"/>
          </w:tcPr>
          <w:p>
            <w:pPr>
              <w:spacing w:after="0"/>
              <w:rPr>
                <w:sz w:val="17"/>
                <w:szCs w:val="17"/>
                <w:color w:val="auto"/>
              </w:rPr>
            </w:pPr>
          </w:p>
        </w:tc>
      </w:tr>
      <w:tr>
        <w:trPr>
          <w:trHeight w:val="280"/>
        </w:trPr>
        <w:tc>
          <w:tcPr>
            <w:tcW w:w="2380" w:type="dxa"/>
            <w:vAlign w:val="bottom"/>
            <w:tcBorders>
              <w:bottom w:val="single" w:sz="8" w:color="10157E"/>
            </w:tcBorders>
          </w:tcPr>
          <w:p>
            <w:pPr>
              <w:spacing w:after="0"/>
              <w:rPr>
                <w:sz w:val="20"/>
                <w:szCs w:val="20"/>
                <w:color w:val="auto"/>
              </w:rPr>
            </w:pPr>
            <w:r>
              <w:rPr>
                <w:rFonts w:ascii="Arial" w:cs="Arial" w:eastAsia="Arial" w:hAnsi="Arial"/>
                <w:sz w:val="16"/>
                <w:szCs w:val="16"/>
                <w:color w:val="auto"/>
              </w:rPr>
              <w:t>Lake</w:t>
            </w:r>
          </w:p>
        </w:tc>
        <w:tc>
          <w:tcPr>
            <w:tcW w:w="900" w:type="dxa"/>
            <w:vAlign w:val="bottom"/>
            <w:tcBorders>
              <w:bottom w:val="single" w:sz="8" w:color="10157E"/>
            </w:tcBorders>
          </w:tcPr>
          <w:p>
            <w:pPr>
              <w:jc w:val="center"/>
              <w:spacing w:after="0"/>
              <w:rPr>
                <w:sz w:val="20"/>
                <w:szCs w:val="20"/>
                <w:color w:val="auto"/>
              </w:rPr>
            </w:pPr>
            <w:r>
              <w:rPr>
                <w:rFonts w:ascii="Arial" w:cs="Arial" w:eastAsia="Arial" w:hAnsi="Arial"/>
                <w:sz w:val="16"/>
                <w:szCs w:val="16"/>
                <w:color w:val="auto"/>
                <w:w w:val="91"/>
              </w:rPr>
              <w:t>Latitude</w:t>
            </w:r>
          </w:p>
        </w:tc>
        <w:tc>
          <w:tcPr>
            <w:tcW w:w="2640" w:type="dxa"/>
            <w:vAlign w:val="bottom"/>
            <w:tcBorders>
              <w:bottom w:val="single" w:sz="8" w:color="10157E"/>
            </w:tcBorders>
            <w:gridSpan w:val="2"/>
          </w:tcPr>
          <w:p>
            <w:pPr>
              <w:jc w:val="center"/>
              <w:ind w:left="440"/>
              <w:spacing w:after="0"/>
              <w:rPr>
                <w:sz w:val="20"/>
                <w:szCs w:val="20"/>
                <w:color w:val="auto"/>
              </w:rPr>
            </w:pPr>
            <w:r>
              <w:rPr>
                <w:rFonts w:ascii="Arial" w:cs="Arial" w:eastAsia="Arial" w:hAnsi="Arial"/>
                <w:sz w:val="16"/>
                <w:szCs w:val="16"/>
                <w:color w:val="auto"/>
                <w:w w:val="91"/>
              </w:rPr>
              <w:t>Longitude</w:t>
            </w:r>
          </w:p>
        </w:tc>
        <w:tc>
          <w:tcPr>
            <w:tcW w:w="2340" w:type="dxa"/>
            <w:vAlign w:val="bottom"/>
            <w:tcBorders>
              <w:bottom w:val="single" w:sz="8" w:color="10157E"/>
            </w:tcBorders>
          </w:tcPr>
          <w:p>
            <w:pPr>
              <w:jc w:val="right"/>
              <w:ind w:right="520"/>
              <w:spacing w:after="0"/>
              <w:rPr>
                <w:sz w:val="20"/>
                <w:szCs w:val="20"/>
                <w:color w:val="auto"/>
              </w:rPr>
            </w:pPr>
            <w:r>
              <w:rPr>
                <w:rFonts w:ascii="Arial" w:cs="Arial" w:eastAsia="Arial" w:hAnsi="Arial"/>
                <w:sz w:val="16"/>
                <w:szCs w:val="16"/>
                <w:color w:val="auto"/>
              </w:rPr>
              <w:t>Mean Chl-a (mg/L)</w:t>
            </w:r>
          </w:p>
        </w:tc>
        <w:tc>
          <w:tcPr>
            <w:tcW w:w="1580" w:type="dxa"/>
            <w:vAlign w:val="bottom"/>
            <w:tcBorders>
              <w:bottom w:val="single" w:sz="8" w:color="10157E"/>
            </w:tcBorders>
          </w:tcPr>
          <w:p>
            <w:pPr>
              <w:jc w:val="center"/>
              <w:ind w:left="520"/>
              <w:spacing w:after="0"/>
              <w:rPr>
                <w:sz w:val="20"/>
                <w:szCs w:val="20"/>
                <w:color w:val="auto"/>
              </w:rPr>
            </w:pPr>
            <w:r>
              <w:rPr>
                <w:rFonts w:ascii="Arial" w:cs="Arial" w:eastAsia="Arial" w:hAnsi="Arial"/>
                <w:sz w:val="16"/>
                <w:szCs w:val="16"/>
                <w:color w:val="auto"/>
                <w:w w:val="84"/>
              </w:rPr>
              <w:t>Mean TP (mg/L)</w:t>
            </w:r>
          </w:p>
        </w:tc>
      </w:tr>
      <w:tr>
        <w:trPr>
          <w:trHeight w:val="200"/>
        </w:trPr>
        <w:tc>
          <w:tcPr>
            <w:tcW w:w="2380" w:type="dxa"/>
            <w:vAlign w:val="bottom"/>
          </w:tcPr>
          <w:p>
            <w:pPr>
              <w:spacing w:after="0"/>
              <w:rPr>
                <w:sz w:val="20"/>
                <w:szCs w:val="20"/>
                <w:color w:val="auto"/>
              </w:rPr>
            </w:pPr>
            <w:r>
              <w:rPr>
                <w:rFonts w:ascii="Arial" w:cs="Arial" w:eastAsia="Arial" w:hAnsi="Arial"/>
                <w:sz w:val="16"/>
                <w:szCs w:val="16"/>
                <w:color w:val="auto"/>
              </w:rPr>
              <w:t>Cypress</w:t>
            </w:r>
          </w:p>
        </w:tc>
        <w:tc>
          <w:tcPr>
            <w:tcW w:w="900" w:type="dxa"/>
            <w:vAlign w:val="bottom"/>
          </w:tcPr>
          <w:p>
            <w:pPr>
              <w:jc w:val="center"/>
              <w:spacing w:after="0"/>
              <w:rPr>
                <w:sz w:val="20"/>
                <w:szCs w:val="20"/>
                <w:color w:val="auto"/>
              </w:rPr>
            </w:pPr>
            <w:r>
              <w:rPr>
                <w:rFonts w:ascii="Arial" w:cs="Arial" w:eastAsia="Arial" w:hAnsi="Arial"/>
                <w:sz w:val="16"/>
                <w:szCs w:val="16"/>
                <w:color w:val="auto"/>
                <w:w w:val="89"/>
              </w:rPr>
              <w:t>28 04’09.8”N</w:t>
            </w:r>
          </w:p>
        </w:tc>
        <w:tc>
          <w:tcPr>
            <w:tcW w:w="2640" w:type="dxa"/>
            <w:vAlign w:val="bottom"/>
            <w:gridSpan w:val="2"/>
          </w:tcPr>
          <w:p>
            <w:pPr>
              <w:jc w:val="center"/>
              <w:ind w:left="440"/>
              <w:spacing w:after="0"/>
              <w:rPr>
                <w:sz w:val="20"/>
                <w:szCs w:val="20"/>
                <w:color w:val="auto"/>
              </w:rPr>
            </w:pPr>
            <w:r>
              <w:rPr>
                <w:rFonts w:ascii="Arial" w:cs="Arial" w:eastAsia="Arial" w:hAnsi="Arial"/>
                <w:sz w:val="16"/>
                <w:szCs w:val="16"/>
                <w:color w:val="auto"/>
                <w:w w:val="88"/>
              </w:rPr>
              <w:t>081 18’34.9”W</w:t>
            </w:r>
          </w:p>
        </w:tc>
        <w:tc>
          <w:tcPr>
            <w:tcW w:w="2340" w:type="dxa"/>
            <w:vAlign w:val="bottom"/>
          </w:tcPr>
          <w:p>
            <w:pPr>
              <w:jc w:val="right"/>
              <w:ind w:right="1000"/>
              <w:spacing w:after="0"/>
              <w:rPr>
                <w:sz w:val="20"/>
                <w:szCs w:val="20"/>
                <w:color w:val="auto"/>
              </w:rPr>
            </w:pPr>
            <w:r>
              <w:rPr>
                <w:rFonts w:ascii="Arial" w:cs="Arial" w:eastAsia="Arial" w:hAnsi="Arial"/>
                <w:sz w:val="16"/>
                <w:szCs w:val="16"/>
                <w:color w:val="auto"/>
              </w:rPr>
              <w:t>32.1</w:t>
            </w:r>
          </w:p>
        </w:tc>
        <w:tc>
          <w:tcPr>
            <w:tcW w:w="1580" w:type="dxa"/>
            <w:vAlign w:val="bottom"/>
          </w:tcPr>
          <w:p>
            <w:pPr>
              <w:jc w:val="center"/>
              <w:ind w:left="460"/>
              <w:spacing w:after="0"/>
              <w:rPr>
                <w:sz w:val="20"/>
                <w:szCs w:val="20"/>
                <w:color w:val="auto"/>
              </w:rPr>
            </w:pPr>
            <w:r>
              <w:rPr>
                <w:rFonts w:ascii="Arial" w:cs="Arial" w:eastAsia="Arial" w:hAnsi="Arial"/>
                <w:sz w:val="16"/>
                <w:szCs w:val="16"/>
                <w:color w:val="auto"/>
                <w:w w:val="89"/>
              </w:rPr>
              <w:t>83</w:t>
            </w:r>
          </w:p>
        </w:tc>
      </w:tr>
      <w:tr>
        <w:trPr>
          <w:trHeight w:val="180"/>
        </w:trPr>
        <w:tc>
          <w:tcPr>
            <w:tcW w:w="2380" w:type="dxa"/>
            <w:vAlign w:val="bottom"/>
          </w:tcPr>
          <w:p>
            <w:pPr>
              <w:spacing w:after="0" w:line="178" w:lineRule="exact"/>
              <w:rPr>
                <w:sz w:val="20"/>
                <w:szCs w:val="20"/>
                <w:color w:val="auto"/>
              </w:rPr>
            </w:pPr>
            <w:r>
              <w:rPr>
                <w:rFonts w:ascii="Arial" w:cs="Arial" w:eastAsia="Arial" w:hAnsi="Arial"/>
                <w:sz w:val="16"/>
                <w:szCs w:val="16"/>
                <w:color w:val="auto"/>
              </w:rPr>
              <w:t>East Tohopekaliga</w:t>
            </w:r>
          </w:p>
        </w:tc>
        <w:tc>
          <w:tcPr>
            <w:tcW w:w="900" w:type="dxa"/>
            <w:vAlign w:val="bottom"/>
          </w:tcPr>
          <w:p>
            <w:pPr>
              <w:jc w:val="center"/>
              <w:spacing w:after="0" w:line="181" w:lineRule="exact"/>
              <w:rPr>
                <w:sz w:val="20"/>
                <w:szCs w:val="20"/>
                <w:color w:val="auto"/>
              </w:rPr>
            </w:pPr>
            <w:r>
              <w:rPr>
                <w:rFonts w:ascii="Arial" w:cs="Arial" w:eastAsia="Arial" w:hAnsi="Arial"/>
                <w:sz w:val="16"/>
                <w:szCs w:val="16"/>
                <w:color w:val="auto"/>
                <w:w w:val="89"/>
              </w:rPr>
              <w:t>28 17’59.9”N</w:t>
            </w:r>
          </w:p>
        </w:tc>
        <w:tc>
          <w:tcPr>
            <w:tcW w:w="2640" w:type="dxa"/>
            <w:vAlign w:val="bottom"/>
            <w:gridSpan w:val="2"/>
          </w:tcPr>
          <w:p>
            <w:pPr>
              <w:jc w:val="center"/>
              <w:ind w:left="440"/>
              <w:spacing w:after="0" w:line="181" w:lineRule="exact"/>
              <w:rPr>
                <w:sz w:val="20"/>
                <w:szCs w:val="20"/>
                <w:color w:val="auto"/>
              </w:rPr>
            </w:pPr>
            <w:r>
              <w:rPr>
                <w:rFonts w:ascii="Arial" w:cs="Arial" w:eastAsia="Arial" w:hAnsi="Arial"/>
                <w:sz w:val="16"/>
                <w:szCs w:val="16"/>
                <w:color w:val="auto"/>
                <w:w w:val="88"/>
              </w:rPr>
              <w:t>081 16’13.6”W</w:t>
            </w:r>
          </w:p>
        </w:tc>
        <w:tc>
          <w:tcPr>
            <w:tcW w:w="2340" w:type="dxa"/>
            <w:vAlign w:val="bottom"/>
          </w:tcPr>
          <w:p>
            <w:pPr>
              <w:jc w:val="center"/>
              <w:spacing w:after="0" w:line="181" w:lineRule="exact"/>
              <w:rPr>
                <w:sz w:val="20"/>
                <w:szCs w:val="20"/>
                <w:color w:val="auto"/>
              </w:rPr>
            </w:pPr>
            <w:r>
              <w:rPr>
                <w:rFonts w:ascii="Arial" w:cs="Arial" w:eastAsia="Arial" w:hAnsi="Arial"/>
                <w:sz w:val="16"/>
                <w:szCs w:val="16"/>
                <w:color w:val="auto"/>
                <w:w w:val="86"/>
              </w:rPr>
              <w:t>3.9 (2015–2017)</w:t>
            </w:r>
          </w:p>
        </w:tc>
        <w:tc>
          <w:tcPr>
            <w:tcW w:w="1580" w:type="dxa"/>
            <w:vAlign w:val="bottom"/>
          </w:tcPr>
          <w:p>
            <w:pPr>
              <w:jc w:val="center"/>
              <w:ind w:left="520"/>
              <w:spacing w:after="0" w:line="181" w:lineRule="exact"/>
              <w:rPr>
                <w:sz w:val="20"/>
                <w:szCs w:val="20"/>
                <w:color w:val="auto"/>
              </w:rPr>
            </w:pPr>
            <w:r>
              <w:rPr>
                <w:rFonts w:ascii="Arial" w:cs="Arial" w:eastAsia="Arial" w:hAnsi="Arial"/>
                <w:sz w:val="16"/>
                <w:szCs w:val="16"/>
                <w:color w:val="auto"/>
                <w:w w:val="83"/>
              </w:rPr>
              <w:t>20.3</w:t>
            </w:r>
          </w:p>
        </w:tc>
      </w:tr>
      <w:tr>
        <w:trPr>
          <w:trHeight w:val="178"/>
        </w:trPr>
        <w:tc>
          <w:tcPr>
            <w:tcW w:w="2380" w:type="dxa"/>
            <w:vAlign w:val="bottom"/>
          </w:tcPr>
          <w:p>
            <w:pPr>
              <w:spacing w:after="0" w:line="178" w:lineRule="exact"/>
              <w:rPr>
                <w:sz w:val="20"/>
                <w:szCs w:val="20"/>
                <w:color w:val="auto"/>
              </w:rPr>
            </w:pPr>
            <w:r>
              <w:rPr>
                <w:rFonts w:ascii="Arial" w:cs="Arial" w:eastAsia="Arial" w:hAnsi="Arial"/>
                <w:sz w:val="16"/>
                <w:szCs w:val="16"/>
                <w:color w:val="auto"/>
              </w:rPr>
              <w:t>Jackson</w:t>
            </w:r>
          </w:p>
        </w:tc>
        <w:tc>
          <w:tcPr>
            <w:tcW w:w="900" w:type="dxa"/>
            <w:vAlign w:val="bottom"/>
          </w:tcPr>
          <w:p>
            <w:pPr>
              <w:jc w:val="center"/>
              <w:spacing w:after="0" w:line="178" w:lineRule="exact"/>
              <w:rPr>
                <w:sz w:val="20"/>
                <w:szCs w:val="20"/>
                <w:color w:val="auto"/>
              </w:rPr>
            </w:pPr>
            <w:r>
              <w:rPr>
                <w:rFonts w:ascii="Arial" w:cs="Arial" w:eastAsia="Arial" w:hAnsi="Arial"/>
                <w:sz w:val="16"/>
                <w:szCs w:val="16"/>
                <w:color w:val="auto"/>
                <w:w w:val="89"/>
              </w:rPr>
              <w:t>27 54’53.2”N</w:t>
            </w:r>
          </w:p>
        </w:tc>
        <w:tc>
          <w:tcPr>
            <w:tcW w:w="2640" w:type="dxa"/>
            <w:vAlign w:val="bottom"/>
            <w:gridSpan w:val="2"/>
          </w:tcPr>
          <w:p>
            <w:pPr>
              <w:jc w:val="center"/>
              <w:ind w:left="440"/>
              <w:spacing w:after="0" w:line="178" w:lineRule="exact"/>
              <w:rPr>
                <w:sz w:val="20"/>
                <w:szCs w:val="20"/>
                <w:color w:val="auto"/>
              </w:rPr>
            </w:pPr>
            <w:r>
              <w:rPr>
                <w:rFonts w:ascii="Arial" w:cs="Arial" w:eastAsia="Arial" w:hAnsi="Arial"/>
                <w:sz w:val="16"/>
                <w:szCs w:val="16"/>
                <w:color w:val="auto"/>
                <w:w w:val="88"/>
              </w:rPr>
              <w:t>081 09’32.8”W</w:t>
            </w:r>
          </w:p>
        </w:tc>
        <w:tc>
          <w:tcPr>
            <w:tcW w:w="2340" w:type="dxa"/>
            <w:vAlign w:val="bottom"/>
          </w:tcPr>
          <w:p>
            <w:pPr>
              <w:jc w:val="right"/>
              <w:ind w:right="1000"/>
              <w:spacing w:after="0" w:line="178" w:lineRule="exact"/>
              <w:rPr>
                <w:sz w:val="20"/>
                <w:szCs w:val="20"/>
                <w:color w:val="auto"/>
              </w:rPr>
            </w:pPr>
            <w:r>
              <w:rPr>
                <w:rFonts w:ascii="Arial" w:cs="Arial" w:eastAsia="Arial" w:hAnsi="Arial"/>
                <w:sz w:val="16"/>
                <w:szCs w:val="16"/>
                <w:color w:val="auto"/>
              </w:rPr>
              <w:t>29.8</w:t>
            </w:r>
          </w:p>
        </w:tc>
        <w:tc>
          <w:tcPr>
            <w:tcW w:w="1580" w:type="dxa"/>
            <w:vAlign w:val="bottom"/>
          </w:tcPr>
          <w:p>
            <w:pPr>
              <w:jc w:val="center"/>
              <w:ind w:left="440"/>
              <w:spacing w:after="0" w:line="178" w:lineRule="exact"/>
              <w:rPr>
                <w:sz w:val="20"/>
                <w:szCs w:val="20"/>
                <w:color w:val="auto"/>
              </w:rPr>
            </w:pPr>
            <w:r>
              <w:rPr>
                <w:rFonts w:ascii="Arial" w:cs="Arial" w:eastAsia="Arial" w:hAnsi="Arial"/>
                <w:sz w:val="16"/>
                <w:szCs w:val="16"/>
                <w:color w:val="auto"/>
                <w:w w:val="82"/>
              </w:rPr>
              <w:t>127</w:t>
            </w:r>
          </w:p>
        </w:tc>
      </w:tr>
      <w:tr>
        <w:trPr>
          <w:trHeight w:val="179"/>
        </w:trPr>
        <w:tc>
          <w:tcPr>
            <w:tcW w:w="2380" w:type="dxa"/>
            <w:vAlign w:val="bottom"/>
          </w:tcPr>
          <w:p>
            <w:pPr>
              <w:spacing w:after="0" w:line="179" w:lineRule="exact"/>
              <w:rPr>
                <w:sz w:val="20"/>
                <w:szCs w:val="20"/>
                <w:color w:val="auto"/>
              </w:rPr>
            </w:pPr>
            <w:r>
              <w:rPr>
                <w:rFonts w:ascii="Arial" w:cs="Arial" w:eastAsia="Arial" w:hAnsi="Arial"/>
                <w:sz w:val="16"/>
                <w:szCs w:val="16"/>
                <w:color w:val="auto"/>
              </w:rPr>
              <w:t>Kissimmee</w:t>
            </w:r>
          </w:p>
        </w:tc>
        <w:tc>
          <w:tcPr>
            <w:tcW w:w="900" w:type="dxa"/>
            <w:vAlign w:val="bottom"/>
          </w:tcPr>
          <w:p>
            <w:pPr>
              <w:jc w:val="center"/>
              <w:spacing w:after="0" w:line="179" w:lineRule="exact"/>
              <w:rPr>
                <w:sz w:val="20"/>
                <w:szCs w:val="20"/>
                <w:color w:val="auto"/>
              </w:rPr>
            </w:pPr>
            <w:r>
              <w:rPr>
                <w:rFonts w:ascii="Arial" w:cs="Arial" w:eastAsia="Arial" w:hAnsi="Arial"/>
                <w:sz w:val="16"/>
                <w:szCs w:val="16"/>
                <w:color w:val="auto"/>
                <w:w w:val="89"/>
              </w:rPr>
              <w:t>27 53’42.6”N</w:t>
            </w:r>
          </w:p>
        </w:tc>
        <w:tc>
          <w:tcPr>
            <w:tcW w:w="2640" w:type="dxa"/>
            <w:vAlign w:val="bottom"/>
            <w:gridSpan w:val="2"/>
          </w:tcPr>
          <w:p>
            <w:pPr>
              <w:jc w:val="center"/>
              <w:ind w:left="440"/>
              <w:spacing w:after="0" w:line="179" w:lineRule="exact"/>
              <w:rPr>
                <w:sz w:val="20"/>
                <w:szCs w:val="20"/>
                <w:color w:val="auto"/>
              </w:rPr>
            </w:pPr>
            <w:r>
              <w:rPr>
                <w:rFonts w:ascii="Arial" w:cs="Arial" w:eastAsia="Arial" w:hAnsi="Arial"/>
                <w:sz w:val="16"/>
                <w:szCs w:val="16"/>
                <w:color w:val="auto"/>
                <w:w w:val="88"/>
              </w:rPr>
              <w:t>081 17’38.7”W</w:t>
            </w:r>
          </w:p>
        </w:tc>
        <w:tc>
          <w:tcPr>
            <w:tcW w:w="2340" w:type="dxa"/>
            <w:vAlign w:val="bottom"/>
          </w:tcPr>
          <w:p>
            <w:pPr>
              <w:jc w:val="right"/>
              <w:ind w:right="1000"/>
              <w:spacing w:after="0" w:line="179" w:lineRule="exact"/>
              <w:rPr>
                <w:sz w:val="20"/>
                <w:szCs w:val="20"/>
                <w:color w:val="auto"/>
              </w:rPr>
            </w:pPr>
            <w:r>
              <w:rPr>
                <w:rFonts w:ascii="Arial" w:cs="Arial" w:eastAsia="Arial" w:hAnsi="Arial"/>
                <w:sz w:val="16"/>
                <w:szCs w:val="16"/>
                <w:color w:val="auto"/>
              </w:rPr>
              <w:t>19.9</w:t>
            </w:r>
          </w:p>
        </w:tc>
        <w:tc>
          <w:tcPr>
            <w:tcW w:w="1580" w:type="dxa"/>
            <w:vAlign w:val="bottom"/>
          </w:tcPr>
          <w:p>
            <w:pPr>
              <w:jc w:val="center"/>
              <w:ind w:left="460"/>
              <w:spacing w:after="0" w:line="179" w:lineRule="exact"/>
              <w:rPr>
                <w:sz w:val="20"/>
                <w:szCs w:val="20"/>
                <w:color w:val="auto"/>
              </w:rPr>
            </w:pPr>
            <w:r>
              <w:rPr>
                <w:rFonts w:ascii="Arial" w:cs="Arial" w:eastAsia="Arial" w:hAnsi="Arial"/>
                <w:sz w:val="16"/>
                <w:szCs w:val="16"/>
                <w:color w:val="auto"/>
                <w:w w:val="89"/>
              </w:rPr>
              <w:t>64</w:t>
            </w:r>
          </w:p>
        </w:tc>
      </w:tr>
      <w:tr>
        <w:trPr>
          <w:trHeight w:val="182"/>
        </w:trPr>
        <w:tc>
          <w:tcPr>
            <w:tcW w:w="2380" w:type="dxa"/>
            <w:vAlign w:val="bottom"/>
          </w:tcPr>
          <w:p>
            <w:pPr>
              <w:spacing w:after="0" w:line="181" w:lineRule="exact"/>
              <w:rPr>
                <w:sz w:val="20"/>
                <w:szCs w:val="20"/>
                <w:color w:val="auto"/>
              </w:rPr>
            </w:pPr>
            <w:r>
              <w:rPr>
                <w:rFonts w:ascii="Arial" w:cs="Arial" w:eastAsia="Arial" w:hAnsi="Arial"/>
                <w:sz w:val="16"/>
                <w:szCs w:val="16"/>
                <w:color w:val="auto"/>
              </w:rPr>
              <w:t>Marian</w:t>
            </w:r>
          </w:p>
        </w:tc>
        <w:tc>
          <w:tcPr>
            <w:tcW w:w="900" w:type="dxa"/>
            <w:vAlign w:val="bottom"/>
          </w:tcPr>
          <w:p>
            <w:pPr>
              <w:jc w:val="center"/>
              <w:spacing w:after="0" w:line="182" w:lineRule="exact"/>
              <w:rPr>
                <w:sz w:val="20"/>
                <w:szCs w:val="20"/>
                <w:color w:val="auto"/>
              </w:rPr>
            </w:pPr>
            <w:r>
              <w:rPr>
                <w:rFonts w:ascii="Arial" w:cs="Arial" w:eastAsia="Arial" w:hAnsi="Arial"/>
                <w:sz w:val="16"/>
                <w:szCs w:val="16"/>
                <w:color w:val="auto"/>
                <w:w w:val="89"/>
              </w:rPr>
              <w:t>27 53’00.1”N</w:t>
            </w:r>
          </w:p>
        </w:tc>
        <w:tc>
          <w:tcPr>
            <w:tcW w:w="2640" w:type="dxa"/>
            <w:vAlign w:val="bottom"/>
            <w:gridSpan w:val="2"/>
          </w:tcPr>
          <w:p>
            <w:pPr>
              <w:jc w:val="center"/>
              <w:ind w:left="440"/>
              <w:spacing w:after="0" w:line="182" w:lineRule="exact"/>
              <w:rPr>
                <w:sz w:val="20"/>
                <w:szCs w:val="20"/>
                <w:color w:val="auto"/>
              </w:rPr>
            </w:pPr>
            <w:r>
              <w:rPr>
                <w:rFonts w:ascii="Arial" w:cs="Arial" w:eastAsia="Arial" w:hAnsi="Arial"/>
                <w:sz w:val="16"/>
                <w:szCs w:val="16"/>
                <w:color w:val="auto"/>
                <w:w w:val="88"/>
              </w:rPr>
              <w:t>081 06’56.5”W</w:t>
            </w:r>
          </w:p>
        </w:tc>
        <w:tc>
          <w:tcPr>
            <w:tcW w:w="2340" w:type="dxa"/>
            <w:vAlign w:val="bottom"/>
          </w:tcPr>
          <w:p>
            <w:pPr>
              <w:jc w:val="right"/>
              <w:ind w:right="1000"/>
              <w:spacing w:after="0" w:line="182" w:lineRule="exact"/>
              <w:rPr>
                <w:sz w:val="20"/>
                <w:szCs w:val="20"/>
                <w:color w:val="auto"/>
              </w:rPr>
            </w:pPr>
            <w:r>
              <w:rPr>
                <w:rFonts w:ascii="Arial" w:cs="Arial" w:eastAsia="Arial" w:hAnsi="Arial"/>
                <w:sz w:val="16"/>
                <w:szCs w:val="16"/>
                <w:color w:val="auto"/>
              </w:rPr>
              <w:t>54.5</w:t>
            </w:r>
          </w:p>
        </w:tc>
        <w:tc>
          <w:tcPr>
            <w:tcW w:w="1580" w:type="dxa"/>
            <w:vAlign w:val="bottom"/>
          </w:tcPr>
          <w:p>
            <w:pPr>
              <w:jc w:val="center"/>
              <w:ind w:left="440"/>
              <w:spacing w:after="0" w:line="182" w:lineRule="exact"/>
              <w:rPr>
                <w:sz w:val="20"/>
                <w:szCs w:val="20"/>
                <w:color w:val="auto"/>
              </w:rPr>
            </w:pPr>
            <w:r>
              <w:rPr>
                <w:rFonts w:ascii="Arial" w:cs="Arial" w:eastAsia="Arial" w:hAnsi="Arial"/>
                <w:sz w:val="16"/>
                <w:szCs w:val="16"/>
                <w:color w:val="auto"/>
                <w:w w:val="82"/>
              </w:rPr>
              <w:t>155</w:t>
            </w:r>
          </w:p>
        </w:tc>
      </w:tr>
      <w:tr>
        <w:trPr>
          <w:trHeight w:val="199"/>
        </w:trPr>
        <w:tc>
          <w:tcPr>
            <w:tcW w:w="2380" w:type="dxa"/>
            <w:vAlign w:val="bottom"/>
            <w:tcBorders>
              <w:bottom w:val="single" w:sz="8" w:color="10157E"/>
            </w:tcBorders>
          </w:tcPr>
          <w:p>
            <w:pPr>
              <w:spacing w:after="0" w:line="178" w:lineRule="exact"/>
              <w:rPr>
                <w:sz w:val="20"/>
                <w:szCs w:val="20"/>
                <w:color w:val="auto"/>
              </w:rPr>
            </w:pPr>
            <w:r>
              <w:rPr>
                <w:rFonts w:ascii="Arial" w:cs="Arial" w:eastAsia="Arial" w:hAnsi="Arial"/>
                <w:sz w:val="16"/>
                <w:szCs w:val="16"/>
                <w:color w:val="auto"/>
              </w:rPr>
              <w:t>Tohopekaliga</w:t>
            </w:r>
          </w:p>
        </w:tc>
        <w:tc>
          <w:tcPr>
            <w:tcW w:w="900" w:type="dxa"/>
            <w:vAlign w:val="bottom"/>
            <w:tcBorders>
              <w:bottom w:val="single" w:sz="8" w:color="10157E"/>
            </w:tcBorders>
          </w:tcPr>
          <w:p>
            <w:pPr>
              <w:jc w:val="center"/>
              <w:spacing w:after="0" w:line="181" w:lineRule="exact"/>
              <w:rPr>
                <w:sz w:val="20"/>
                <w:szCs w:val="20"/>
                <w:color w:val="auto"/>
              </w:rPr>
            </w:pPr>
            <w:r>
              <w:rPr>
                <w:rFonts w:ascii="Arial" w:cs="Arial" w:eastAsia="Arial" w:hAnsi="Arial"/>
                <w:sz w:val="16"/>
                <w:szCs w:val="16"/>
                <w:color w:val="auto"/>
                <w:w w:val="89"/>
              </w:rPr>
              <w:t>28 11’39.1”N</w:t>
            </w:r>
          </w:p>
        </w:tc>
        <w:tc>
          <w:tcPr>
            <w:tcW w:w="2640" w:type="dxa"/>
            <w:vAlign w:val="bottom"/>
            <w:tcBorders>
              <w:bottom w:val="single" w:sz="8" w:color="10157E"/>
            </w:tcBorders>
            <w:gridSpan w:val="2"/>
          </w:tcPr>
          <w:p>
            <w:pPr>
              <w:jc w:val="center"/>
              <w:ind w:left="440"/>
              <w:spacing w:after="0" w:line="181" w:lineRule="exact"/>
              <w:rPr>
                <w:sz w:val="20"/>
                <w:szCs w:val="20"/>
                <w:color w:val="auto"/>
              </w:rPr>
            </w:pPr>
            <w:r>
              <w:rPr>
                <w:rFonts w:ascii="Arial" w:cs="Arial" w:eastAsia="Arial" w:hAnsi="Arial"/>
                <w:sz w:val="16"/>
                <w:szCs w:val="16"/>
                <w:color w:val="auto"/>
                <w:w w:val="88"/>
              </w:rPr>
              <w:t>081 24’3.4”W</w:t>
            </w:r>
          </w:p>
        </w:tc>
        <w:tc>
          <w:tcPr>
            <w:tcW w:w="2340" w:type="dxa"/>
            <w:vAlign w:val="bottom"/>
            <w:tcBorders>
              <w:bottom w:val="single" w:sz="8" w:color="10157E"/>
            </w:tcBorders>
          </w:tcPr>
          <w:p>
            <w:pPr>
              <w:jc w:val="center"/>
              <w:spacing w:after="0" w:line="181" w:lineRule="exact"/>
              <w:rPr>
                <w:sz w:val="20"/>
                <w:szCs w:val="20"/>
                <w:color w:val="auto"/>
              </w:rPr>
            </w:pPr>
            <w:r>
              <w:rPr>
                <w:rFonts w:ascii="Arial" w:cs="Arial" w:eastAsia="Arial" w:hAnsi="Arial"/>
                <w:sz w:val="16"/>
                <w:szCs w:val="16"/>
                <w:color w:val="auto"/>
                <w:w w:val="87"/>
              </w:rPr>
              <w:t>21.9 (2015–2018)</w:t>
            </w:r>
          </w:p>
        </w:tc>
        <w:tc>
          <w:tcPr>
            <w:tcW w:w="1580" w:type="dxa"/>
            <w:vAlign w:val="bottom"/>
            <w:tcBorders>
              <w:bottom w:val="single" w:sz="8" w:color="10157E"/>
            </w:tcBorders>
          </w:tcPr>
          <w:p>
            <w:pPr>
              <w:jc w:val="center"/>
              <w:ind w:left="520"/>
              <w:spacing w:after="0" w:line="181" w:lineRule="exact"/>
              <w:rPr>
                <w:sz w:val="20"/>
                <w:szCs w:val="20"/>
                <w:color w:val="auto"/>
              </w:rPr>
            </w:pPr>
            <w:r>
              <w:rPr>
                <w:rFonts w:ascii="Arial" w:cs="Arial" w:eastAsia="Arial" w:hAnsi="Arial"/>
                <w:sz w:val="16"/>
                <w:szCs w:val="16"/>
                <w:color w:val="auto"/>
                <w:w w:val="83"/>
              </w:rPr>
              <w:t>39.2</w:t>
            </w: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-8255</wp:posOffset>
                </wp:positionH>
                <wp:positionV relativeFrom="paragraph">
                  <wp:posOffset>-8890</wp:posOffset>
                </wp:positionV>
                <wp:extent cx="12065" cy="0"/>
                <wp:wrapNone/>
                <wp:docPr id="34" name="Shape 3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065" cy="4763"/>
                        </a:xfrm>
                        <a:prstGeom prst="line">
                          <a:avLst/>
                        </a:prstGeom>
                        <a:solidFill>
                          <a:srgbClr val="FFFFFF"/>
                        </a:solidFill>
                        <a:ln w="5765">
                          <a:solidFill>
                            <a:srgbClr val="10157E"/>
                          </a:solidFill>
                          <a:miter lim="800000"/>
                          <a:headEnd/>
                          <a:tailEnd/>
                        </a:ln>
                      </wps:spPr>
                      <wps:bodyPr/>
                    </wps:wsp>
                  </a:graphicData>
                </a:graphic>
              </wp:anchor>
            </w:drawing>
          </mc:Choice>
          <mc:Fallback>
            <w:pict>
              <v:line id="Shape 34" o:spid="_x0000_s105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6499pt,-0.6999pt" to="0.3pt,-0.6999pt" o:allowincell="f" strokecolor="#10157E" strokeweight="0.4539pt"/>
            </w:pict>
          </mc:Fallback>
        </mc:AlternateContent>
        <mc:AlternateContent>
          <mc:Choice Requires="wps">
            <w:drawing>
              <wp:anchor simplePos="0" relativeHeight="251657728" behindDoc="1" locked="0" layoutInCell="0" allowOverlap="1">
                <wp:simplePos x="0" y="0"/>
                <wp:positionH relativeFrom="column">
                  <wp:posOffset>1510665</wp:posOffset>
                </wp:positionH>
                <wp:positionV relativeFrom="paragraph">
                  <wp:posOffset>-923290</wp:posOffset>
                </wp:positionV>
                <wp:extent cx="12700" cy="0"/>
                <wp:wrapNone/>
                <wp:docPr id="35" name="Shape 3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700" cy="4763"/>
                        </a:xfrm>
                        <a:prstGeom prst="line">
                          <a:avLst/>
                        </a:prstGeom>
                        <a:solidFill>
                          <a:srgbClr val="FFFFFF"/>
                        </a:solidFill>
                        <a:ln w="5765">
                          <a:solidFill>
                            <a:srgbClr val="10157E"/>
                          </a:solidFill>
                          <a:miter lim="800000"/>
                          <a:headEnd/>
                          <a:tailEnd/>
                        </a:ln>
                      </wps:spPr>
                      <wps:bodyPr/>
                    </wps:wsp>
                  </a:graphicData>
                </a:graphic>
              </wp:anchor>
            </w:drawing>
          </mc:Choice>
          <mc:Fallback>
            <w:pict>
              <v:line id="Shape 35" o:spid="_x0000_s106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18.95pt,-72.6999pt" to="119.95pt,-72.6999pt" o:allowincell="f" strokecolor="#10157E" strokeweight="0.4539pt"/>
            </w:pict>
          </mc:Fallback>
        </mc:AlternateContent>
        <mc:AlternateContent>
          <mc:Choice Requires="wps">
            <w:drawing>
              <wp:anchor simplePos="0" relativeHeight="251657728" behindDoc="1" locked="0" layoutInCell="0" allowOverlap="1">
                <wp:simplePos x="0" y="0"/>
                <wp:positionH relativeFrom="column">
                  <wp:posOffset>-8255</wp:posOffset>
                </wp:positionH>
                <wp:positionV relativeFrom="paragraph">
                  <wp:posOffset>-732790</wp:posOffset>
                </wp:positionV>
                <wp:extent cx="12065" cy="0"/>
                <wp:wrapNone/>
                <wp:docPr id="36" name="Shape 3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065" cy="4763"/>
                        </a:xfrm>
                        <a:prstGeom prst="line">
                          <a:avLst/>
                        </a:prstGeom>
                        <a:solidFill>
                          <a:srgbClr val="FFFFFF"/>
                        </a:solidFill>
                        <a:ln w="6477">
                          <a:solidFill>
                            <a:srgbClr val="10157E"/>
                          </a:solidFill>
                          <a:miter lim="800000"/>
                          <a:headEnd/>
                          <a:tailEnd/>
                        </a:ln>
                      </wps:spPr>
                      <wps:bodyPr/>
                    </wps:wsp>
                  </a:graphicData>
                </a:graphic>
              </wp:anchor>
            </w:drawing>
          </mc:Choice>
          <mc:Fallback>
            <w:pict>
              <v:line id="Shape 36" o:spid="_x0000_s106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6499pt,-57.6999pt" to="0.3pt,-57.6999pt" o:allowincell="f" strokecolor="#10157E" strokeweight="0.51pt"/>
            </w:pict>
          </mc:Fallback>
        </mc:AlternateContent>
      </w:r>
    </w:p>
    <w:p>
      <w:pPr>
        <w:spacing w:after="0" w:line="7" w:lineRule="exact"/>
        <w:rPr>
          <w:sz w:val="20"/>
          <w:szCs w:val="20"/>
          <w:color w:val="auto"/>
        </w:rPr>
      </w:pPr>
    </w:p>
    <w:p>
      <w:pPr>
        <w:jc w:val="both"/>
        <w:spacing w:after="0" w:line="232" w:lineRule="auto"/>
        <w:rPr>
          <w:sz w:val="20"/>
          <w:szCs w:val="20"/>
          <w:color w:val="auto"/>
        </w:rPr>
      </w:pPr>
      <w:r>
        <w:rPr>
          <w:rFonts w:ascii="Arial" w:cs="Arial" w:eastAsia="Arial" w:hAnsi="Arial"/>
          <w:sz w:val="16"/>
          <w:szCs w:val="16"/>
          <w:color w:val="auto"/>
        </w:rPr>
        <w:t>Water quality averages were obtained from the Florida Department of Environmental Protection for 2000–2006 ( ) for Lakes Cypress, Jackson, Kissimmee, and Marian.</w:t>
      </w:r>
    </w:p>
    <w:p>
      <w:pPr>
        <w:spacing w:after="0" w:line="4" w:lineRule="exact"/>
        <w:rPr>
          <w:sz w:val="20"/>
          <w:szCs w:val="20"/>
          <w:color w:val="auto"/>
        </w:rPr>
      </w:pPr>
    </w:p>
    <w:p>
      <w:pPr>
        <w:jc w:val="both"/>
        <w:spacing w:after="0" w:line="232" w:lineRule="auto"/>
        <w:rPr>
          <w:sz w:val="20"/>
          <w:szCs w:val="20"/>
          <w:color w:val="auto"/>
        </w:rPr>
      </w:pPr>
      <w:r>
        <w:rPr>
          <w:rFonts w:ascii="Arial" w:cs="Arial" w:eastAsia="Arial" w:hAnsi="Arial"/>
          <w:sz w:val="16"/>
          <w:szCs w:val="16"/>
          <w:color w:val="auto"/>
        </w:rPr>
        <w:t>Water quality averages for Lakes East Tohopekaliga and Tohopekaliga were obtained from the Polk County Water Atlas (</w:t>
      </w:r>
      <w:r>
        <w:rPr>
          <w:rFonts w:ascii="Arial" w:cs="Arial" w:eastAsia="Arial" w:hAnsi="Arial"/>
          <w:sz w:val="16"/>
          <w:szCs w:val="16"/>
          <w:color w:val="000080"/>
        </w:rPr>
        <w:t>2019</w:t>
      </w:r>
      <w:r>
        <w:rPr>
          <w:rFonts w:ascii="Arial" w:cs="Arial" w:eastAsia="Arial" w:hAnsi="Arial"/>
          <w:sz w:val="16"/>
          <w:szCs w:val="16"/>
          <w:color w:val="auto"/>
        </w:rPr>
        <w:t>) for 2015–2019, unless otherwise indicated.</w:t>
      </w:r>
    </w:p>
    <w:p>
      <w:pPr>
        <w:spacing w:after="0" w:line="236" w:lineRule="auto"/>
        <w:rPr>
          <w:sz w:val="20"/>
          <w:szCs w:val="20"/>
          <w:color w:val="auto"/>
        </w:rPr>
      </w:pPr>
      <w:r>
        <w:rPr>
          <w:rFonts w:ascii="Arial" w:cs="Arial" w:eastAsia="Arial" w:hAnsi="Arial"/>
          <w:sz w:val="16"/>
          <w:szCs w:val="16"/>
          <w:color w:val="auto"/>
        </w:rPr>
        <w:t>Chlorophyll a concentrations are uncorrected for pheophytin for data obtained from the Polk County Water Atlas.</w:t>
      </w:r>
    </w:p>
    <w:p>
      <w:pPr>
        <w:sectPr>
          <w:pgSz w:w="12240" w:h="15840" w:orient="portrait"/>
          <w:cols w:equalWidth="0" w:num="1">
            <w:col w:w="9840"/>
          </w:cols>
          <w:pgMar w:left="1200" w:top="464" w:right="1200" w:bottom="524" w:gutter="0" w:footer="0" w:header="0"/>
        </w:sectPr>
      </w:pPr>
    </w:p>
    <w:p>
      <w:pPr>
        <w:spacing w:after="0" w:line="334" w:lineRule="exact"/>
        <w:rPr>
          <w:sz w:val="20"/>
          <w:szCs w:val="20"/>
          <w:color w:val="auto"/>
        </w:rPr>
      </w:pPr>
    </w:p>
    <w:p>
      <w:pPr>
        <w:jc w:val="both"/>
        <w:spacing w:after="0" w:line="260" w:lineRule="auto"/>
        <w:rPr>
          <w:sz w:val="20"/>
          <w:szCs w:val="20"/>
          <w:color w:val="auto"/>
        </w:rPr>
      </w:pPr>
      <w:r>
        <w:rPr>
          <w:rFonts w:ascii="Times New Roman" w:cs="Times New Roman" w:eastAsia="Times New Roman" w:hAnsi="Times New Roman"/>
          <w:sz w:val="23"/>
          <w:szCs w:val="23"/>
          <w:color w:val="auto"/>
        </w:rPr>
        <w:t>lands. Lakes Marian and Kissimmee sustain the highest limnetic total P and chlorophyll a concen-trations (</w:t>
      </w:r>
      <w:r>
        <w:rPr>
          <w:rFonts w:ascii="Times New Roman" w:cs="Times New Roman" w:eastAsia="Times New Roman" w:hAnsi="Times New Roman"/>
          <w:sz w:val="23"/>
          <w:szCs w:val="23"/>
          <w:color w:val="000080"/>
        </w:rPr>
        <w:t>Table 1</w:t>
      </w:r>
      <w:r>
        <w:rPr>
          <w:rFonts w:ascii="Times New Roman" w:cs="Times New Roman" w:eastAsia="Times New Roman" w:hAnsi="Times New Roman"/>
          <w:sz w:val="23"/>
          <w:szCs w:val="23"/>
          <w:color w:val="auto"/>
        </w:rPr>
        <w:t>). Lake Kissimmee was placed on the federal list of impaired waters in 2006, and it is subject to management for invasive Hydrilla.</w:t>
      </w:r>
    </w:p>
    <w:p>
      <w:pPr>
        <w:spacing w:after="0" w:line="200" w:lineRule="exact"/>
        <w:rPr>
          <w:sz w:val="20"/>
          <w:szCs w:val="20"/>
          <w:color w:val="auto"/>
        </w:rPr>
      </w:pPr>
    </w:p>
    <w:p>
      <w:pPr>
        <w:spacing w:after="0" w:line="274" w:lineRule="exact"/>
        <w:rPr>
          <w:sz w:val="20"/>
          <w:szCs w:val="20"/>
          <w:color w:val="auto"/>
        </w:rPr>
      </w:pPr>
    </w:p>
    <w:p>
      <w:pPr>
        <w:spacing w:after="0"/>
        <w:rPr>
          <w:sz w:val="20"/>
          <w:szCs w:val="20"/>
          <w:color w:val="auto"/>
        </w:rPr>
      </w:pPr>
      <w:r>
        <w:rPr>
          <w:rFonts w:ascii="Arial" w:cs="Arial" w:eastAsia="Arial" w:hAnsi="Arial"/>
          <w:sz w:val="21"/>
          <w:szCs w:val="21"/>
          <w:color w:val="10157E"/>
        </w:rPr>
        <w:t>Historical influences on the lakes</w:t>
      </w:r>
    </w:p>
    <w:p>
      <w:pPr>
        <w:spacing w:after="0" w:line="152" w:lineRule="exact"/>
        <w:rPr>
          <w:sz w:val="20"/>
          <w:szCs w:val="20"/>
          <w:color w:val="auto"/>
        </w:rPr>
      </w:pPr>
    </w:p>
    <w:p>
      <w:pPr>
        <w:jc w:val="both"/>
        <w:spacing w:after="0" w:line="253" w:lineRule="auto"/>
        <w:rPr>
          <w:sz w:val="20"/>
          <w:szCs w:val="20"/>
          <w:color w:val="auto"/>
        </w:rPr>
      </w:pPr>
      <w:r>
        <w:rPr>
          <w:rFonts w:ascii="Times New Roman" w:cs="Times New Roman" w:eastAsia="Times New Roman" w:hAnsi="Times New Roman"/>
          <w:sz w:val="23"/>
          <w:szCs w:val="23"/>
          <w:color w:val="auto"/>
        </w:rPr>
        <w:t>In 1884, Lake Topekaliga and other lakes along the Kissimmee River were described as having</w:t>
      </w:r>
    </w:p>
    <w:p>
      <w:pPr>
        <w:spacing w:after="0" w:line="20" w:lineRule="exact"/>
        <w:rPr>
          <w:sz w:val="20"/>
          <w:szCs w:val="20"/>
          <w:color w:val="auto"/>
        </w:rPr>
      </w:pPr>
      <w:r>
        <w:rPr>
          <w:sz w:val="20"/>
          <w:szCs w:val="20"/>
          <w:color w:val="auto"/>
        </w:rPr>
        <w:br w:type="column"/>
      </w:r>
    </w:p>
    <w:p>
      <w:pPr>
        <w:spacing w:after="0" w:line="314" w:lineRule="exact"/>
        <w:rPr>
          <w:sz w:val="20"/>
          <w:szCs w:val="20"/>
          <w:color w:val="auto"/>
        </w:rPr>
      </w:pPr>
    </w:p>
    <w:p>
      <w:pPr>
        <w:jc w:val="both"/>
        <w:spacing w:after="0" w:line="260" w:lineRule="auto"/>
        <w:rPr>
          <w:sz w:val="20"/>
          <w:szCs w:val="20"/>
          <w:color w:val="auto"/>
        </w:rPr>
      </w:pPr>
      <w:r>
        <w:rPr>
          <w:rFonts w:ascii="Arial" w:cs="Arial" w:eastAsia="Arial" w:hAnsi="Arial"/>
          <w:sz w:val="23"/>
          <w:szCs w:val="23"/>
          <w:color w:val="auto"/>
        </w:rPr>
        <w:t>“</w:t>
      </w:r>
      <w:r>
        <w:rPr>
          <w:rFonts w:ascii="Times New Roman" w:cs="Times New Roman" w:eastAsia="Times New Roman" w:hAnsi="Times New Roman"/>
          <w:sz w:val="23"/>
          <w:szCs w:val="23"/>
          <w:color w:val="auto"/>
        </w:rPr>
        <w:t>pure, clear water</w:t>
      </w:r>
      <w:r>
        <w:rPr>
          <w:rFonts w:ascii="Arial" w:cs="Arial" w:eastAsia="Arial" w:hAnsi="Arial"/>
          <w:sz w:val="23"/>
          <w:szCs w:val="23"/>
          <w:color w:val="auto"/>
        </w:rPr>
        <w:t xml:space="preserve">” </w:t>
      </w:r>
      <w:r>
        <w:rPr>
          <w:rFonts w:ascii="Times New Roman" w:cs="Times New Roman" w:eastAsia="Times New Roman" w:hAnsi="Times New Roman"/>
          <w:sz w:val="23"/>
          <w:szCs w:val="23"/>
          <w:color w:val="auto"/>
        </w:rPr>
        <w:t>(Atlantic and Gulf Coast</w:t>
      </w:r>
      <w:r>
        <w:rPr>
          <w:rFonts w:ascii="Arial" w:cs="Arial" w:eastAsia="Arial" w:hAnsi="Arial"/>
          <w:sz w:val="23"/>
          <w:szCs w:val="23"/>
          <w:color w:val="auto"/>
        </w:rPr>
        <w:t xml:space="preserve"> </w:t>
      </w:r>
      <w:r>
        <w:rPr>
          <w:rFonts w:ascii="Times New Roman" w:cs="Times New Roman" w:eastAsia="Times New Roman" w:hAnsi="Times New Roman"/>
          <w:sz w:val="23"/>
          <w:szCs w:val="23"/>
          <w:color w:val="auto"/>
        </w:rPr>
        <w:t>Canal and Okeechobee Land Company 1885). Prairie lands and hardwood forests were situated along the lake shores, with large tracts of cypress (Taxodium) in intermittent swamps. Sawgrass (Cladium jamaicense), organic-rich sediments, and aquatic plants were reported in wetlands near East Lake Tohopekaliga. A continuous marsh extended from Lake Cypress to the north bay of Lake Kissimmee.</w:t>
      </w:r>
    </w:p>
    <w:p>
      <w:pPr>
        <w:sectPr>
          <w:pgSz w:w="12240" w:h="15840" w:orient="portrait"/>
          <w:cols w:equalWidth="0" w:num="2">
            <w:col w:w="4740" w:space="360"/>
            <w:col w:w="4740"/>
          </w:cols>
          <w:pgMar w:left="1200" w:top="464" w:right="1200" w:bottom="524" w:gutter="0" w:footer="0" w:header="0"/>
          <w:type w:val="continuous"/>
        </w:sectPr>
      </w:pPr>
    </w:p>
    <w:bookmarkStart w:id="4" w:name="page5"/>
    <w:bookmarkEnd w:id="4"/>
    <w:p>
      <w:pPr>
        <w:ind w:left="4"/>
        <w:spacing w:after="0"/>
        <w:rPr>
          <w:sz w:val="20"/>
          <w:szCs w:val="20"/>
          <w:color w:val="auto"/>
        </w:rPr>
      </w:pPr>
      <w:r>
        <w:rPr>
          <w:rFonts w:ascii="Arial" w:cs="Arial" w:eastAsia="Arial" w:hAnsi="Arial"/>
          <w:sz w:val="15"/>
          <w:szCs w:val="15"/>
          <w:color w:val="auto"/>
        </w:rPr>
        <w:t xml:space="preserve">4  </w:t>
      </w:r>
      <w:r>
        <w:rPr>
          <w:sz w:val="1"/>
          <w:szCs w:val="1"/>
          <w:color w:val="auto"/>
        </w:rPr>
        <w:drawing>
          <wp:inline distT="0" distB="0" distL="0" distR="0">
            <wp:extent cx="165100" cy="1651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2">
                      <a:extLst>
                        <a:ext uri="{28A0092B-C50C-407E-A947-70E740481C1C}"/>
                      </a:extLst>
                    </a:blip>
                    <a:srcRect/>
                    <a:stretch>
                      <a:fillRect/>
                    </a:stretch>
                  </pic:blipFill>
                  <pic:spPr bwMode="auto">
                    <a:xfrm>
                      <a:off x="0" y="0"/>
                      <a:ext cx="165100" cy="165100"/>
                    </a:xfrm>
                    <a:prstGeom prst="rect">
                      <a:avLst/>
                    </a:prstGeom>
                    <a:noFill/>
                    <a:ln>
                      <a:noFill/>
                    </a:ln>
                  </pic:spPr>
                </pic:pic>
              </a:graphicData>
            </a:graphic>
          </wp:inline>
        </w:drawing>
      </w:r>
      <w:r>
        <w:rPr>
          <w:rFonts w:ascii="Arial" w:cs="Arial" w:eastAsia="Arial" w:hAnsi="Arial"/>
          <w:sz w:val="15"/>
          <w:szCs w:val="15"/>
          <w:color w:val="auto"/>
        </w:rPr>
        <w:t xml:space="preserve">  T. J. WHITMORE ET AL.</w:t>
      </w:r>
    </w:p>
    <w:p>
      <w:pPr>
        <w:spacing w:after="0" w:line="271" w:lineRule="exact"/>
        <w:rPr>
          <w:sz w:val="20"/>
          <w:szCs w:val="20"/>
          <w:color w:val="auto"/>
        </w:rPr>
      </w:pPr>
    </w:p>
    <w:p>
      <w:pPr>
        <w:jc w:val="both"/>
        <w:ind w:left="4" w:firstLine="240"/>
        <w:spacing w:after="0" w:line="253" w:lineRule="auto"/>
        <w:rPr>
          <w:sz w:val="20"/>
          <w:szCs w:val="20"/>
          <w:color w:val="auto"/>
        </w:rPr>
      </w:pPr>
      <w:r>
        <w:rPr>
          <w:rFonts w:ascii="Times New Roman" w:cs="Times New Roman" w:eastAsia="Times New Roman" w:hAnsi="Times New Roman"/>
          <w:sz w:val="23"/>
          <w:szCs w:val="23"/>
          <w:color w:val="auto"/>
        </w:rPr>
        <w:t xml:space="preserve">Cattle ranches were well established in the Kissimmee Basin by the 1860s (Otto </w:t>
      </w:r>
      <w:r>
        <w:rPr>
          <w:rFonts w:ascii="Times New Roman" w:cs="Times New Roman" w:eastAsia="Times New Roman" w:hAnsi="Times New Roman"/>
          <w:sz w:val="23"/>
          <w:szCs w:val="23"/>
          <w:color w:val="000080"/>
        </w:rPr>
        <w:t>1985</w:t>
      </w:r>
      <w:r>
        <w:rPr>
          <w:rFonts w:ascii="Times New Roman" w:cs="Times New Roman" w:eastAsia="Times New Roman" w:hAnsi="Times New Roman"/>
          <w:sz w:val="23"/>
          <w:szCs w:val="23"/>
          <w:color w:val="auto"/>
        </w:rPr>
        <w:t>). More extensive impacts began with settlement after the Civil War (c. 1865), when the region was further developed for agriculture and cattle ranching. Kissimmee City was founded on the northern shore of Lake Tohopekalgia in 1883, and the city of St. Cloud was founded in 1909 on the south-ern shore of East Lake Tohopekaliga.</w:t>
      </w:r>
    </w:p>
    <w:p>
      <w:pPr>
        <w:spacing w:after="0" w:line="14" w:lineRule="exact"/>
        <w:rPr>
          <w:sz w:val="20"/>
          <w:szCs w:val="20"/>
          <w:color w:val="auto"/>
        </w:rPr>
      </w:pPr>
    </w:p>
    <w:p>
      <w:pPr>
        <w:jc w:val="both"/>
        <w:ind w:left="4" w:firstLine="240"/>
        <w:spacing w:after="0" w:line="253" w:lineRule="auto"/>
        <w:rPr>
          <w:sz w:val="20"/>
          <w:szCs w:val="20"/>
          <w:color w:val="auto"/>
        </w:rPr>
      </w:pPr>
      <w:r>
        <w:rPr>
          <w:rFonts w:ascii="Times New Roman" w:cs="Times New Roman" w:eastAsia="Times New Roman" w:hAnsi="Times New Roman"/>
          <w:sz w:val="23"/>
          <w:szCs w:val="23"/>
          <w:color w:val="auto"/>
        </w:rPr>
        <w:t>Canal construction to join Upper Basin lakes to the Kissimmee River began in the 1880s. The St. Cloud Canal was dug through marshes to drain East Lake Tohopekaliga into Lake Tohopekaliga. Prior to 1884, East Lake Tohopekaliga was sur-rounded by cypress swamps and marshes that were left stranded above water levels when the lake was lowered, and logging took place on the shores (Atlantic and Gulf Coast Canal and Okeechobee Land Company 1885). East Lake Tohopekaliga fell 1.1 m in 30 d from the drainage. Sugar-cane agriculture was established in drained areas of East Lake Tohopekaliga by 1883. On the western and southern shores of Lake Tohopekaliga, dredging of wetlands and logging occurred in 1883 and 1884 (Atlantic and Gulf Coast Canal and Okeechobee Land Company 1885). Lake Tohopekaliga dropped 0.8 m from drainage, and lakes south of it had lowered water levels. The water level of Lake Okeechobee fell 0.45 m in 1 year.</w:t>
      </w:r>
    </w:p>
    <w:p>
      <w:pPr>
        <w:spacing w:after="0" w:line="300" w:lineRule="exact"/>
        <w:rPr>
          <w:sz w:val="20"/>
          <w:szCs w:val="20"/>
          <w:color w:val="auto"/>
        </w:rPr>
      </w:pPr>
    </w:p>
    <w:p>
      <w:pPr>
        <w:ind w:left="244"/>
        <w:spacing w:after="0"/>
        <w:rPr>
          <w:sz w:val="20"/>
          <w:szCs w:val="20"/>
          <w:color w:val="auto"/>
        </w:rPr>
      </w:pPr>
      <w:r>
        <w:rPr>
          <w:rFonts w:ascii="Times New Roman" w:cs="Times New Roman" w:eastAsia="Times New Roman" w:hAnsi="Times New Roman"/>
          <w:sz w:val="23"/>
          <w:szCs w:val="23"/>
          <w:color w:val="auto"/>
        </w:rPr>
        <w:t>Population increases occurred after World War</w:t>
      </w:r>
    </w:p>
    <w:p>
      <w:pPr>
        <w:spacing w:after="0" w:line="26" w:lineRule="exact"/>
        <w:rPr>
          <w:sz w:val="20"/>
          <w:szCs w:val="20"/>
          <w:color w:val="auto"/>
        </w:rPr>
      </w:pPr>
    </w:p>
    <w:p>
      <w:pPr>
        <w:jc w:val="both"/>
        <w:ind w:left="4" w:hanging="4"/>
        <w:spacing w:after="0" w:line="253" w:lineRule="auto"/>
        <w:tabs>
          <w:tab w:leader="none" w:pos="315" w:val="left"/>
        </w:tabs>
        <w:numPr>
          <w:ilvl w:val="0"/>
          <w:numId w:val="2"/>
        </w:numPr>
        <w:rPr>
          <w:rFonts w:ascii="Times New Roman" w:cs="Times New Roman" w:eastAsia="Times New Roman" w:hAnsi="Times New Roman"/>
          <w:sz w:val="23"/>
          <w:szCs w:val="23"/>
          <w:color w:val="auto"/>
        </w:rPr>
      </w:pPr>
      <w:r>
        <w:rPr>
          <w:rFonts w:ascii="Times New Roman" w:cs="Times New Roman" w:eastAsia="Times New Roman" w:hAnsi="Times New Roman"/>
          <w:sz w:val="23"/>
          <w:szCs w:val="23"/>
          <w:color w:val="auto"/>
        </w:rPr>
        <w:t xml:space="preserve">in the cities of Kissimmee and St. Cloud. Point-source discharges into Lake Tohopekaliga began in the 1950s (Williams </w:t>
      </w:r>
      <w:r>
        <w:rPr>
          <w:rFonts w:ascii="Times New Roman" w:cs="Times New Roman" w:eastAsia="Times New Roman" w:hAnsi="Times New Roman"/>
          <w:sz w:val="23"/>
          <w:szCs w:val="23"/>
          <w:color w:val="000080"/>
        </w:rPr>
        <w:t>2001</w:t>
      </w:r>
      <w:r>
        <w:rPr>
          <w:rFonts w:ascii="Times New Roman" w:cs="Times New Roman" w:eastAsia="Times New Roman" w:hAnsi="Times New Roman"/>
          <w:sz w:val="23"/>
          <w:szCs w:val="23"/>
          <w:color w:val="auto"/>
        </w:rPr>
        <w:t xml:space="preserve">). By 1969, 4 wastewater treatment plants discharged 82.5 met-ric tons of phosphorus and 140 metric tons of nitrogen per year into Lake Tohopekaliga and its tributaries. Water-quality deterioration was evi-dent by 1969. By 1982, limnetic total P averaged 322 lg/L and chlorophyll a averaged 71 lg/L in Lake Tohopekalika (Huber et al. </w:t>
      </w:r>
      <w:r>
        <w:rPr>
          <w:rFonts w:ascii="Times New Roman" w:cs="Times New Roman" w:eastAsia="Times New Roman" w:hAnsi="Times New Roman"/>
          <w:sz w:val="23"/>
          <w:szCs w:val="23"/>
          <w:color w:val="000080"/>
        </w:rPr>
        <w:t>1982</w:t>
      </w:r>
      <w:r>
        <w:rPr>
          <w:rFonts w:ascii="Times New Roman" w:cs="Times New Roman" w:eastAsia="Times New Roman" w:hAnsi="Times New Roman"/>
          <w:sz w:val="23"/>
          <w:szCs w:val="23"/>
          <w:color w:val="auto"/>
        </w:rPr>
        <w:t>), and nutrients affected lakes that were downstream. In 1988, wastewater discharge into the lake was discontinued.</w:t>
      </w:r>
    </w:p>
    <w:p>
      <w:pPr>
        <w:spacing w:after="0" w:line="19" w:lineRule="exact"/>
        <w:rPr>
          <w:rFonts w:ascii="Times New Roman" w:cs="Times New Roman" w:eastAsia="Times New Roman" w:hAnsi="Times New Roman"/>
          <w:sz w:val="23"/>
          <w:szCs w:val="23"/>
          <w:color w:val="auto"/>
        </w:rPr>
      </w:pPr>
    </w:p>
    <w:p>
      <w:pPr>
        <w:jc w:val="both"/>
        <w:ind w:left="4" w:firstLine="240"/>
        <w:spacing w:after="0" w:line="251" w:lineRule="auto"/>
        <w:rPr>
          <w:rFonts w:ascii="Times New Roman" w:cs="Times New Roman" w:eastAsia="Times New Roman" w:hAnsi="Times New Roman"/>
          <w:sz w:val="23"/>
          <w:szCs w:val="23"/>
          <w:color w:val="auto"/>
        </w:rPr>
      </w:pPr>
      <w:r>
        <w:rPr>
          <w:rFonts w:ascii="Times New Roman" w:cs="Times New Roman" w:eastAsia="Times New Roman" w:hAnsi="Times New Roman"/>
          <w:sz w:val="23"/>
          <w:szCs w:val="23"/>
          <w:color w:val="auto"/>
        </w:rPr>
        <w:t xml:space="preserve">Massive flooding in 1947 after a hurricane prompted the Army Corps of Engineers to deepen and straighten the Kissimmee River to implement flood-control measures (South Florida Water Management District </w:t>
      </w:r>
      <w:r>
        <w:rPr>
          <w:rFonts w:ascii="Times New Roman" w:cs="Times New Roman" w:eastAsia="Times New Roman" w:hAnsi="Times New Roman"/>
          <w:sz w:val="23"/>
          <w:szCs w:val="23"/>
          <w:color w:val="000080"/>
        </w:rPr>
        <w:t>2014</w:t>
      </w:r>
      <w:r>
        <w:rPr>
          <w:rFonts w:ascii="Times New Roman" w:cs="Times New Roman" w:eastAsia="Times New Roman" w:hAnsi="Times New Roman"/>
          <w:sz w:val="23"/>
          <w:szCs w:val="23"/>
          <w:color w:val="auto"/>
        </w:rPr>
        <w:t>). In the 1960s,</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343" w:lineRule="exact"/>
        <w:rPr>
          <w:sz w:val="20"/>
          <w:szCs w:val="20"/>
          <w:color w:val="auto"/>
        </w:rPr>
      </w:pPr>
    </w:p>
    <w:p>
      <w:pPr>
        <w:jc w:val="both"/>
        <w:spacing w:after="0" w:line="253" w:lineRule="auto"/>
        <w:rPr>
          <w:sz w:val="20"/>
          <w:szCs w:val="20"/>
          <w:color w:val="auto"/>
        </w:rPr>
      </w:pPr>
      <w:r>
        <w:rPr>
          <w:rFonts w:ascii="Times New Roman" w:cs="Times New Roman" w:eastAsia="Times New Roman" w:hAnsi="Times New Roman"/>
          <w:sz w:val="23"/>
          <w:szCs w:val="23"/>
          <w:color w:val="auto"/>
        </w:rPr>
        <w:t>the river was extensively channelized, which had serious consequences in terms of shortened water-residence times, higher nutrient concentra-tions, and ecological impacts on fish and wildlife in Upper Basin lakes and in Lake Okeechobee. In 1999, the South Florida Water Management District and the US Army Corps of Engineers began the Kissimmee River Restoration Project, which is scheduled to restore 71 km of the nat-ural meandering system by 2020.</w:t>
      </w:r>
    </w:p>
    <w:p>
      <w:pPr>
        <w:spacing w:after="0" w:line="200" w:lineRule="exact"/>
        <w:rPr>
          <w:sz w:val="20"/>
          <w:szCs w:val="20"/>
          <w:color w:val="auto"/>
        </w:rPr>
      </w:pPr>
    </w:p>
    <w:p>
      <w:pPr>
        <w:spacing w:after="0" w:line="215" w:lineRule="exact"/>
        <w:rPr>
          <w:sz w:val="20"/>
          <w:szCs w:val="20"/>
          <w:color w:val="auto"/>
        </w:rPr>
      </w:pPr>
    </w:p>
    <w:p>
      <w:pPr>
        <w:ind w:right="1400"/>
        <w:spacing w:after="0" w:line="275" w:lineRule="auto"/>
        <w:rPr>
          <w:sz w:val="20"/>
          <w:szCs w:val="20"/>
          <w:color w:val="auto"/>
        </w:rPr>
      </w:pPr>
      <w:r>
        <w:rPr>
          <w:rFonts w:ascii="Arial" w:cs="Arial" w:eastAsia="Arial" w:hAnsi="Arial"/>
          <w:sz w:val="21"/>
          <w:szCs w:val="21"/>
          <w:color w:val="10157E"/>
        </w:rPr>
        <w:t>Recent water-level manipulation for sediment removal</w:t>
      </w:r>
    </w:p>
    <w:p>
      <w:pPr>
        <w:spacing w:after="0" w:line="117" w:lineRule="exact"/>
        <w:rPr>
          <w:sz w:val="20"/>
          <w:szCs w:val="20"/>
          <w:color w:val="auto"/>
        </w:rPr>
      </w:pPr>
    </w:p>
    <w:p>
      <w:pPr>
        <w:jc w:val="both"/>
        <w:spacing w:after="0" w:line="250" w:lineRule="auto"/>
        <w:rPr>
          <w:sz w:val="20"/>
          <w:szCs w:val="20"/>
          <w:color w:val="auto"/>
        </w:rPr>
      </w:pPr>
      <w:r>
        <w:rPr>
          <w:rFonts w:ascii="Times New Roman" w:cs="Times New Roman" w:eastAsia="Times New Roman" w:hAnsi="Times New Roman"/>
          <w:sz w:val="23"/>
          <w:szCs w:val="23"/>
          <w:color w:val="auto"/>
        </w:rPr>
        <w:t>Florida Fish and Wildlife Conservation Commission has lowered water levels and dewa-tered sediments in several of our study lakes to remove invasive plants and sediment by burning and scraping operations in recent years. Water lev-els in Lake Tohopekaliga were drawn down 1.8 m in 1971, 1979, 1987, and 2004, and scraping occurred in 1987 and 2004. During the 2004 oper-ation, approximately 1350 ha of lake bottom was exposed, and 6.04 million m</w:t>
      </w:r>
      <w:r>
        <w:rPr>
          <w:rFonts w:ascii="Times New Roman" w:cs="Times New Roman" w:eastAsia="Times New Roman" w:hAnsi="Times New Roman"/>
          <w:sz w:val="30"/>
          <w:szCs w:val="30"/>
          <w:color w:val="auto"/>
          <w:vertAlign w:val="superscript"/>
        </w:rPr>
        <w:t>3</w:t>
      </w:r>
      <w:r>
        <w:rPr>
          <w:rFonts w:ascii="Times New Roman" w:cs="Times New Roman" w:eastAsia="Times New Roman" w:hAnsi="Times New Roman"/>
          <w:sz w:val="23"/>
          <w:szCs w:val="23"/>
          <w:color w:val="auto"/>
        </w:rPr>
        <w:t xml:space="preserve"> of organic material was removed (Lawrence K, Osceola County Public Works Department, March 2016, pers. comm.). In 1995, Lake Kissimmee was drained to half the size of its normal area for scraping and burning. Because Lake Cypress is controlled by the structure in Lake Kissimmee, its water level also fell. In 2004, East Lake Tohopekaliga was drawn down approxi-mately 1.8 m, and 95% of the littoral zone was scraped. Drawdowns and sediment removal con-tinue as a management practice in lakes of the Kissimmee Chain.</w:t>
      </w:r>
    </w:p>
    <w:p>
      <w:pPr>
        <w:spacing w:after="0" w:line="390" w:lineRule="exact"/>
        <w:rPr>
          <w:sz w:val="20"/>
          <w:szCs w:val="20"/>
          <w:color w:val="auto"/>
        </w:rPr>
      </w:pPr>
    </w:p>
    <w:p>
      <w:pPr>
        <w:spacing w:after="0"/>
        <w:rPr>
          <w:sz w:val="20"/>
          <w:szCs w:val="20"/>
          <w:color w:val="auto"/>
        </w:rPr>
      </w:pPr>
      <w:r>
        <w:rPr>
          <w:rFonts w:ascii="Arial" w:cs="Arial" w:eastAsia="Arial" w:hAnsi="Arial"/>
          <w:sz w:val="22"/>
          <w:szCs w:val="22"/>
          <w:color w:val="10157E"/>
        </w:rPr>
        <w:t>Materials and methods</w:t>
      </w:r>
    </w:p>
    <w:p>
      <w:pPr>
        <w:spacing w:after="0" w:line="152" w:lineRule="exact"/>
        <w:rPr>
          <w:sz w:val="20"/>
          <w:szCs w:val="20"/>
          <w:color w:val="auto"/>
        </w:rPr>
      </w:pPr>
    </w:p>
    <w:p>
      <w:pPr>
        <w:spacing w:after="0"/>
        <w:rPr>
          <w:sz w:val="20"/>
          <w:szCs w:val="20"/>
          <w:color w:val="auto"/>
        </w:rPr>
      </w:pPr>
      <w:r>
        <w:rPr>
          <w:rFonts w:ascii="Arial" w:cs="Arial" w:eastAsia="Arial" w:hAnsi="Arial"/>
          <w:sz w:val="21"/>
          <w:szCs w:val="21"/>
          <w:color w:val="10157E"/>
        </w:rPr>
        <w:t>Field methods and core collection</w:t>
      </w:r>
    </w:p>
    <w:p>
      <w:pPr>
        <w:spacing w:after="0" w:line="151" w:lineRule="exact"/>
        <w:rPr>
          <w:sz w:val="20"/>
          <w:szCs w:val="20"/>
          <w:color w:val="auto"/>
        </w:rPr>
      </w:pPr>
    </w:p>
    <w:p>
      <w:pPr>
        <w:jc w:val="both"/>
        <w:spacing w:after="0" w:line="253" w:lineRule="auto"/>
        <w:rPr>
          <w:sz w:val="20"/>
          <w:szCs w:val="20"/>
          <w:color w:val="auto"/>
        </w:rPr>
      </w:pPr>
      <w:r>
        <w:rPr>
          <w:rFonts w:ascii="Times New Roman" w:cs="Times New Roman" w:eastAsia="Times New Roman" w:hAnsi="Times New Roman"/>
          <w:sz w:val="23"/>
          <w:szCs w:val="23"/>
          <w:color w:val="auto"/>
        </w:rPr>
        <w:t xml:space="preserve">We conducted a systematic spatial survey of sedi-ment distribution (Whitmore et al. </w:t>
      </w:r>
      <w:r>
        <w:rPr>
          <w:rFonts w:ascii="Times New Roman" w:cs="Times New Roman" w:eastAsia="Times New Roman" w:hAnsi="Times New Roman"/>
          <w:sz w:val="23"/>
          <w:szCs w:val="23"/>
          <w:color w:val="000080"/>
        </w:rPr>
        <w:t>1996</w:t>
      </w:r>
      <w:r>
        <w:rPr>
          <w:rFonts w:ascii="Times New Roman" w:cs="Times New Roman" w:eastAsia="Times New Roman" w:hAnsi="Times New Roman"/>
          <w:sz w:val="23"/>
          <w:szCs w:val="23"/>
          <w:color w:val="auto"/>
        </w:rPr>
        <w:t>) in Lakes Cypress, East Tohopekaliga, Kissimmee, Jackson, Marian, and Tohopekaliga to identify optimal coring sites. Water depth at each site was measured by lowering a weighted, metered steel cable to the sediment/water interface. Total depth to hard, sandy sediments was measured at each site by inserting magnesium/zirconium rods into the sediment and subtracting the water depth to</w:t>
      </w:r>
    </w:p>
    <w:p>
      <w:pPr>
        <w:sectPr>
          <w:pgSz w:w="12240" w:h="15840" w:orient="portrait"/>
          <w:cols w:equalWidth="0" w:num="2">
            <w:col w:w="4744" w:space="360"/>
            <w:col w:w="4740"/>
          </w:cols>
          <w:pgMar w:left="1196" w:top="458" w:right="1200" w:bottom="535" w:gutter="0" w:footer="0" w:header="0"/>
        </w:sectPr>
      </w:pPr>
    </w:p>
    <w:bookmarkStart w:id="5" w:name="page6"/>
    <w:bookmarkEnd w:id="5"/>
    <w:p>
      <w:pPr>
        <w:spacing w:after="0" w:line="200" w:lineRule="exact"/>
        <w:rPr>
          <w:sz w:val="20"/>
          <w:szCs w:val="20"/>
          <w:color w:val="auto"/>
        </w:rPr>
      </w:pPr>
    </w:p>
    <w:p>
      <w:pPr>
        <w:spacing w:after="0" w:line="356" w:lineRule="exact"/>
        <w:rPr>
          <w:sz w:val="20"/>
          <w:szCs w:val="20"/>
          <w:color w:val="auto"/>
        </w:rPr>
      </w:pPr>
    </w:p>
    <w:p>
      <w:pPr>
        <w:jc w:val="both"/>
        <w:spacing w:after="0" w:line="255" w:lineRule="auto"/>
        <w:rPr>
          <w:sz w:val="20"/>
          <w:szCs w:val="20"/>
          <w:color w:val="auto"/>
        </w:rPr>
      </w:pPr>
      <w:r>
        <w:rPr>
          <w:rFonts w:ascii="Times New Roman" w:cs="Times New Roman" w:eastAsia="Times New Roman" w:hAnsi="Times New Roman"/>
          <w:sz w:val="23"/>
          <w:szCs w:val="23"/>
          <w:color w:val="auto"/>
        </w:rPr>
        <w:t xml:space="preserve">estimate soft-sediment thickness. Sediment cores of 1 m in length were recovered with a 1.83-m-long, 7-cm diameter piston corer (Fisher et al. </w:t>
      </w:r>
      <w:r>
        <w:rPr>
          <w:rFonts w:ascii="Times New Roman" w:cs="Times New Roman" w:eastAsia="Times New Roman" w:hAnsi="Times New Roman"/>
          <w:sz w:val="23"/>
          <w:szCs w:val="23"/>
          <w:color w:val="000080"/>
        </w:rPr>
        <w:t>1992</w:t>
      </w:r>
      <w:r>
        <w:rPr>
          <w:rFonts w:ascii="Times New Roman" w:cs="Times New Roman" w:eastAsia="Times New Roman" w:hAnsi="Times New Roman"/>
          <w:sz w:val="23"/>
          <w:szCs w:val="23"/>
          <w:color w:val="000000"/>
        </w:rPr>
        <w:t>), and backup cores for pollen and macrofos-sil analyses were taken at the same stations using a 4-cm diameter, 1.83-m long cellulose acetate butyrate piston corer.</w:t>
      </w:r>
    </w:p>
    <w:p>
      <w:pPr>
        <w:spacing w:after="0" w:line="10" w:lineRule="exact"/>
        <w:rPr>
          <w:sz w:val="20"/>
          <w:szCs w:val="20"/>
          <w:color w:val="auto"/>
        </w:rPr>
      </w:pPr>
    </w:p>
    <w:p>
      <w:pPr>
        <w:jc w:val="both"/>
        <w:ind w:firstLine="240"/>
        <w:spacing w:after="0" w:line="255" w:lineRule="auto"/>
        <w:rPr>
          <w:sz w:val="20"/>
          <w:szCs w:val="20"/>
          <w:color w:val="auto"/>
        </w:rPr>
      </w:pPr>
      <w:r>
        <w:rPr>
          <w:rFonts w:ascii="Times New Roman" w:cs="Times New Roman" w:eastAsia="Times New Roman" w:hAnsi="Times New Roman"/>
          <w:sz w:val="23"/>
          <w:szCs w:val="23"/>
          <w:color w:val="auto"/>
        </w:rPr>
        <w:t>Cores were sectioned in the field at 5-cm inter-vals to 20 cm depth, then at 3-cm or 4-cm inter-vals to the base of the cores. Samples were stored in Nalgene plastic cups in the dark on ice until they were refrigerated in the laboratory. Diatom samples were collected in the field at the top of each sectioned interval and were preserved with alcohol.</w:t>
      </w:r>
    </w:p>
    <w:p>
      <w:pPr>
        <w:spacing w:after="0" w:line="200" w:lineRule="exact"/>
        <w:rPr>
          <w:sz w:val="20"/>
          <w:szCs w:val="20"/>
          <w:color w:val="auto"/>
        </w:rPr>
      </w:pPr>
    </w:p>
    <w:p>
      <w:pPr>
        <w:spacing w:after="0" w:line="209" w:lineRule="exact"/>
        <w:rPr>
          <w:sz w:val="20"/>
          <w:szCs w:val="20"/>
          <w:color w:val="auto"/>
        </w:rPr>
      </w:pPr>
    </w:p>
    <w:p>
      <w:pPr>
        <w:spacing w:after="0"/>
        <w:rPr>
          <w:sz w:val="20"/>
          <w:szCs w:val="20"/>
          <w:color w:val="auto"/>
        </w:rPr>
      </w:pPr>
      <w:r>
        <w:rPr>
          <w:rFonts w:ascii="Arial" w:cs="Arial" w:eastAsia="Arial" w:hAnsi="Arial"/>
          <w:sz w:val="21"/>
          <w:szCs w:val="21"/>
          <w:color w:val="10157E"/>
        </w:rPr>
        <w:t>Lead and cesium dating and core chronologies</w:t>
      </w:r>
    </w:p>
    <w:p>
      <w:pPr>
        <w:spacing w:after="0" w:line="117" w:lineRule="exact"/>
        <w:rPr>
          <w:sz w:val="20"/>
          <w:szCs w:val="20"/>
          <w:color w:val="auto"/>
        </w:rPr>
      </w:pPr>
    </w:p>
    <w:p>
      <w:pPr>
        <w:jc w:val="both"/>
        <w:spacing w:after="0" w:line="235" w:lineRule="auto"/>
        <w:rPr>
          <w:sz w:val="20"/>
          <w:szCs w:val="20"/>
          <w:color w:val="auto"/>
        </w:rPr>
      </w:pPr>
      <w:r>
        <w:rPr>
          <w:rFonts w:ascii="Times New Roman" w:cs="Times New Roman" w:eastAsia="Times New Roman" w:hAnsi="Times New Roman"/>
          <w:sz w:val="30"/>
          <w:szCs w:val="30"/>
          <w:color w:val="auto"/>
          <w:vertAlign w:val="superscript"/>
        </w:rPr>
        <w:t>210</w:t>
      </w:r>
      <w:r>
        <w:rPr>
          <w:rFonts w:ascii="Times New Roman" w:cs="Times New Roman" w:eastAsia="Times New Roman" w:hAnsi="Times New Roman"/>
          <w:sz w:val="23"/>
          <w:szCs w:val="23"/>
          <w:color w:val="auto"/>
        </w:rPr>
        <w:t xml:space="preserve">Pb dating of all sediment cores was performed at University College London by gamma spec-trometry using an ORTEC HPGe GWL series well-type coaxial low-background intrinsic ger-manium detector (Appleby et al. </w:t>
      </w:r>
      <w:r>
        <w:rPr>
          <w:rFonts w:ascii="Times New Roman" w:cs="Times New Roman" w:eastAsia="Times New Roman" w:hAnsi="Times New Roman"/>
          <w:sz w:val="23"/>
          <w:szCs w:val="23"/>
          <w:color w:val="000080"/>
        </w:rPr>
        <w:t>1986</w:t>
      </w:r>
      <w:r>
        <w:rPr>
          <w:rFonts w:ascii="Times New Roman" w:cs="Times New Roman" w:eastAsia="Times New Roman" w:hAnsi="Times New Roman"/>
          <w:sz w:val="23"/>
          <w:szCs w:val="23"/>
          <w:color w:val="auto"/>
        </w:rPr>
        <w:t xml:space="preserve">, Schelske et al. </w:t>
      </w:r>
      <w:r>
        <w:rPr>
          <w:rFonts w:ascii="Times New Roman" w:cs="Times New Roman" w:eastAsia="Times New Roman" w:hAnsi="Times New Roman"/>
          <w:sz w:val="23"/>
          <w:szCs w:val="23"/>
          <w:color w:val="000080"/>
        </w:rPr>
        <w:t>1994</w:t>
      </w:r>
      <w:r>
        <w:rPr>
          <w:rFonts w:ascii="Times New Roman" w:cs="Times New Roman" w:eastAsia="Times New Roman" w:hAnsi="Times New Roman"/>
          <w:sz w:val="23"/>
          <w:szCs w:val="23"/>
          <w:color w:val="auto"/>
        </w:rPr>
        <w:t xml:space="preserve">). Unsupported </w:t>
      </w:r>
      <w:r>
        <w:rPr>
          <w:rFonts w:ascii="Times New Roman" w:cs="Times New Roman" w:eastAsia="Times New Roman" w:hAnsi="Times New Roman"/>
          <w:sz w:val="30"/>
          <w:szCs w:val="30"/>
          <w:color w:val="auto"/>
          <w:vertAlign w:val="superscript"/>
        </w:rPr>
        <w:t>210</w:t>
      </w:r>
      <w:r>
        <w:rPr>
          <w:rFonts w:ascii="Times New Roman" w:cs="Times New Roman" w:eastAsia="Times New Roman" w:hAnsi="Times New Roman"/>
          <w:sz w:val="23"/>
          <w:szCs w:val="23"/>
          <w:color w:val="auto"/>
        </w:rPr>
        <w:t>Pb activity was cal-</w:t>
      </w:r>
    </w:p>
    <w:p>
      <w:pPr>
        <w:spacing w:after="0" w:line="6" w:lineRule="exact"/>
        <w:rPr>
          <w:sz w:val="20"/>
          <w:szCs w:val="20"/>
          <w:color w:val="auto"/>
        </w:rPr>
      </w:pPr>
    </w:p>
    <w:p>
      <w:pPr>
        <w:jc w:val="both"/>
        <w:spacing w:after="0" w:line="206" w:lineRule="auto"/>
        <w:rPr>
          <w:sz w:val="20"/>
          <w:szCs w:val="20"/>
          <w:color w:val="auto"/>
        </w:rPr>
      </w:pPr>
      <w:r>
        <w:rPr>
          <w:rFonts w:ascii="Times New Roman" w:cs="Times New Roman" w:eastAsia="Times New Roman" w:hAnsi="Times New Roman"/>
          <w:sz w:val="23"/>
          <w:szCs w:val="23"/>
          <w:color w:val="auto"/>
        </w:rPr>
        <w:t xml:space="preserve">culated by subtracting </w:t>
      </w:r>
      <w:r>
        <w:rPr>
          <w:rFonts w:ascii="Times New Roman" w:cs="Times New Roman" w:eastAsia="Times New Roman" w:hAnsi="Times New Roman"/>
          <w:sz w:val="30"/>
          <w:szCs w:val="30"/>
          <w:color w:val="auto"/>
          <w:vertAlign w:val="superscript"/>
        </w:rPr>
        <w:t>226</w:t>
      </w:r>
      <w:r>
        <w:rPr>
          <w:rFonts w:ascii="Times New Roman" w:cs="Times New Roman" w:eastAsia="Times New Roman" w:hAnsi="Times New Roman"/>
          <w:sz w:val="23"/>
          <w:szCs w:val="23"/>
          <w:color w:val="auto"/>
        </w:rPr>
        <w:t xml:space="preserve">Ra, as estimated from </w:t>
      </w:r>
      <w:r>
        <w:rPr>
          <w:rFonts w:ascii="Times New Roman" w:cs="Times New Roman" w:eastAsia="Times New Roman" w:hAnsi="Times New Roman"/>
          <w:sz w:val="30"/>
          <w:szCs w:val="30"/>
          <w:color w:val="auto"/>
          <w:vertAlign w:val="superscript"/>
        </w:rPr>
        <w:t>214</w:t>
      </w:r>
      <w:r>
        <w:rPr>
          <w:rFonts w:ascii="Times New Roman" w:cs="Times New Roman" w:eastAsia="Times New Roman" w:hAnsi="Times New Roman"/>
          <w:sz w:val="23"/>
          <w:szCs w:val="23"/>
          <w:color w:val="auto"/>
        </w:rPr>
        <w:t xml:space="preserve">Pb, from the total </w:t>
      </w:r>
      <w:r>
        <w:rPr>
          <w:rFonts w:ascii="Times New Roman" w:cs="Times New Roman" w:eastAsia="Times New Roman" w:hAnsi="Times New Roman"/>
          <w:sz w:val="30"/>
          <w:szCs w:val="30"/>
          <w:color w:val="auto"/>
          <w:vertAlign w:val="superscript"/>
        </w:rPr>
        <w:t>210</w:t>
      </w:r>
      <w:r>
        <w:rPr>
          <w:rFonts w:ascii="Times New Roman" w:cs="Times New Roman" w:eastAsia="Times New Roman" w:hAnsi="Times New Roman"/>
          <w:sz w:val="23"/>
          <w:szCs w:val="23"/>
          <w:color w:val="auto"/>
        </w:rPr>
        <w:t xml:space="preserve">Pb activity. </w:t>
      </w:r>
      <w:r>
        <w:rPr>
          <w:rFonts w:ascii="Times New Roman" w:cs="Times New Roman" w:eastAsia="Times New Roman" w:hAnsi="Times New Roman"/>
          <w:sz w:val="30"/>
          <w:szCs w:val="30"/>
          <w:color w:val="auto"/>
          <w:vertAlign w:val="superscript"/>
        </w:rPr>
        <w:t>210</w:t>
      </w:r>
      <w:r>
        <w:rPr>
          <w:rFonts w:ascii="Times New Roman" w:cs="Times New Roman" w:eastAsia="Times New Roman" w:hAnsi="Times New Roman"/>
          <w:sz w:val="23"/>
          <w:szCs w:val="23"/>
          <w:color w:val="auto"/>
        </w:rPr>
        <w:t>Pb was</w:t>
      </w:r>
    </w:p>
    <w:p>
      <w:pPr>
        <w:spacing w:after="0" w:line="2" w:lineRule="exact"/>
        <w:rPr>
          <w:sz w:val="20"/>
          <w:szCs w:val="20"/>
          <w:color w:val="auto"/>
        </w:rPr>
      </w:pPr>
    </w:p>
    <w:p>
      <w:pPr>
        <w:jc w:val="both"/>
        <w:spacing w:after="0" w:line="211" w:lineRule="auto"/>
        <w:rPr>
          <w:sz w:val="20"/>
          <w:szCs w:val="20"/>
          <w:color w:val="auto"/>
        </w:rPr>
      </w:pPr>
      <w:r>
        <w:rPr>
          <w:rFonts w:ascii="Times New Roman" w:cs="Times New Roman" w:eastAsia="Times New Roman" w:hAnsi="Times New Roman"/>
          <w:sz w:val="23"/>
          <w:szCs w:val="23"/>
          <w:color w:val="auto"/>
        </w:rPr>
        <w:t xml:space="preserve">determined via its gamma emissions at 46.5 keV, and </w:t>
      </w:r>
      <w:r>
        <w:rPr>
          <w:rFonts w:ascii="Times New Roman" w:cs="Times New Roman" w:eastAsia="Times New Roman" w:hAnsi="Times New Roman"/>
          <w:sz w:val="30"/>
          <w:szCs w:val="30"/>
          <w:color w:val="auto"/>
          <w:vertAlign w:val="superscript"/>
        </w:rPr>
        <w:t>226</w:t>
      </w:r>
      <w:r>
        <w:rPr>
          <w:rFonts w:ascii="Times New Roman" w:cs="Times New Roman" w:eastAsia="Times New Roman" w:hAnsi="Times New Roman"/>
          <w:sz w:val="23"/>
          <w:szCs w:val="23"/>
          <w:color w:val="auto"/>
        </w:rPr>
        <w:t>Ra by the 295 keV and 352 keV gamma</w:t>
      </w:r>
    </w:p>
    <w:p>
      <w:pPr>
        <w:spacing w:after="0" w:line="1" w:lineRule="exact"/>
        <w:rPr>
          <w:sz w:val="20"/>
          <w:szCs w:val="20"/>
          <w:color w:val="auto"/>
        </w:rPr>
      </w:pPr>
    </w:p>
    <w:p>
      <w:pPr>
        <w:jc w:val="both"/>
        <w:spacing w:after="0" w:line="235" w:lineRule="auto"/>
        <w:rPr>
          <w:sz w:val="20"/>
          <w:szCs w:val="20"/>
          <w:color w:val="auto"/>
        </w:rPr>
      </w:pPr>
      <w:r>
        <w:rPr>
          <w:rFonts w:ascii="Times New Roman" w:cs="Times New Roman" w:eastAsia="Times New Roman" w:hAnsi="Times New Roman"/>
          <w:sz w:val="23"/>
          <w:szCs w:val="23"/>
          <w:color w:val="auto"/>
        </w:rPr>
        <w:t xml:space="preserve">rays emitted by its daughter isotope </w:t>
      </w:r>
      <w:r>
        <w:rPr>
          <w:rFonts w:ascii="Times New Roman" w:cs="Times New Roman" w:eastAsia="Times New Roman" w:hAnsi="Times New Roman"/>
          <w:sz w:val="30"/>
          <w:szCs w:val="30"/>
          <w:color w:val="auto"/>
          <w:vertAlign w:val="superscript"/>
        </w:rPr>
        <w:t>214</w:t>
      </w:r>
      <w:r>
        <w:rPr>
          <w:rFonts w:ascii="Times New Roman" w:cs="Times New Roman" w:eastAsia="Times New Roman" w:hAnsi="Times New Roman"/>
          <w:sz w:val="23"/>
          <w:szCs w:val="23"/>
          <w:color w:val="auto"/>
        </w:rPr>
        <w:t xml:space="preserve">Pb. </w:t>
      </w:r>
      <w:r>
        <w:rPr>
          <w:rFonts w:ascii="Times New Roman" w:cs="Times New Roman" w:eastAsia="Times New Roman" w:hAnsi="Times New Roman"/>
          <w:sz w:val="30"/>
          <w:szCs w:val="30"/>
          <w:color w:val="auto"/>
          <w:vertAlign w:val="superscript"/>
        </w:rPr>
        <w:t>137</w:t>
      </w:r>
      <w:r>
        <w:rPr>
          <w:rFonts w:ascii="Times New Roman" w:cs="Times New Roman" w:eastAsia="Times New Roman" w:hAnsi="Times New Roman"/>
          <w:sz w:val="23"/>
          <w:szCs w:val="23"/>
          <w:color w:val="auto"/>
        </w:rPr>
        <w:t xml:space="preserve">Cs and </w:t>
      </w:r>
      <w:r>
        <w:rPr>
          <w:rFonts w:ascii="Times New Roman" w:cs="Times New Roman" w:eastAsia="Times New Roman" w:hAnsi="Times New Roman"/>
          <w:sz w:val="30"/>
          <w:szCs w:val="30"/>
          <w:color w:val="auto"/>
          <w:vertAlign w:val="superscript"/>
        </w:rPr>
        <w:t>241</w:t>
      </w:r>
      <w:r>
        <w:rPr>
          <w:rFonts w:ascii="Times New Roman" w:cs="Times New Roman" w:eastAsia="Times New Roman" w:hAnsi="Times New Roman"/>
          <w:sz w:val="23"/>
          <w:szCs w:val="23"/>
          <w:color w:val="auto"/>
        </w:rPr>
        <w:t xml:space="preserve">Am, which are artificial radionuclides from weapons testing, were measured by their emissions at 662 kev and 59.5 kev to provide absolute time markers for c. 1963 (Appleby et al. </w:t>
      </w:r>
      <w:r>
        <w:rPr>
          <w:rFonts w:ascii="Times New Roman" w:cs="Times New Roman" w:eastAsia="Times New Roman" w:hAnsi="Times New Roman"/>
          <w:sz w:val="23"/>
          <w:szCs w:val="23"/>
          <w:color w:val="000080"/>
        </w:rPr>
        <w:t>1986</w:t>
      </w:r>
      <w:r>
        <w:rPr>
          <w:rFonts w:ascii="Times New Roman" w:cs="Times New Roman" w:eastAsia="Times New Roman" w:hAnsi="Times New Roman"/>
          <w:sz w:val="23"/>
          <w:szCs w:val="23"/>
          <w:color w:val="000000"/>
        </w:rPr>
        <w:t>). Corrections were made for the effect of</w:t>
      </w:r>
      <w:r>
        <w:rPr>
          <w:rFonts w:ascii="Times New Roman" w:cs="Times New Roman" w:eastAsia="Times New Roman" w:hAnsi="Times New Roman"/>
          <w:sz w:val="23"/>
          <w:szCs w:val="23"/>
          <w:color w:val="000080"/>
        </w:rPr>
        <w:t xml:space="preserve"> </w:t>
      </w:r>
      <w:r>
        <w:rPr>
          <w:rFonts w:ascii="Times New Roman" w:cs="Times New Roman" w:eastAsia="Times New Roman" w:hAnsi="Times New Roman"/>
          <w:sz w:val="23"/>
          <w:szCs w:val="23"/>
          <w:color w:val="000000"/>
        </w:rPr>
        <w:t xml:space="preserve">self-absorption of low-energy gamma rays within the sample (Appleby et al. </w:t>
      </w:r>
      <w:r>
        <w:rPr>
          <w:rFonts w:ascii="Times New Roman" w:cs="Times New Roman" w:eastAsia="Times New Roman" w:hAnsi="Times New Roman"/>
          <w:sz w:val="23"/>
          <w:szCs w:val="23"/>
          <w:color w:val="000080"/>
        </w:rPr>
        <w:t>1992</w:t>
      </w:r>
      <w:r>
        <w:rPr>
          <w:rFonts w:ascii="Times New Roman" w:cs="Times New Roman" w:eastAsia="Times New Roman" w:hAnsi="Times New Roman"/>
          <w:sz w:val="23"/>
          <w:szCs w:val="23"/>
          <w:color w:val="000000"/>
        </w:rPr>
        <w:t xml:space="preserve">). For Lake Marian core 31_III_2018_MAR_328, radioiso-topic analyses stopped just short of </w:t>
      </w:r>
      <w:r>
        <w:rPr>
          <w:rFonts w:ascii="Times New Roman" w:cs="Times New Roman" w:eastAsia="Times New Roman" w:hAnsi="Times New Roman"/>
          <w:sz w:val="30"/>
          <w:szCs w:val="30"/>
          <w:color w:val="000000"/>
          <w:vertAlign w:val="superscript"/>
        </w:rPr>
        <w:t>210</w:t>
      </w:r>
      <w:r>
        <w:rPr>
          <w:rFonts w:ascii="Times New Roman" w:cs="Times New Roman" w:eastAsia="Times New Roman" w:hAnsi="Times New Roman"/>
          <w:sz w:val="23"/>
          <w:szCs w:val="23"/>
          <w:color w:val="000000"/>
        </w:rPr>
        <w:t xml:space="preserve">Pb sup-ported levels, so excess </w:t>
      </w:r>
      <w:r>
        <w:rPr>
          <w:rFonts w:ascii="Times New Roman" w:cs="Times New Roman" w:eastAsia="Times New Roman" w:hAnsi="Times New Roman"/>
          <w:sz w:val="30"/>
          <w:szCs w:val="30"/>
          <w:color w:val="000000"/>
          <w:vertAlign w:val="superscript"/>
        </w:rPr>
        <w:t>210</w:t>
      </w:r>
      <w:r>
        <w:rPr>
          <w:rFonts w:ascii="Times New Roman" w:cs="Times New Roman" w:eastAsia="Times New Roman" w:hAnsi="Times New Roman"/>
          <w:sz w:val="23"/>
          <w:szCs w:val="23"/>
          <w:color w:val="000000"/>
        </w:rPr>
        <w:t xml:space="preserve">Pb activity was extrapolated by linear regression for 2 samples. Sediment age/depth relationships were calculated using the constant rate of supply model (Appleby and Oldfield </w:t>
      </w:r>
      <w:r>
        <w:rPr>
          <w:rFonts w:ascii="Times New Roman" w:cs="Times New Roman" w:eastAsia="Times New Roman" w:hAnsi="Times New Roman"/>
          <w:sz w:val="23"/>
          <w:szCs w:val="23"/>
          <w:color w:val="000080"/>
        </w:rPr>
        <w:t>1983</w:t>
      </w:r>
      <w:r>
        <w:rPr>
          <w:rFonts w:ascii="Times New Roman" w:cs="Times New Roman" w:eastAsia="Times New Roman" w:hAnsi="Times New Roman"/>
          <w:sz w:val="23"/>
          <w:szCs w:val="23"/>
          <w:color w:val="000000"/>
        </w:rPr>
        <w:t xml:space="preserve">), with occasional age adjust-ments based on the location of </w:t>
      </w:r>
      <w:r>
        <w:rPr>
          <w:rFonts w:ascii="Times New Roman" w:cs="Times New Roman" w:eastAsia="Times New Roman" w:hAnsi="Times New Roman"/>
          <w:sz w:val="30"/>
          <w:szCs w:val="30"/>
          <w:color w:val="000000"/>
          <w:vertAlign w:val="superscript"/>
        </w:rPr>
        <w:t>137</w:t>
      </w:r>
      <w:r>
        <w:rPr>
          <w:rFonts w:ascii="Times New Roman" w:cs="Times New Roman" w:eastAsia="Times New Roman" w:hAnsi="Times New Roman"/>
          <w:sz w:val="23"/>
          <w:szCs w:val="23"/>
          <w:color w:val="000000"/>
        </w:rPr>
        <w:t>Cs peaks.</w:t>
      </w:r>
    </w:p>
    <w:p>
      <w:pPr>
        <w:spacing w:after="0" w:line="399" w:lineRule="exact"/>
        <w:rPr>
          <w:sz w:val="20"/>
          <w:szCs w:val="20"/>
          <w:color w:val="auto"/>
        </w:rPr>
      </w:pPr>
    </w:p>
    <w:p>
      <w:pPr>
        <w:spacing w:after="0"/>
        <w:rPr>
          <w:sz w:val="20"/>
          <w:szCs w:val="20"/>
          <w:color w:val="auto"/>
        </w:rPr>
      </w:pPr>
      <w:r>
        <w:rPr>
          <w:rFonts w:ascii="Arial" w:cs="Arial" w:eastAsia="Arial" w:hAnsi="Arial"/>
          <w:sz w:val="21"/>
          <w:szCs w:val="21"/>
          <w:color w:val="10157E"/>
        </w:rPr>
        <w:t>Diatom analyses</w:t>
      </w:r>
    </w:p>
    <w:p>
      <w:pPr>
        <w:spacing w:after="0" w:line="151" w:lineRule="exact"/>
        <w:rPr>
          <w:sz w:val="20"/>
          <w:szCs w:val="20"/>
          <w:color w:val="auto"/>
        </w:rPr>
      </w:pPr>
    </w:p>
    <w:p>
      <w:pPr>
        <w:jc w:val="both"/>
        <w:spacing w:after="0" w:line="218" w:lineRule="auto"/>
        <w:rPr>
          <w:sz w:val="20"/>
          <w:szCs w:val="20"/>
          <w:color w:val="auto"/>
        </w:rPr>
      </w:pPr>
      <w:r>
        <w:rPr>
          <w:rFonts w:ascii="Times New Roman" w:cs="Times New Roman" w:eastAsia="Times New Roman" w:hAnsi="Times New Roman"/>
          <w:sz w:val="23"/>
          <w:szCs w:val="23"/>
          <w:color w:val="auto"/>
        </w:rPr>
        <w:t>Diatom samples were digested in the laboratory with 35% H</w:t>
      </w:r>
      <w:r>
        <w:rPr>
          <w:rFonts w:ascii="Times New Roman" w:cs="Times New Roman" w:eastAsia="Times New Roman" w:hAnsi="Times New Roman"/>
          <w:sz w:val="30"/>
          <w:szCs w:val="30"/>
          <w:color w:val="auto"/>
          <w:vertAlign w:val="subscript"/>
        </w:rPr>
        <w:t>2</w:t>
      </w:r>
      <w:r>
        <w:rPr>
          <w:rFonts w:ascii="Times New Roman" w:cs="Times New Roman" w:eastAsia="Times New Roman" w:hAnsi="Times New Roman"/>
          <w:sz w:val="23"/>
          <w:szCs w:val="23"/>
          <w:color w:val="auto"/>
        </w:rPr>
        <w:t>O</w:t>
      </w:r>
      <w:r>
        <w:rPr>
          <w:rFonts w:ascii="Times New Roman" w:cs="Times New Roman" w:eastAsia="Times New Roman" w:hAnsi="Times New Roman"/>
          <w:sz w:val="30"/>
          <w:szCs w:val="30"/>
          <w:color w:val="auto"/>
          <w:vertAlign w:val="subscript"/>
        </w:rPr>
        <w:t>2</w:t>
      </w:r>
      <w:r>
        <w:rPr>
          <w:rFonts w:ascii="Times New Roman" w:cs="Times New Roman" w:eastAsia="Times New Roman" w:hAnsi="Times New Roman"/>
          <w:sz w:val="23"/>
          <w:szCs w:val="23"/>
          <w:color w:val="auto"/>
        </w:rPr>
        <w:t xml:space="preserve"> and K</w:t>
      </w:r>
      <w:r>
        <w:rPr>
          <w:rFonts w:ascii="Times New Roman" w:cs="Times New Roman" w:eastAsia="Times New Roman" w:hAnsi="Times New Roman"/>
          <w:sz w:val="30"/>
          <w:szCs w:val="30"/>
          <w:color w:val="auto"/>
          <w:vertAlign w:val="subscript"/>
        </w:rPr>
        <w:t>2</w:t>
      </w:r>
      <w:r>
        <w:rPr>
          <w:rFonts w:ascii="Times New Roman" w:cs="Times New Roman" w:eastAsia="Times New Roman" w:hAnsi="Times New Roman"/>
          <w:sz w:val="23"/>
          <w:szCs w:val="23"/>
          <w:color w:val="auto"/>
        </w:rPr>
        <w:t>Cr</w:t>
      </w:r>
      <w:r>
        <w:rPr>
          <w:rFonts w:ascii="Times New Roman" w:cs="Times New Roman" w:eastAsia="Times New Roman" w:hAnsi="Times New Roman"/>
          <w:sz w:val="30"/>
          <w:szCs w:val="30"/>
          <w:color w:val="auto"/>
          <w:vertAlign w:val="subscript"/>
        </w:rPr>
        <w:t>2</w:t>
      </w:r>
      <w:r>
        <w:rPr>
          <w:rFonts w:ascii="Times New Roman" w:cs="Times New Roman" w:eastAsia="Times New Roman" w:hAnsi="Times New Roman"/>
          <w:sz w:val="23"/>
          <w:szCs w:val="23"/>
          <w:color w:val="auto"/>
        </w:rPr>
        <w:t>O</w:t>
      </w:r>
      <w:r>
        <w:rPr>
          <w:rFonts w:ascii="Times New Roman" w:cs="Times New Roman" w:eastAsia="Times New Roman" w:hAnsi="Times New Roman"/>
          <w:sz w:val="30"/>
          <w:szCs w:val="30"/>
          <w:color w:val="auto"/>
          <w:vertAlign w:val="subscript"/>
        </w:rPr>
        <w:t>7</w:t>
      </w:r>
      <w:r>
        <w:rPr>
          <w:rFonts w:ascii="Times New Roman" w:cs="Times New Roman" w:eastAsia="Times New Roman" w:hAnsi="Times New Roman"/>
          <w:sz w:val="23"/>
          <w:szCs w:val="23"/>
          <w:color w:val="auto"/>
        </w:rPr>
        <w:t xml:space="preserve"> according to Van</w:t>
      </w:r>
    </w:p>
    <w:p>
      <w:pPr>
        <w:spacing w:after="0" w:line="20" w:lineRule="exact"/>
        <w:rPr>
          <w:sz w:val="20"/>
          <w:szCs w:val="20"/>
          <w:color w:val="auto"/>
        </w:rPr>
      </w:pPr>
      <w:r>
        <w:rPr>
          <w:sz w:val="20"/>
          <w:szCs w:val="20"/>
          <w:color w:val="auto"/>
        </w:rPr>
        <w:br w:type="column"/>
      </w:r>
    </w:p>
    <w:p>
      <w:pPr>
        <w:ind w:left="1820"/>
        <w:spacing w:after="0"/>
        <w:rPr>
          <w:sz w:val="20"/>
          <w:szCs w:val="20"/>
          <w:color w:val="auto"/>
        </w:rPr>
      </w:pPr>
      <w:r>
        <w:rPr>
          <w:rFonts w:ascii="Arial" w:cs="Arial" w:eastAsia="Arial" w:hAnsi="Arial"/>
          <w:sz w:val="12"/>
          <w:szCs w:val="12"/>
          <w:color w:val="auto"/>
        </w:rPr>
        <w:t xml:space="preserve">LAKE AND RESERVOIR MANAGEMENT  </w:t>
      </w:r>
      <w:r>
        <w:rPr>
          <w:sz w:val="1"/>
          <w:szCs w:val="1"/>
          <w:color w:val="auto"/>
        </w:rPr>
        <w:drawing>
          <wp:inline distT="0" distB="0" distL="0" distR="0">
            <wp:extent cx="165100" cy="1651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3">
                      <a:extLst>
                        <a:ext uri="{28A0092B-C50C-407E-A947-70E740481C1C}"/>
                      </a:extLst>
                    </a:blip>
                    <a:srcRect/>
                    <a:stretch>
                      <a:fillRect/>
                    </a:stretch>
                  </pic:blipFill>
                  <pic:spPr bwMode="auto">
                    <a:xfrm>
                      <a:off x="0" y="0"/>
                      <a:ext cx="165100" cy="165100"/>
                    </a:xfrm>
                    <a:prstGeom prst="rect">
                      <a:avLst/>
                    </a:prstGeom>
                    <a:noFill/>
                    <a:ln>
                      <a:noFill/>
                    </a:ln>
                  </pic:spPr>
                </pic:pic>
              </a:graphicData>
            </a:graphic>
          </wp:inline>
        </w:drawing>
      </w:r>
      <w:r>
        <w:rPr>
          <w:rFonts w:ascii="Arial" w:cs="Arial" w:eastAsia="Arial" w:hAnsi="Arial"/>
          <w:sz w:val="12"/>
          <w:szCs w:val="12"/>
          <w:color w:val="auto"/>
        </w:rPr>
        <w:t xml:space="preserve">  5</w:t>
      </w:r>
    </w:p>
    <w:p>
      <w:pPr>
        <w:spacing w:after="0" w:line="271" w:lineRule="exact"/>
        <w:rPr>
          <w:sz w:val="20"/>
          <w:szCs w:val="20"/>
          <w:color w:val="auto"/>
        </w:rPr>
      </w:pPr>
    </w:p>
    <w:p>
      <w:pPr>
        <w:jc w:val="both"/>
        <w:spacing w:after="0" w:line="259" w:lineRule="auto"/>
        <w:rPr>
          <w:sz w:val="20"/>
          <w:szCs w:val="20"/>
          <w:color w:val="auto"/>
        </w:rPr>
      </w:pPr>
      <w:r>
        <w:rPr>
          <w:rFonts w:ascii="Times New Roman" w:cs="Times New Roman" w:eastAsia="Times New Roman" w:hAnsi="Times New Roman"/>
          <w:sz w:val="23"/>
          <w:szCs w:val="23"/>
          <w:color w:val="auto"/>
        </w:rPr>
        <w:t>der Werff (</w:t>
      </w:r>
      <w:r>
        <w:rPr>
          <w:rFonts w:ascii="Times New Roman" w:cs="Times New Roman" w:eastAsia="Times New Roman" w:hAnsi="Times New Roman"/>
          <w:sz w:val="23"/>
          <w:szCs w:val="23"/>
          <w:color w:val="000080"/>
        </w:rPr>
        <w:t>1953</w:t>
      </w:r>
      <w:r>
        <w:rPr>
          <w:rFonts w:ascii="Times New Roman" w:cs="Times New Roman" w:eastAsia="Times New Roman" w:hAnsi="Times New Roman"/>
          <w:sz w:val="23"/>
          <w:szCs w:val="23"/>
          <w:color w:val="auto"/>
        </w:rPr>
        <w:t>), and slides were prepared with Naphrax mounting medium. Approximately 500 valves were counted and identified at each level at 1500 magnification using compound micros-copy. Diatoms were identified using standard flo-ras (Patrick and Reimer 1966</w:t>
      </w:r>
      <w:r>
        <w:rPr>
          <w:rFonts w:ascii="Arial" w:cs="Arial" w:eastAsia="Arial" w:hAnsi="Arial"/>
          <w:sz w:val="23"/>
          <w:szCs w:val="23"/>
          <w:color w:val="auto"/>
        </w:rPr>
        <w:t>–</w:t>
      </w:r>
      <w:r>
        <w:rPr>
          <w:rFonts w:ascii="Times New Roman" w:cs="Times New Roman" w:eastAsia="Times New Roman" w:hAnsi="Times New Roman"/>
          <w:sz w:val="23"/>
          <w:szCs w:val="23"/>
          <w:color w:val="auto"/>
        </w:rPr>
        <w:t xml:space="preserve">1975, Krammer and Lange-Bertalot </w:t>
      </w:r>
      <w:r>
        <w:rPr>
          <w:rFonts w:ascii="Times New Roman" w:cs="Times New Roman" w:eastAsia="Times New Roman" w:hAnsi="Times New Roman"/>
          <w:sz w:val="23"/>
          <w:szCs w:val="23"/>
          <w:color w:val="000080"/>
        </w:rPr>
        <w:t>1986</w:t>
      </w:r>
      <w:r>
        <w:rPr>
          <w:rFonts w:ascii="Arial" w:cs="Arial" w:eastAsia="Arial" w:hAnsi="Arial"/>
          <w:sz w:val="23"/>
          <w:szCs w:val="23"/>
          <w:color w:val="000080"/>
        </w:rPr>
        <w:t>–</w:t>
      </w:r>
      <w:r>
        <w:rPr>
          <w:rFonts w:ascii="Times New Roman" w:cs="Times New Roman" w:eastAsia="Times New Roman" w:hAnsi="Times New Roman"/>
          <w:sz w:val="23"/>
          <w:szCs w:val="23"/>
          <w:color w:val="000080"/>
        </w:rPr>
        <w:t>1991</w:t>
      </w:r>
      <w:r>
        <w:rPr>
          <w:rFonts w:ascii="Times New Roman" w:cs="Times New Roman" w:eastAsia="Times New Roman" w:hAnsi="Times New Roman"/>
          <w:sz w:val="23"/>
          <w:szCs w:val="23"/>
          <w:color w:val="auto"/>
        </w:rPr>
        <w:t xml:space="preserve">) and taxonomic websites (Diatoms of North America </w:t>
      </w:r>
      <w:r>
        <w:rPr>
          <w:rFonts w:ascii="Times New Roman" w:cs="Times New Roman" w:eastAsia="Times New Roman" w:hAnsi="Times New Roman"/>
          <w:sz w:val="23"/>
          <w:szCs w:val="23"/>
          <w:color w:val="000080"/>
        </w:rPr>
        <w:t>2020</w:t>
      </w:r>
      <w:r>
        <w:rPr>
          <w:rFonts w:ascii="Times New Roman" w:cs="Times New Roman" w:eastAsia="Times New Roman" w:hAnsi="Times New Roman"/>
          <w:sz w:val="23"/>
          <w:szCs w:val="23"/>
          <w:color w:val="auto"/>
        </w:rPr>
        <w:t xml:space="preserve">). Zonation of diatom assemblages in sediment cores was determined by constrained incremental sum of squares (CONISS) hierarchical agglomera-tive cluster analysis using the statistical program R and the rioja package (Juggins </w:t>
      </w:r>
      <w:r>
        <w:rPr>
          <w:rFonts w:ascii="Times New Roman" w:cs="Times New Roman" w:eastAsia="Times New Roman" w:hAnsi="Times New Roman"/>
          <w:sz w:val="23"/>
          <w:szCs w:val="23"/>
          <w:color w:val="000080"/>
        </w:rPr>
        <w:t>2012</w:t>
      </w:r>
      <w:r>
        <w:rPr>
          <w:rFonts w:ascii="Times New Roman" w:cs="Times New Roman" w:eastAsia="Times New Roman" w:hAnsi="Times New Roman"/>
          <w:sz w:val="23"/>
          <w:szCs w:val="23"/>
          <w:color w:val="auto"/>
        </w:rPr>
        <w:t xml:space="preserve">). The number of significant zones in each cluster ana-lysis was determined with a broken-stick model (Bennett </w:t>
      </w:r>
      <w:r>
        <w:rPr>
          <w:rFonts w:ascii="Times New Roman" w:cs="Times New Roman" w:eastAsia="Times New Roman" w:hAnsi="Times New Roman"/>
          <w:sz w:val="23"/>
          <w:szCs w:val="23"/>
          <w:color w:val="000080"/>
        </w:rPr>
        <w:t>1996</w:t>
      </w:r>
      <w:r>
        <w:rPr>
          <w:rFonts w:ascii="Times New Roman" w:cs="Times New Roman" w:eastAsia="Times New Roman" w:hAnsi="Times New Roman"/>
          <w:sz w:val="23"/>
          <w:szCs w:val="23"/>
          <w:color w:val="auto"/>
        </w:rPr>
        <w:t>) using the rioja package.</w:t>
      </w:r>
    </w:p>
    <w:p>
      <w:pPr>
        <w:spacing w:after="0" w:line="7" w:lineRule="exact"/>
        <w:rPr>
          <w:sz w:val="20"/>
          <w:szCs w:val="20"/>
          <w:color w:val="auto"/>
        </w:rPr>
      </w:pPr>
    </w:p>
    <w:p>
      <w:pPr>
        <w:jc w:val="both"/>
        <w:ind w:firstLine="240"/>
        <w:spacing w:after="0" w:line="245" w:lineRule="auto"/>
        <w:rPr>
          <w:sz w:val="20"/>
          <w:szCs w:val="20"/>
          <w:color w:val="auto"/>
        </w:rPr>
      </w:pPr>
      <w:r>
        <w:rPr>
          <w:rFonts w:ascii="Times New Roman" w:cs="Times New Roman" w:eastAsia="Times New Roman" w:hAnsi="Times New Roman"/>
          <w:sz w:val="23"/>
          <w:szCs w:val="23"/>
          <w:color w:val="auto"/>
        </w:rPr>
        <w:t xml:space="preserve">Historic water quality inferences were obtained with 2 diatom-based inference models. The mod-els were constructed with a calibration set of 75 Florida lakes that we utilized in past studies (Riedinger-Whitmore et al. </w:t>
      </w:r>
      <w:r>
        <w:rPr>
          <w:rFonts w:ascii="Times New Roman" w:cs="Times New Roman" w:eastAsia="Times New Roman" w:hAnsi="Times New Roman"/>
          <w:sz w:val="23"/>
          <w:szCs w:val="23"/>
          <w:color w:val="000080"/>
        </w:rPr>
        <w:t>2005</w:t>
      </w:r>
      <w:r>
        <w:rPr>
          <w:rFonts w:ascii="Times New Roman" w:cs="Times New Roman" w:eastAsia="Times New Roman" w:hAnsi="Times New Roman"/>
          <w:sz w:val="23"/>
          <w:szCs w:val="23"/>
          <w:color w:val="auto"/>
        </w:rPr>
        <w:t xml:space="preserve">, Kenney et al. </w:t>
      </w:r>
      <w:r>
        <w:rPr>
          <w:rFonts w:ascii="Times New Roman" w:cs="Times New Roman" w:eastAsia="Times New Roman" w:hAnsi="Times New Roman"/>
          <w:sz w:val="23"/>
          <w:szCs w:val="23"/>
          <w:color w:val="000080"/>
        </w:rPr>
        <w:t>2014</w:t>
      </w:r>
      <w:r>
        <w:rPr>
          <w:rFonts w:ascii="Times New Roman" w:cs="Times New Roman" w:eastAsia="Times New Roman" w:hAnsi="Times New Roman"/>
          <w:sz w:val="23"/>
          <w:szCs w:val="23"/>
          <w:color w:val="000000"/>
        </w:rPr>
        <w:t>, Whitmore et al.</w:t>
      </w:r>
      <w:r>
        <w:rPr>
          <w:rFonts w:ascii="Times New Roman" w:cs="Times New Roman" w:eastAsia="Times New Roman" w:hAnsi="Times New Roman"/>
          <w:sz w:val="23"/>
          <w:szCs w:val="23"/>
          <w:color w:val="000080"/>
        </w:rPr>
        <w:t xml:space="preserve"> 2015</w:t>
      </w:r>
      <w:r>
        <w:rPr>
          <w:rFonts w:ascii="Times New Roman" w:cs="Times New Roman" w:eastAsia="Times New Roman" w:hAnsi="Times New Roman"/>
          <w:sz w:val="23"/>
          <w:szCs w:val="23"/>
          <w:color w:val="000000"/>
        </w:rPr>
        <w:t>), but the models were</w:t>
      </w:r>
      <w:r>
        <w:rPr>
          <w:rFonts w:ascii="Times New Roman" w:cs="Times New Roman" w:eastAsia="Times New Roman" w:hAnsi="Times New Roman"/>
          <w:sz w:val="23"/>
          <w:szCs w:val="23"/>
          <w:color w:val="000080"/>
        </w:rPr>
        <w:t xml:space="preserve"> </w:t>
      </w:r>
      <w:r>
        <w:rPr>
          <w:rFonts w:ascii="Times New Roman" w:cs="Times New Roman" w:eastAsia="Times New Roman" w:hAnsi="Times New Roman"/>
          <w:sz w:val="23"/>
          <w:szCs w:val="23"/>
          <w:color w:val="000000"/>
        </w:rPr>
        <w:t>updated slightly in the present study. Limnetic total P concentrations were inferred by weighted averaging inverse tolerance regression using log</w:t>
      </w:r>
      <w:r>
        <w:rPr>
          <w:rFonts w:ascii="Times New Roman" w:cs="Times New Roman" w:eastAsia="Times New Roman" w:hAnsi="Times New Roman"/>
          <w:sz w:val="30"/>
          <w:szCs w:val="30"/>
          <w:color w:val="000000"/>
          <w:vertAlign w:val="subscript"/>
        </w:rPr>
        <w:t>10</w:t>
      </w:r>
      <w:r>
        <w:rPr>
          <w:rFonts w:ascii="Times New Roman" w:cs="Times New Roman" w:eastAsia="Times New Roman" w:hAnsi="Times New Roman"/>
          <w:sz w:val="23"/>
          <w:szCs w:val="23"/>
          <w:color w:val="000000"/>
        </w:rPr>
        <w:t xml:space="preserve"> limnetic total P values and a calibration of 71 P-limited or nutrient-balanced lakes (r</w:t>
      </w:r>
      <w:r>
        <w:rPr>
          <w:rFonts w:ascii="Times New Roman" w:cs="Times New Roman" w:eastAsia="Times New Roman" w:hAnsi="Times New Roman"/>
          <w:sz w:val="30"/>
          <w:szCs w:val="30"/>
          <w:color w:val="000000"/>
          <w:vertAlign w:val="superscript"/>
        </w:rPr>
        <w:t>2</w:t>
      </w:r>
      <w:r>
        <w:rPr>
          <w:rFonts w:ascii="Times New Roman" w:cs="Times New Roman" w:eastAsia="Times New Roman" w:hAnsi="Times New Roman"/>
          <w:sz w:val="23"/>
          <w:szCs w:val="23"/>
          <w:color w:val="000000"/>
        </w:rPr>
        <w:t xml:space="preserve"> </w:t>
      </w:r>
      <w:r>
        <w:rPr>
          <w:rFonts w:ascii="Arial" w:cs="Arial" w:eastAsia="Arial" w:hAnsi="Arial"/>
          <w:sz w:val="23"/>
          <w:szCs w:val="23"/>
          <w:color w:val="000000"/>
        </w:rPr>
        <w:t>¼</w:t>
      </w:r>
      <w:r>
        <w:rPr>
          <w:rFonts w:ascii="Times New Roman" w:cs="Times New Roman" w:eastAsia="Times New Roman" w:hAnsi="Times New Roman"/>
          <w:sz w:val="23"/>
          <w:szCs w:val="23"/>
          <w:color w:val="000000"/>
        </w:rPr>
        <w:t xml:space="preserve"> 0.880, root mean square error [RMSE] </w:t>
      </w:r>
      <w:r>
        <w:rPr>
          <w:rFonts w:ascii="Arial" w:cs="Arial" w:eastAsia="Arial" w:hAnsi="Arial"/>
          <w:sz w:val="23"/>
          <w:szCs w:val="23"/>
          <w:color w:val="000000"/>
        </w:rPr>
        <w:t>¼</w:t>
      </w:r>
      <w:r>
        <w:rPr>
          <w:rFonts w:ascii="Times New Roman" w:cs="Times New Roman" w:eastAsia="Times New Roman" w:hAnsi="Times New Roman"/>
          <w:sz w:val="23"/>
          <w:szCs w:val="23"/>
          <w:color w:val="000000"/>
        </w:rPr>
        <w:t xml:space="preserve"> 0.186 log</w:t>
      </w:r>
      <w:r>
        <w:rPr>
          <w:rFonts w:ascii="Times New Roman" w:cs="Times New Roman" w:eastAsia="Times New Roman" w:hAnsi="Times New Roman"/>
          <w:sz w:val="30"/>
          <w:szCs w:val="30"/>
          <w:color w:val="000000"/>
          <w:vertAlign w:val="subscript"/>
        </w:rPr>
        <w:t>10</w:t>
      </w:r>
      <w:r>
        <w:rPr>
          <w:rFonts w:ascii="Times New Roman" w:cs="Times New Roman" w:eastAsia="Times New Roman" w:hAnsi="Times New Roman"/>
          <w:sz w:val="23"/>
          <w:szCs w:val="23"/>
          <w:color w:val="000000"/>
        </w:rPr>
        <w:t xml:space="preserve"> total P). In some lakes that have very high limnetic total P values, particularly those that have been N-limited, the limnetic total P model will not per-form reliably. Consequently, N-limited lakes were removed from the calibration set for that model. Limnetic chlorophyll a concentrations were inferred by weighted averaging inverse tolerance regression using log</w:t>
      </w:r>
      <w:r>
        <w:rPr>
          <w:rFonts w:ascii="Times New Roman" w:cs="Times New Roman" w:eastAsia="Times New Roman" w:hAnsi="Times New Roman"/>
          <w:sz w:val="30"/>
          <w:szCs w:val="30"/>
          <w:color w:val="000000"/>
          <w:vertAlign w:val="subscript"/>
        </w:rPr>
        <w:t>10</w:t>
      </w:r>
      <w:r>
        <w:rPr>
          <w:rFonts w:ascii="Times New Roman" w:cs="Times New Roman" w:eastAsia="Times New Roman" w:hAnsi="Times New Roman"/>
          <w:sz w:val="23"/>
          <w:szCs w:val="23"/>
          <w:color w:val="000000"/>
        </w:rPr>
        <w:t xml:space="preserve"> limnetic chlorophyll a val-ues for a calibration set of 73 lakes (r</w:t>
      </w:r>
      <w:r>
        <w:rPr>
          <w:rFonts w:ascii="Times New Roman" w:cs="Times New Roman" w:eastAsia="Times New Roman" w:hAnsi="Times New Roman"/>
          <w:sz w:val="30"/>
          <w:szCs w:val="30"/>
          <w:color w:val="000000"/>
          <w:vertAlign w:val="superscript"/>
        </w:rPr>
        <w:t>2</w:t>
      </w:r>
      <w:r>
        <w:rPr>
          <w:rFonts w:ascii="Times New Roman" w:cs="Times New Roman" w:eastAsia="Times New Roman" w:hAnsi="Times New Roman"/>
          <w:sz w:val="23"/>
          <w:szCs w:val="23"/>
          <w:color w:val="000000"/>
        </w:rPr>
        <w:t xml:space="preserve"> adj. </w:t>
      </w:r>
      <w:r>
        <w:rPr>
          <w:rFonts w:ascii="Arial" w:cs="Arial" w:eastAsia="Arial" w:hAnsi="Arial"/>
          <w:sz w:val="23"/>
          <w:szCs w:val="23"/>
          <w:color w:val="000000"/>
        </w:rPr>
        <w:t>¼</w:t>
      </w:r>
      <w:r>
        <w:rPr>
          <w:rFonts w:ascii="Times New Roman" w:cs="Times New Roman" w:eastAsia="Times New Roman" w:hAnsi="Times New Roman"/>
          <w:sz w:val="23"/>
          <w:szCs w:val="23"/>
          <w:color w:val="000000"/>
        </w:rPr>
        <w:t xml:space="preserve"> 0.831, RMSE </w:t>
      </w:r>
      <w:r>
        <w:rPr>
          <w:rFonts w:ascii="Arial" w:cs="Arial" w:eastAsia="Arial" w:hAnsi="Arial"/>
          <w:sz w:val="23"/>
          <w:szCs w:val="23"/>
          <w:color w:val="000000"/>
        </w:rPr>
        <w:t>¼</w:t>
      </w:r>
      <w:r>
        <w:rPr>
          <w:rFonts w:ascii="Times New Roman" w:cs="Times New Roman" w:eastAsia="Times New Roman" w:hAnsi="Times New Roman"/>
          <w:sz w:val="23"/>
          <w:szCs w:val="23"/>
          <w:color w:val="000000"/>
        </w:rPr>
        <w:t xml:space="preserve"> 0.265 log</w:t>
      </w:r>
      <w:r>
        <w:rPr>
          <w:rFonts w:ascii="Times New Roman" w:cs="Times New Roman" w:eastAsia="Times New Roman" w:hAnsi="Times New Roman"/>
          <w:sz w:val="30"/>
          <w:szCs w:val="30"/>
          <w:color w:val="000000"/>
          <w:vertAlign w:val="subscript"/>
        </w:rPr>
        <w:t>10</w:t>
      </w:r>
      <w:r>
        <w:rPr>
          <w:rFonts w:ascii="Times New Roman" w:cs="Times New Roman" w:eastAsia="Times New Roman" w:hAnsi="Times New Roman"/>
          <w:sz w:val="23"/>
          <w:szCs w:val="23"/>
          <w:color w:val="000000"/>
        </w:rPr>
        <w:t xml:space="preserve"> limnetic chlorophyll a). Statistical analyses for all diatom-based infer-ences were performed using R version 3.0.2 soft-ware (R Core Team </w:t>
      </w:r>
      <w:r>
        <w:rPr>
          <w:rFonts w:ascii="Times New Roman" w:cs="Times New Roman" w:eastAsia="Times New Roman" w:hAnsi="Times New Roman"/>
          <w:sz w:val="23"/>
          <w:szCs w:val="23"/>
          <w:color w:val="000080"/>
        </w:rPr>
        <w:t>2014</w:t>
      </w:r>
      <w:r>
        <w:rPr>
          <w:rFonts w:ascii="Times New Roman" w:cs="Times New Roman" w:eastAsia="Times New Roman" w:hAnsi="Times New Roman"/>
          <w:sz w:val="23"/>
          <w:szCs w:val="23"/>
          <w:color w:val="000000"/>
        </w:rPr>
        <w:t xml:space="preserve">) and the package rioja (Juggins </w:t>
      </w:r>
      <w:r>
        <w:rPr>
          <w:rFonts w:ascii="Times New Roman" w:cs="Times New Roman" w:eastAsia="Times New Roman" w:hAnsi="Times New Roman"/>
          <w:sz w:val="23"/>
          <w:szCs w:val="23"/>
          <w:color w:val="000080"/>
        </w:rPr>
        <w:t>2012</w:t>
      </w:r>
      <w:r>
        <w:rPr>
          <w:rFonts w:ascii="Times New Roman" w:cs="Times New Roman" w:eastAsia="Times New Roman" w:hAnsi="Times New Roman"/>
          <w:sz w:val="23"/>
          <w:szCs w:val="23"/>
          <w:color w:val="000000"/>
        </w:rPr>
        <w:t xml:space="preserve">). In the calibration set of lakes, the correlation coefficient between log total P and log chlorophyll a (the inferred variables) is approxi-mately 0.86 (P </w:t>
      </w:r>
      <w:r>
        <w:rPr>
          <w:rFonts w:ascii="Arial" w:cs="Arial" w:eastAsia="Arial" w:hAnsi="Arial"/>
          <w:sz w:val="23"/>
          <w:szCs w:val="23"/>
          <w:color w:val="000000"/>
        </w:rPr>
        <w:t>&lt;</w:t>
      </w:r>
      <w:r>
        <w:rPr>
          <w:rFonts w:ascii="Times New Roman" w:cs="Times New Roman" w:eastAsia="Times New Roman" w:hAnsi="Times New Roman"/>
          <w:sz w:val="23"/>
          <w:szCs w:val="23"/>
          <w:color w:val="000000"/>
        </w:rPr>
        <w:t xml:space="preserve"> 0.001), so the models are inter-dependent and their inferences are not reported simultaneously. Selection of the appropriate model and model performance were evaluated by</w:t>
      </w:r>
    </w:p>
    <w:p>
      <w:pPr>
        <w:sectPr>
          <w:pgSz w:w="12240" w:h="15840" w:orient="portrait"/>
          <w:cols w:equalWidth="0" w:num="2">
            <w:col w:w="4740" w:space="360"/>
            <w:col w:w="4740"/>
          </w:cols>
          <w:pgMar w:left="1200" w:top="464" w:right="1200" w:bottom="529" w:gutter="0" w:footer="0" w:header="0"/>
        </w:sectPr>
      </w:pPr>
    </w:p>
    <w:bookmarkStart w:id="6" w:name="page7"/>
    <w:bookmarkEnd w:id="6"/>
    <w:p>
      <w:pPr>
        <w:spacing w:after="0"/>
        <w:rPr>
          <w:sz w:val="20"/>
          <w:szCs w:val="20"/>
          <w:color w:val="auto"/>
        </w:rPr>
      </w:pPr>
      <w:r>
        <w:rPr>
          <w:rFonts w:ascii="Arial" w:cs="Arial" w:eastAsia="Arial" w:hAnsi="Arial"/>
          <w:sz w:val="15"/>
          <w:szCs w:val="15"/>
          <w:color w:val="auto"/>
        </w:rPr>
        <w:t xml:space="preserve">6  </w:t>
      </w:r>
      <w:r>
        <w:rPr>
          <w:sz w:val="1"/>
          <w:szCs w:val="1"/>
          <w:color w:val="auto"/>
        </w:rPr>
        <w:drawing>
          <wp:inline distT="0" distB="0" distL="0" distR="0">
            <wp:extent cx="165100" cy="1651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4">
                      <a:extLst>
                        <a:ext uri="{28A0092B-C50C-407E-A947-70E740481C1C}"/>
                      </a:extLst>
                    </a:blip>
                    <a:srcRect/>
                    <a:stretch>
                      <a:fillRect/>
                    </a:stretch>
                  </pic:blipFill>
                  <pic:spPr bwMode="auto">
                    <a:xfrm>
                      <a:off x="0" y="0"/>
                      <a:ext cx="165100" cy="165100"/>
                    </a:xfrm>
                    <a:prstGeom prst="rect">
                      <a:avLst/>
                    </a:prstGeom>
                    <a:noFill/>
                    <a:ln>
                      <a:noFill/>
                    </a:ln>
                  </pic:spPr>
                </pic:pic>
              </a:graphicData>
            </a:graphic>
          </wp:inline>
        </w:drawing>
      </w:r>
      <w:r>
        <w:rPr>
          <w:rFonts w:ascii="Arial" w:cs="Arial" w:eastAsia="Arial" w:hAnsi="Arial"/>
          <w:sz w:val="15"/>
          <w:szCs w:val="15"/>
          <w:color w:val="auto"/>
        </w:rPr>
        <w:t xml:space="preserve">  T. J. WHITMORE ET AL.</w:t>
      </w:r>
    </w:p>
    <w:p>
      <w:pPr>
        <w:spacing w:after="0" w:line="271" w:lineRule="exact"/>
        <w:rPr>
          <w:sz w:val="20"/>
          <w:szCs w:val="20"/>
          <w:color w:val="auto"/>
        </w:rPr>
      </w:pPr>
    </w:p>
    <w:p>
      <w:pPr>
        <w:jc w:val="both"/>
        <w:spacing w:after="0" w:line="251" w:lineRule="auto"/>
        <w:rPr>
          <w:sz w:val="20"/>
          <w:szCs w:val="20"/>
          <w:color w:val="auto"/>
        </w:rPr>
      </w:pPr>
      <w:r>
        <w:rPr>
          <w:rFonts w:ascii="Times New Roman" w:cs="Times New Roman" w:eastAsia="Times New Roman" w:hAnsi="Times New Roman"/>
          <w:sz w:val="23"/>
          <w:szCs w:val="23"/>
          <w:color w:val="auto"/>
        </w:rPr>
        <w:t>comparing water quality inferences with measured water quality during recent periods.</w:t>
      </w:r>
    </w:p>
    <w:p>
      <w:pPr>
        <w:spacing w:after="0" w:line="15" w:lineRule="exact"/>
        <w:rPr>
          <w:sz w:val="20"/>
          <w:szCs w:val="20"/>
          <w:color w:val="auto"/>
        </w:rPr>
      </w:pPr>
    </w:p>
    <w:p>
      <w:pPr>
        <w:jc w:val="both"/>
        <w:ind w:firstLine="240"/>
        <w:spacing w:after="0" w:line="260" w:lineRule="auto"/>
        <w:rPr>
          <w:sz w:val="20"/>
          <w:szCs w:val="20"/>
          <w:color w:val="auto"/>
        </w:rPr>
      </w:pPr>
      <w:r>
        <w:rPr>
          <w:rFonts w:ascii="Times New Roman" w:cs="Times New Roman" w:eastAsia="Times New Roman" w:hAnsi="Times New Roman"/>
          <w:sz w:val="23"/>
          <w:szCs w:val="23"/>
          <w:color w:val="auto"/>
        </w:rPr>
        <w:t>We used analog matching with dissimilarity cutoffs determined by Bray</w:t>
      </w:r>
      <w:r>
        <w:rPr>
          <w:rFonts w:ascii="Arial" w:cs="Arial" w:eastAsia="Arial" w:hAnsi="Arial"/>
          <w:sz w:val="23"/>
          <w:szCs w:val="23"/>
          <w:color w:val="auto"/>
        </w:rPr>
        <w:t>–</w:t>
      </w:r>
      <w:r>
        <w:rPr>
          <w:rFonts w:ascii="Times New Roman" w:cs="Times New Roman" w:eastAsia="Times New Roman" w:hAnsi="Times New Roman"/>
          <w:sz w:val="23"/>
          <w:szCs w:val="23"/>
          <w:color w:val="auto"/>
        </w:rPr>
        <w:t xml:space="preserve">Curtis (10% cutoff) and Monte Carlo simulation methods (cutoff </w:t>
      </w:r>
      <w:r>
        <w:rPr>
          <w:rFonts w:ascii="Arial" w:cs="Arial" w:eastAsia="Arial" w:hAnsi="Arial"/>
          <w:sz w:val="23"/>
          <w:szCs w:val="23"/>
          <w:color w:val="auto"/>
        </w:rPr>
        <w:t>¼</w:t>
      </w:r>
      <w:r>
        <w:rPr>
          <w:rFonts w:ascii="Times New Roman" w:cs="Times New Roman" w:eastAsia="Times New Roman" w:hAnsi="Times New Roman"/>
          <w:sz w:val="23"/>
          <w:szCs w:val="23"/>
          <w:color w:val="auto"/>
        </w:rPr>
        <w:t xml:space="preserve"> 0.617) to assess whether there were suitable ana-logs for the sediment core samples among lakes in the calibration set. Sediment cores that did not have sufficient analogs to interpret significant parts of their histories were interpreted by quali-tative methods only. Analog matching was per-formed using R Version 3.0.2 software (R Core Team </w:t>
      </w:r>
      <w:r>
        <w:rPr>
          <w:rFonts w:ascii="Times New Roman" w:cs="Times New Roman" w:eastAsia="Times New Roman" w:hAnsi="Times New Roman"/>
          <w:sz w:val="23"/>
          <w:szCs w:val="23"/>
          <w:color w:val="000080"/>
        </w:rPr>
        <w:t>2014</w:t>
      </w:r>
      <w:r>
        <w:rPr>
          <w:rFonts w:ascii="Times New Roman" w:cs="Times New Roman" w:eastAsia="Times New Roman" w:hAnsi="Times New Roman"/>
          <w:sz w:val="23"/>
          <w:szCs w:val="23"/>
          <w:color w:val="auto"/>
        </w:rPr>
        <w:t xml:space="preserve">) and the package rioja (Juggins </w:t>
      </w:r>
      <w:r>
        <w:rPr>
          <w:rFonts w:ascii="Times New Roman" w:cs="Times New Roman" w:eastAsia="Times New Roman" w:hAnsi="Times New Roman"/>
          <w:sz w:val="23"/>
          <w:szCs w:val="23"/>
          <w:color w:val="000080"/>
        </w:rPr>
        <w:t>2012</w:t>
      </w:r>
      <w:r>
        <w:rPr>
          <w:rFonts w:ascii="Times New Roman" w:cs="Times New Roman" w:eastAsia="Times New Roman" w:hAnsi="Times New Roman"/>
          <w:sz w:val="23"/>
          <w:szCs w:val="23"/>
          <w:color w:val="auto"/>
        </w:rPr>
        <w:t>).</w:t>
      </w:r>
    </w:p>
    <w:p>
      <w:pPr>
        <w:spacing w:after="0" w:line="200" w:lineRule="exact"/>
        <w:rPr>
          <w:sz w:val="20"/>
          <w:szCs w:val="20"/>
          <w:color w:val="auto"/>
        </w:rPr>
      </w:pPr>
    </w:p>
    <w:p>
      <w:pPr>
        <w:spacing w:after="0" w:line="211" w:lineRule="exact"/>
        <w:rPr>
          <w:sz w:val="20"/>
          <w:szCs w:val="20"/>
          <w:color w:val="auto"/>
        </w:rPr>
      </w:pPr>
    </w:p>
    <w:p>
      <w:pPr>
        <w:ind w:right="1280"/>
        <w:spacing w:after="0" w:line="281" w:lineRule="auto"/>
        <w:rPr>
          <w:sz w:val="20"/>
          <w:szCs w:val="20"/>
          <w:color w:val="auto"/>
        </w:rPr>
      </w:pPr>
      <w:r>
        <w:rPr>
          <w:rFonts w:ascii="Arial" w:cs="Arial" w:eastAsia="Arial" w:hAnsi="Arial"/>
          <w:sz w:val="21"/>
          <w:szCs w:val="21"/>
          <w:color w:val="10157E"/>
        </w:rPr>
        <w:t>Sedimented algal and cyanobacterial pigment analyses</w:t>
      </w:r>
    </w:p>
    <w:p>
      <w:pPr>
        <w:spacing w:after="0" w:line="112" w:lineRule="exact"/>
        <w:rPr>
          <w:sz w:val="20"/>
          <w:szCs w:val="20"/>
          <w:color w:val="auto"/>
        </w:rPr>
      </w:pPr>
    </w:p>
    <w:p>
      <w:pPr>
        <w:jc w:val="both"/>
        <w:spacing w:after="0" w:line="260" w:lineRule="auto"/>
        <w:rPr>
          <w:sz w:val="20"/>
          <w:szCs w:val="20"/>
          <w:color w:val="auto"/>
        </w:rPr>
      </w:pPr>
      <w:r>
        <w:rPr>
          <w:rFonts w:ascii="Times New Roman" w:cs="Times New Roman" w:eastAsia="Times New Roman" w:hAnsi="Times New Roman"/>
          <w:sz w:val="23"/>
          <w:szCs w:val="23"/>
          <w:color w:val="auto"/>
        </w:rPr>
        <w:t>Approximately 7</w:t>
      </w:r>
      <w:r>
        <w:rPr>
          <w:rFonts w:ascii="Arial" w:cs="Arial" w:eastAsia="Arial" w:hAnsi="Arial"/>
          <w:sz w:val="23"/>
          <w:szCs w:val="23"/>
          <w:color w:val="auto"/>
        </w:rPr>
        <w:t>–</w:t>
      </w:r>
      <w:r>
        <w:rPr>
          <w:rFonts w:ascii="Times New Roman" w:cs="Times New Roman" w:eastAsia="Times New Roman" w:hAnsi="Times New Roman"/>
          <w:sz w:val="23"/>
          <w:szCs w:val="23"/>
          <w:color w:val="auto"/>
        </w:rPr>
        <w:t>10 g of wet sediment was taken from archived sediment samples for pigment analyses. Pigments were extracted using acetone, following Swain (</w:t>
      </w:r>
      <w:r>
        <w:rPr>
          <w:rFonts w:ascii="Times New Roman" w:cs="Times New Roman" w:eastAsia="Times New Roman" w:hAnsi="Times New Roman"/>
          <w:sz w:val="23"/>
          <w:szCs w:val="23"/>
          <w:color w:val="000080"/>
        </w:rPr>
        <w:t>1985</w:t>
      </w:r>
      <w:r>
        <w:rPr>
          <w:rFonts w:ascii="Times New Roman" w:cs="Times New Roman" w:eastAsia="Times New Roman" w:hAnsi="Times New Roman"/>
          <w:sz w:val="23"/>
          <w:szCs w:val="23"/>
          <w:color w:val="auto"/>
        </w:rPr>
        <w:t>), Riedinger-Whitmore et al. (</w:t>
      </w:r>
      <w:r>
        <w:rPr>
          <w:rFonts w:ascii="Times New Roman" w:cs="Times New Roman" w:eastAsia="Times New Roman" w:hAnsi="Times New Roman"/>
          <w:sz w:val="23"/>
          <w:szCs w:val="23"/>
          <w:color w:val="000080"/>
        </w:rPr>
        <w:t>2005</w:t>
      </w:r>
      <w:r>
        <w:rPr>
          <w:rFonts w:ascii="Times New Roman" w:cs="Times New Roman" w:eastAsia="Times New Roman" w:hAnsi="Times New Roman"/>
          <w:sz w:val="23"/>
          <w:szCs w:val="23"/>
          <w:color w:val="auto"/>
        </w:rPr>
        <w:t>), and Whitmore et al. (</w:t>
      </w:r>
      <w:r>
        <w:rPr>
          <w:rFonts w:ascii="Times New Roman" w:cs="Times New Roman" w:eastAsia="Times New Roman" w:hAnsi="Times New Roman"/>
          <w:sz w:val="23"/>
          <w:szCs w:val="23"/>
          <w:color w:val="000080"/>
        </w:rPr>
        <w:t>2018</w:t>
      </w:r>
      <w:r>
        <w:rPr>
          <w:rFonts w:ascii="Times New Roman" w:cs="Times New Roman" w:eastAsia="Times New Roman" w:hAnsi="Times New Roman"/>
          <w:sz w:val="23"/>
          <w:szCs w:val="23"/>
          <w:color w:val="auto"/>
        </w:rPr>
        <w:t>). Acetone was added to sediment samples, and samples were shaken on a Thermo Scientific MaxQ 2000 shaker table following each acetone addition for approximately 30 mins. Samples were centrifuged at low speed (2000</w:t>
      </w:r>
      <w:r>
        <w:rPr>
          <w:rFonts w:ascii="Arial" w:cs="Arial" w:eastAsia="Arial" w:hAnsi="Arial"/>
          <w:sz w:val="23"/>
          <w:szCs w:val="23"/>
          <w:color w:val="auto"/>
        </w:rPr>
        <w:t>–</w:t>
      </w:r>
      <w:r>
        <w:rPr>
          <w:rFonts w:ascii="Times New Roman" w:cs="Times New Roman" w:eastAsia="Times New Roman" w:hAnsi="Times New Roman"/>
          <w:sz w:val="23"/>
          <w:szCs w:val="23"/>
          <w:color w:val="auto"/>
        </w:rPr>
        <w:t>3000 RPM, IEC HN SII centrifuge) for 10 mins, and the super-natant from each sample was removed using an adjustable volume pipette.</w:t>
      </w:r>
    </w:p>
    <w:p>
      <w:pPr>
        <w:spacing w:after="0" w:line="15" w:lineRule="exact"/>
        <w:rPr>
          <w:sz w:val="20"/>
          <w:szCs w:val="20"/>
          <w:color w:val="auto"/>
        </w:rPr>
      </w:pPr>
    </w:p>
    <w:p>
      <w:pPr>
        <w:jc w:val="both"/>
        <w:ind w:firstLine="240"/>
        <w:spacing w:after="0" w:line="261" w:lineRule="auto"/>
        <w:rPr>
          <w:sz w:val="20"/>
          <w:szCs w:val="20"/>
          <w:color w:val="auto"/>
        </w:rPr>
      </w:pPr>
      <w:r>
        <w:rPr>
          <w:rFonts w:ascii="Times New Roman" w:cs="Times New Roman" w:eastAsia="Times New Roman" w:hAnsi="Times New Roman"/>
          <w:sz w:val="23"/>
          <w:szCs w:val="23"/>
          <w:color w:val="auto"/>
        </w:rPr>
        <w:t xml:space="preserve">We assayed percent organic matter content of samples from all cores by loss on ignition at 550 C (Heiri et al. </w:t>
      </w:r>
      <w:r>
        <w:rPr>
          <w:rFonts w:ascii="Times New Roman" w:cs="Times New Roman" w:eastAsia="Times New Roman" w:hAnsi="Times New Roman"/>
          <w:sz w:val="23"/>
          <w:szCs w:val="23"/>
          <w:color w:val="000080"/>
        </w:rPr>
        <w:t>2001</w:t>
      </w:r>
      <w:r>
        <w:rPr>
          <w:rFonts w:ascii="Times New Roman" w:cs="Times New Roman" w:eastAsia="Times New Roman" w:hAnsi="Times New Roman"/>
          <w:sz w:val="23"/>
          <w:szCs w:val="23"/>
          <w:color w:val="auto"/>
        </w:rPr>
        <w:t xml:space="preserve">). Loss-on-ignition data were used to estimate the organic matter content per gram wet sediment for each sample, and to deter-mine pigment concentrations. Chlorophyll deriva-tives were estimated by measuring extracts at 665 nm (Swain </w:t>
      </w:r>
      <w:r>
        <w:rPr>
          <w:rFonts w:ascii="Times New Roman" w:cs="Times New Roman" w:eastAsia="Times New Roman" w:hAnsi="Times New Roman"/>
          <w:sz w:val="23"/>
          <w:szCs w:val="23"/>
          <w:color w:val="000080"/>
        </w:rPr>
        <w:t>1985</w:t>
      </w:r>
      <w:r>
        <w:rPr>
          <w:rFonts w:ascii="Times New Roman" w:cs="Times New Roman" w:eastAsia="Times New Roman" w:hAnsi="Times New Roman"/>
          <w:sz w:val="23"/>
          <w:szCs w:val="23"/>
          <w:color w:val="auto"/>
        </w:rPr>
        <w:t>) using a Hitachi U-2800A ultraviolet</w:t>
      </w:r>
      <w:r>
        <w:rPr>
          <w:rFonts w:ascii="Arial" w:cs="Arial" w:eastAsia="Arial" w:hAnsi="Arial"/>
          <w:sz w:val="23"/>
          <w:szCs w:val="23"/>
          <w:color w:val="auto"/>
        </w:rPr>
        <w:t>–</w:t>
      </w:r>
      <w:r>
        <w:rPr>
          <w:rFonts w:ascii="Times New Roman" w:cs="Times New Roman" w:eastAsia="Times New Roman" w:hAnsi="Times New Roman"/>
          <w:sz w:val="23"/>
          <w:szCs w:val="23"/>
          <w:color w:val="auto"/>
        </w:rPr>
        <w:t>visible (UV-VIS) spectrophotometer, and are reported as absorbance per gram organic matter. Percent native chlorophyll, an indicator of pigment degradation in samples, was determined by measuring absorbance at 665 nm before and after acidification with HCl. Subsamples for total carotenoids were saponified using a 20% KOH/ methanol mixture, extracted into petroleum ether, and measured at 448 nm. Total carotenoids were reported as absorbance per gram organic matter.</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342" w:lineRule="exact"/>
        <w:rPr>
          <w:sz w:val="20"/>
          <w:szCs w:val="20"/>
          <w:color w:val="auto"/>
        </w:rPr>
      </w:pPr>
    </w:p>
    <w:p>
      <w:pPr>
        <w:jc w:val="both"/>
        <w:ind w:firstLine="240"/>
        <w:spacing w:after="0" w:line="255" w:lineRule="auto"/>
        <w:rPr>
          <w:sz w:val="20"/>
          <w:szCs w:val="20"/>
          <w:color w:val="auto"/>
        </w:rPr>
      </w:pPr>
      <w:r>
        <w:rPr>
          <w:rFonts w:ascii="Times New Roman" w:cs="Times New Roman" w:eastAsia="Times New Roman" w:hAnsi="Times New Roman"/>
          <w:sz w:val="23"/>
          <w:szCs w:val="23"/>
          <w:color w:val="auto"/>
        </w:rPr>
        <w:t>Subsamples for oscillaxanthin and myxoxan-thophyll cyanobacterial pigments were extracted into petroleum ether, air dried, and redissolved in ethanol. Absorbance was measured at 412, 504, and 529 nm, and the trichromatic method was used to correct for phorbin contamination and to calculate oscillaxanthin and myxoxantho-phyll at the major peaks of absorbance for each pigment. Pigment concentrations were expressed as micrograms pigment per gram organic matter.</w:t>
      </w:r>
    </w:p>
    <w:p>
      <w:pPr>
        <w:spacing w:after="0" w:line="200" w:lineRule="exact"/>
        <w:rPr>
          <w:sz w:val="20"/>
          <w:szCs w:val="20"/>
          <w:color w:val="auto"/>
        </w:rPr>
      </w:pPr>
    </w:p>
    <w:p>
      <w:pPr>
        <w:spacing w:after="0" w:line="212" w:lineRule="exact"/>
        <w:rPr>
          <w:sz w:val="20"/>
          <w:szCs w:val="20"/>
          <w:color w:val="auto"/>
        </w:rPr>
      </w:pPr>
    </w:p>
    <w:p>
      <w:pPr>
        <w:spacing w:after="0"/>
        <w:rPr>
          <w:sz w:val="20"/>
          <w:szCs w:val="20"/>
          <w:color w:val="auto"/>
        </w:rPr>
      </w:pPr>
      <w:r>
        <w:rPr>
          <w:rFonts w:ascii="Arial" w:cs="Arial" w:eastAsia="Arial" w:hAnsi="Arial"/>
          <w:sz w:val="21"/>
          <w:szCs w:val="21"/>
          <w:color w:val="10157E"/>
        </w:rPr>
        <w:t>Sediment chemistry analyses</w:t>
      </w:r>
    </w:p>
    <w:p>
      <w:pPr>
        <w:spacing w:after="0" w:line="152" w:lineRule="exact"/>
        <w:rPr>
          <w:sz w:val="20"/>
          <w:szCs w:val="20"/>
          <w:color w:val="auto"/>
        </w:rPr>
      </w:pPr>
    </w:p>
    <w:p>
      <w:pPr>
        <w:jc w:val="both"/>
        <w:spacing w:after="0" w:line="238" w:lineRule="auto"/>
        <w:rPr>
          <w:sz w:val="20"/>
          <w:szCs w:val="20"/>
          <w:color w:val="auto"/>
        </w:rPr>
      </w:pPr>
      <w:r>
        <w:rPr>
          <w:rFonts w:ascii="Times New Roman" w:cs="Times New Roman" w:eastAsia="Times New Roman" w:hAnsi="Times New Roman"/>
          <w:sz w:val="23"/>
          <w:szCs w:val="23"/>
          <w:color w:val="auto"/>
        </w:rPr>
        <w:t>Total P was assessed by colorimetry following EPA Method 365.1 for 10 cores in the IFAS Soil and Water Science Department Analytical Research Lab at the University of Florida (UF), Gainesville, FL, and for 8 cores on a Spectro Acros 2 ICP by Waters Agricultural Laboratory in Waycross, GA, using AOAC Method 957.02. Total N, total C, and stable isotope (d</w:t>
      </w:r>
      <w:r>
        <w:rPr>
          <w:rFonts w:ascii="Times New Roman" w:cs="Times New Roman" w:eastAsia="Times New Roman" w:hAnsi="Times New Roman"/>
          <w:sz w:val="30"/>
          <w:szCs w:val="30"/>
          <w:color w:val="auto"/>
          <w:vertAlign w:val="superscript"/>
        </w:rPr>
        <w:t>13</w:t>
      </w:r>
      <w:r>
        <w:rPr>
          <w:rFonts w:ascii="Times New Roman" w:cs="Times New Roman" w:eastAsia="Times New Roman" w:hAnsi="Times New Roman"/>
          <w:sz w:val="23"/>
          <w:szCs w:val="23"/>
          <w:color w:val="auto"/>
        </w:rPr>
        <w:t>C and d</w:t>
      </w:r>
      <w:r>
        <w:rPr>
          <w:rFonts w:ascii="Times New Roman" w:cs="Times New Roman" w:eastAsia="Times New Roman" w:hAnsi="Times New Roman"/>
          <w:sz w:val="30"/>
          <w:szCs w:val="30"/>
          <w:color w:val="auto"/>
          <w:vertAlign w:val="superscript"/>
        </w:rPr>
        <w:t>15</w:t>
      </w:r>
      <w:r>
        <w:rPr>
          <w:rFonts w:ascii="Times New Roman" w:cs="Times New Roman" w:eastAsia="Times New Roman" w:hAnsi="Times New Roman"/>
          <w:sz w:val="23"/>
          <w:szCs w:val="23"/>
          <w:color w:val="auto"/>
        </w:rPr>
        <w:t>N) analyses of organic matter were performed at the University of Florida Department of Geological Sciences on freeze-dried sediment. A Thermo Electron DeltaV Advantage isotope ratio mass spectrometer coupled with a ConFlo II interface linked to a Carlo Erba NA 1500 CNHS Elemental Analyzer was used for these analyses. Sample gases were measured relative to labora-tory reference N</w:t>
      </w:r>
      <w:r>
        <w:rPr>
          <w:rFonts w:ascii="Times New Roman" w:cs="Times New Roman" w:eastAsia="Times New Roman" w:hAnsi="Times New Roman"/>
          <w:sz w:val="30"/>
          <w:szCs w:val="30"/>
          <w:color w:val="auto"/>
          <w:vertAlign w:val="subscript"/>
        </w:rPr>
        <w:t>2</w:t>
      </w:r>
      <w:r>
        <w:rPr>
          <w:rFonts w:ascii="Times New Roman" w:cs="Times New Roman" w:eastAsia="Times New Roman" w:hAnsi="Times New Roman"/>
          <w:sz w:val="23"/>
          <w:szCs w:val="23"/>
          <w:color w:val="auto"/>
        </w:rPr>
        <w:t xml:space="preserve"> and CO</w:t>
      </w:r>
      <w:r>
        <w:rPr>
          <w:rFonts w:ascii="Times New Roman" w:cs="Times New Roman" w:eastAsia="Times New Roman" w:hAnsi="Times New Roman"/>
          <w:sz w:val="30"/>
          <w:szCs w:val="30"/>
          <w:color w:val="auto"/>
          <w:vertAlign w:val="subscript"/>
        </w:rPr>
        <w:t>2</w:t>
      </w:r>
      <w:r>
        <w:rPr>
          <w:rFonts w:ascii="Times New Roman" w:cs="Times New Roman" w:eastAsia="Times New Roman" w:hAnsi="Times New Roman"/>
          <w:sz w:val="23"/>
          <w:szCs w:val="23"/>
          <w:color w:val="auto"/>
        </w:rPr>
        <w:t xml:space="preserve"> gases. CO</w:t>
      </w:r>
      <w:r>
        <w:rPr>
          <w:rFonts w:ascii="Times New Roman" w:cs="Times New Roman" w:eastAsia="Times New Roman" w:hAnsi="Times New Roman"/>
          <w:sz w:val="30"/>
          <w:szCs w:val="30"/>
          <w:color w:val="auto"/>
          <w:vertAlign w:val="subscript"/>
        </w:rPr>
        <w:t>2</w:t>
      </w:r>
      <w:r>
        <w:rPr>
          <w:rFonts w:ascii="Times New Roman" w:cs="Times New Roman" w:eastAsia="Times New Roman" w:hAnsi="Times New Roman"/>
          <w:sz w:val="23"/>
          <w:szCs w:val="23"/>
          <w:color w:val="auto"/>
        </w:rPr>
        <w:t xml:space="preserve"> values were standardized to CMUF REF (Carrara Marble</w:t>
      </w:r>
      <w:r>
        <w:rPr>
          <w:rFonts w:ascii="Arial" w:cs="Arial" w:eastAsia="Arial" w:hAnsi="Arial"/>
          <w:sz w:val="23"/>
          <w:szCs w:val="23"/>
          <w:color w:val="auto"/>
        </w:rPr>
        <w:t>–</w:t>
      </w:r>
      <w:r>
        <w:rPr>
          <w:rFonts w:ascii="Times New Roman" w:cs="Times New Roman" w:eastAsia="Times New Roman" w:hAnsi="Times New Roman"/>
          <w:sz w:val="23"/>
          <w:szCs w:val="23"/>
          <w:color w:val="auto"/>
        </w:rPr>
        <w:t>University of Florida Reference Gas), and N</w:t>
      </w:r>
      <w:r>
        <w:rPr>
          <w:rFonts w:ascii="Times New Roman" w:cs="Times New Roman" w:eastAsia="Times New Roman" w:hAnsi="Times New Roman"/>
          <w:sz w:val="30"/>
          <w:szCs w:val="30"/>
          <w:color w:val="auto"/>
          <w:vertAlign w:val="subscript"/>
        </w:rPr>
        <w:t>2</w:t>
      </w:r>
      <w:r>
        <w:rPr>
          <w:rFonts w:ascii="Times New Roman" w:cs="Times New Roman" w:eastAsia="Times New Roman" w:hAnsi="Times New Roman"/>
          <w:sz w:val="23"/>
          <w:szCs w:val="23"/>
          <w:color w:val="auto"/>
        </w:rPr>
        <w:t xml:space="preserve"> values were standardized to UF-N2 REF, both of which are UF in-house reference standards. d</w:t>
      </w:r>
      <w:r>
        <w:rPr>
          <w:rFonts w:ascii="Times New Roman" w:cs="Times New Roman" w:eastAsia="Times New Roman" w:hAnsi="Times New Roman"/>
          <w:sz w:val="30"/>
          <w:szCs w:val="30"/>
          <w:color w:val="auto"/>
          <w:vertAlign w:val="superscript"/>
        </w:rPr>
        <w:t>13</w:t>
      </w:r>
      <w:r>
        <w:rPr>
          <w:rFonts w:ascii="Times New Roman" w:cs="Times New Roman" w:eastAsia="Times New Roman" w:hAnsi="Times New Roman"/>
          <w:sz w:val="23"/>
          <w:szCs w:val="23"/>
          <w:color w:val="auto"/>
        </w:rPr>
        <w:t>C was expressed as per mil (</w:t>
      </w:r>
      <w:r>
        <w:rPr>
          <w:rFonts w:ascii="Arial" w:cs="Arial" w:eastAsia="Arial" w:hAnsi="Arial"/>
          <w:sz w:val="23"/>
          <w:szCs w:val="23"/>
          <w:color w:val="auto"/>
        </w:rPr>
        <w:t>&amp;</w:t>
      </w:r>
      <w:r>
        <w:rPr>
          <w:rFonts w:ascii="Times New Roman" w:cs="Times New Roman" w:eastAsia="Times New Roman" w:hAnsi="Times New Roman"/>
          <w:sz w:val="23"/>
          <w:szCs w:val="23"/>
          <w:color w:val="auto"/>
        </w:rPr>
        <w:t>) deviation from the Vienna PeeDee Belemnite (VPDB) lime-stone standard, and d</w:t>
      </w:r>
      <w:r>
        <w:rPr>
          <w:rFonts w:ascii="Times New Roman" w:cs="Times New Roman" w:eastAsia="Times New Roman" w:hAnsi="Times New Roman"/>
          <w:sz w:val="30"/>
          <w:szCs w:val="30"/>
          <w:color w:val="auto"/>
          <w:vertAlign w:val="superscript"/>
        </w:rPr>
        <w:t>15</w:t>
      </w:r>
      <w:r>
        <w:rPr>
          <w:rFonts w:ascii="Times New Roman" w:cs="Times New Roman" w:eastAsia="Times New Roman" w:hAnsi="Times New Roman"/>
          <w:sz w:val="23"/>
          <w:szCs w:val="23"/>
          <w:color w:val="auto"/>
        </w:rPr>
        <w:t>N was expressed as per mil (</w:t>
      </w:r>
      <w:r>
        <w:rPr>
          <w:rFonts w:ascii="Arial" w:cs="Arial" w:eastAsia="Arial" w:hAnsi="Arial"/>
          <w:sz w:val="23"/>
          <w:szCs w:val="23"/>
          <w:color w:val="auto"/>
        </w:rPr>
        <w:t>&amp;</w:t>
      </w:r>
      <w:r>
        <w:rPr>
          <w:rFonts w:ascii="Times New Roman" w:cs="Times New Roman" w:eastAsia="Times New Roman" w:hAnsi="Times New Roman"/>
          <w:sz w:val="23"/>
          <w:szCs w:val="23"/>
          <w:color w:val="auto"/>
        </w:rPr>
        <w:t>) deviation from the atmosphere.</w:t>
      </w:r>
    </w:p>
    <w:p>
      <w:pPr>
        <w:spacing w:after="0" w:line="200" w:lineRule="exact"/>
        <w:rPr>
          <w:sz w:val="20"/>
          <w:szCs w:val="20"/>
          <w:color w:val="auto"/>
        </w:rPr>
      </w:pPr>
    </w:p>
    <w:p>
      <w:pPr>
        <w:spacing w:after="0" w:line="228" w:lineRule="exact"/>
        <w:rPr>
          <w:sz w:val="20"/>
          <w:szCs w:val="20"/>
          <w:color w:val="auto"/>
        </w:rPr>
      </w:pPr>
    </w:p>
    <w:p>
      <w:pPr>
        <w:spacing w:after="0"/>
        <w:rPr>
          <w:sz w:val="20"/>
          <w:szCs w:val="20"/>
          <w:color w:val="auto"/>
        </w:rPr>
      </w:pPr>
      <w:r>
        <w:rPr>
          <w:rFonts w:ascii="Arial" w:cs="Arial" w:eastAsia="Arial" w:hAnsi="Arial"/>
          <w:sz w:val="21"/>
          <w:szCs w:val="21"/>
          <w:color w:val="10157E"/>
        </w:rPr>
        <w:t>Pollen, macrofossil, and ostracod analyses</w:t>
      </w:r>
    </w:p>
    <w:p>
      <w:pPr>
        <w:spacing w:after="0" w:line="151" w:lineRule="exact"/>
        <w:rPr>
          <w:sz w:val="20"/>
          <w:szCs w:val="20"/>
          <w:color w:val="auto"/>
        </w:rPr>
      </w:pPr>
    </w:p>
    <w:p>
      <w:pPr>
        <w:jc w:val="both"/>
        <w:spacing w:after="0" w:line="255" w:lineRule="auto"/>
        <w:rPr>
          <w:sz w:val="20"/>
          <w:szCs w:val="20"/>
          <w:color w:val="auto"/>
        </w:rPr>
      </w:pPr>
      <w:r>
        <w:rPr>
          <w:rFonts w:ascii="Times New Roman" w:cs="Times New Roman" w:eastAsia="Times New Roman" w:hAnsi="Times New Roman"/>
          <w:sz w:val="23"/>
          <w:szCs w:val="23"/>
          <w:color w:val="auto"/>
        </w:rPr>
        <w:t>Pollen and macrofossil analyses were performed on a minimum of 5 samples from each sediment core around the depths that corresponded to the predisturbance reference periods to determine the nature of reference aquatic-plant communities, and to investigate the presence of associated wet-lands. The number of samples analyzed was lim-ited by funding constraints, but analyses for 2</w:t>
      </w:r>
    </w:p>
    <w:p>
      <w:pPr>
        <w:sectPr>
          <w:pgSz w:w="12240" w:h="15840" w:orient="portrait"/>
          <w:cols w:equalWidth="0" w:num="2">
            <w:col w:w="4740" w:space="360"/>
            <w:col w:w="4740"/>
          </w:cols>
          <w:pgMar w:left="1200" w:top="458" w:right="1200" w:bottom="524" w:gutter="0" w:footer="0" w:header="0"/>
        </w:sectPr>
      </w:pPr>
    </w:p>
    <w:bookmarkStart w:id="7" w:name="page8"/>
    <w:bookmarkEnd w:id="7"/>
    <w:p>
      <w:pPr>
        <w:spacing w:after="0" w:line="200" w:lineRule="exact"/>
        <w:rPr>
          <w:sz w:val="20"/>
          <w:szCs w:val="20"/>
          <w:color w:val="auto"/>
        </w:rPr>
      </w:pPr>
    </w:p>
    <w:p>
      <w:pPr>
        <w:spacing w:after="0" w:line="356" w:lineRule="exact"/>
        <w:rPr>
          <w:sz w:val="20"/>
          <w:szCs w:val="20"/>
          <w:color w:val="auto"/>
        </w:rPr>
      </w:pPr>
    </w:p>
    <w:p>
      <w:pPr>
        <w:jc w:val="both"/>
        <w:spacing w:after="0" w:line="250" w:lineRule="auto"/>
        <w:rPr>
          <w:sz w:val="20"/>
          <w:szCs w:val="20"/>
          <w:color w:val="auto"/>
        </w:rPr>
      </w:pPr>
      <w:r>
        <w:rPr>
          <w:rFonts w:ascii="Times New Roman" w:cs="Times New Roman" w:eastAsia="Times New Roman" w:hAnsi="Times New Roman"/>
          <w:sz w:val="23"/>
          <w:szCs w:val="23"/>
          <w:color w:val="auto"/>
        </w:rPr>
        <w:t>entire cores were provided voluntarily by student investigators on our projects.</w:t>
      </w:r>
    </w:p>
    <w:p>
      <w:pPr>
        <w:spacing w:after="0" w:line="16" w:lineRule="exact"/>
        <w:rPr>
          <w:sz w:val="20"/>
          <w:szCs w:val="20"/>
          <w:color w:val="auto"/>
        </w:rPr>
      </w:pPr>
    </w:p>
    <w:p>
      <w:pPr>
        <w:jc w:val="both"/>
        <w:ind w:firstLine="240"/>
        <w:spacing w:after="0" w:line="252" w:lineRule="auto"/>
        <w:rPr>
          <w:sz w:val="20"/>
          <w:szCs w:val="20"/>
          <w:color w:val="auto"/>
        </w:rPr>
      </w:pPr>
      <w:r>
        <w:rPr>
          <w:rFonts w:ascii="Times New Roman" w:cs="Times New Roman" w:eastAsia="Times New Roman" w:hAnsi="Times New Roman"/>
          <w:sz w:val="23"/>
          <w:szCs w:val="23"/>
          <w:color w:val="auto"/>
        </w:rPr>
        <w:t>Preparation of pollen samples followed Faegri and Iversen (</w:t>
      </w:r>
      <w:r>
        <w:rPr>
          <w:rFonts w:ascii="Times New Roman" w:cs="Times New Roman" w:eastAsia="Times New Roman" w:hAnsi="Times New Roman"/>
          <w:sz w:val="23"/>
          <w:szCs w:val="23"/>
          <w:color w:val="000080"/>
        </w:rPr>
        <w:t>1989</w:t>
      </w:r>
      <w:r>
        <w:rPr>
          <w:rFonts w:ascii="Times New Roman" w:cs="Times New Roman" w:eastAsia="Times New Roman" w:hAnsi="Times New Roman"/>
          <w:sz w:val="23"/>
          <w:szCs w:val="23"/>
          <w:color w:val="auto"/>
        </w:rPr>
        <w:t>) and Bennett and Willis (</w:t>
      </w:r>
      <w:r>
        <w:rPr>
          <w:rFonts w:ascii="Times New Roman" w:cs="Times New Roman" w:eastAsia="Times New Roman" w:hAnsi="Times New Roman"/>
          <w:sz w:val="23"/>
          <w:szCs w:val="23"/>
          <w:color w:val="000080"/>
        </w:rPr>
        <w:t>2001</w:t>
      </w:r>
      <w:r>
        <w:rPr>
          <w:rFonts w:ascii="Times New Roman" w:cs="Times New Roman" w:eastAsia="Times New Roman" w:hAnsi="Times New Roman"/>
          <w:sz w:val="23"/>
          <w:szCs w:val="23"/>
          <w:color w:val="auto"/>
        </w:rPr>
        <w:t>). Deflocculation of samples was done using a dilute detergent solution. A 10% HCl solution was added to remove carbonates. Samples were boiled in a KOH (or NaOH) solution to remove humic acids and unsaturated organic soil colloids. Samples were then washed through a 0.2-mm sieve with deionized water to remove coarse min-eral particles and large organic matter. The supernatant was decanted into distilled water, and then a few drops of 10% HCl were added to prevent the formation of the precipitant Zn(OH)</w:t>
      </w:r>
      <w:r>
        <w:rPr>
          <w:rFonts w:ascii="Times New Roman" w:cs="Times New Roman" w:eastAsia="Times New Roman" w:hAnsi="Times New Roman"/>
          <w:sz w:val="30"/>
          <w:szCs w:val="30"/>
          <w:color w:val="auto"/>
          <w:vertAlign w:val="subscript"/>
        </w:rPr>
        <w:t>2</w:t>
      </w:r>
      <w:r>
        <w:rPr>
          <w:rFonts w:ascii="Times New Roman" w:cs="Times New Roman" w:eastAsia="Times New Roman" w:hAnsi="Times New Roman"/>
          <w:sz w:val="23"/>
          <w:szCs w:val="23"/>
          <w:color w:val="auto"/>
        </w:rPr>
        <w:t>. Remaining cellulose and organics were removed by acetolysis with anhydric acetic acid (9 parts) and H</w:t>
      </w:r>
      <w:r>
        <w:rPr>
          <w:rFonts w:ascii="Times New Roman" w:cs="Times New Roman" w:eastAsia="Times New Roman" w:hAnsi="Times New Roman"/>
          <w:sz w:val="30"/>
          <w:szCs w:val="30"/>
          <w:color w:val="auto"/>
          <w:vertAlign w:val="subscript"/>
        </w:rPr>
        <w:t>2</w:t>
      </w:r>
      <w:r>
        <w:rPr>
          <w:rFonts w:ascii="Times New Roman" w:cs="Times New Roman" w:eastAsia="Times New Roman" w:hAnsi="Times New Roman"/>
          <w:sz w:val="23"/>
          <w:szCs w:val="23"/>
          <w:color w:val="auto"/>
        </w:rPr>
        <w:t>SO</w:t>
      </w:r>
      <w:r>
        <w:rPr>
          <w:rFonts w:ascii="Times New Roman" w:cs="Times New Roman" w:eastAsia="Times New Roman" w:hAnsi="Times New Roman"/>
          <w:sz w:val="30"/>
          <w:szCs w:val="30"/>
          <w:color w:val="auto"/>
          <w:vertAlign w:val="subscript"/>
        </w:rPr>
        <w:t>4</w:t>
      </w:r>
      <w:r>
        <w:rPr>
          <w:rFonts w:ascii="Times New Roman" w:cs="Times New Roman" w:eastAsia="Times New Roman" w:hAnsi="Times New Roman"/>
          <w:sz w:val="23"/>
          <w:szCs w:val="23"/>
          <w:color w:val="auto"/>
        </w:rPr>
        <w:t xml:space="preserve"> concentrate (1 part), and samples were centrifuged at 1500 rpm for 20 min. Samples were washed with glacial acetic acid and heated briefly in 10% KOH to halt acetolysis and to prepare them for staining. Semipermanent mounts with silicone oil were prepared for microscopic analysis at 400 . Pollen was identi-fied using standard references, including Willard et al. (</w:t>
      </w:r>
      <w:r>
        <w:rPr>
          <w:rFonts w:ascii="Times New Roman" w:cs="Times New Roman" w:eastAsia="Times New Roman" w:hAnsi="Times New Roman"/>
          <w:sz w:val="23"/>
          <w:szCs w:val="23"/>
          <w:color w:val="000080"/>
        </w:rPr>
        <w:t>2004</w:t>
      </w:r>
      <w:r>
        <w:rPr>
          <w:rFonts w:ascii="Times New Roman" w:cs="Times New Roman" w:eastAsia="Times New Roman" w:hAnsi="Times New Roman"/>
          <w:sz w:val="23"/>
          <w:szCs w:val="23"/>
          <w:color w:val="auto"/>
        </w:rPr>
        <w:t>).</w:t>
      </w:r>
    </w:p>
    <w:p>
      <w:pPr>
        <w:spacing w:after="0" w:line="314" w:lineRule="exact"/>
        <w:rPr>
          <w:sz w:val="20"/>
          <w:szCs w:val="20"/>
          <w:color w:val="auto"/>
        </w:rPr>
      </w:pPr>
    </w:p>
    <w:p>
      <w:pPr>
        <w:jc w:val="both"/>
        <w:ind w:firstLine="240"/>
        <w:spacing w:after="0" w:line="251" w:lineRule="auto"/>
        <w:rPr>
          <w:sz w:val="20"/>
          <w:szCs w:val="20"/>
          <w:color w:val="auto"/>
        </w:rPr>
      </w:pPr>
      <w:r>
        <w:rPr>
          <w:rFonts w:ascii="Times New Roman" w:cs="Times New Roman" w:eastAsia="Times New Roman" w:hAnsi="Times New Roman"/>
          <w:sz w:val="23"/>
          <w:szCs w:val="23"/>
          <w:color w:val="auto"/>
        </w:rPr>
        <w:t>Macrofossil analysis was performed following methods outlined by Birks (</w:t>
      </w:r>
      <w:r>
        <w:rPr>
          <w:rFonts w:ascii="Times New Roman" w:cs="Times New Roman" w:eastAsia="Times New Roman" w:hAnsi="Times New Roman"/>
          <w:sz w:val="23"/>
          <w:szCs w:val="23"/>
          <w:color w:val="000080"/>
        </w:rPr>
        <w:t>2017</w:t>
      </w:r>
      <w:r>
        <w:rPr>
          <w:rFonts w:ascii="Times New Roman" w:cs="Times New Roman" w:eastAsia="Times New Roman" w:hAnsi="Times New Roman"/>
          <w:sz w:val="23"/>
          <w:szCs w:val="23"/>
          <w:color w:val="auto"/>
        </w:rPr>
        <w:t>). Approximately 20</w:t>
      </w:r>
      <w:r>
        <w:rPr>
          <w:rFonts w:ascii="Arial" w:cs="Arial" w:eastAsia="Arial" w:hAnsi="Arial"/>
          <w:sz w:val="23"/>
          <w:szCs w:val="23"/>
          <w:color w:val="auto"/>
        </w:rPr>
        <w:t>–</w:t>
      </w:r>
      <w:r>
        <w:rPr>
          <w:rFonts w:ascii="Times New Roman" w:cs="Times New Roman" w:eastAsia="Times New Roman" w:hAnsi="Times New Roman"/>
          <w:sz w:val="23"/>
          <w:szCs w:val="23"/>
          <w:color w:val="auto"/>
        </w:rPr>
        <w:t>50 cm</w:t>
      </w:r>
      <w:r>
        <w:rPr>
          <w:rFonts w:ascii="Times New Roman" w:cs="Times New Roman" w:eastAsia="Times New Roman" w:hAnsi="Times New Roman"/>
          <w:sz w:val="30"/>
          <w:szCs w:val="30"/>
          <w:color w:val="auto"/>
          <w:vertAlign w:val="superscript"/>
        </w:rPr>
        <w:t>3</w:t>
      </w:r>
      <w:r>
        <w:rPr>
          <w:rFonts w:ascii="Times New Roman" w:cs="Times New Roman" w:eastAsia="Times New Roman" w:hAnsi="Times New Roman"/>
          <w:sz w:val="23"/>
          <w:szCs w:val="23"/>
          <w:color w:val="auto"/>
        </w:rPr>
        <w:t xml:space="preserve"> of sediment was measured for each sample by water displacement in a graduated cylinder, and then the sample was soaked in 10% sodium hexametaphosphate [(NaPO</w:t>
      </w:r>
      <w:r>
        <w:rPr>
          <w:rFonts w:ascii="Times New Roman" w:cs="Times New Roman" w:eastAsia="Times New Roman" w:hAnsi="Times New Roman"/>
          <w:sz w:val="30"/>
          <w:szCs w:val="30"/>
          <w:color w:val="auto"/>
          <w:vertAlign w:val="subscript"/>
        </w:rPr>
        <w:t>3</w:t>
      </w:r>
      <w:r>
        <w:rPr>
          <w:rFonts w:ascii="Times New Roman" w:cs="Times New Roman" w:eastAsia="Times New Roman" w:hAnsi="Times New Roman"/>
          <w:sz w:val="23"/>
          <w:szCs w:val="23"/>
          <w:color w:val="auto"/>
        </w:rPr>
        <w:t>)</w:t>
      </w:r>
      <w:r>
        <w:rPr>
          <w:rFonts w:ascii="Times New Roman" w:cs="Times New Roman" w:eastAsia="Times New Roman" w:hAnsi="Times New Roman"/>
          <w:sz w:val="30"/>
          <w:szCs w:val="30"/>
          <w:color w:val="auto"/>
          <w:vertAlign w:val="subscript"/>
        </w:rPr>
        <w:t>6</w:t>
      </w:r>
      <w:r>
        <w:rPr>
          <w:rFonts w:ascii="Times New Roman" w:cs="Times New Roman" w:eastAsia="Times New Roman" w:hAnsi="Times New Roman"/>
          <w:sz w:val="23"/>
          <w:szCs w:val="23"/>
          <w:color w:val="auto"/>
        </w:rPr>
        <w:t>] to dis-perse sediment particles from macrophyte remains. The sediment and deflocculant mixture was rinsed through sieves with screen sizes of 1 mm, 500 lm, 250 lm, and 125 lm using a shower-head attachment that distributed the point of water impact to reduce damage to the macrofossils. The 1-mm screen allowed for separ-ation of larger seeds and macrophyte parts, and the 125-lm screen was used for recovery of small material, including small seeds and characeaen oospores. Screened material was suspended in water in a petri dish for examination under a dis-secting binocular microscope. Identification was performed with the use of a macrofossil reference collection at the University of South Florida St. Petersburg.</w:t>
      </w:r>
    </w:p>
    <w:p>
      <w:pPr>
        <w:spacing w:after="0" w:line="20" w:lineRule="exact"/>
        <w:rPr>
          <w:sz w:val="20"/>
          <w:szCs w:val="20"/>
          <w:color w:val="auto"/>
        </w:rPr>
      </w:pPr>
      <w:r>
        <w:rPr>
          <w:sz w:val="20"/>
          <w:szCs w:val="20"/>
          <w:color w:val="auto"/>
        </w:rPr>
        <w:br w:type="column"/>
      </w:r>
    </w:p>
    <w:p>
      <w:pPr>
        <w:ind w:left="1820"/>
        <w:spacing w:after="0"/>
        <w:rPr>
          <w:sz w:val="20"/>
          <w:szCs w:val="20"/>
          <w:color w:val="auto"/>
        </w:rPr>
      </w:pPr>
      <w:r>
        <w:rPr>
          <w:rFonts w:ascii="Arial" w:cs="Arial" w:eastAsia="Arial" w:hAnsi="Arial"/>
          <w:sz w:val="12"/>
          <w:szCs w:val="12"/>
          <w:color w:val="auto"/>
        </w:rPr>
        <w:t xml:space="preserve">LAKE AND RESERVOIR MANAGEMENT  </w:t>
      </w:r>
      <w:r>
        <w:rPr>
          <w:sz w:val="1"/>
          <w:szCs w:val="1"/>
          <w:color w:val="auto"/>
        </w:rPr>
        <w:drawing>
          <wp:inline distT="0" distB="0" distL="0" distR="0">
            <wp:extent cx="165100" cy="1651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5">
                      <a:extLst>
                        <a:ext uri="{28A0092B-C50C-407E-A947-70E740481C1C}"/>
                      </a:extLst>
                    </a:blip>
                    <a:srcRect/>
                    <a:stretch>
                      <a:fillRect/>
                    </a:stretch>
                  </pic:blipFill>
                  <pic:spPr bwMode="auto">
                    <a:xfrm>
                      <a:off x="0" y="0"/>
                      <a:ext cx="165100" cy="165100"/>
                    </a:xfrm>
                    <a:prstGeom prst="rect">
                      <a:avLst/>
                    </a:prstGeom>
                    <a:noFill/>
                    <a:ln>
                      <a:noFill/>
                    </a:ln>
                  </pic:spPr>
                </pic:pic>
              </a:graphicData>
            </a:graphic>
          </wp:inline>
        </w:drawing>
      </w:r>
      <w:r>
        <w:rPr>
          <w:rFonts w:ascii="Arial" w:cs="Arial" w:eastAsia="Arial" w:hAnsi="Arial"/>
          <w:sz w:val="12"/>
          <w:szCs w:val="12"/>
          <w:color w:val="auto"/>
        </w:rPr>
        <w:t xml:space="preserve">  7</w:t>
      </w:r>
    </w:p>
    <w:p>
      <w:pPr>
        <w:spacing w:after="0" w:line="271" w:lineRule="exact"/>
        <w:rPr>
          <w:sz w:val="20"/>
          <w:szCs w:val="20"/>
          <w:color w:val="auto"/>
        </w:rPr>
      </w:pPr>
    </w:p>
    <w:p>
      <w:pPr>
        <w:jc w:val="both"/>
        <w:ind w:firstLine="240"/>
        <w:spacing w:after="0" w:line="259" w:lineRule="auto"/>
        <w:rPr>
          <w:sz w:val="20"/>
          <w:szCs w:val="20"/>
          <w:color w:val="auto"/>
        </w:rPr>
      </w:pPr>
      <w:r>
        <w:rPr>
          <w:rFonts w:ascii="Times New Roman" w:cs="Times New Roman" w:eastAsia="Times New Roman" w:hAnsi="Times New Roman"/>
          <w:sz w:val="23"/>
          <w:szCs w:val="23"/>
          <w:color w:val="auto"/>
        </w:rPr>
        <w:t>Ostracods also were examined using stereomi-croscopy in samples that had been cleaned and screened for macrofossil analysis and that dis-closed the presence of ostracods. Ostracods were identified using references that included Furtos (</w:t>
      </w:r>
      <w:r>
        <w:rPr>
          <w:rFonts w:ascii="Times New Roman" w:cs="Times New Roman" w:eastAsia="Times New Roman" w:hAnsi="Times New Roman"/>
          <w:sz w:val="23"/>
          <w:szCs w:val="23"/>
          <w:color w:val="000080"/>
        </w:rPr>
        <w:t>1936</w:t>
      </w:r>
      <w:r>
        <w:rPr>
          <w:rFonts w:ascii="Times New Roman" w:cs="Times New Roman" w:eastAsia="Times New Roman" w:hAnsi="Times New Roman"/>
          <w:sz w:val="23"/>
          <w:szCs w:val="23"/>
          <w:color w:val="auto"/>
        </w:rPr>
        <w:t>), Keyser (</w:t>
      </w:r>
      <w:r>
        <w:rPr>
          <w:rFonts w:ascii="Times New Roman" w:cs="Times New Roman" w:eastAsia="Times New Roman" w:hAnsi="Times New Roman"/>
          <w:sz w:val="23"/>
          <w:szCs w:val="23"/>
          <w:color w:val="000080"/>
        </w:rPr>
        <w:t>1977</w:t>
      </w:r>
      <w:r>
        <w:rPr>
          <w:rFonts w:ascii="Times New Roman" w:cs="Times New Roman" w:eastAsia="Times New Roman" w:hAnsi="Times New Roman"/>
          <w:sz w:val="23"/>
          <w:szCs w:val="23"/>
          <w:color w:val="auto"/>
        </w:rPr>
        <w:t>), Teeter (</w:t>
      </w:r>
      <w:r>
        <w:rPr>
          <w:rFonts w:ascii="Times New Roman" w:cs="Times New Roman" w:eastAsia="Times New Roman" w:hAnsi="Times New Roman"/>
          <w:sz w:val="23"/>
          <w:szCs w:val="23"/>
          <w:color w:val="000080"/>
        </w:rPr>
        <w:t>1980</w:t>
      </w:r>
      <w:r>
        <w:rPr>
          <w:rFonts w:ascii="Times New Roman" w:cs="Times New Roman" w:eastAsia="Times New Roman" w:hAnsi="Times New Roman"/>
          <w:sz w:val="23"/>
          <w:szCs w:val="23"/>
          <w:color w:val="auto"/>
        </w:rPr>
        <w:t>), and Perez et al. (</w:t>
      </w:r>
      <w:r>
        <w:rPr>
          <w:rFonts w:ascii="Times New Roman" w:cs="Times New Roman" w:eastAsia="Times New Roman" w:hAnsi="Times New Roman"/>
          <w:sz w:val="23"/>
          <w:szCs w:val="23"/>
          <w:color w:val="000080"/>
        </w:rPr>
        <w:t>2010</w:t>
      </w:r>
      <w:r>
        <w:rPr>
          <w:rFonts w:ascii="Times New Roman" w:cs="Times New Roman" w:eastAsia="Times New Roman" w:hAnsi="Times New Roman"/>
          <w:sz w:val="23"/>
          <w:szCs w:val="23"/>
          <w:color w:val="auto"/>
        </w:rPr>
        <w:t>).</w:t>
      </w:r>
    </w:p>
    <w:p>
      <w:pPr>
        <w:spacing w:after="0" w:line="200" w:lineRule="exact"/>
        <w:rPr>
          <w:sz w:val="20"/>
          <w:szCs w:val="20"/>
          <w:color w:val="auto"/>
        </w:rPr>
      </w:pPr>
    </w:p>
    <w:p>
      <w:pPr>
        <w:spacing w:after="0" w:line="206" w:lineRule="exact"/>
        <w:rPr>
          <w:sz w:val="20"/>
          <w:szCs w:val="20"/>
          <w:color w:val="auto"/>
        </w:rPr>
      </w:pPr>
    </w:p>
    <w:p>
      <w:pPr>
        <w:spacing w:after="0"/>
        <w:rPr>
          <w:sz w:val="20"/>
          <w:szCs w:val="20"/>
          <w:color w:val="auto"/>
        </w:rPr>
      </w:pPr>
      <w:r>
        <w:rPr>
          <w:rFonts w:ascii="Arial" w:cs="Arial" w:eastAsia="Arial" w:hAnsi="Arial"/>
          <w:sz w:val="21"/>
          <w:szCs w:val="21"/>
          <w:color w:val="10157E"/>
        </w:rPr>
        <w:t>Stable carbon isotopes versus C/N ratio plots</w:t>
      </w:r>
    </w:p>
    <w:p>
      <w:pPr>
        <w:spacing w:after="0" w:line="117" w:lineRule="exact"/>
        <w:rPr>
          <w:sz w:val="20"/>
          <w:szCs w:val="20"/>
          <w:color w:val="auto"/>
        </w:rPr>
      </w:pPr>
    </w:p>
    <w:p>
      <w:pPr>
        <w:jc w:val="both"/>
        <w:spacing w:after="0"/>
        <w:rPr>
          <w:sz w:val="20"/>
          <w:szCs w:val="20"/>
          <w:color w:val="auto"/>
        </w:rPr>
      </w:pPr>
      <w:r>
        <w:rPr>
          <w:rFonts w:ascii="Times New Roman" w:cs="Times New Roman" w:eastAsia="Times New Roman" w:hAnsi="Times New Roman"/>
          <w:sz w:val="23"/>
          <w:szCs w:val="23"/>
          <w:color w:val="auto"/>
        </w:rPr>
        <w:t>We plotted d</w:t>
      </w:r>
      <w:r>
        <w:rPr>
          <w:rFonts w:ascii="Times New Roman" w:cs="Times New Roman" w:eastAsia="Times New Roman" w:hAnsi="Times New Roman"/>
          <w:sz w:val="30"/>
          <w:szCs w:val="30"/>
          <w:color w:val="auto"/>
          <w:vertAlign w:val="superscript"/>
        </w:rPr>
        <w:t>13</w:t>
      </w:r>
      <w:r>
        <w:rPr>
          <w:rFonts w:ascii="Times New Roman" w:cs="Times New Roman" w:eastAsia="Times New Roman" w:hAnsi="Times New Roman"/>
          <w:sz w:val="23"/>
          <w:szCs w:val="23"/>
          <w:color w:val="auto"/>
        </w:rPr>
        <w:t>C values versus C/N ratios of organic matter in sediment cores to investigate changes over time in the primary producer com-munities that contributed organic matter to the sediments. We included in those plots some rep-resentative d</w:t>
      </w:r>
      <w:r>
        <w:rPr>
          <w:rFonts w:ascii="Times New Roman" w:cs="Times New Roman" w:eastAsia="Times New Roman" w:hAnsi="Times New Roman"/>
          <w:sz w:val="30"/>
          <w:szCs w:val="30"/>
          <w:color w:val="auto"/>
          <w:vertAlign w:val="superscript"/>
        </w:rPr>
        <w:t>13</w:t>
      </w:r>
      <w:r>
        <w:rPr>
          <w:rFonts w:ascii="Times New Roman" w:cs="Times New Roman" w:eastAsia="Times New Roman" w:hAnsi="Times New Roman"/>
          <w:sz w:val="23"/>
          <w:szCs w:val="23"/>
          <w:color w:val="auto"/>
        </w:rPr>
        <w:t>C and C/N values for aquatic mac-rophytes, algae, and cyanobacteria. Our intention was not to determine which specific taxa were present in the past, but rather we sought to assess general changes in past macrophyte life-form groups and algal/cyanobacterial populations. Funding did not permit analysis of d</w:t>
      </w:r>
      <w:r>
        <w:rPr>
          <w:rFonts w:ascii="Times New Roman" w:cs="Times New Roman" w:eastAsia="Times New Roman" w:hAnsi="Times New Roman"/>
          <w:sz w:val="30"/>
          <w:szCs w:val="30"/>
          <w:color w:val="auto"/>
          <w:vertAlign w:val="superscript"/>
        </w:rPr>
        <w:t>13</w:t>
      </w:r>
      <w:r>
        <w:rPr>
          <w:rFonts w:ascii="Times New Roman" w:cs="Times New Roman" w:eastAsia="Times New Roman" w:hAnsi="Times New Roman"/>
          <w:sz w:val="23"/>
          <w:szCs w:val="23"/>
          <w:color w:val="auto"/>
        </w:rPr>
        <w:t>C and C/N values of modern plants and algae in lakes of our study, so we used published d</w:t>
      </w:r>
      <w:r>
        <w:rPr>
          <w:rFonts w:ascii="Times New Roman" w:cs="Times New Roman" w:eastAsia="Times New Roman" w:hAnsi="Times New Roman"/>
          <w:sz w:val="30"/>
          <w:szCs w:val="30"/>
          <w:color w:val="auto"/>
          <w:vertAlign w:val="superscript"/>
        </w:rPr>
        <w:t>13</w:t>
      </w:r>
      <w:r>
        <w:rPr>
          <w:rFonts w:ascii="Times New Roman" w:cs="Times New Roman" w:eastAsia="Times New Roman" w:hAnsi="Times New Roman"/>
          <w:sz w:val="23"/>
          <w:szCs w:val="23"/>
          <w:color w:val="auto"/>
        </w:rPr>
        <w:t>C values for pri-mary producer taxa and functional groups col-lected from similar highly productive Florida lakes. Floating-leaved and emergent plants, as well as surface bloom-forming algae and cyano-bacteria, use atmospheric CO</w:t>
      </w:r>
      <w:r>
        <w:rPr>
          <w:rFonts w:ascii="Times New Roman" w:cs="Times New Roman" w:eastAsia="Times New Roman" w:hAnsi="Times New Roman"/>
          <w:sz w:val="30"/>
          <w:szCs w:val="30"/>
          <w:color w:val="auto"/>
          <w:vertAlign w:val="subscript"/>
        </w:rPr>
        <w:t>2</w:t>
      </w:r>
      <w:r>
        <w:rPr>
          <w:rFonts w:ascii="Times New Roman" w:cs="Times New Roman" w:eastAsia="Times New Roman" w:hAnsi="Times New Roman"/>
          <w:sz w:val="23"/>
          <w:szCs w:val="23"/>
          <w:color w:val="auto"/>
        </w:rPr>
        <w:t xml:space="preserve"> as a carbon sub-strate (d</w:t>
      </w:r>
      <w:r>
        <w:rPr>
          <w:rFonts w:ascii="Times New Roman" w:cs="Times New Roman" w:eastAsia="Times New Roman" w:hAnsi="Times New Roman"/>
          <w:sz w:val="30"/>
          <w:szCs w:val="30"/>
          <w:color w:val="auto"/>
          <w:vertAlign w:val="superscript"/>
        </w:rPr>
        <w:t>13</w:t>
      </w:r>
      <w:r>
        <w:rPr>
          <w:rFonts w:ascii="Times New Roman" w:cs="Times New Roman" w:eastAsia="Times New Roman" w:hAnsi="Times New Roman"/>
          <w:sz w:val="23"/>
          <w:szCs w:val="23"/>
          <w:color w:val="auto"/>
        </w:rPr>
        <w:t>C about 8</w:t>
      </w:r>
      <w:r>
        <w:rPr>
          <w:rFonts w:ascii="Arial" w:cs="Arial" w:eastAsia="Arial" w:hAnsi="Arial"/>
          <w:sz w:val="23"/>
          <w:szCs w:val="23"/>
          <w:color w:val="auto"/>
        </w:rPr>
        <w:t>&amp;</w:t>
      </w:r>
      <w:r>
        <w:rPr>
          <w:rFonts w:ascii="Times New Roman" w:cs="Times New Roman" w:eastAsia="Times New Roman" w:hAnsi="Times New Roman"/>
          <w:sz w:val="23"/>
          <w:szCs w:val="23"/>
          <w:color w:val="auto"/>
        </w:rPr>
        <w:t xml:space="preserve">; Gu and Alexander </w:t>
      </w:r>
      <w:r>
        <w:rPr>
          <w:rFonts w:ascii="Times New Roman" w:cs="Times New Roman" w:eastAsia="Times New Roman" w:hAnsi="Times New Roman"/>
          <w:sz w:val="23"/>
          <w:szCs w:val="23"/>
          <w:color w:val="000080"/>
        </w:rPr>
        <w:t>1996</w:t>
      </w:r>
      <w:r>
        <w:rPr>
          <w:rFonts w:ascii="Times New Roman" w:cs="Times New Roman" w:eastAsia="Times New Roman" w:hAnsi="Times New Roman"/>
          <w:sz w:val="23"/>
          <w:szCs w:val="23"/>
          <w:color w:val="000000"/>
        </w:rPr>
        <w:t>), so</w:t>
      </w:r>
      <w:r>
        <w:rPr>
          <w:rFonts w:ascii="Times New Roman" w:cs="Times New Roman" w:eastAsia="Times New Roman" w:hAnsi="Times New Roman"/>
          <w:sz w:val="23"/>
          <w:szCs w:val="23"/>
          <w:color w:val="000080"/>
        </w:rPr>
        <w:t xml:space="preserve"> </w:t>
      </w:r>
      <w:r>
        <w:rPr>
          <w:rFonts w:ascii="Times New Roman" w:cs="Times New Roman" w:eastAsia="Times New Roman" w:hAnsi="Times New Roman"/>
          <w:sz w:val="23"/>
          <w:szCs w:val="23"/>
          <w:color w:val="000000"/>
        </w:rPr>
        <w:t>d</w:t>
      </w:r>
      <w:r>
        <w:rPr>
          <w:rFonts w:ascii="Times New Roman" w:cs="Times New Roman" w:eastAsia="Times New Roman" w:hAnsi="Times New Roman"/>
          <w:sz w:val="30"/>
          <w:szCs w:val="30"/>
          <w:color w:val="000000"/>
          <w:vertAlign w:val="superscript"/>
        </w:rPr>
        <w:t>13</w:t>
      </w:r>
      <w:r>
        <w:rPr>
          <w:rFonts w:ascii="Times New Roman" w:cs="Times New Roman" w:eastAsia="Times New Roman" w:hAnsi="Times New Roman"/>
          <w:sz w:val="23"/>
          <w:szCs w:val="23"/>
          <w:color w:val="000000"/>
        </w:rPr>
        <w:t>C values of organic matter derived</w:t>
      </w:r>
      <w:r>
        <w:rPr>
          <w:rFonts w:ascii="Times New Roman" w:cs="Times New Roman" w:eastAsia="Times New Roman" w:hAnsi="Times New Roman"/>
          <w:sz w:val="23"/>
          <w:szCs w:val="23"/>
          <w:color w:val="000080"/>
        </w:rPr>
        <w:t xml:space="preserve"> </w:t>
      </w:r>
      <w:r>
        <w:rPr>
          <w:rFonts w:ascii="Times New Roman" w:cs="Times New Roman" w:eastAsia="Times New Roman" w:hAnsi="Times New Roman"/>
          <w:sz w:val="23"/>
          <w:szCs w:val="23"/>
          <w:color w:val="000000"/>
        </w:rPr>
        <w:t>from those groups should be similar across lakes. In contrast, the d</w:t>
      </w:r>
      <w:r>
        <w:rPr>
          <w:rFonts w:ascii="Times New Roman" w:cs="Times New Roman" w:eastAsia="Times New Roman" w:hAnsi="Times New Roman"/>
          <w:sz w:val="30"/>
          <w:szCs w:val="30"/>
          <w:color w:val="000000"/>
          <w:vertAlign w:val="superscript"/>
        </w:rPr>
        <w:t>13</w:t>
      </w:r>
      <w:r>
        <w:rPr>
          <w:rFonts w:ascii="Times New Roman" w:cs="Times New Roman" w:eastAsia="Times New Roman" w:hAnsi="Times New Roman"/>
          <w:sz w:val="23"/>
          <w:szCs w:val="23"/>
          <w:color w:val="000000"/>
        </w:rPr>
        <w:t>C values of submerged pri-mary producers can vary across lakes as a func-tion of the d</w:t>
      </w:r>
      <w:r>
        <w:rPr>
          <w:rFonts w:ascii="Times New Roman" w:cs="Times New Roman" w:eastAsia="Times New Roman" w:hAnsi="Times New Roman"/>
          <w:sz w:val="30"/>
          <w:szCs w:val="30"/>
          <w:color w:val="000000"/>
          <w:vertAlign w:val="superscript"/>
        </w:rPr>
        <w:t>13</w:t>
      </w:r>
      <w:r>
        <w:rPr>
          <w:rFonts w:ascii="Times New Roman" w:cs="Times New Roman" w:eastAsia="Times New Roman" w:hAnsi="Times New Roman"/>
          <w:sz w:val="23"/>
          <w:szCs w:val="23"/>
          <w:color w:val="000000"/>
        </w:rPr>
        <w:t xml:space="preserve">C of dissolved inorganic carbon in the water, which is influenced by carbonate dis-solution in the watershed, inputs of allochthon-ous carbon, and the in-lake rate of primary production (Brenner et al. </w:t>
      </w:r>
      <w:r>
        <w:rPr>
          <w:rFonts w:ascii="Times New Roman" w:cs="Times New Roman" w:eastAsia="Times New Roman" w:hAnsi="Times New Roman"/>
          <w:sz w:val="23"/>
          <w:szCs w:val="23"/>
          <w:color w:val="000080"/>
        </w:rPr>
        <w:t>1999</w:t>
      </w:r>
      <w:r>
        <w:rPr>
          <w:rFonts w:ascii="Times New Roman" w:cs="Times New Roman" w:eastAsia="Times New Roman" w:hAnsi="Times New Roman"/>
          <w:sz w:val="23"/>
          <w:szCs w:val="23"/>
          <w:color w:val="000000"/>
        </w:rPr>
        <w:t>). Most of the d</w:t>
      </w:r>
      <w:r>
        <w:rPr>
          <w:rFonts w:ascii="Times New Roman" w:cs="Times New Roman" w:eastAsia="Times New Roman" w:hAnsi="Times New Roman"/>
          <w:sz w:val="30"/>
          <w:szCs w:val="30"/>
          <w:color w:val="000000"/>
          <w:vertAlign w:val="superscript"/>
        </w:rPr>
        <w:t>13</w:t>
      </w:r>
      <w:r>
        <w:rPr>
          <w:rFonts w:ascii="Times New Roman" w:cs="Times New Roman" w:eastAsia="Times New Roman" w:hAnsi="Times New Roman"/>
          <w:sz w:val="23"/>
          <w:szCs w:val="23"/>
          <w:color w:val="000000"/>
        </w:rPr>
        <w:t>C and C/N data we used came from the Brenner et al. (</w:t>
      </w:r>
      <w:r>
        <w:rPr>
          <w:rFonts w:ascii="Times New Roman" w:cs="Times New Roman" w:eastAsia="Times New Roman" w:hAnsi="Times New Roman"/>
          <w:sz w:val="23"/>
          <w:szCs w:val="23"/>
          <w:color w:val="000080"/>
        </w:rPr>
        <w:t>2006</w:t>
      </w:r>
      <w:r>
        <w:rPr>
          <w:rFonts w:ascii="Times New Roman" w:cs="Times New Roman" w:eastAsia="Times New Roman" w:hAnsi="Times New Roman"/>
          <w:sz w:val="23"/>
          <w:szCs w:val="23"/>
          <w:color w:val="000000"/>
        </w:rPr>
        <w:t>) study of Lake Panasoffkee, Sumter County, Florida, a shallow, eutrophic lake that lies in karst bedrock, similar to the lakes of our study. Lake Panasoffkee receives substantial amounts of bicarbonate-rich groundwater input. Thus, our plots of d</w:t>
      </w:r>
      <w:r>
        <w:rPr>
          <w:rFonts w:ascii="Times New Roman" w:cs="Times New Roman" w:eastAsia="Times New Roman" w:hAnsi="Times New Roman"/>
          <w:sz w:val="30"/>
          <w:szCs w:val="30"/>
          <w:color w:val="000000"/>
          <w:vertAlign w:val="superscript"/>
        </w:rPr>
        <w:t>13</w:t>
      </w:r>
      <w:r>
        <w:rPr>
          <w:rFonts w:ascii="Times New Roman" w:cs="Times New Roman" w:eastAsia="Times New Roman" w:hAnsi="Times New Roman"/>
          <w:sz w:val="23"/>
          <w:szCs w:val="23"/>
          <w:color w:val="000000"/>
        </w:rPr>
        <w:t>C versus C/N values display relative positions for the modern taxa, and strati-graphic changes in the sedimented organic matter</w:t>
      </w:r>
    </w:p>
    <w:p>
      <w:pPr>
        <w:sectPr>
          <w:pgSz w:w="12240" w:h="15840" w:orient="portrait"/>
          <w:cols w:equalWidth="0" w:num="2">
            <w:col w:w="4740" w:space="360"/>
            <w:col w:w="4740"/>
          </w:cols>
          <w:pgMar w:left="1200" w:top="464" w:right="1200" w:bottom="556" w:gutter="0" w:footer="0" w:header="0"/>
        </w:sectPr>
      </w:pPr>
    </w:p>
    <w:bookmarkStart w:id="8" w:name="page9"/>
    <w:bookmarkEnd w:id="8"/>
    <w:p>
      <w:pPr>
        <w:spacing w:after="0"/>
        <w:rPr>
          <w:sz w:val="20"/>
          <w:szCs w:val="20"/>
          <w:color w:val="auto"/>
        </w:rPr>
      </w:pPr>
      <w:r>
        <w:rPr>
          <w:rFonts w:ascii="Arial" w:cs="Arial" w:eastAsia="Arial" w:hAnsi="Arial"/>
          <w:sz w:val="15"/>
          <w:szCs w:val="15"/>
          <w:color w:val="auto"/>
        </w:rPr>
        <w:t xml:space="preserve">8  </w:t>
      </w:r>
      <w:r>
        <w:rPr>
          <w:sz w:val="1"/>
          <w:szCs w:val="1"/>
          <w:color w:val="auto"/>
        </w:rPr>
        <w:drawing>
          <wp:inline distT="0" distB="0" distL="0" distR="0">
            <wp:extent cx="165100" cy="1651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6">
                      <a:extLst>
                        <a:ext uri="{28A0092B-C50C-407E-A947-70E740481C1C}"/>
                      </a:extLst>
                    </a:blip>
                    <a:srcRect/>
                    <a:stretch>
                      <a:fillRect/>
                    </a:stretch>
                  </pic:blipFill>
                  <pic:spPr bwMode="auto">
                    <a:xfrm>
                      <a:off x="0" y="0"/>
                      <a:ext cx="165100" cy="165100"/>
                    </a:xfrm>
                    <a:prstGeom prst="rect">
                      <a:avLst/>
                    </a:prstGeom>
                    <a:noFill/>
                    <a:ln>
                      <a:noFill/>
                    </a:ln>
                  </pic:spPr>
                </pic:pic>
              </a:graphicData>
            </a:graphic>
          </wp:inline>
        </w:drawing>
      </w:r>
      <w:r>
        <w:rPr>
          <w:rFonts w:ascii="Arial" w:cs="Arial" w:eastAsia="Arial" w:hAnsi="Arial"/>
          <w:sz w:val="15"/>
          <w:szCs w:val="15"/>
          <w:color w:val="auto"/>
        </w:rPr>
        <w:t xml:space="preserve">  T. J. WHITMORE ET AL.</w:t>
      </w:r>
    </w:p>
    <w:p>
      <w:pPr>
        <w:spacing w:after="0" w:line="271"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3"/>
          <w:szCs w:val="23"/>
          <w:color w:val="auto"/>
        </w:rPr>
        <w:t>values in cores are interpreted in general terms with respect to those taxa.</w:t>
      </w:r>
    </w:p>
    <w:p>
      <w:pPr>
        <w:spacing w:after="0" w:line="2" w:lineRule="exact"/>
        <w:rPr>
          <w:sz w:val="20"/>
          <w:szCs w:val="20"/>
          <w:color w:val="auto"/>
        </w:rPr>
      </w:pPr>
    </w:p>
    <w:p>
      <w:pPr>
        <w:jc w:val="both"/>
        <w:ind w:firstLine="240"/>
        <w:spacing w:after="0" w:line="255" w:lineRule="auto"/>
        <w:rPr>
          <w:sz w:val="20"/>
          <w:szCs w:val="20"/>
          <w:color w:val="auto"/>
        </w:rPr>
      </w:pPr>
      <w:r>
        <w:rPr>
          <w:rFonts w:ascii="Times New Roman" w:cs="Times New Roman" w:eastAsia="Times New Roman" w:hAnsi="Times New Roman"/>
          <w:sz w:val="22"/>
          <w:szCs w:val="22"/>
          <w:color w:val="auto"/>
        </w:rPr>
        <w:t>Brenner et al. (</w:t>
      </w:r>
      <w:r>
        <w:rPr>
          <w:rFonts w:ascii="Times New Roman" w:cs="Times New Roman" w:eastAsia="Times New Roman" w:hAnsi="Times New Roman"/>
          <w:sz w:val="22"/>
          <w:szCs w:val="22"/>
          <w:color w:val="000080"/>
        </w:rPr>
        <w:t>2006</w:t>
      </w:r>
      <w:r>
        <w:rPr>
          <w:rFonts w:ascii="Times New Roman" w:cs="Times New Roman" w:eastAsia="Times New Roman" w:hAnsi="Times New Roman"/>
          <w:sz w:val="22"/>
          <w:szCs w:val="22"/>
          <w:color w:val="auto"/>
        </w:rPr>
        <w:t>) reported d</w:t>
      </w:r>
      <w:r>
        <w:rPr>
          <w:rFonts w:ascii="Times New Roman" w:cs="Times New Roman" w:eastAsia="Times New Roman" w:hAnsi="Times New Roman"/>
          <w:sz w:val="29"/>
          <w:szCs w:val="29"/>
          <w:color w:val="auto"/>
          <w:vertAlign w:val="superscript"/>
        </w:rPr>
        <w:t>13</w:t>
      </w:r>
      <w:r>
        <w:rPr>
          <w:rFonts w:ascii="Times New Roman" w:cs="Times New Roman" w:eastAsia="Times New Roman" w:hAnsi="Times New Roman"/>
          <w:sz w:val="22"/>
          <w:szCs w:val="22"/>
          <w:color w:val="auto"/>
        </w:rPr>
        <w:t>C and C/N val-ues for Typha, Sagittaria, Hydrocotyle, Pontederia, Scirpus, Salix, Nymphaea, Ceratophyllum, Najas, Potamogeton, Vallisneria, and Hydrilla, and for per-iphyton and epiphytic algae. Stable isotope values for submerged aquatic primary producers can vary seasonally, but that study reported averages from summer and winter seasons, which displayed little difference. We used d</w:t>
      </w:r>
      <w:r>
        <w:rPr>
          <w:rFonts w:ascii="Times New Roman" w:cs="Times New Roman" w:eastAsia="Times New Roman" w:hAnsi="Times New Roman"/>
          <w:sz w:val="29"/>
          <w:szCs w:val="29"/>
          <w:color w:val="auto"/>
          <w:vertAlign w:val="superscript"/>
        </w:rPr>
        <w:t>13</w:t>
      </w:r>
      <w:r>
        <w:rPr>
          <w:rFonts w:ascii="Times New Roman" w:cs="Times New Roman" w:eastAsia="Times New Roman" w:hAnsi="Times New Roman"/>
          <w:sz w:val="22"/>
          <w:szCs w:val="22"/>
          <w:color w:val="auto"/>
        </w:rPr>
        <w:t xml:space="preserve">C values for Pistia from the Florida Everglades (Wang et al. </w:t>
      </w:r>
      <w:r>
        <w:rPr>
          <w:rFonts w:ascii="Times New Roman" w:cs="Times New Roman" w:eastAsia="Times New Roman" w:hAnsi="Times New Roman"/>
          <w:sz w:val="22"/>
          <w:szCs w:val="22"/>
          <w:color w:val="000080"/>
        </w:rPr>
        <w:t>2002</w:t>
      </w:r>
      <w:r>
        <w:rPr>
          <w:rFonts w:ascii="Times New Roman" w:cs="Times New Roman" w:eastAsia="Times New Roman" w:hAnsi="Times New Roman"/>
          <w:sz w:val="22"/>
          <w:szCs w:val="22"/>
          <w:color w:val="auto"/>
        </w:rPr>
        <w:t>), and we assumed a C/N ratio similar to that for Nymphaea, because both genera have similar structural tissue for the floating life form (much aerenchyma tissue). We found few published d</w:t>
      </w:r>
      <w:r>
        <w:rPr>
          <w:rFonts w:ascii="Times New Roman" w:cs="Times New Roman" w:eastAsia="Times New Roman" w:hAnsi="Times New Roman"/>
          <w:sz w:val="29"/>
          <w:szCs w:val="29"/>
          <w:color w:val="auto"/>
          <w:vertAlign w:val="superscript"/>
        </w:rPr>
        <w:t>13</w:t>
      </w:r>
      <w:r>
        <w:rPr>
          <w:rFonts w:ascii="Times New Roman" w:cs="Times New Roman" w:eastAsia="Times New Roman" w:hAnsi="Times New Roman"/>
          <w:sz w:val="22"/>
          <w:szCs w:val="22"/>
          <w:color w:val="auto"/>
        </w:rPr>
        <w:t>C values for cyanobac-teria in our region, and those displayed a wide range depending on taxonomic affinity and location in the water column. Rosen et al. (</w:t>
      </w:r>
      <w:r>
        <w:rPr>
          <w:rFonts w:ascii="Times New Roman" w:cs="Times New Roman" w:eastAsia="Times New Roman" w:hAnsi="Times New Roman"/>
          <w:sz w:val="22"/>
          <w:szCs w:val="22"/>
          <w:color w:val="000080"/>
        </w:rPr>
        <w:t>2017</w:t>
      </w:r>
      <w:r>
        <w:rPr>
          <w:rFonts w:ascii="Times New Roman" w:cs="Times New Roman" w:eastAsia="Times New Roman" w:hAnsi="Times New Roman"/>
          <w:sz w:val="22"/>
          <w:szCs w:val="22"/>
          <w:color w:val="auto"/>
        </w:rPr>
        <w:t>) reported that a 2016 cyanobacterial surface bloom on Lake Okeechobee was caused mostly by Microcystis aeru-ginosa, so we used the reported d</w:t>
      </w:r>
      <w:r>
        <w:rPr>
          <w:rFonts w:ascii="Times New Roman" w:cs="Times New Roman" w:eastAsia="Times New Roman" w:hAnsi="Times New Roman"/>
          <w:sz w:val="29"/>
          <w:szCs w:val="29"/>
          <w:color w:val="auto"/>
          <w:vertAlign w:val="superscript"/>
        </w:rPr>
        <w:t>13</w:t>
      </w:r>
      <w:r>
        <w:rPr>
          <w:rFonts w:ascii="Times New Roman" w:cs="Times New Roman" w:eastAsia="Times New Roman" w:hAnsi="Times New Roman"/>
          <w:sz w:val="22"/>
          <w:szCs w:val="22"/>
          <w:color w:val="auto"/>
        </w:rPr>
        <w:t xml:space="preserve">C value for that species (Gu and Alexander </w:t>
      </w:r>
      <w:r>
        <w:rPr>
          <w:rFonts w:ascii="Times New Roman" w:cs="Times New Roman" w:eastAsia="Times New Roman" w:hAnsi="Times New Roman"/>
          <w:sz w:val="22"/>
          <w:szCs w:val="22"/>
          <w:color w:val="000080"/>
        </w:rPr>
        <w:t>1996</w:t>
      </w:r>
      <w:r>
        <w:rPr>
          <w:rFonts w:ascii="Times New Roman" w:cs="Times New Roman" w:eastAsia="Times New Roman" w:hAnsi="Times New Roman"/>
          <w:sz w:val="22"/>
          <w:szCs w:val="22"/>
          <w:color w:val="auto"/>
        </w:rPr>
        <w:t>), which is distinctly negative compared with subsurface algae and cyano-bacteria as a consequence of atmospheric CO</w:t>
      </w:r>
      <w:r>
        <w:rPr>
          <w:rFonts w:ascii="Times New Roman" w:cs="Times New Roman" w:eastAsia="Times New Roman" w:hAnsi="Times New Roman"/>
          <w:sz w:val="29"/>
          <w:szCs w:val="29"/>
          <w:color w:val="auto"/>
          <w:vertAlign w:val="subscript"/>
        </w:rPr>
        <w:t>2</w:t>
      </w:r>
      <w:r>
        <w:rPr>
          <w:rFonts w:ascii="Times New Roman" w:cs="Times New Roman" w:eastAsia="Times New Roman" w:hAnsi="Times New Roman"/>
          <w:sz w:val="22"/>
          <w:szCs w:val="22"/>
          <w:color w:val="auto"/>
        </w:rPr>
        <w:t xml:space="preserve"> fix-ation. We assumed a C/N ratio the same as that for algae (</w:t>
      </w:r>
      <w:r>
        <w:rPr>
          <w:rFonts w:ascii="Arial" w:cs="Arial" w:eastAsia="Arial" w:hAnsi="Arial"/>
          <w:sz w:val="22"/>
          <w:szCs w:val="22"/>
          <w:color w:val="auto"/>
        </w:rPr>
        <w:t>&lt;</w:t>
      </w:r>
      <w:r>
        <w:rPr>
          <w:rFonts w:ascii="Times New Roman" w:cs="Times New Roman" w:eastAsia="Times New Roman" w:hAnsi="Times New Roman"/>
          <w:sz w:val="22"/>
          <w:szCs w:val="22"/>
          <w:color w:val="auto"/>
        </w:rPr>
        <w:t xml:space="preserve"> 10).</w:t>
      </w:r>
    </w:p>
    <w:p>
      <w:pPr>
        <w:spacing w:after="0" w:line="397" w:lineRule="exact"/>
        <w:rPr>
          <w:sz w:val="20"/>
          <w:szCs w:val="20"/>
          <w:color w:val="auto"/>
        </w:rPr>
      </w:pPr>
    </w:p>
    <w:p>
      <w:pPr>
        <w:spacing w:after="0"/>
        <w:rPr>
          <w:sz w:val="20"/>
          <w:szCs w:val="20"/>
          <w:color w:val="auto"/>
        </w:rPr>
      </w:pPr>
      <w:r>
        <w:rPr>
          <w:rFonts w:ascii="Arial" w:cs="Arial" w:eastAsia="Arial" w:hAnsi="Arial"/>
          <w:sz w:val="22"/>
          <w:szCs w:val="22"/>
          <w:color w:val="10157E"/>
        </w:rPr>
        <w:t>Results</w:t>
      </w:r>
    </w:p>
    <w:p>
      <w:pPr>
        <w:spacing w:after="0" w:line="152" w:lineRule="exact"/>
        <w:rPr>
          <w:sz w:val="20"/>
          <w:szCs w:val="20"/>
          <w:color w:val="auto"/>
        </w:rPr>
      </w:pPr>
    </w:p>
    <w:p>
      <w:pPr>
        <w:spacing w:after="0"/>
        <w:rPr>
          <w:sz w:val="20"/>
          <w:szCs w:val="20"/>
          <w:color w:val="auto"/>
        </w:rPr>
      </w:pPr>
      <w:r>
        <w:rPr>
          <w:rFonts w:ascii="Arial" w:cs="Arial" w:eastAsia="Arial" w:hAnsi="Arial"/>
          <w:sz w:val="21"/>
          <w:szCs w:val="21"/>
          <w:color w:val="10157E"/>
        </w:rPr>
        <w:t>Field survey and core collection</w:t>
      </w:r>
    </w:p>
    <w:p>
      <w:pPr>
        <w:spacing w:after="0" w:line="152" w:lineRule="exact"/>
        <w:rPr>
          <w:sz w:val="20"/>
          <w:szCs w:val="20"/>
          <w:color w:val="auto"/>
        </w:rPr>
      </w:pPr>
    </w:p>
    <w:p>
      <w:pPr>
        <w:jc w:val="both"/>
        <w:spacing w:after="0" w:line="258" w:lineRule="auto"/>
        <w:rPr>
          <w:sz w:val="20"/>
          <w:szCs w:val="20"/>
          <w:color w:val="auto"/>
        </w:rPr>
      </w:pPr>
      <w:r>
        <w:rPr>
          <w:rFonts w:ascii="Times New Roman" w:cs="Times New Roman" w:eastAsia="Times New Roman" w:hAnsi="Times New Roman"/>
          <w:sz w:val="23"/>
          <w:szCs w:val="23"/>
          <w:color w:val="auto"/>
        </w:rPr>
        <w:t xml:space="preserve">Sediment distribution is highly variable in shal-low Florida lakes because of resuspension and transport. These processes can affect the com-pleteness of sediment records (Whitmore et al. </w:t>
      </w:r>
      <w:r>
        <w:rPr>
          <w:rFonts w:ascii="Times New Roman" w:cs="Times New Roman" w:eastAsia="Times New Roman" w:hAnsi="Times New Roman"/>
          <w:sz w:val="23"/>
          <w:szCs w:val="23"/>
          <w:color w:val="000080"/>
        </w:rPr>
        <w:t>1996</w:t>
      </w:r>
      <w:r>
        <w:rPr>
          <w:rFonts w:ascii="Times New Roman" w:cs="Times New Roman" w:eastAsia="Times New Roman" w:hAnsi="Times New Roman"/>
          <w:sz w:val="23"/>
          <w:szCs w:val="23"/>
          <w:color w:val="000000"/>
        </w:rPr>
        <w:t>). Sediment surveys and replicate cores were</w:t>
      </w:r>
      <w:r>
        <w:rPr>
          <w:rFonts w:ascii="Times New Roman" w:cs="Times New Roman" w:eastAsia="Times New Roman" w:hAnsi="Times New Roman"/>
          <w:sz w:val="23"/>
          <w:szCs w:val="23"/>
          <w:color w:val="000080"/>
        </w:rPr>
        <w:t xml:space="preserve"> </w:t>
      </w:r>
      <w:r>
        <w:rPr>
          <w:rFonts w:ascii="Times New Roman" w:cs="Times New Roman" w:eastAsia="Times New Roman" w:hAnsi="Times New Roman"/>
          <w:sz w:val="23"/>
          <w:szCs w:val="23"/>
          <w:color w:val="000000"/>
        </w:rPr>
        <w:t>needed to ensure that one or more intact histor-ical records would be obtained from each lake. In addition, lake drawdowns and sediment removal operations in recent decades posed significant risks that portions of records would be missing.</w:t>
      </w:r>
    </w:p>
    <w:p>
      <w:pPr>
        <w:spacing w:after="0" w:line="12" w:lineRule="exact"/>
        <w:rPr>
          <w:sz w:val="20"/>
          <w:szCs w:val="20"/>
          <w:color w:val="auto"/>
        </w:rPr>
      </w:pPr>
    </w:p>
    <w:p>
      <w:pPr>
        <w:jc w:val="both"/>
        <w:ind w:firstLine="240"/>
        <w:spacing w:after="0" w:line="258" w:lineRule="auto"/>
        <w:rPr>
          <w:sz w:val="20"/>
          <w:szCs w:val="20"/>
          <w:color w:val="auto"/>
        </w:rPr>
      </w:pPr>
      <w:r>
        <w:rPr>
          <w:rFonts w:ascii="Times New Roman" w:cs="Times New Roman" w:eastAsia="Times New Roman" w:hAnsi="Times New Roman"/>
          <w:sz w:val="23"/>
          <w:szCs w:val="23"/>
          <w:color w:val="auto"/>
        </w:rPr>
        <w:t>Sediments were probed at 62 stations in Lake Cypress, 59 stations in East Lake Tohopekaliga, 34 stations in Lake Jackson, 50 stations in Lake Kissimmee, 26 stations in Lake Marian, and 74 stations in Lake Tohopekaliga to find suitable coring sites. In total, 18 primary cores were taken from the 6 lakes between November 2016 and</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342" w:lineRule="exact"/>
        <w:rPr>
          <w:sz w:val="20"/>
          <w:szCs w:val="20"/>
          <w:color w:val="auto"/>
        </w:rPr>
      </w:pPr>
    </w:p>
    <w:p>
      <w:pPr>
        <w:jc w:val="both"/>
        <w:spacing w:after="0" w:line="253" w:lineRule="auto"/>
        <w:rPr>
          <w:sz w:val="20"/>
          <w:szCs w:val="20"/>
          <w:color w:val="auto"/>
        </w:rPr>
      </w:pPr>
      <w:r>
        <w:rPr>
          <w:rFonts w:ascii="Times New Roman" w:cs="Times New Roman" w:eastAsia="Times New Roman" w:hAnsi="Times New Roman"/>
          <w:sz w:val="23"/>
          <w:szCs w:val="23"/>
          <w:color w:val="auto"/>
        </w:rPr>
        <w:t>March 2018. Three cores were retrieved from Lake Cypress, 3 from East Tohopekaliga, 3 from Lake Kissimmee, 2 from Lake Jackson, and 2 from Lake Marian. Five sediment cores were col-lected from Lake Tohopekaliga: one from the northern basin, 2 from the central basin, and 2 from the southern basin.</w:t>
      </w:r>
    </w:p>
    <w:p>
      <w:pPr>
        <w:spacing w:after="0" w:line="18" w:lineRule="exact"/>
        <w:rPr>
          <w:sz w:val="20"/>
          <w:szCs w:val="20"/>
          <w:color w:val="auto"/>
        </w:rPr>
      </w:pPr>
    </w:p>
    <w:p>
      <w:pPr>
        <w:jc w:val="both"/>
        <w:ind w:firstLine="240"/>
        <w:spacing w:after="0" w:line="251" w:lineRule="auto"/>
        <w:rPr>
          <w:sz w:val="20"/>
          <w:szCs w:val="20"/>
          <w:color w:val="auto"/>
        </w:rPr>
      </w:pPr>
      <w:r>
        <w:rPr>
          <w:rFonts w:ascii="Times New Roman" w:cs="Times New Roman" w:eastAsia="Times New Roman" w:hAnsi="Times New Roman"/>
          <w:sz w:val="23"/>
          <w:szCs w:val="23"/>
          <w:color w:val="auto"/>
        </w:rPr>
        <w:t xml:space="preserve">We selected one core to represent each study lake in this article because including all 18 cores would have been too excessive for presentation and would not have been more informative. Many cores did not yield complete records. We used sediment dating results to select cores that had more intact profiles, and evaluated that based on radioisotopic activities and total </w:t>
      </w:r>
      <w:r>
        <w:rPr>
          <w:rFonts w:ascii="Times New Roman" w:cs="Times New Roman" w:eastAsia="Times New Roman" w:hAnsi="Times New Roman"/>
          <w:sz w:val="30"/>
          <w:szCs w:val="30"/>
          <w:color w:val="auto"/>
          <w:vertAlign w:val="superscript"/>
        </w:rPr>
        <w:t>210</w:t>
      </w:r>
      <w:r>
        <w:rPr>
          <w:rFonts w:ascii="Times New Roman" w:cs="Times New Roman" w:eastAsia="Times New Roman" w:hAnsi="Times New Roman"/>
          <w:sz w:val="23"/>
          <w:szCs w:val="23"/>
          <w:color w:val="auto"/>
        </w:rPr>
        <w:t>Pb inven-tories, among other evidence. Some cores con-tained more sand lenses than other cores, and diatom breakage was occasionally too extensive for interpretation in portions of the profiles. Sediment records showed good concurrence within lakes, but certain records were more intact and informative. We chose the most intact record to represent each of the 6 lakes, but occasionally explain that some evidence, such as Ruppia seeds or ostracods, were more abundant in other cores that had less complete records. We also chose cores from the central portions of basins for this presentation rather than cores from peripheral areas and embayments.</w:t>
      </w:r>
    </w:p>
    <w:p>
      <w:pPr>
        <w:spacing w:after="0" w:line="200" w:lineRule="exact"/>
        <w:rPr>
          <w:sz w:val="20"/>
          <w:szCs w:val="20"/>
          <w:color w:val="auto"/>
        </w:rPr>
      </w:pPr>
    </w:p>
    <w:p>
      <w:pPr>
        <w:spacing w:after="0" w:line="218" w:lineRule="exact"/>
        <w:rPr>
          <w:sz w:val="20"/>
          <w:szCs w:val="20"/>
          <w:color w:val="auto"/>
        </w:rPr>
      </w:pPr>
    </w:p>
    <w:p>
      <w:pPr>
        <w:spacing w:after="0"/>
        <w:rPr>
          <w:sz w:val="20"/>
          <w:szCs w:val="20"/>
          <w:color w:val="auto"/>
        </w:rPr>
      </w:pPr>
      <w:r>
        <w:rPr>
          <w:rFonts w:ascii="Arial" w:cs="Arial" w:eastAsia="Arial" w:hAnsi="Arial"/>
          <w:sz w:val="21"/>
          <w:szCs w:val="21"/>
          <w:color w:val="10157E"/>
        </w:rPr>
        <w:t>Lake Cypress</w:t>
      </w:r>
    </w:p>
    <w:p>
      <w:pPr>
        <w:spacing w:after="0" w:line="152" w:lineRule="exact"/>
        <w:rPr>
          <w:sz w:val="20"/>
          <w:szCs w:val="20"/>
          <w:color w:val="auto"/>
        </w:rPr>
      </w:pPr>
    </w:p>
    <w:p>
      <w:pPr>
        <w:jc w:val="both"/>
        <w:spacing w:after="0" w:line="267" w:lineRule="auto"/>
        <w:rPr>
          <w:sz w:val="20"/>
          <w:szCs w:val="20"/>
          <w:color w:val="auto"/>
        </w:rPr>
      </w:pPr>
      <w:r>
        <w:rPr>
          <w:rFonts w:ascii="Times New Roman" w:cs="Times New Roman" w:eastAsia="Times New Roman" w:hAnsi="Times New Roman"/>
          <w:sz w:val="22"/>
          <w:szCs w:val="22"/>
          <w:color w:val="auto"/>
        </w:rPr>
        <w:t xml:space="preserve">Radioistopic activities for Lake Cypress core 29_XII_2017_CYP_3 are shown in </w:t>
      </w:r>
      <w:r>
        <w:rPr>
          <w:rFonts w:ascii="Times New Roman" w:cs="Times New Roman" w:eastAsia="Times New Roman" w:hAnsi="Times New Roman"/>
          <w:sz w:val="22"/>
          <w:szCs w:val="22"/>
          <w:color w:val="000080"/>
        </w:rPr>
        <w:t>Figure S1</w:t>
      </w:r>
      <w:r>
        <w:rPr>
          <w:rFonts w:ascii="Times New Roman" w:cs="Times New Roman" w:eastAsia="Times New Roman" w:hAnsi="Times New Roman"/>
          <w:sz w:val="22"/>
          <w:szCs w:val="22"/>
          <w:color w:val="auto"/>
        </w:rPr>
        <w:t>, and dates are shown in Table S1. In the lower 60 cm of Lake Cypress core 29_XII_2017_CYP_3 (</w:t>
      </w:r>
      <w:r>
        <w:rPr>
          <w:rFonts w:ascii="Times New Roman" w:cs="Times New Roman" w:eastAsia="Times New Roman" w:hAnsi="Times New Roman"/>
          <w:sz w:val="22"/>
          <w:szCs w:val="22"/>
          <w:color w:val="000080"/>
        </w:rPr>
        <w:t>Figure 2</w:t>
      </w:r>
      <w:r>
        <w:rPr>
          <w:rFonts w:ascii="Times New Roman" w:cs="Times New Roman" w:eastAsia="Times New Roman" w:hAnsi="Times New Roman"/>
          <w:sz w:val="22"/>
          <w:szCs w:val="22"/>
          <w:color w:val="auto"/>
        </w:rPr>
        <w:t xml:space="preserve">), prior to the 1880s, salt-tolerant diatom taxa such as Mastogloia smithii, Campylodiscus clypeus, and Anomoeoneis sphaerophora var. sculpta indicated that extremely low water levels occurred at times (Whitmore et al. </w:t>
      </w:r>
      <w:r>
        <w:rPr>
          <w:rFonts w:ascii="Times New Roman" w:cs="Times New Roman" w:eastAsia="Times New Roman" w:hAnsi="Times New Roman"/>
          <w:sz w:val="22"/>
          <w:szCs w:val="22"/>
          <w:color w:val="000080"/>
        </w:rPr>
        <w:t>2018</w:t>
      </w:r>
      <w:r>
        <w:rPr>
          <w:rFonts w:ascii="Times New Roman" w:cs="Times New Roman" w:eastAsia="Times New Roman" w:hAnsi="Times New Roman"/>
          <w:sz w:val="22"/>
          <w:szCs w:val="22"/>
          <w:color w:val="auto"/>
        </w:rPr>
        <w:t xml:space="preserve">). These taxa co-occurred with Cyclotella meneghiniana, a eutrophic species (optimum total P </w:t>
      </w:r>
      <w:r>
        <w:rPr>
          <w:rFonts w:ascii="Arial" w:cs="Arial" w:eastAsia="Arial" w:hAnsi="Arial"/>
          <w:sz w:val="22"/>
          <w:szCs w:val="22"/>
          <w:color w:val="auto"/>
        </w:rPr>
        <w:t>¼</w:t>
      </w:r>
      <w:r>
        <w:rPr>
          <w:rFonts w:ascii="Times New Roman" w:cs="Times New Roman" w:eastAsia="Times New Roman" w:hAnsi="Times New Roman"/>
          <w:sz w:val="22"/>
          <w:szCs w:val="22"/>
          <w:color w:val="auto"/>
        </w:rPr>
        <w:t xml:space="preserve"> 61 </w:t>
      </w:r>
      <w:r>
        <w:rPr>
          <w:rFonts w:ascii="Arial" w:cs="Arial" w:eastAsia="Arial" w:hAnsi="Arial"/>
          <w:sz w:val="22"/>
          <w:szCs w:val="22"/>
          <w:color w:val="auto"/>
        </w:rPr>
        <w:t>m</w:t>
      </w:r>
      <w:r>
        <w:rPr>
          <w:rFonts w:ascii="Times New Roman" w:cs="Times New Roman" w:eastAsia="Times New Roman" w:hAnsi="Times New Roman"/>
          <w:sz w:val="22"/>
          <w:szCs w:val="22"/>
          <w:color w:val="auto"/>
        </w:rPr>
        <w:t xml:space="preserve">g/L; Whitmore et al. </w:t>
      </w:r>
      <w:r>
        <w:rPr>
          <w:rFonts w:ascii="Times New Roman" w:cs="Times New Roman" w:eastAsia="Times New Roman" w:hAnsi="Times New Roman"/>
          <w:sz w:val="22"/>
          <w:szCs w:val="22"/>
          <w:color w:val="000080"/>
        </w:rPr>
        <w:t>2018</w:t>
      </w:r>
      <w:r>
        <w:rPr>
          <w:rFonts w:ascii="Times New Roman" w:cs="Times New Roman" w:eastAsia="Times New Roman" w:hAnsi="Times New Roman"/>
          <w:sz w:val="22"/>
          <w:szCs w:val="22"/>
          <w:color w:val="auto"/>
        </w:rPr>
        <w:t>) that is less salt-tolerant. Mixed assemblages sug-gested extreme variations in water levels. Excessive diatom breakage, which precluded quantitative assessment, occurred several times in predisturb-ance samples of one core from Lake Cypress, and it was associated with brief periods of dry</w:t>
      </w:r>
    </w:p>
    <w:p>
      <w:pPr>
        <w:sectPr>
          <w:pgSz w:w="12240" w:h="15840" w:orient="portrait"/>
          <w:cols w:equalWidth="0" w:num="2">
            <w:col w:w="4740" w:space="360"/>
            <w:col w:w="4740"/>
          </w:cols>
          <w:pgMar w:left="1200" w:top="458" w:right="1200" w:bottom="518" w:gutter="0" w:footer="0" w:header="0"/>
        </w:sectPr>
      </w:pPr>
    </w:p>
    <w:bookmarkStart w:id="9" w:name="page10"/>
    <w:bookmarkEnd w:id="9"/>
    <w:p>
      <w:pPr>
        <w:ind w:left="6920"/>
        <w:spacing w:after="0"/>
        <w:rPr>
          <w:sz w:val="20"/>
          <w:szCs w:val="20"/>
          <w:color w:val="auto"/>
        </w:rPr>
      </w:pPr>
      <w:r>
        <w:rPr>
          <w:rFonts w:ascii="Arial" w:cs="Arial" w:eastAsia="Arial" w:hAnsi="Arial"/>
          <w:sz w:val="12"/>
          <w:szCs w:val="12"/>
          <w:color w:val="auto"/>
        </w:rPr>
        <w:t xml:space="preserve">LAKE AND RESERVOIR MANAGEMENT  </w:t>
      </w:r>
      <w:r>
        <w:rPr>
          <w:sz w:val="1"/>
          <w:szCs w:val="1"/>
          <w:color w:val="auto"/>
        </w:rPr>
        <w:drawing>
          <wp:inline distT="0" distB="0" distL="0" distR="0">
            <wp:extent cx="165100" cy="1651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7">
                      <a:extLst>
                        <a:ext uri="{28A0092B-C50C-407E-A947-70E740481C1C}"/>
                      </a:extLst>
                    </a:blip>
                    <a:srcRect/>
                    <a:stretch>
                      <a:fillRect/>
                    </a:stretch>
                  </pic:blipFill>
                  <pic:spPr bwMode="auto">
                    <a:xfrm>
                      <a:off x="0" y="0"/>
                      <a:ext cx="165100" cy="165100"/>
                    </a:xfrm>
                    <a:prstGeom prst="rect">
                      <a:avLst/>
                    </a:prstGeom>
                    <a:noFill/>
                    <a:ln>
                      <a:noFill/>
                    </a:ln>
                  </pic:spPr>
                </pic:pic>
              </a:graphicData>
            </a:graphic>
          </wp:inline>
        </w:drawing>
      </w:r>
      <w:r>
        <w:rPr>
          <w:rFonts w:ascii="Arial" w:cs="Arial" w:eastAsia="Arial" w:hAnsi="Arial"/>
          <w:sz w:val="12"/>
          <w:szCs w:val="12"/>
          <w:color w:val="auto"/>
        </w:rPr>
        <w:t xml:space="preserve">  9</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68580</wp:posOffset>
            </wp:positionH>
            <wp:positionV relativeFrom="paragraph">
              <wp:posOffset>196850</wp:posOffset>
            </wp:positionV>
            <wp:extent cx="6110605" cy="354584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8">
                      <a:extLst>
                        <a:ext uri="{28A0092B-C50C-407E-A947-70E740481C1C}"/>
                      </a:extLst>
                    </a:blip>
                    <a:srcRect/>
                    <a:stretch>
                      <a:fillRect/>
                    </a:stretch>
                  </pic:blipFill>
                  <pic:spPr bwMode="auto">
                    <a:xfrm>
                      <a:off x="0" y="0"/>
                      <a:ext cx="6110605" cy="354584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5" w:lineRule="exact"/>
        <w:rPr>
          <w:sz w:val="20"/>
          <w:szCs w:val="20"/>
          <w:color w:val="auto"/>
        </w:rPr>
      </w:pPr>
    </w:p>
    <w:p>
      <w:pPr>
        <w:spacing w:after="0" w:line="238" w:lineRule="auto"/>
        <w:rPr>
          <w:sz w:val="20"/>
          <w:szCs w:val="20"/>
          <w:color w:val="auto"/>
        </w:rPr>
      </w:pPr>
      <w:r>
        <w:rPr>
          <w:rFonts w:ascii="Arial" w:cs="Arial" w:eastAsia="Arial" w:hAnsi="Arial"/>
          <w:sz w:val="19"/>
          <w:szCs w:val="19"/>
          <w:color w:val="10157E"/>
        </w:rPr>
        <w:t xml:space="preserve">Figure 2. </w:t>
      </w:r>
      <w:r>
        <w:rPr>
          <w:rFonts w:ascii="Arial" w:cs="Arial" w:eastAsia="Arial" w:hAnsi="Arial"/>
          <w:sz w:val="19"/>
          <w:szCs w:val="19"/>
          <w:color w:val="000000"/>
        </w:rPr>
        <w:t>Diatom profile with CONISS zonation for core 29_XII_2017_CYP_3 from Lake Cypress. Lower panels show sedimented</w:t>
      </w:r>
      <w:r>
        <w:rPr>
          <w:rFonts w:ascii="Arial" w:cs="Arial" w:eastAsia="Arial" w:hAnsi="Arial"/>
          <w:sz w:val="19"/>
          <w:szCs w:val="19"/>
          <w:color w:val="10157E"/>
        </w:rPr>
        <w:t xml:space="preserve"> </w:t>
      </w:r>
      <w:r>
        <w:rPr>
          <w:rFonts w:ascii="Arial" w:cs="Arial" w:eastAsia="Arial" w:hAnsi="Arial"/>
          <w:sz w:val="19"/>
          <w:szCs w:val="19"/>
          <w:color w:val="000000"/>
        </w:rPr>
        <w:t>algal and cyanobacterial pigment profiles from Lake Cypress core 18_XI_2016_CYP_40.</w:t>
      </w:r>
    </w:p>
    <w:p>
      <w:pPr>
        <w:sectPr>
          <w:pgSz w:w="12240" w:h="15840" w:orient="portrait"/>
          <w:cols w:equalWidth="0" w:num="1">
            <w:col w:w="9840"/>
          </w:cols>
          <w:pgMar w:left="1200" w:top="464" w:right="1200" w:bottom="530" w:gutter="0" w:footer="0" w:header="0"/>
        </w:sectPr>
      </w:pPr>
    </w:p>
    <w:p>
      <w:pPr>
        <w:spacing w:after="0" w:line="275" w:lineRule="exact"/>
        <w:rPr>
          <w:sz w:val="20"/>
          <w:szCs w:val="20"/>
          <w:color w:val="auto"/>
        </w:rPr>
      </w:pPr>
    </w:p>
    <w:p>
      <w:pPr>
        <w:jc w:val="both"/>
        <w:spacing w:after="0" w:line="266" w:lineRule="auto"/>
        <w:rPr>
          <w:sz w:val="20"/>
          <w:szCs w:val="20"/>
          <w:color w:val="auto"/>
        </w:rPr>
      </w:pPr>
      <w:r>
        <w:rPr>
          <w:rFonts w:ascii="Times New Roman" w:cs="Times New Roman" w:eastAsia="Times New Roman" w:hAnsi="Times New Roman"/>
          <w:sz w:val="22"/>
          <w:szCs w:val="22"/>
          <w:color w:val="auto"/>
        </w:rPr>
        <w:t>conditions prior to the 1880s. Constrained incre-mental sum of squares hierarchical agglomerative cluster analysis (CONISS) and the broken-stick model showed that a statistically significant change in diatom assemblages occurred c. 1881 (</w:t>
      </w:r>
      <w:r>
        <w:rPr>
          <w:rFonts w:ascii="Times New Roman" w:cs="Times New Roman" w:eastAsia="Times New Roman" w:hAnsi="Times New Roman"/>
          <w:sz w:val="22"/>
          <w:szCs w:val="22"/>
          <w:color w:val="000080"/>
        </w:rPr>
        <w:t>Figure 2</w:t>
      </w:r>
      <w:r>
        <w:rPr>
          <w:rFonts w:ascii="Times New Roman" w:cs="Times New Roman" w:eastAsia="Times New Roman" w:hAnsi="Times New Roman"/>
          <w:sz w:val="22"/>
          <w:szCs w:val="22"/>
          <w:color w:val="auto"/>
        </w:rPr>
        <w:t xml:space="preserve">). Salt-tolerant taxa disappeared in all 3 cores around the time of engineered water-level changes, after which there was a transition to dominance by Aulacoseira granulata, a eutrophic species (opti-mum total P </w:t>
      </w:r>
      <w:r>
        <w:rPr>
          <w:rFonts w:ascii="Arial" w:cs="Arial" w:eastAsia="Arial" w:hAnsi="Arial"/>
          <w:sz w:val="22"/>
          <w:szCs w:val="22"/>
          <w:color w:val="auto"/>
        </w:rPr>
        <w:t>¼</w:t>
      </w:r>
      <w:r>
        <w:rPr>
          <w:rFonts w:ascii="Times New Roman" w:cs="Times New Roman" w:eastAsia="Times New Roman" w:hAnsi="Times New Roman"/>
          <w:sz w:val="22"/>
          <w:szCs w:val="22"/>
          <w:color w:val="auto"/>
        </w:rPr>
        <w:t xml:space="preserve"> 45 </w:t>
      </w:r>
      <w:r>
        <w:rPr>
          <w:rFonts w:ascii="Arial" w:cs="Arial" w:eastAsia="Arial" w:hAnsi="Arial"/>
          <w:sz w:val="22"/>
          <w:szCs w:val="22"/>
          <w:color w:val="auto"/>
        </w:rPr>
        <w:t>m</w:t>
      </w:r>
      <w:r>
        <w:rPr>
          <w:rFonts w:ascii="Times New Roman" w:cs="Times New Roman" w:eastAsia="Times New Roman" w:hAnsi="Times New Roman"/>
          <w:sz w:val="22"/>
          <w:szCs w:val="22"/>
          <w:color w:val="auto"/>
        </w:rPr>
        <w:t xml:space="preserve">g/L; Whitmore et al. </w:t>
      </w:r>
      <w:r>
        <w:rPr>
          <w:rFonts w:ascii="Times New Roman" w:cs="Times New Roman" w:eastAsia="Times New Roman" w:hAnsi="Times New Roman"/>
          <w:sz w:val="22"/>
          <w:szCs w:val="22"/>
          <w:color w:val="000080"/>
        </w:rPr>
        <w:t>2018</w:t>
      </w:r>
      <w:r>
        <w:rPr>
          <w:rFonts w:ascii="Times New Roman" w:cs="Times New Roman" w:eastAsia="Times New Roman" w:hAnsi="Times New Roman"/>
          <w:sz w:val="22"/>
          <w:szCs w:val="22"/>
          <w:color w:val="auto"/>
        </w:rPr>
        <w:t xml:space="preserve">) that requires open waters for suspension in the water column. Another change occurred in the early 1900s to dominance by hypereutrophic, tycho-planktonic Pseudostaurosira brevistriata and Staurosira construens var. venter (optimum total P, respectively, </w:t>
      </w:r>
      <w:r>
        <w:rPr>
          <w:rFonts w:ascii="Arial" w:cs="Arial" w:eastAsia="Arial" w:hAnsi="Arial"/>
          <w:sz w:val="22"/>
          <w:szCs w:val="22"/>
          <w:color w:val="auto"/>
        </w:rPr>
        <w:t>¼</w:t>
      </w:r>
      <w:r>
        <w:rPr>
          <w:rFonts w:ascii="Times New Roman" w:cs="Times New Roman" w:eastAsia="Times New Roman" w:hAnsi="Times New Roman"/>
          <w:sz w:val="22"/>
          <w:szCs w:val="22"/>
          <w:color w:val="auto"/>
        </w:rPr>
        <w:t xml:space="preserve"> 127 </w:t>
      </w:r>
      <w:r>
        <w:rPr>
          <w:rFonts w:ascii="Arial" w:cs="Arial" w:eastAsia="Arial" w:hAnsi="Arial"/>
          <w:sz w:val="22"/>
          <w:szCs w:val="22"/>
          <w:color w:val="auto"/>
        </w:rPr>
        <w:t>m</w:t>
      </w:r>
      <w:r>
        <w:rPr>
          <w:rFonts w:ascii="Times New Roman" w:cs="Times New Roman" w:eastAsia="Times New Roman" w:hAnsi="Times New Roman"/>
          <w:sz w:val="22"/>
          <w:szCs w:val="22"/>
          <w:color w:val="auto"/>
        </w:rPr>
        <w:t xml:space="preserve">g/L and 89 </w:t>
      </w:r>
      <w:r>
        <w:rPr>
          <w:rFonts w:ascii="Arial" w:cs="Arial" w:eastAsia="Arial" w:hAnsi="Arial"/>
          <w:sz w:val="22"/>
          <w:szCs w:val="22"/>
          <w:color w:val="auto"/>
        </w:rPr>
        <w:t>m</w:t>
      </w:r>
      <w:r>
        <w:rPr>
          <w:rFonts w:ascii="Times New Roman" w:cs="Times New Roman" w:eastAsia="Times New Roman" w:hAnsi="Times New Roman"/>
          <w:sz w:val="22"/>
          <w:szCs w:val="22"/>
          <w:color w:val="auto"/>
        </w:rPr>
        <w:t xml:space="preserve">g/L), which our studies have shown is often associated with cyano-bacteria in the water column (Whitmore et al. </w:t>
      </w:r>
      <w:r>
        <w:rPr>
          <w:rFonts w:ascii="Times New Roman" w:cs="Times New Roman" w:eastAsia="Times New Roman" w:hAnsi="Times New Roman"/>
          <w:sz w:val="22"/>
          <w:szCs w:val="22"/>
          <w:color w:val="000080"/>
        </w:rPr>
        <w:t>2018</w:t>
      </w:r>
      <w:r>
        <w:rPr>
          <w:rFonts w:ascii="Times New Roman" w:cs="Times New Roman" w:eastAsia="Times New Roman" w:hAnsi="Times New Roman"/>
          <w:sz w:val="22"/>
          <w:szCs w:val="22"/>
          <w:color w:val="000000"/>
        </w:rPr>
        <w:t>). Tychoplanktonic taxa spend much of their</w:t>
      </w:r>
      <w:r>
        <w:rPr>
          <w:rFonts w:ascii="Times New Roman" w:cs="Times New Roman" w:eastAsia="Times New Roman" w:hAnsi="Times New Roman"/>
          <w:sz w:val="22"/>
          <w:szCs w:val="22"/>
          <w:color w:val="000080"/>
        </w:rPr>
        <w:t xml:space="preserve"> </w:t>
      </w:r>
      <w:r>
        <w:rPr>
          <w:rFonts w:ascii="Times New Roman" w:cs="Times New Roman" w:eastAsia="Times New Roman" w:hAnsi="Times New Roman"/>
          <w:sz w:val="22"/>
          <w:szCs w:val="22"/>
          <w:color w:val="000000"/>
        </w:rPr>
        <w:t>life histories growing on surfaces, but they are intermittently suspended in the water column by waves and currents. Diatom-based water quality inferences from Lake Cypress were not available because the mixed salt-tolerant assemblages in the lower halves of the cores had no analogs among lakes in the calibration set (Table S1).</w:t>
      </w:r>
    </w:p>
    <w:p>
      <w:pPr>
        <w:spacing w:after="0" w:line="20" w:lineRule="exact"/>
        <w:rPr>
          <w:sz w:val="20"/>
          <w:szCs w:val="20"/>
          <w:color w:val="auto"/>
        </w:rPr>
      </w:pPr>
      <w:r>
        <w:rPr>
          <w:sz w:val="20"/>
          <w:szCs w:val="20"/>
          <w:color w:val="auto"/>
        </w:rPr>
        <w:br w:type="column"/>
      </w:r>
    </w:p>
    <w:p>
      <w:pPr>
        <w:spacing w:after="0" w:line="255" w:lineRule="exact"/>
        <w:rPr>
          <w:sz w:val="20"/>
          <w:szCs w:val="20"/>
          <w:color w:val="auto"/>
        </w:rPr>
      </w:pPr>
    </w:p>
    <w:p>
      <w:pPr>
        <w:jc w:val="both"/>
        <w:ind w:firstLine="240"/>
        <w:spacing w:after="0" w:line="252" w:lineRule="auto"/>
        <w:rPr>
          <w:sz w:val="20"/>
          <w:szCs w:val="20"/>
          <w:color w:val="auto"/>
        </w:rPr>
      </w:pPr>
      <w:r>
        <w:rPr>
          <w:rFonts w:ascii="Times New Roman" w:cs="Times New Roman" w:eastAsia="Times New Roman" w:hAnsi="Times New Roman"/>
          <w:sz w:val="23"/>
          <w:szCs w:val="23"/>
          <w:color w:val="auto"/>
        </w:rPr>
        <w:t>Pigment concentrations in the sediments are shown for core 18_XI_2016_CYP_40 (</w:t>
      </w:r>
      <w:r>
        <w:rPr>
          <w:rFonts w:ascii="Times New Roman" w:cs="Times New Roman" w:eastAsia="Times New Roman" w:hAnsi="Times New Roman"/>
          <w:sz w:val="23"/>
          <w:szCs w:val="23"/>
          <w:color w:val="000080"/>
        </w:rPr>
        <w:t>Figure 2</w:t>
      </w:r>
      <w:r>
        <w:rPr>
          <w:rFonts w:ascii="Times New Roman" w:cs="Times New Roman" w:eastAsia="Times New Roman" w:hAnsi="Times New Roman"/>
          <w:sz w:val="23"/>
          <w:szCs w:val="23"/>
          <w:color w:val="auto"/>
        </w:rPr>
        <w:t>). Chlorophyll and carotenoid pigment values were stable below 50 cm in the core, then increased rapidly more than 3-fold after 1883 when Lake Cypress was connected to the Kissimmee Chain by canals. The cyanobacterial pigments oscillax-anthin and myxoxanthophyll were present occa-sionally prior to 1945, then increased more than 10-fold to the present time (</w:t>
      </w:r>
      <w:r>
        <w:rPr>
          <w:rFonts w:ascii="Times New Roman" w:cs="Times New Roman" w:eastAsia="Times New Roman" w:hAnsi="Times New Roman"/>
          <w:sz w:val="23"/>
          <w:szCs w:val="23"/>
          <w:color w:val="000080"/>
        </w:rPr>
        <w:t>Figure 2</w:t>
      </w:r>
      <w:r>
        <w:rPr>
          <w:rFonts w:ascii="Times New Roman" w:cs="Times New Roman" w:eastAsia="Times New Roman" w:hAnsi="Times New Roman"/>
          <w:sz w:val="23"/>
          <w:szCs w:val="23"/>
          <w:color w:val="auto"/>
        </w:rPr>
        <w:t>). Total P deposition rates increased 19-fold, and total N increased 3.5-fold since c. 1855.</w:t>
      </w:r>
    </w:p>
    <w:p>
      <w:pPr>
        <w:spacing w:after="0" w:line="12" w:lineRule="exact"/>
        <w:rPr>
          <w:sz w:val="20"/>
          <w:szCs w:val="20"/>
          <w:color w:val="auto"/>
        </w:rPr>
      </w:pPr>
    </w:p>
    <w:p>
      <w:pPr>
        <w:jc w:val="both"/>
        <w:ind w:firstLine="241"/>
        <w:spacing w:after="0" w:line="244" w:lineRule="auto"/>
        <w:rPr>
          <w:sz w:val="20"/>
          <w:szCs w:val="20"/>
          <w:color w:val="auto"/>
        </w:rPr>
      </w:pPr>
      <w:r>
        <w:rPr>
          <w:rFonts w:ascii="Times New Roman" w:cs="Times New Roman" w:eastAsia="Times New Roman" w:hAnsi="Times New Roman"/>
          <w:sz w:val="23"/>
          <w:szCs w:val="23"/>
          <w:color w:val="auto"/>
        </w:rPr>
        <w:t>The plot of d</w:t>
      </w:r>
      <w:r>
        <w:rPr>
          <w:rFonts w:ascii="Times New Roman" w:cs="Times New Roman" w:eastAsia="Times New Roman" w:hAnsi="Times New Roman"/>
          <w:sz w:val="30"/>
          <w:szCs w:val="30"/>
          <w:color w:val="auto"/>
          <w:vertAlign w:val="superscript"/>
        </w:rPr>
        <w:t>13</w:t>
      </w:r>
      <w:r>
        <w:rPr>
          <w:rFonts w:ascii="Times New Roman" w:cs="Times New Roman" w:eastAsia="Times New Roman" w:hAnsi="Times New Roman"/>
          <w:sz w:val="23"/>
          <w:szCs w:val="23"/>
          <w:color w:val="auto"/>
        </w:rPr>
        <w:t>C versus C/N ratios showed that sedimented carbon at the base of the core was composed primarily of submerged aquatic plants and epiphytic algae (</w:t>
      </w:r>
      <w:r>
        <w:rPr>
          <w:rFonts w:ascii="Times New Roman" w:cs="Times New Roman" w:eastAsia="Times New Roman" w:hAnsi="Times New Roman"/>
          <w:sz w:val="23"/>
          <w:szCs w:val="23"/>
          <w:color w:val="000080"/>
        </w:rPr>
        <w:t>Figure 3</w:t>
      </w:r>
      <w:r>
        <w:rPr>
          <w:rFonts w:ascii="Times New Roman" w:cs="Times New Roman" w:eastAsia="Times New Roman" w:hAnsi="Times New Roman"/>
          <w:sz w:val="23"/>
          <w:szCs w:val="23"/>
          <w:color w:val="auto"/>
        </w:rPr>
        <w:t>). Sediment carbon sources initially were largely floating-leaved vegetation, and then in the top 40 cm of the core (since c. 1945), sources were cyanobac-teria and/or algae that used atmospheric CO</w:t>
      </w:r>
      <w:r>
        <w:rPr>
          <w:rFonts w:ascii="Times New Roman" w:cs="Times New Roman" w:eastAsia="Times New Roman" w:hAnsi="Times New Roman"/>
          <w:sz w:val="30"/>
          <w:szCs w:val="30"/>
          <w:color w:val="auto"/>
          <w:vertAlign w:val="subscript"/>
        </w:rPr>
        <w:t>2</w:t>
      </w:r>
      <w:r>
        <w:rPr>
          <w:rFonts w:ascii="Times New Roman" w:cs="Times New Roman" w:eastAsia="Times New Roman" w:hAnsi="Times New Roman"/>
          <w:sz w:val="23"/>
          <w:szCs w:val="23"/>
          <w:color w:val="auto"/>
        </w:rPr>
        <w:t xml:space="preserve"> for photosynthesis. In predisturbance samples of core 18_XI_2016_CYP_40, Taxodium (cypress) pollen represented about 5% of the assemblage, which was a low-level indication that there were associ-ated swamps in the area. Taxodium pollen was comparatively rare in the other 2 cores (Table</w:t>
      </w:r>
    </w:p>
    <w:p>
      <w:pPr>
        <w:sectPr>
          <w:pgSz w:w="12240" w:h="15840" w:orient="portrait"/>
          <w:cols w:equalWidth="0" w:num="2">
            <w:col w:w="4740" w:space="360"/>
            <w:col w:w="4740"/>
          </w:cols>
          <w:pgMar w:left="1200" w:top="464" w:right="1200" w:bottom="530" w:gutter="0" w:footer="0" w:header="0"/>
          <w:type w:val="continuous"/>
        </w:sectPr>
      </w:pPr>
    </w:p>
    <w:bookmarkStart w:id="10" w:name="page11"/>
    <w:bookmarkEnd w:id="10"/>
    <w:p>
      <w:pPr>
        <w:spacing w:after="0"/>
        <w:rPr>
          <w:sz w:val="20"/>
          <w:szCs w:val="20"/>
          <w:color w:val="auto"/>
        </w:rPr>
      </w:pPr>
      <w:r>
        <w:rPr>
          <w:rFonts w:ascii="Arial" w:cs="Arial" w:eastAsia="Arial" w:hAnsi="Arial"/>
          <w:sz w:val="15"/>
          <w:szCs w:val="15"/>
          <w:color w:val="auto"/>
        </w:rPr>
        <w:t xml:space="preserve">10  </w:t>
      </w:r>
      <w:r>
        <w:rPr>
          <w:sz w:val="1"/>
          <w:szCs w:val="1"/>
          <w:color w:val="auto"/>
        </w:rPr>
        <w:drawing>
          <wp:inline distT="0" distB="0" distL="0" distR="0">
            <wp:extent cx="165100" cy="1651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9">
                      <a:extLst>
                        <a:ext uri="{28A0092B-C50C-407E-A947-70E740481C1C}"/>
                      </a:extLst>
                    </a:blip>
                    <a:srcRect/>
                    <a:stretch>
                      <a:fillRect/>
                    </a:stretch>
                  </pic:blipFill>
                  <pic:spPr bwMode="auto">
                    <a:xfrm>
                      <a:off x="0" y="0"/>
                      <a:ext cx="165100" cy="165100"/>
                    </a:xfrm>
                    <a:prstGeom prst="rect">
                      <a:avLst/>
                    </a:prstGeom>
                    <a:noFill/>
                    <a:ln>
                      <a:noFill/>
                    </a:ln>
                  </pic:spPr>
                </pic:pic>
              </a:graphicData>
            </a:graphic>
          </wp:inline>
        </w:drawing>
      </w:r>
      <w:r>
        <w:rPr>
          <w:rFonts w:ascii="Arial" w:cs="Arial" w:eastAsia="Arial" w:hAnsi="Arial"/>
          <w:sz w:val="15"/>
          <w:szCs w:val="15"/>
          <w:color w:val="auto"/>
        </w:rPr>
        <w:t xml:space="preserve">  T. J. WHITMORE ET AL.</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68580</wp:posOffset>
            </wp:positionH>
            <wp:positionV relativeFrom="paragraph">
              <wp:posOffset>196850</wp:posOffset>
            </wp:positionV>
            <wp:extent cx="6110605" cy="553593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0">
                      <a:extLst>
                        <a:ext uri="{28A0092B-C50C-407E-A947-70E740481C1C}"/>
                      </a:extLst>
                    </a:blip>
                    <a:srcRect/>
                    <a:stretch>
                      <a:fillRect/>
                    </a:stretch>
                  </pic:blipFill>
                  <pic:spPr bwMode="auto">
                    <a:xfrm>
                      <a:off x="0" y="0"/>
                      <a:ext cx="6110605" cy="553593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4" w:lineRule="exact"/>
        <w:rPr>
          <w:sz w:val="20"/>
          <w:szCs w:val="20"/>
          <w:color w:val="auto"/>
        </w:rPr>
      </w:pPr>
    </w:p>
    <w:p>
      <w:pPr>
        <w:jc w:val="both"/>
        <w:spacing w:after="0" w:line="213" w:lineRule="auto"/>
        <w:rPr>
          <w:sz w:val="20"/>
          <w:szCs w:val="20"/>
          <w:color w:val="auto"/>
        </w:rPr>
      </w:pPr>
      <w:r>
        <w:rPr>
          <w:rFonts w:ascii="Arial" w:cs="Arial" w:eastAsia="Arial" w:hAnsi="Arial"/>
          <w:sz w:val="19"/>
          <w:szCs w:val="19"/>
          <w:color w:val="10157E"/>
        </w:rPr>
        <w:t xml:space="preserve">Figure 3. </w:t>
      </w:r>
      <w:r>
        <w:rPr>
          <w:rFonts w:ascii="Arial" w:cs="Arial" w:eastAsia="Arial" w:hAnsi="Arial"/>
          <w:sz w:val="19"/>
          <w:szCs w:val="19"/>
          <w:color w:val="000000"/>
        </w:rPr>
        <w:t>Plots of</w:t>
      </w:r>
      <w:r>
        <w:rPr>
          <w:rFonts w:ascii="Arial" w:cs="Arial" w:eastAsia="Arial" w:hAnsi="Arial"/>
          <w:sz w:val="19"/>
          <w:szCs w:val="19"/>
          <w:color w:val="10157E"/>
        </w:rPr>
        <w:t xml:space="preserve"> </w:t>
      </w:r>
      <w:r>
        <w:rPr>
          <w:rFonts w:ascii="Times New Roman" w:cs="Times New Roman" w:eastAsia="Times New Roman" w:hAnsi="Times New Roman"/>
          <w:sz w:val="19"/>
          <w:szCs w:val="19"/>
          <w:color w:val="000000"/>
        </w:rPr>
        <w:t>d</w:t>
      </w:r>
      <w:r>
        <w:rPr>
          <w:rFonts w:ascii="Arial" w:cs="Arial" w:eastAsia="Arial" w:hAnsi="Arial"/>
          <w:sz w:val="25"/>
          <w:szCs w:val="25"/>
          <w:color w:val="000000"/>
          <w:vertAlign w:val="superscript"/>
        </w:rPr>
        <w:t>13</w:t>
      </w:r>
      <w:r>
        <w:rPr>
          <w:rFonts w:ascii="Arial" w:cs="Arial" w:eastAsia="Arial" w:hAnsi="Arial"/>
          <w:sz w:val="19"/>
          <w:szCs w:val="19"/>
          <w:color w:val="000000"/>
        </w:rPr>
        <w:t>C versus C/N ratios in sedimented organic matter for cores from Lakes Cypress, East Tohopekaliga, Jackson,</w:t>
      </w:r>
      <w:r>
        <w:rPr>
          <w:rFonts w:ascii="Arial" w:cs="Arial" w:eastAsia="Arial" w:hAnsi="Arial"/>
          <w:sz w:val="19"/>
          <w:szCs w:val="19"/>
          <w:color w:val="10157E"/>
        </w:rPr>
        <w:t xml:space="preserve"> </w:t>
      </w:r>
      <w:r>
        <w:rPr>
          <w:rFonts w:ascii="Arial" w:cs="Arial" w:eastAsia="Arial" w:hAnsi="Arial"/>
          <w:sz w:val="19"/>
          <w:szCs w:val="19"/>
          <w:color w:val="000000"/>
        </w:rPr>
        <w:t xml:space="preserve">and Tohopekaliga, the 4 lakes that showed prominent changes in primary producer communities over time. Specific taxa are placed in relative positions based on </w:t>
      </w:r>
      <w:r>
        <w:rPr>
          <w:rFonts w:ascii="Times New Roman" w:cs="Times New Roman" w:eastAsia="Times New Roman" w:hAnsi="Times New Roman"/>
          <w:sz w:val="19"/>
          <w:szCs w:val="19"/>
          <w:color w:val="000000"/>
        </w:rPr>
        <w:t>d</w:t>
      </w:r>
      <w:r>
        <w:rPr>
          <w:rFonts w:ascii="Arial" w:cs="Arial" w:eastAsia="Arial" w:hAnsi="Arial"/>
          <w:sz w:val="25"/>
          <w:szCs w:val="25"/>
          <w:color w:val="000000"/>
          <w:vertAlign w:val="superscript"/>
        </w:rPr>
        <w:t>13</w:t>
      </w:r>
      <w:r>
        <w:rPr>
          <w:rFonts w:ascii="Arial" w:cs="Arial" w:eastAsia="Arial" w:hAnsi="Arial"/>
          <w:sz w:val="19"/>
          <w:szCs w:val="19"/>
          <w:color w:val="000000"/>
        </w:rPr>
        <w:t>C and C/N values reported for studies of other Florida lakes, and are used here to provide general indication of trends in community change.</w:t>
      </w:r>
    </w:p>
    <w:p>
      <w:pPr>
        <w:sectPr>
          <w:pgSz w:w="12240" w:h="15840" w:orient="portrait"/>
          <w:cols w:equalWidth="0" w:num="1">
            <w:col w:w="9840"/>
          </w:cols>
          <w:pgMar w:left="1200" w:top="458" w:right="1200" w:bottom="526" w:gutter="0" w:footer="0" w:header="0"/>
        </w:sectPr>
      </w:pPr>
    </w:p>
    <w:p>
      <w:pPr>
        <w:spacing w:after="0" w:line="276" w:lineRule="exact"/>
        <w:rPr>
          <w:sz w:val="20"/>
          <w:szCs w:val="20"/>
          <w:color w:val="auto"/>
        </w:rPr>
      </w:pPr>
    </w:p>
    <w:p>
      <w:pPr>
        <w:jc w:val="both"/>
        <w:spacing w:after="0" w:line="259" w:lineRule="auto"/>
        <w:rPr>
          <w:sz w:val="20"/>
          <w:szCs w:val="20"/>
          <w:color w:val="auto"/>
        </w:rPr>
      </w:pPr>
      <w:r>
        <w:rPr>
          <w:rFonts w:ascii="Times New Roman" w:cs="Times New Roman" w:eastAsia="Times New Roman" w:hAnsi="Times New Roman"/>
          <w:sz w:val="23"/>
          <w:szCs w:val="23"/>
          <w:color w:val="auto"/>
        </w:rPr>
        <w:t xml:space="preserve">S7). Pollen from other wetland taxa Morella (bay-berry), Nyssa (water tupelo), and Salix (willow) also were present. Pollen data from the predis-turbance period indicated the presence of Pontederia, Typha, Sagittaria, Nymphaea, Nuphar, and Myriophyllum. Macrofossil analyses showed abundant Chara in lowermost predisturbance samples, which was evidence of relatively clear waters (Table S13). Chara declined rapidly prior to the 1880s and was replaced by Nymphaea, a shift that often occurs with eutrophication and diminished light availability (Blindow </w:t>
      </w:r>
      <w:r>
        <w:rPr>
          <w:rFonts w:ascii="Times New Roman" w:cs="Times New Roman" w:eastAsia="Times New Roman" w:hAnsi="Times New Roman"/>
          <w:sz w:val="23"/>
          <w:szCs w:val="23"/>
          <w:color w:val="000080"/>
        </w:rPr>
        <w:t>1992</w:t>
      </w:r>
      <w:r>
        <w:rPr>
          <w:rFonts w:ascii="Times New Roman" w:cs="Times New Roman" w:eastAsia="Times New Roman" w:hAnsi="Times New Roman"/>
          <w:sz w:val="23"/>
          <w:szCs w:val="23"/>
          <w:color w:val="auto"/>
        </w:rPr>
        <w:t xml:space="preserve">, Sayer et al. </w:t>
      </w:r>
      <w:r>
        <w:rPr>
          <w:rFonts w:ascii="Times New Roman" w:cs="Times New Roman" w:eastAsia="Times New Roman" w:hAnsi="Times New Roman"/>
          <w:sz w:val="23"/>
          <w:szCs w:val="23"/>
          <w:color w:val="000080"/>
        </w:rPr>
        <w:t>2010a</w:t>
      </w:r>
      <w:r>
        <w:rPr>
          <w:rFonts w:ascii="Times New Roman" w:cs="Times New Roman" w:eastAsia="Times New Roman" w:hAnsi="Times New Roman"/>
          <w:sz w:val="23"/>
          <w:szCs w:val="23"/>
          <w:color w:val="auto"/>
        </w:rPr>
        <w:t xml:space="preserve">, </w:t>
      </w:r>
      <w:r>
        <w:rPr>
          <w:rFonts w:ascii="Times New Roman" w:cs="Times New Roman" w:eastAsia="Times New Roman" w:hAnsi="Times New Roman"/>
          <w:sz w:val="23"/>
          <w:szCs w:val="23"/>
          <w:color w:val="000080"/>
        </w:rPr>
        <w:t>2010b</w:t>
      </w:r>
      <w:r>
        <w:rPr>
          <w:rFonts w:ascii="Times New Roman" w:cs="Times New Roman" w:eastAsia="Times New Roman" w:hAnsi="Times New Roman"/>
          <w:sz w:val="23"/>
          <w:szCs w:val="23"/>
          <w:color w:val="auto"/>
        </w:rPr>
        <w:t xml:space="preserve">, Bennion et al. </w:t>
      </w:r>
      <w:r>
        <w:rPr>
          <w:rFonts w:ascii="Times New Roman" w:cs="Times New Roman" w:eastAsia="Times New Roman" w:hAnsi="Times New Roman"/>
          <w:sz w:val="23"/>
          <w:szCs w:val="23"/>
          <w:color w:val="000080"/>
        </w:rPr>
        <w:t>2018</w:t>
      </w:r>
      <w:r>
        <w:rPr>
          <w:rFonts w:ascii="Times New Roman" w:cs="Times New Roman" w:eastAsia="Times New Roman" w:hAnsi="Times New Roman"/>
          <w:sz w:val="23"/>
          <w:szCs w:val="23"/>
          <w:color w:val="auto"/>
        </w:rPr>
        <w:t>). Plant</w:t>
      </w:r>
    </w:p>
    <w:p>
      <w:pPr>
        <w:spacing w:after="0" w:line="20" w:lineRule="exact"/>
        <w:rPr>
          <w:sz w:val="20"/>
          <w:szCs w:val="20"/>
          <w:color w:val="auto"/>
        </w:rPr>
      </w:pPr>
      <w:r>
        <w:rPr>
          <w:sz w:val="20"/>
          <w:szCs w:val="20"/>
          <w:color w:val="auto"/>
        </w:rPr>
        <w:br w:type="column"/>
      </w:r>
    </w:p>
    <w:p>
      <w:pPr>
        <w:spacing w:after="0" w:line="256" w:lineRule="exact"/>
        <w:rPr>
          <w:sz w:val="20"/>
          <w:szCs w:val="20"/>
          <w:color w:val="auto"/>
        </w:rPr>
      </w:pPr>
    </w:p>
    <w:p>
      <w:pPr>
        <w:jc w:val="both"/>
        <w:spacing w:after="0" w:line="253" w:lineRule="auto"/>
        <w:rPr>
          <w:sz w:val="20"/>
          <w:szCs w:val="20"/>
          <w:color w:val="auto"/>
        </w:rPr>
      </w:pPr>
      <w:r>
        <w:rPr>
          <w:rFonts w:ascii="Times New Roman" w:cs="Times New Roman" w:eastAsia="Times New Roman" w:hAnsi="Times New Roman"/>
          <w:sz w:val="23"/>
          <w:szCs w:val="23"/>
          <w:color w:val="auto"/>
        </w:rPr>
        <w:t>macrofossils during the predisturbance period also included remains of Najas and Potamogeton.</w:t>
      </w:r>
    </w:p>
    <w:p>
      <w:pPr>
        <w:spacing w:after="0" w:line="200" w:lineRule="exact"/>
        <w:rPr>
          <w:sz w:val="20"/>
          <w:szCs w:val="20"/>
          <w:color w:val="auto"/>
        </w:rPr>
      </w:pPr>
    </w:p>
    <w:p>
      <w:pPr>
        <w:spacing w:after="0" w:line="267" w:lineRule="exact"/>
        <w:rPr>
          <w:sz w:val="20"/>
          <w:szCs w:val="20"/>
          <w:color w:val="auto"/>
        </w:rPr>
      </w:pPr>
    </w:p>
    <w:p>
      <w:pPr>
        <w:spacing w:after="0"/>
        <w:rPr>
          <w:sz w:val="20"/>
          <w:szCs w:val="20"/>
          <w:color w:val="auto"/>
        </w:rPr>
      </w:pPr>
      <w:r>
        <w:rPr>
          <w:rFonts w:ascii="Arial" w:cs="Arial" w:eastAsia="Arial" w:hAnsi="Arial"/>
          <w:sz w:val="21"/>
          <w:szCs w:val="21"/>
          <w:color w:val="10157E"/>
        </w:rPr>
        <w:t>East Lake Tohopekaliga</w:t>
      </w:r>
    </w:p>
    <w:p>
      <w:pPr>
        <w:spacing w:after="0" w:line="152" w:lineRule="exact"/>
        <w:rPr>
          <w:sz w:val="20"/>
          <w:szCs w:val="20"/>
          <w:color w:val="auto"/>
        </w:rPr>
      </w:pPr>
    </w:p>
    <w:p>
      <w:pPr>
        <w:jc w:val="both"/>
        <w:spacing w:after="0" w:line="260" w:lineRule="auto"/>
        <w:rPr>
          <w:sz w:val="20"/>
          <w:szCs w:val="20"/>
          <w:color w:val="auto"/>
        </w:rPr>
      </w:pPr>
      <w:r>
        <w:rPr>
          <w:rFonts w:ascii="Times New Roman" w:cs="Times New Roman" w:eastAsia="Times New Roman" w:hAnsi="Times New Roman"/>
          <w:sz w:val="23"/>
          <w:szCs w:val="23"/>
          <w:color w:val="auto"/>
        </w:rPr>
        <w:t xml:space="preserve">Radioistopic activities for East Lake Tohopekaliga core 9_VIII_2017_ETOH_244 are shown in </w:t>
      </w:r>
      <w:r>
        <w:rPr>
          <w:rFonts w:ascii="Times New Roman" w:cs="Times New Roman" w:eastAsia="Times New Roman" w:hAnsi="Times New Roman"/>
          <w:sz w:val="23"/>
          <w:szCs w:val="23"/>
          <w:color w:val="000080"/>
        </w:rPr>
        <w:t>Figure S2</w:t>
      </w:r>
      <w:r>
        <w:rPr>
          <w:rFonts w:ascii="Times New Roman" w:cs="Times New Roman" w:eastAsia="Times New Roman" w:hAnsi="Times New Roman"/>
          <w:sz w:val="23"/>
          <w:szCs w:val="23"/>
          <w:color w:val="000000"/>
        </w:rPr>
        <w:t>, and dates are shown in Table S2. In</w:t>
      </w:r>
      <w:r>
        <w:rPr>
          <w:rFonts w:ascii="Times New Roman" w:cs="Times New Roman" w:eastAsia="Times New Roman" w:hAnsi="Times New Roman"/>
          <w:sz w:val="23"/>
          <w:szCs w:val="23"/>
          <w:color w:val="000080"/>
        </w:rPr>
        <w:t xml:space="preserve"> </w:t>
      </w:r>
      <w:r>
        <w:rPr>
          <w:rFonts w:ascii="Times New Roman" w:cs="Times New Roman" w:eastAsia="Times New Roman" w:hAnsi="Times New Roman"/>
          <w:sz w:val="23"/>
          <w:szCs w:val="23"/>
          <w:color w:val="000000"/>
        </w:rPr>
        <w:t>profiles of 2 cores from East Lake Tohopekaliga, diatoms were nearly absent from segments of</w:t>
      </w:r>
    </w:p>
    <w:p>
      <w:pPr>
        <w:spacing w:after="0" w:line="16" w:lineRule="exact"/>
        <w:rPr>
          <w:sz w:val="20"/>
          <w:szCs w:val="20"/>
          <w:color w:val="auto"/>
        </w:rPr>
      </w:pPr>
    </w:p>
    <w:p>
      <w:pPr>
        <w:jc w:val="both"/>
        <w:ind w:firstLine="178"/>
        <w:spacing w:after="0" w:line="258" w:lineRule="auto"/>
        <w:rPr>
          <w:sz w:val="20"/>
          <w:szCs w:val="20"/>
          <w:color w:val="auto"/>
        </w:rPr>
      </w:pPr>
      <w:r>
        <w:rPr>
          <w:rFonts w:ascii="Times New Roman" w:cs="Times New Roman" w:eastAsia="Times New Roman" w:hAnsi="Times New Roman"/>
          <w:sz w:val="23"/>
          <w:szCs w:val="23"/>
          <w:color w:val="auto"/>
        </w:rPr>
        <w:t>10 cm in each record because of substantial breakage. This breakage occurred in core 9_VIII_2017_ETOH_244 around the 25</w:t>
      </w:r>
      <w:r>
        <w:rPr>
          <w:rFonts w:ascii="Arial" w:cs="Arial" w:eastAsia="Arial" w:hAnsi="Arial"/>
          <w:sz w:val="23"/>
          <w:szCs w:val="23"/>
          <w:color w:val="auto"/>
        </w:rPr>
        <w:t>–</w:t>
      </w:r>
      <w:r>
        <w:rPr>
          <w:rFonts w:ascii="Times New Roman" w:cs="Times New Roman" w:eastAsia="Times New Roman" w:hAnsi="Times New Roman"/>
          <w:sz w:val="23"/>
          <w:szCs w:val="23"/>
          <w:color w:val="auto"/>
        </w:rPr>
        <w:t>35 cm</w:t>
      </w:r>
    </w:p>
    <w:p>
      <w:pPr>
        <w:sectPr>
          <w:pgSz w:w="12240" w:h="15840" w:orient="portrait"/>
          <w:cols w:equalWidth="0" w:num="2">
            <w:col w:w="4740" w:space="360"/>
            <w:col w:w="4740"/>
          </w:cols>
          <w:pgMar w:left="1200" w:top="458" w:right="1200" w:bottom="526" w:gutter="0" w:footer="0" w:header="0"/>
          <w:type w:val="continuous"/>
        </w:sectPr>
      </w:pPr>
    </w:p>
    <w:bookmarkStart w:id="11" w:name="page12"/>
    <w:bookmarkEnd w:id="11"/>
    <w:p>
      <w:pPr>
        <w:jc w:val="right"/>
        <w:spacing w:after="0"/>
        <w:rPr>
          <w:sz w:val="20"/>
          <w:szCs w:val="20"/>
          <w:color w:val="auto"/>
        </w:rPr>
      </w:pPr>
      <w:r>
        <w:rPr>
          <w:rFonts w:ascii="Arial" w:cs="Arial" w:eastAsia="Arial" w:hAnsi="Arial"/>
          <w:sz w:val="15"/>
          <w:szCs w:val="15"/>
          <w:color w:val="auto"/>
        </w:rPr>
        <w:t xml:space="preserve">LAKE AND RESERVOIR MANAGEMENT  </w:t>
      </w:r>
      <w:r>
        <w:rPr>
          <w:sz w:val="1"/>
          <w:szCs w:val="1"/>
          <w:color w:val="auto"/>
        </w:rPr>
        <w:drawing>
          <wp:inline distT="0" distB="0" distL="0" distR="0">
            <wp:extent cx="165100" cy="1651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1">
                      <a:extLst>
                        <a:ext uri="{28A0092B-C50C-407E-A947-70E740481C1C}"/>
                      </a:extLst>
                    </a:blip>
                    <a:srcRect/>
                    <a:stretch>
                      <a:fillRect/>
                    </a:stretch>
                  </pic:blipFill>
                  <pic:spPr bwMode="auto">
                    <a:xfrm>
                      <a:off x="0" y="0"/>
                      <a:ext cx="165100" cy="165100"/>
                    </a:xfrm>
                    <a:prstGeom prst="rect">
                      <a:avLst/>
                    </a:prstGeom>
                    <a:noFill/>
                    <a:ln>
                      <a:noFill/>
                    </a:ln>
                  </pic:spPr>
                </pic:pic>
              </a:graphicData>
            </a:graphic>
          </wp:inline>
        </w:drawing>
      </w:r>
      <w:r>
        <w:rPr>
          <w:rFonts w:ascii="Arial" w:cs="Arial" w:eastAsia="Arial" w:hAnsi="Arial"/>
          <w:sz w:val="15"/>
          <w:szCs w:val="15"/>
          <w:color w:val="auto"/>
        </w:rPr>
        <w:t xml:space="preserve">  11</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68580</wp:posOffset>
            </wp:positionH>
            <wp:positionV relativeFrom="paragraph">
              <wp:posOffset>196850</wp:posOffset>
            </wp:positionV>
            <wp:extent cx="6110605" cy="3198495"/>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2">
                      <a:extLst>
                        <a:ext uri="{28A0092B-C50C-407E-A947-70E740481C1C}"/>
                      </a:extLst>
                    </a:blip>
                    <a:srcRect/>
                    <a:stretch>
                      <a:fillRect/>
                    </a:stretch>
                  </pic:blipFill>
                  <pic:spPr bwMode="auto">
                    <a:xfrm>
                      <a:off x="0" y="0"/>
                      <a:ext cx="6110605" cy="319849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7" w:lineRule="exact"/>
        <w:rPr>
          <w:sz w:val="20"/>
          <w:szCs w:val="20"/>
          <w:color w:val="auto"/>
        </w:rPr>
      </w:pPr>
    </w:p>
    <w:p>
      <w:pPr>
        <w:jc w:val="both"/>
        <w:spacing w:after="0" w:line="238" w:lineRule="auto"/>
        <w:rPr>
          <w:sz w:val="20"/>
          <w:szCs w:val="20"/>
          <w:color w:val="auto"/>
        </w:rPr>
      </w:pPr>
      <w:r>
        <w:rPr>
          <w:rFonts w:ascii="Arial" w:cs="Arial" w:eastAsia="Arial" w:hAnsi="Arial"/>
          <w:sz w:val="19"/>
          <w:szCs w:val="19"/>
          <w:color w:val="10157E"/>
        </w:rPr>
        <w:t xml:space="preserve">Figure 4. </w:t>
      </w:r>
      <w:r>
        <w:rPr>
          <w:rFonts w:ascii="Arial" w:cs="Arial" w:eastAsia="Arial" w:hAnsi="Arial"/>
          <w:sz w:val="19"/>
          <w:szCs w:val="19"/>
          <w:color w:val="000000"/>
        </w:rPr>
        <w:t>Diatom profile with CONISS zonation for core 9_VIII_2017_ETOH_244 from East Lake Tohopekaliga. Lower panels show</w:t>
      </w:r>
      <w:r>
        <w:rPr>
          <w:rFonts w:ascii="Arial" w:cs="Arial" w:eastAsia="Arial" w:hAnsi="Arial"/>
          <w:sz w:val="19"/>
          <w:szCs w:val="19"/>
          <w:color w:val="10157E"/>
        </w:rPr>
        <w:t xml:space="preserve"> </w:t>
      </w:r>
      <w:r>
        <w:rPr>
          <w:rFonts w:ascii="Arial" w:cs="Arial" w:eastAsia="Arial" w:hAnsi="Arial"/>
          <w:sz w:val="19"/>
          <w:szCs w:val="19"/>
          <w:color w:val="000000"/>
        </w:rPr>
        <w:t>sedimented algal and cyanobacterial pigment profiles.</w:t>
      </w:r>
    </w:p>
    <w:p>
      <w:pPr>
        <w:sectPr>
          <w:pgSz w:w="12240" w:h="15840" w:orient="portrait"/>
          <w:cols w:equalWidth="0" w:num="1">
            <w:col w:w="9840"/>
          </w:cols>
          <w:pgMar w:left="1200" w:top="458" w:right="1200" w:bottom="546" w:gutter="0" w:footer="0" w:header="0"/>
        </w:sectPr>
      </w:pPr>
    </w:p>
    <w:p>
      <w:pPr>
        <w:spacing w:after="0" w:line="276" w:lineRule="exact"/>
        <w:rPr>
          <w:sz w:val="20"/>
          <w:szCs w:val="20"/>
          <w:color w:val="auto"/>
        </w:rPr>
      </w:pPr>
    </w:p>
    <w:p>
      <w:pPr>
        <w:jc w:val="both"/>
        <w:spacing w:after="0" w:line="265" w:lineRule="auto"/>
        <w:rPr>
          <w:sz w:val="20"/>
          <w:szCs w:val="20"/>
          <w:color w:val="auto"/>
        </w:rPr>
      </w:pPr>
      <w:r>
        <w:rPr>
          <w:rFonts w:ascii="Times New Roman" w:cs="Times New Roman" w:eastAsia="Times New Roman" w:hAnsi="Times New Roman"/>
          <w:sz w:val="22"/>
          <w:szCs w:val="22"/>
          <w:color w:val="auto"/>
        </w:rPr>
        <w:t>depth (</w:t>
      </w:r>
      <w:r>
        <w:rPr>
          <w:rFonts w:ascii="Times New Roman" w:cs="Times New Roman" w:eastAsia="Times New Roman" w:hAnsi="Times New Roman"/>
          <w:sz w:val="22"/>
          <w:szCs w:val="22"/>
          <w:color w:val="000080"/>
        </w:rPr>
        <w:t>Figure 4</w:t>
      </w:r>
      <w:r>
        <w:rPr>
          <w:rFonts w:ascii="Times New Roman" w:cs="Times New Roman" w:eastAsia="Times New Roman" w:hAnsi="Times New Roman"/>
          <w:sz w:val="22"/>
          <w:szCs w:val="22"/>
          <w:color w:val="auto"/>
        </w:rPr>
        <w:t xml:space="preserve">). Diatoms below that level, prin-cipally those toward the left in </w:t>
      </w:r>
      <w:r>
        <w:rPr>
          <w:rFonts w:ascii="Times New Roman" w:cs="Times New Roman" w:eastAsia="Times New Roman" w:hAnsi="Times New Roman"/>
          <w:sz w:val="22"/>
          <w:szCs w:val="22"/>
          <w:color w:val="000080"/>
        </w:rPr>
        <w:t>Figure 4</w:t>
      </w:r>
      <w:r>
        <w:rPr>
          <w:rFonts w:ascii="Times New Roman" w:cs="Times New Roman" w:eastAsia="Times New Roman" w:hAnsi="Times New Roman"/>
          <w:sz w:val="22"/>
          <w:szCs w:val="22"/>
          <w:color w:val="auto"/>
        </w:rPr>
        <w:t xml:space="preserve">, were largely benthic and epiphytic taxa. Several benthic taxa below the 30-cm level were noteworthy for high salinity tolerances, and those included Nitzschia scalaris, Mastogloia smithii, Anomoeoneis sphaerophora var. sculpta, and particularly Campylodiscus clypeus. Prior to 1879, salt-tolerant diatoms co-occurred with Cyclotella meneghiniana and Aulacoseira ambigua, which are eutrophic indicators (A. ambigua optimum total P </w:t>
      </w:r>
      <w:r>
        <w:rPr>
          <w:rFonts w:ascii="Arial" w:cs="Arial" w:eastAsia="Arial" w:hAnsi="Arial"/>
          <w:sz w:val="22"/>
          <w:szCs w:val="22"/>
          <w:color w:val="auto"/>
        </w:rPr>
        <w:t>¼</w:t>
      </w:r>
      <w:r>
        <w:rPr>
          <w:rFonts w:ascii="Times New Roman" w:cs="Times New Roman" w:eastAsia="Times New Roman" w:hAnsi="Times New Roman"/>
          <w:sz w:val="22"/>
          <w:szCs w:val="22"/>
          <w:color w:val="auto"/>
        </w:rPr>
        <w:t xml:space="preserve"> 49 </w:t>
      </w:r>
      <w:r>
        <w:rPr>
          <w:rFonts w:ascii="Arial" w:cs="Arial" w:eastAsia="Arial" w:hAnsi="Arial"/>
          <w:sz w:val="22"/>
          <w:szCs w:val="22"/>
          <w:color w:val="auto"/>
        </w:rPr>
        <w:t>m</w:t>
      </w:r>
      <w:r>
        <w:rPr>
          <w:rFonts w:ascii="Times New Roman" w:cs="Times New Roman" w:eastAsia="Times New Roman" w:hAnsi="Times New Roman"/>
          <w:sz w:val="22"/>
          <w:szCs w:val="22"/>
          <w:color w:val="auto"/>
        </w:rPr>
        <w:t xml:space="preserve">g/L; Whitmore et al. </w:t>
      </w:r>
      <w:r>
        <w:rPr>
          <w:rFonts w:ascii="Times New Roman" w:cs="Times New Roman" w:eastAsia="Times New Roman" w:hAnsi="Times New Roman"/>
          <w:sz w:val="22"/>
          <w:szCs w:val="22"/>
          <w:color w:val="000080"/>
        </w:rPr>
        <w:t>2018</w:t>
      </w:r>
      <w:r>
        <w:rPr>
          <w:rFonts w:ascii="Times New Roman" w:cs="Times New Roman" w:eastAsia="Times New Roman" w:hAnsi="Times New Roman"/>
          <w:sz w:val="22"/>
          <w:szCs w:val="22"/>
          <w:color w:val="auto"/>
        </w:rPr>
        <w:t xml:space="preserve">) that typically occur as plankton in the open-water limnetic zone of lakes. These mixed assemblages suggested extreme fluc-tuations in water levels. An increase to a high per-centage (72%) of C. clypeus above the 40-cm level indicated that the large preservation hiatus in </w:t>
      </w:r>
      <w:r>
        <w:rPr>
          <w:rFonts w:ascii="Times New Roman" w:cs="Times New Roman" w:eastAsia="Times New Roman" w:hAnsi="Times New Roman"/>
          <w:sz w:val="22"/>
          <w:szCs w:val="22"/>
          <w:color w:val="000080"/>
        </w:rPr>
        <w:t xml:space="preserve">Figure 4 </w:t>
      </w:r>
      <w:r>
        <w:rPr>
          <w:rFonts w:ascii="Times New Roman" w:cs="Times New Roman" w:eastAsia="Times New Roman" w:hAnsi="Times New Roman"/>
          <w:sz w:val="22"/>
          <w:szCs w:val="22"/>
          <w:color w:val="000000"/>
        </w:rPr>
        <w:t>was a prolonged low water-level event.</w:t>
      </w:r>
      <w:r>
        <w:rPr>
          <w:rFonts w:ascii="Times New Roman" w:cs="Times New Roman" w:eastAsia="Times New Roman" w:hAnsi="Times New Roman"/>
          <w:sz w:val="22"/>
          <w:szCs w:val="22"/>
          <w:color w:val="000080"/>
        </w:rPr>
        <w:t xml:space="preserve"> </w:t>
      </w:r>
      <w:r>
        <w:rPr>
          <w:rFonts w:ascii="Times New Roman" w:cs="Times New Roman" w:eastAsia="Times New Roman" w:hAnsi="Times New Roman"/>
          <w:sz w:val="22"/>
          <w:szCs w:val="22"/>
          <w:color w:val="000000"/>
        </w:rPr>
        <w:t>CONISS showed statistically significant changes in diatom assemblages after c. 1879 (</w:t>
      </w:r>
      <w:r>
        <w:rPr>
          <w:rFonts w:ascii="Times New Roman" w:cs="Times New Roman" w:eastAsia="Times New Roman" w:hAnsi="Times New Roman"/>
          <w:sz w:val="22"/>
          <w:szCs w:val="22"/>
          <w:color w:val="000080"/>
        </w:rPr>
        <w:t>Figure 4</w:t>
      </w:r>
      <w:r>
        <w:rPr>
          <w:rFonts w:ascii="Times New Roman" w:cs="Times New Roman" w:eastAsia="Times New Roman" w:hAnsi="Times New Roman"/>
          <w:sz w:val="22"/>
          <w:szCs w:val="22"/>
          <w:color w:val="000000"/>
        </w:rPr>
        <w:t xml:space="preserve">). These changes occurred around the time (1883) that water levels were changed permanently by canal construction. Dominance shifted to planktonic Aulacoseira granulata until c. 1980, then to tycho-planktonic Pseudostaurosira brevistriata and Staurosira construens var. venter, which indicated persistent cyanobacteria (Whitmore et al. </w:t>
      </w:r>
      <w:r>
        <w:rPr>
          <w:rFonts w:ascii="Times New Roman" w:cs="Times New Roman" w:eastAsia="Times New Roman" w:hAnsi="Times New Roman"/>
          <w:sz w:val="22"/>
          <w:szCs w:val="22"/>
          <w:color w:val="000080"/>
        </w:rPr>
        <w:t>2018</w:t>
      </w:r>
      <w:r>
        <w:rPr>
          <w:rFonts w:ascii="Times New Roman" w:cs="Times New Roman" w:eastAsia="Times New Roman" w:hAnsi="Times New Roman"/>
          <w:sz w:val="22"/>
          <w:szCs w:val="22"/>
          <w:color w:val="000000"/>
        </w:rPr>
        <w:t>). Diatom-based water quality inferences for the</w:t>
      </w:r>
    </w:p>
    <w:p>
      <w:pPr>
        <w:spacing w:after="0" w:line="20" w:lineRule="exact"/>
        <w:rPr>
          <w:sz w:val="20"/>
          <w:szCs w:val="20"/>
          <w:color w:val="auto"/>
        </w:rPr>
      </w:pPr>
      <w:r>
        <w:rPr>
          <w:sz w:val="20"/>
          <w:szCs w:val="20"/>
          <w:color w:val="auto"/>
        </w:rPr>
        <w:br w:type="column"/>
      </w:r>
    </w:p>
    <w:p>
      <w:pPr>
        <w:spacing w:after="0" w:line="256" w:lineRule="exact"/>
        <w:rPr>
          <w:sz w:val="20"/>
          <w:szCs w:val="20"/>
          <w:color w:val="auto"/>
        </w:rPr>
      </w:pPr>
    </w:p>
    <w:p>
      <w:pPr>
        <w:jc w:val="both"/>
        <w:spacing w:after="0" w:line="251" w:lineRule="auto"/>
        <w:rPr>
          <w:sz w:val="20"/>
          <w:szCs w:val="20"/>
          <w:color w:val="auto"/>
        </w:rPr>
      </w:pPr>
      <w:r>
        <w:rPr>
          <w:rFonts w:ascii="Times New Roman" w:cs="Times New Roman" w:eastAsia="Times New Roman" w:hAnsi="Times New Roman"/>
          <w:sz w:val="23"/>
          <w:szCs w:val="23"/>
          <w:color w:val="auto"/>
        </w:rPr>
        <w:t>early history of East Lake Tohopekaliga were not available because mixed salt-tolerant assemblages in the lower portions of the cores resulted in those samples having no analogs in the calibration set (Table S2).</w:t>
      </w:r>
    </w:p>
    <w:p>
      <w:pPr>
        <w:spacing w:after="0" w:line="18" w:lineRule="exact"/>
        <w:rPr>
          <w:sz w:val="20"/>
          <w:szCs w:val="20"/>
          <w:color w:val="auto"/>
        </w:rPr>
      </w:pPr>
    </w:p>
    <w:p>
      <w:pPr>
        <w:jc w:val="both"/>
        <w:ind w:firstLine="240"/>
        <w:spacing w:after="0" w:line="252" w:lineRule="auto"/>
        <w:rPr>
          <w:sz w:val="20"/>
          <w:szCs w:val="20"/>
          <w:color w:val="auto"/>
        </w:rPr>
      </w:pPr>
      <w:r>
        <w:rPr>
          <w:rFonts w:ascii="Times New Roman" w:cs="Times New Roman" w:eastAsia="Times New Roman" w:hAnsi="Times New Roman"/>
          <w:sz w:val="23"/>
          <w:szCs w:val="23"/>
          <w:color w:val="auto"/>
        </w:rPr>
        <w:t>Percent native chlorophyll values for core 9_VIII_2017_ETOH_244 indicated fairly consist-ent pigment preservation throughout the core. Chlorophyll derivatives and total carotenoid val-ues were low below the 45-cm level in the core (no date available), then increased from c. 1879 to the 1970s (</w:t>
      </w:r>
      <w:r>
        <w:rPr>
          <w:rFonts w:ascii="Times New Roman" w:cs="Times New Roman" w:eastAsia="Times New Roman" w:hAnsi="Times New Roman"/>
          <w:sz w:val="23"/>
          <w:szCs w:val="23"/>
          <w:color w:val="000080"/>
        </w:rPr>
        <w:t>Figure 4</w:t>
      </w:r>
      <w:r>
        <w:rPr>
          <w:rFonts w:ascii="Times New Roman" w:cs="Times New Roman" w:eastAsia="Times New Roman" w:hAnsi="Times New Roman"/>
          <w:sz w:val="23"/>
          <w:szCs w:val="23"/>
          <w:color w:val="auto"/>
        </w:rPr>
        <w:t xml:space="preserve">). Myxoxanthophyll and oscillaxanthin cyanobacterial pigments appeared only above the 10-cm level (c. 1973: </w:t>
      </w:r>
      <w:r>
        <w:rPr>
          <w:rFonts w:ascii="Times New Roman" w:cs="Times New Roman" w:eastAsia="Times New Roman" w:hAnsi="Times New Roman"/>
          <w:sz w:val="23"/>
          <w:szCs w:val="23"/>
          <w:color w:val="000080"/>
        </w:rPr>
        <w:t>Figure 4</w:t>
      </w:r>
      <w:r>
        <w:rPr>
          <w:rFonts w:ascii="Times New Roman" w:cs="Times New Roman" w:eastAsia="Times New Roman" w:hAnsi="Times New Roman"/>
          <w:sz w:val="23"/>
          <w:szCs w:val="23"/>
          <w:color w:val="auto"/>
        </w:rPr>
        <w:t>), which was consistent with the timing of diatom indication of cyanobacteria influence.</w:t>
      </w:r>
    </w:p>
    <w:p>
      <w:pPr>
        <w:spacing w:after="0" w:line="3" w:lineRule="exact"/>
        <w:rPr>
          <w:sz w:val="20"/>
          <w:szCs w:val="20"/>
          <w:color w:val="auto"/>
        </w:rPr>
      </w:pPr>
    </w:p>
    <w:p>
      <w:pPr>
        <w:jc w:val="both"/>
        <w:ind w:firstLine="241"/>
        <w:spacing w:after="0" w:line="248" w:lineRule="auto"/>
        <w:rPr>
          <w:sz w:val="20"/>
          <w:szCs w:val="20"/>
          <w:color w:val="auto"/>
        </w:rPr>
      </w:pPr>
      <w:r>
        <w:rPr>
          <w:rFonts w:ascii="Times New Roman" w:cs="Times New Roman" w:eastAsia="Times New Roman" w:hAnsi="Times New Roman"/>
          <w:sz w:val="23"/>
          <w:szCs w:val="23"/>
          <w:color w:val="auto"/>
        </w:rPr>
        <w:t>d</w:t>
      </w:r>
      <w:r>
        <w:rPr>
          <w:rFonts w:ascii="Times New Roman" w:cs="Times New Roman" w:eastAsia="Times New Roman" w:hAnsi="Times New Roman"/>
          <w:sz w:val="30"/>
          <w:szCs w:val="30"/>
          <w:color w:val="auto"/>
          <w:vertAlign w:val="superscript"/>
        </w:rPr>
        <w:t>13</w:t>
      </w:r>
      <w:r>
        <w:rPr>
          <w:rFonts w:ascii="Times New Roman" w:cs="Times New Roman" w:eastAsia="Times New Roman" w:hAnsi="Times New Roman"/>
          <w:sz w:val="23"/>
          <w:szCs w:val="23"/>
          <w:color w:val="auto"/>
        </w:rPr>
        <w:t>C and C/N ratios (</w:t>
      </w:r>
      <w:r>
        <w:rPr>
          <w:rFonts w:ascii="Times New Roman" w:cs="Times New Roman" w:eastAsia="Times New Roman" w:hAnsi="Times New Roman"/>
          <w:sz w:val="23"/>
          <w:szCs w:val="23"/>
          <w:color w:val="000080"/>
        </w:rPr>
        <w:t>Figure 3</w:t>
      </w:r>
      <w:r>
        <w:rPr>
          <w:rFonts w:ascii="Times New Roman" w:cs="Times New Roman" w:eastAsia="Times New Roman" w:hAnsi="Times New Roman"/>
          <w:sz w:val="23"/>
          <w:szCs w:val="23"/>
          <w:color w:val="auto"/>
        </w:rPr>
        <w:t>) showed that carbon deposited in predisturbance basal sedi-ments was largely from submerged vegetation and epiphytic algal sources. Sedimented carbon sources progressed to floating-leaved vegetation toward the core top, and a recent decrease in C/ N ratios possibly indicated cyanobacterial influ-ence. Pollen grains in predisturbance samples were generally sparse, and Taxodium (cypress) and Morella (bayberry) pollen were low in abun-dance despite the reported presence of associated swamps before the 1880s. Pollen grains, however,</w:t>
      </w:r>
    </w:p>
    <w:p>
      <w:pPr>
        <w:sectPr>
          <w:pgSz w:w="12240" w:h="15840" w:orient="portrait"/>
          <w:cols w:equalWidth="0" w:num="2">
            <w:col w:w="4740" w:space="360"/>
            <w:col w:w="4740"/>
          </w:cols>
          <w:pgMar w:left="1200" w:top="458" w:right="1200" w:bottom="546" w:gutter="0" w:footer="0" w:header="0"/>
          <w:type w:val="continuous"/>
        </w:sectPr>
      </w:pPr>
    </w:p>
    <w:bookmarkStart w:id="12" w:name="page13"/>
    <w:bookmarkEnd w:id="12"/>
    <w:p>
      <w:pPr>
        <w:spacing w:after="0"/>
        <w:rPr>
          <w:sz w:val="20"/>
          <w:szCs w:val="20"/>
          <w:color w:val="auto"/>
        </w:rPr>
      </w:pPr>
      <w:r>
        <w:rPr>
          <w:rFonts w:ascii="Arial" w:cs="Arial" w:eastAsia="Arial" w:hAnsi="Arial"/>
          <w:sz w:val="15"/>
          <w:szCs w:val="15"/>
          <w:color w:val="auto"/>
        </w:rPr>
        <w:t xml:space="preserve">12  </w:t>
      </w:r>
      <w:r>
        <w:rPr>
          <w:sz w:val="1"/>
          <w:szCs w:val="1"/>
          <w:color w:val="auto"/>
        </w:rPr>
        <w:drawing>
          <wp:inline distT="0" distB="0" distL="0" distR="0">
            <wp:extent cx="165100" cy="1651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3">
                      <a:extLst>
                        <a:ext uri="{28A0092B-C50C-407E-A947-70E740481C1C}"/>
                      </a:extLst>
                    </a:blip>
                    <a:srcRect/>
                    <a:stretch>
                      <a:fillRect/>
                    </a:stretch>
                  </pic:blipFill>
                  <pic:spPr bwMode="auto">
                    <a:xfrm>
                      <a:off x="0" y="0"/>
                      <a:ext cx="165100" cy="165100"/>
                    </a:xfrm>
                    <a:prstGeom prst="rect">
                      <a:avLst/>
                    </a:prstGeom>
                    <a:noFill/>
                    <a:ln>
                      <a:noFill/>
                    </a:ln>
                  </pic:spPr>
                </pic:pic>
              </a:graphicData>
            </a:graphic>
          </wp:inline>
        </w:drawing>
      </w:r>
      <w:r>
        <w:rPr>
          <w:rFonts w:ascii="Arial" w:cs="Arial" w:eastAsia="Arial" w:hAnsi="Arial"/>
          <w:sz w:val="15"/>
          <w:szCs w:val="15"/>
          <w:color w:val="auto"/>
        </w:rPr>
        <w:t xml:space="preserve">  T. J. WHITMORE ET AL.</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67945</wp:posOffset>
            </wp:positionH>
            <wp:positionV relativeFrom="paragraph">
              <wp:posOffset>196850</wp:posOffset>
            </wp:positionV>
            <wp:extent cx="6113780" cy="3921125"/>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4">
                      <a:extLst>
                        <a:ext uri="{28A0092B-C50C-407E-A947-70E740481C1C}"/>
                      </a:extLst>
                    </a:blip>
                    <a:srcRect/>
                    <a:stretch>
                      <a:fillRect/>
                    </a:stretch>
                  </pic:blipFill>
                  <pic:spPr bwMode="auto">
                    <a:xfrm>
                      <a:off x="0" y="0"/>
                      <a:ext cx="6113780" cy="39211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6" w:lineRule="exact"/>
        <w:rPr>
          <w:sz w:val="20"/>
          <w:szCs w:val="20"/>
          <w:color w:val="auto"/>
        </w:rPr>
      </w:pPr>
    </w:p>
    <w:p>
      <w:pPr>
        <w:spacing w:after="0" w:line="238" w:lineRule="auto"/>
        <w:rPr>
          <w:sz w:val="20"/>
          <w:szCs w:val="20"/>
          <w:color w:val="auto"/>
        </w:rPr>
      </w:pPr>
      <w:r>
        <w:rPr>
          <w:rFonts w:ascii="Arial" w:cs="Arial" w:eastAsia="Arial" w:hAnsi="Arial"/>
          <w:sz w:val="19"/>
          <w:szCs w:val="19"/>
          <w:color w:val="10157E"/>
        </w:rPr>
        <w:t xml:space="preserve">Figure 5. </w:t>
      </w:r>
      <w:r>
        <w:rPr>
          <w:rFonts w:ascii="Arial" w:cs="Arial" w:eastAsia="Arial" w:hAnsi="Arial"/>
          <w:sz w:val="19"/>
          <w:szCs w:val="19"/>
          <w:color w:val="000000"/>
        </w:rPr>
        <w:t>Diatom profile for core 16_III_2018_ JAC _307 from Lake Jackson. Lower panels show sedimented algal and cyanobac-terial pigment profiles. CONISS was not performed because of the broad gaps in diatom presence.</w:t>
      </w:r>
    </w:p>
    <w:p>
      <w:pPr>
        <w:spacing w:after="0" w:line="246" w:lineRule="exact"/>
        <w:rPr>
          <w:sz w:val="20"/>
          <w:szCs w:val="20"/>
          <w:color w:val="auto"/>
        </w:rPr>
      </w:pPr>
    </w:p>
    <w:tbl>
      <w:tblPr>
        <w:tblLayout w:type="fixed"/>
        <w:tblInd w:w="0" w:type="dxa"/>
        <w:tblCellMar>
          <w:top w:w="0" w:type="dxa"/>
          <w:left w:w="0" w:type="dxa"/>
          <w:bottom w:w="0" w:type="dxa"/>
          <w:right w:w="0" w:type="dxa"/>
        </w:tblCellMar>
      </w:tblPr>
      <w:tr>
        <w:trPr>
          <w:trHeight w:val="265"/>
        </w:trPr>
        <w:tc>
          <w:tcPr>
            <w:tcW w:w="4920" w:type="dxa"/>
            <w:vAlign w:val="bottom"/>
          </w:tcPr>
          <w:p>
            <w:pPr>
              <w:spacing w:after="0"/>
              <w:rPr>
                <w:sz w:val="20"/>
                <w:szCs w:val="20"/>
                <w:color w:val="auto"/>
              </w:rPr>
            </w:pPr>
            <w:r>
              <w:rPr>
                <w:rFonts w:ascii="Times New Roman" w:cs="Times New Roman" w:eastAsia="Times New Roman" w:hAnsi="Times New Roman"/>
                <w:sz w:val="23"/>
                <w:szCs w:val="23"/>
                <w:color w:val="auto"/>
              </w:rPr>
              <w:t>did  show  evidence  of  emergent  and  floating-</w:t>
            </w:r>
          </w:p>
        </w:tc>
        <w:tc>
          <w:tcPr>
            <w:tcW w:w="4920" w:type="dxa"/>
            <w:vAlign w:val="bottom"/>
          </w:tcPr>
          <w:p>
            <w:pPr>
              <w:ind w:left="180"/>
              <w:spacing w:after="0"/>
              <w:rPr>
                <w:sz w:val="20"/>
                <w:szCs w:val="20"/>
                <w:color w:val="auto"/>
              </w:rPr>
            </w:pPr>
            <w:r>
              <w:rPr>
                <w:rFonts w:ascii="Times New Roman" w:cs="Times New Roman" w:eastAsia="Times New Roman" w:hAnsi="Times New Roman"/>
                <w:sz w:val="23"/>
                <w:szCs w:val="23"/>
                <w:color w:val="auto"/>
              </w:rPr>
              <w:t>40-cm levels showed extensive breakage that sug-</w:t>
            </w:r>
          </w:p>
        </w:tc>
        <w:tc>
          <w:tcPr>
            <w:tcW w:w="0" w:type="dxa"/>
            <w:vAlign w:val="bottom"/>
          </w:tcPr>
          <w:p>
            <w:pPr>
              <w:spacing w:after="0"/>
              <w:rPr>
                <w:sz w:val="1"/>
                <w:szCs w:val="1"/>
                <w:color w:val="auto"/>
              </w:rPr>
            </w:pPr>
          </w:p>
        </w:tc>
      </w:tr>
      <w:tr>
        <w:trPr>
          <w:trHeight w:val="283"/>
        </w:trPr>
        <w:tc>
          <w:tcPr>
            <w:tcW w:w="4920" w:type="dxa"/>
            <w:vAlign w:val="bottom"/>
          </w:tcPr>
          <w:p>
            <w:pPr>
              <w:spacing w:after="0"/>
              <w:rPr>
                <w:sz w:val="20"/>
                <w:szCs w:val="20"/>
                <w:color w:val="auto"/>
              </w:rPr>
            </w:pPr>
            <w:r>
              <w:rPr>
                <w:rFonts w:ascii="Times New Roman" w:cs="Times New Roman" w:eastAsia="Times New Roman" w:hAnsi="Times New Roman"/>
                <w:sz w:val="23"/>
                <w:szCs w:val="23"/>
                <w:color w:val="auto"/>
              </w:rPr>
              <w:t>leaved Pontederia, Sagittaria, Nymphaea, Nuphar,</w:t>
            </w:r>
          </w:p>
        </w:tc>
        <w:tc>
          <w:tcPr>
            <w:tcW w:w="4920" w:type="dxa"/>
            <w:vAlign w:val="bottom"/>
          </w:tcPr>
          <w:p>
            <w:pPr>
              <w:ind w:left="180"/>
              <w:spacing w:after="0"/>
              <w:rPr>
                <w:sz w:val="20"/>
                <w:szCs w:val="20"/>
                <w:color w:val="auto"/>
              </w:rPr>
            </w:pPr>
            <w:r>
              <w:rPr>
                <w:rFonts w:ascii="Times New Roman" w:cs="Times New Roman" w:eastAsia="Times New Roman" w:hAnsi="Times New Roman"/>
                <w:sz w:val="23"/>
                <w:szCs w:val="23"/>
                <w:color w:val="auto"/>
              </w:rPr>
              <w:t>gested a long period of extremely low water levels,</w:t>
            </w:r>
          </w:p>
        </w:tc>
        <w:tc>
          <w:tcPr>
            <w:tcW w:w="0" w:type="dxa"/>
            <w:vAlign w:val="bottom"/>
          </w:tcPr>
          <w:p>
            <w:pPr>
              <w:spacing w:after="0"/>
              <w:rPr>
                <w:sz w:val="1"/>
                <w:szCs w:val="1"/>
                <w:color w:val="auto"/>
              </w:rPr>
            </w:pPr>
          </w:p>
        </w:tc>
      </w:tr>
      <w:tr>
        <w:trPr>
          <w:trHeight w:val="283"/>
        </w:trPr>
        <w:tc>
          <w:tcPr>
            <w:tcW w:w="4920" w:type="dxa"/>
            <w:vAlign w:val="bottom"/>
          </w:tcPr>
          <w:p>
            <w:pPr>
              <w:spacing w:after="0"/>
              <w:rPr>
                <w:sz w:val="20"/>
                <w:szCs w:val="20"/>
                <w:color w:val="auto"/>
              </w:rPr>
            </w:pPr>
            <w:r>
              <w:rPr>
                <w:rFonts w:ascii="Times New Roman" w:cs="Times New Roman" w:eastAsia="Times New Roman" w:hAnsi="Times New Roman"/>
                <w:sz w:val="23"/>
                <w:szCs w:val="23"/>
                <w:color w:val="auto"/>
              </w:rPr>
              <w:t>and sedges, as well as submerged Myriophyllum</w:t>
            </w:r>
          </w:p>
        </w:tc>
        <w:tc>
          <w:tcPr>
            <w:tcW w:w="4920" w:type="dxa"/>
            <w:vAlign w:val="bottom"/>
          </w:tcPr>
          <w:p>
            <w:pPr>
              <w:ind w:left="180"/>
              <w:spacing w:after="0"/>
              <w:rPr>
                <w:sz w:val="20"/>
                <w:szCs w:val="20"/>
                <w:color w:val="auto"/>
              </w:rPr>
            </w:pPr>
            <w:r>
              <w:rPr>
                <w:rFonts w:ascii="Times New Roman" w:cs="Times New Roman" w:eastAsia="Times New Roman" w:hAnsi="Times New Roman"/>
                <w:sz w:val="23"/>
                <w:szCs w:val="23"/>
                <w:color w:val="auto"/>
              </w:rPr>
              <w:t>as in East Lake Tohopekaliga. Radioistopic activ-</w:t>
            </w:r>
          </w:p>
        </w:tc>
        <w:tc>
          <w:tcPr>
            <w:tcW w:w="0" w:type="dxa"/>
            <w:vAlign w:val="bottom"/>
          </w:tcPr>
          <w:p>
            <w:pPr>
              <w:spacing w:after="0"/>
              <w:rPr>
                <w:sz w:val="1"/>
                <w:szCs w:val="1"/>
                <w:color w:val="auto"/>
              </w:rPr>
            </w:pPr>
          </w:p>
        </w:tc>
      </w:tr>
      <w:tr>
        <w:trPr>
          <w:trHeight w:val="265"/>
        </w:trPr>
        <w:tc>
          <w:tcPr>
            <w:tcW w:w="4920" w:type="dxa"/>
            <w:vAlign w:val="bottom"/>
          </w:tcPr>
          <w:p>
            <w:pPr>
              <w:spacing w:after="0"/>
              <w:rPr>
                <w:sz w:val="20"/>
                <w:szCs w:val="20"/>
                <w:color w:val="auto"/>
              </w:rPr>
            </w:pPr>
            <w:r>
              <w:rPr>
                <w:rFonts w:ascii="Times New Roman" w:cs="Times New Roman" w:eastAsia="Times New Roman" w:hAnsi="Times New Roman"/>
                <w:sz w:val="23"/>
                <w:szCs w:val="23"/>
                <w:color w:val="auto"/>
              </w:rPr>
              <w:t>and Potamogeton. Macrofossil evidence from pre-</w:t>
            </w:r>
          </w:p>
        </w:tc>
        <w:tc>
          <w:tcPr>
            <w:tcW w:w="4920" w:type="dxa"/>
            <w:vAlign w:val="bottom"/>
          </w:tcPr>
          <w:p>
            <w:pPr>
              <w:ind w:left="180"/>
              <w:spacing w:after="0"/>
              <w:rPr>
                <w:sz w:val="20"/>
                <w:szCs w:val="20"/>
                <w:color w:val="auto"/>
              </w:rPr>
            </w:pPr>
            <w:r>
              <w:rPr>
                <w:rFonts w:ascii="Times New Roman" w:cs="Times New Roman" w:eastAsia="Times New Roman" w:hAnsi="Times New Roman"/>
                <w:sz w:val="23"/>
                <w:szCs w:val="23"/>
                <w:color w:val="auto"/>
                <w:w w:val="99"/>
              </w:rPr>
              <w:t>ities for core 16_III_2018_ JAC _307 are presented</w:t>
            </w:r>
          </w:p>
        </w:tc>
        <w:tc>
          <w:tcPr>
            <w:tcW w:w="0" w:type="dxa"/>
            <w:vAlign w:val="bottom"/>
          </w:tcPr>
          <w:p>
            <w:pPr>
              <w:spacing w:after="0"/>
              <w:rPr>
                <w:sz w:val="1"/>
                <w:szCs w:val="1"/>
                <w:color w:val="auto"/>
              </w:rPr>
            </w:pPr>
          </w:p>
        </w:tc>
      </w:tr>
      <w:tr>
        <w:trPr>
          <w:trHeight w:val="317"/>
        </w:trPr>
        <w:tc>
          <w:tcPr>
            <w:tcW w:w="4920" w:type="dxa"/>
            <w:vAlign w:val="bottom"/>
          </w:tcPr>
          <w:p>
            <w:pPr>
              <w:spacing w:after="0"/>
              <w:rPr>
                <w:sz w:val="20"/>
                <w:szCs w:val="20"/>
                <w:color w:val="auto"/>
              </w:rPr>
            </w:pPr>
            <w:r>
              <w:rPr>
                <w:rFonts w:ascii="Times New Roman" w:cs="Times New Roman" w:eastAsia="Times New Roman" w:hAnsi="Times New Roman"/>
                <w:sz w:val="23"/>
                <w:szCs w:val="23"/>
                <w:color w:val="auto"/>
              </w:rPr>
              <w:t>disturbance  samples  showed  abundant  Chara,</w:t>
            </w:r>
          </w:p>
        </w:tc>
        <w:tc>
          <w:tcPr>
            <w:tcW w:w="4920" w:type="dxa"/>
            <w:vAlign w:val="bottom"/>
          </w:tcPr>
          <w:p>
            <w:pPr>
              <w:ind w:left="180"/>
              <w:spacing w:after="0" w:line="317" w:lineRule="exact"/>
              <w:rPr>
                <w:sz w:val="20"/>
                <w:szCs w:val="20"/>
                <w:color w:val="auto"/>
              </w:rPr>
            </w:pPr>
            <w:r>
              <w:rPr>
                <w:rFonts w:ascii="Times New Roman" w:cs="Times New Roman" w:eastAsia="Times New Roman" w:hAnsi="Times New Roman"/>
                <w:sz w:val="23"/>
                <w:szCs w:val="23"/>
                <w:color w:val="auto"/>
              </w:rPr>
              <w:t xml:space="preserve">in </w:t>
            </w:r>
            <w:r>
              <w:rPr>
                <w:rFonts w:ascii="Times New Roman" w:cs="Times New Roman" w:eastAsia="Times New Roman" w:hAnsi="Times New Roman"/>
                <w:sz w:val="23"/>
                <w:szCs w:val="23"/>
                <w:color w:val="000080"/>
              </w:rPr>
              <w:t>Figure S3</w:t>
            </w:r>
            <w:r>
              <w:rPr>
                <w:rFonts w:ascii="Times New Roman" w:cs="Times New Roman" w:eastAsia="Times New Roman" w:hAnsi="Times New Roman"/>
                <w:sz w:val="23"/>
                <w:szCs w:val="23"/>
                <w:color w:val="auto"/>
              </w:rPr>
              <w:t xml:space="preserve">. Unsupported </w:t>
            </w:r>
            <w:r>
              <w:rPr>
                <w:rFonts w:ascii="Times New Roman" w:cs="Times New Roman" w:eastAsia="Times New Roman" w:hAnsi="Times New Roman"/>
                <w:sz w:val="30"/>
                <w:szCs w:val="30"/>
                <w:color w:val="auto"/>
                <w:vertAlign w:val="superscript"/>
              </w:rPr>
              <w:t>210</w:t>
            </w:r>
            <w:r>
              <w:rPr>
                <w:rFonts w:ascii="Times New Roman" w:cs="Times New Roman" w:eastAsia="Times New Roman" w:hAnsi="Times New Roman"/>
                <w:sz w:val="23"/>
                <w:szCs w:val="23"/>
                <w:color w:val="auto"/>
              </w:rPr>
              <w:t>Pb activity showed</w:t>
            </w:r>
          </w:p>
        </w:tc>
        <w:tc>
          <w:tcPr>
            <w:tcW w:w="0" w:type="dxa"/>
            <w:vAlign w:val="bottom"/>
          </w:tcPr>
          <w:p>
            <w:pPr>
              <w:spacing w:after="0"/>
              <w:rPr>
                <w:sz w:val="1"/>
                <w:szCs w:val="1"/>
                <w:color w:val="auto"/>
              </w:rPr>
            </w:pPr>
          </w:p>
        </w:tc>
      </w:tr>
      <w:tr>
        <w:trPr>
          <w:trHeight w:val="267"/>
        </w:trPr>
        <w:tc>
          <w:tcPr>
            <w:tcW w:w="4920" w:type="dxa"/>
            <w:vAlign w:val="bottom"/>
          </w:tcPr>
          <w:p>
            <w:pPr>
              <w:spacing w:after="0"/>
              <w:rPr>
                <w:sz w:val="20"/>
                <w:szCs w:val="20"/>
                <w:color w:val="auto"/>
              </w:rPr>
            </w:pPr>
            <w:r>
              <w:rPr>
                <w:rFonts w:ascii="Times New Roman" w:cs="Times New Roman" w:eastAsia="Times New Roman" w:hAnsi="Times New Roman"/>
                <w:sz w:val="23"/>
                <w:szCs w:val="23"/>
                <w:color w:val="auto"/>
              </w:rPr>
              <w:t>which indicated clear or shallow waters. In the</w:t>
            </w:r>
          </w:p>
        </w:tc>
        <w:tc>
          <w:tcPr>
            <w:tcW w:w="4920" w:type="dxa"/>
            <w:vAlign w:val="bottom"/>
          </w:tcPr>
          <w:p>
            <w:pPr>
              <w:ind w:left="180"/>
              <w:spacing w:after="0" w:line="254" w:lineRule="exact"/>
              <w:rPr>
                <w:sz w:val="20"/>
                <w:szCs w:val="20"/>
                <w:color w:val="auto"/>
              </w:rPr>
            </w:pPr>
            <w:r>
              <w:rPr>
                <w:rFonts w:ascii="Times New Roman" w:cs="Times New Roman" w:eastAsia="Times New Roman" w:hAnsi="Times New Roman"/>
                <w:sz w:val="23"/>
                <w:szCs w:val="23"/>
                <w:color w:val="auto"/>
              </w:rPr>
              <w:t>an abrupt decline at the 12.5-cm level (c. 1975),</w:t>
            </w:r>
          </w:p>
        </w:tc>
        <w:tc>
          <w:tcPr>
            <w:tcW w:w="0" w:type="dxa"/>
            <w:vAlign w:val="bottom"/>
          </w:tcPr>
          <w:p>
            <w:pPr>
              <w:spacing w:after="0"/>
              <w:rPr>
                <w:sz w:val="1"/>
                <w:szCs w:val="1"/>
                <w:color w:val="auto"/>
              </w:rPr>
            </w:pPr>
          </w:p>
        </w:tc>
      </w:tr>
      <w:tr>
        <w:trPr>
          <w:trHeight w:val="283"/>
        </w:trPr>
        <w:tc>
          <w:tcPr>
            <w:tcW w:w="4920" w:type="dxa"/>
            <w:vAlign w:val="bottom"/>
          </w:tcPr>
          <w:p>
            <w:pPr>
              <w:spacing w:after="0"/>
              <w:rPr>
                <w:sz w:val="20"/>
                <w:szCs w:val="20"/>
                <w:color w:val="auto"/>
              </w:rPr>
            </w:pPr>
            <w:r>
              <w:rPr>
                <w:rFonts w:ascii="Times New Roman" w:cs="Times New Roman" w:eastAsia="Times New Roman" w:hAnsi="Times New Roman"/>
                <w:sz w:val="23"/>
                <w:szCs w:val="23"/>
                <w:color w:val="auto"/>
              </w:rPr>
              <w:t>41</w:t>
            </w:r>
            <w:r>
              <w:rPr>
                <w:rFonts w:ascii="Arial" w:cs="Arial" w:eastAsia="Arial" w:hAnsi="Arial"/>
                <w:sz w:val="23"/>
                <w:szCs w:val="23"/>
                <w:color w:val="auto"/>
              </w:rPr>
              <w:t>–</w:t>
            </w:r>
            <w:r>
              <w:rPr>
                <w:rFonts w:ascii="Times New Roman" w:cs="Times New Roman" w:eastAsia="Times New Roman" w:hAnsi="Times New Roman"/>
                <w:sz w:val="23"/>
                <w:szCs w:val="23"/>
                <w:color w:val="auto"/>
              </w:rPr>
              <w:t>44-cm sample from the core, seeds of Ruppia</w:t>
            </w:r>
          </w:p>
        </w:tc>
        <w:tc>
          <w:tcPr>
            <w:tcW w:w="4920" w:type="dxa"/>
            <w:vAlign w:val="bottom"/>
          </w:tcPr>
          <w:p>
            <w:pPr>
              <w:ind w:left="180"/>
              <w:spacing w:after="0"/>
              <w:rPr>
                <w:sz w:val="20"/>
                <w:szCs w:val="20"/>
                <w:color w:val="auto"/>
              </w:rPr>
            </w:pPr>
            <w:r>
              <w:rPr>
                <w:rFonts w:ascii="Times New Roman" w:cs="Times New Roman" w:eastAsia="Times New Roman" w:hAnsi="Times New Roman"/>
                <w:sz w:val="23"/>
                <w:szCs w:val="23"/>
                <w:color w:val="auto"/>
              </w:rPr>
              <w:t>which suggested a possible hiatus caused by sedi-</w:t>
            </w:r>
          </w:p>
        </w:tc>
        <w:tc>
          <w:tcPr>
            <w:tcW w:w="0" w:type="dxa"/>
            <w:vAlign w:val="bottom"/>
          </w:tcPr>
          <w:p>
            <w:pPr>
              <w:spacing w:after="0"/>
              <w:rPr>
                <w:sz w:val="1"/>
                <w:szCs w:val="1"/>
                <w:color w:val="auto"/>
              </w:rPr>
            </w:pPr>
          </w:p>
        </w:tc>
      </w:tr>
      <w:tr>
        <w:trPr>
          <w:trHeight w:val="255"/>
        </w:trPr>
        <w:tc>
          <w:tcPr>
            <w:tcW w:w="4920" w:type="dxa"/>
            <w:vAlign w:val="bottom"/>
          </w:tcPr>
          <w:p>
            <w:pPr>
              <w:spacing w:after="0" w:line="255" w:lineRule="exact"/>
              <w:rPr>
                <w:sz w:val="20"/>
                <w:szCs w:val="20"/>
                <w:color w:val="auto"/>
              </w:rPr>
            </w:pPr>
            <w:r>
              <w:rPr>
                <w:rFonts w:ascii="Times New Roman" w:cs="Times New Roman" w:eastAsia="Times New Roman" w:hAnsi="Times New Roman"/>
                <w:sz w:val="23"/>
                <w:szCs w:val="23"/>
                <w:color w:val="auto"/>
              </w:rPr>
              <w:t>maritima  were  observed,  which  indicated  very</w:t>
            </w:r>
          </w:p>
        </w:tc>
        <w:tc>
          <w:tcPr>
            <w:tcW w:w="4920" w:type="dxa"/>
            <w:vAlign w:val="bottom"/>
          </w:tcPr>
          <w:p>
            <w:pPr>
              <w:ind w:left="180"/>
              <w:spacing w:after="0" w:line="255" w:lineRule="exact"/>
              <w:rPr>
                <w:sz w:val="20"/>
                <w:szCs w:val="20"/>
                <w:color w:val="auto"/>
              </w:rPr>
            </w:pPr>
            <w:r>
              <w:rPr>
                <w:rFonts w:ascii="Times New Roman" w:cs="Times New Roman" w:eastAsia="Times New Roman" w:hAnsi="Times New Roman"/>
                <w:sz w:val="23"/>
                <w:szCs w:val="23"/>
                <w:color w:val="auto"/>
              </w:rPr>
              <w:t>ment transport. As a result, we adopted a conser-</w:t>
            </w:r>
          </w:p>
        </w:tc>
        <w:tc>
          <w:tcPr>
            <w:tcW w:w="0" w:type="dxa"/>
            <w:vAlign w:val="bottom"/>
          </w:tcPr>
          <w:p>
            <w:pPr>
              <w:spacing w:after="0"/>
              <w:rPr>
                <w:sz w:val="1"/>
                <w:szCs w:val="1"/>
                <w:color w:val="auto"/>
              </w:rPr>
            </w:pPr>
          </w:p>
        </w:tc>
      </w:tr>
      <w:tr>
        <w:trPr>
          <w:trHeight w:val="316"/>
        </w:trPr>
        <w:tc>
          <w:tcPr>
            <w:tcW w:w="4920" w:type="dxa"/>
            <w:vAlign w:val="bottom"/>
          </w:tcPr>
          <w:p>
            <w:pPr>
              <w:spacing w:after="0"/>
              <w:rPr>
                <w:sz w:val="20"/>
                <w:szCs w:val="20"/>
                <w:color w:val="auto"/>
              </w:rPr>
            </w:pPr>
            <w:r>
              <w:rPr>
                <w:rFonts w:ascii="Times New Roman" w:cs="Times New Roman" w:eastAsia="Times New Roman" w:hAnsi="Times New Roman"/>
                <w:sz w:val="23"/>
                <w:szCs w:val="23"/>
                <w:color w:val="auto"/>
              </w:rPr>
              <w:t>high solute concentrations prior to c. 1865.</w:t>
            </w:r>
          </w:p>
        </w:tc>
        <w:tc>
          <w:tcPr>
            <w:tcW w:w="4920" w:type="dxa"/>
            <w:vAlign w:val="bottom"/>
          </w:tcPr>
          <w:p>
            <w:pPr>
              <w:ind w:left="180"/>
              <w:spacing w:after="0" w:line="315" w:lineRule="exact"/>
              <w:rPr>
                <w:sz w:val="20"/>
                <w:szCs w:val="20"/>
                <w:color w:val="auto"/>
              </w:rPr>
            </w:pPr>
            <w:r>
              <w:rPr>
                <w:rFonts w:ascii="Times New Roman" w:cs="Times New Roman" w:eastAsia="Times New Roman" w:hAnsi="Times New Roman"/>
                <w:sz w:val="23"/>
                <w:szCs w:val="23"/>
                <w:color w:val="auto"/>
              </w:rPr>
              <w:t xml:space="preserve">vative approach and rejected the calculated </w:t>
            </w:r>
            <w:r>
              <w:rPr>
                <w:rFonts w:ascii="Times New Roman" w:cs="Times New Roman" w:eastAsia="Times New Roman" w:hAnsi="Times New Roman"/>
                <w:sz w:val="30"/>
                <w:szCs w:val="30"/>
                <w:color w:val="auto"/>
                <w:vertAlign w:val="superscript"/>
              </w:rPr>
              <w:t>210</w:t>
            </w:r>
            <w:r>
              <w:rPr>
                <w:rFonts w:ascii="Times New Roman" w:cs="Times New Roman" w:eastAsia="Times New Roman" w:hAnsi="Times New Roman"/>
                <w:sz w:val="23"/>
                <w:szCs w:val="23"/>
                <w:color w:val="auto"/>
              </w:rPr>
              <w:t>Pb</w:t>
            </w:r>
          </w:p>
        </w:tc>
        <w:tc>
          <w:tcPr>
            <w:tcW w:w="0" w:type="dxa"/>
            <w:vAlign w:val="bottom"/>
          </w:tcPr>
          <w:p>
            <w:pPr>
              <w:spacing w:after="0"/>
              <w:rPr>
                <w:sz w:val="1"/>
                <w:szCs w:val="1"/>
                <w:color w:val="auto"/>
              </w:rPr>
            </w:pPr>
          </w:p>
        </w:tc>
      </w:tr>
      <w:tr>
        <w:trPr>
          <w:trHeight w:val="245"/>
        </w:trPr>
        <w:tc>
          <w:tcPr>
            <w:tcW w:w="4920" w:type="dxa"/>
            <w:vAlign w:val="bottom"/>
          </w:tcPr>
          <w:p>
            <w:pPr>
              <w:spacing w:after="0"/>
              <w:rPr>
                <w:sz w:val="21"/>
                <w:szCs w:val="21"/>
                <w:color w:val="auto"/>
              </w:rPr>
            </w:pPr>
          </w:p>
        </w:tc>
        <w:tc>
          <w:tcPr>
            <w:tcW w:w="4920" w:type="dxa"/>
            <w:vAlign w:val="bottom"/>
          </w:tcPr>
          <w:p>
            <w:pPr>
              <w:ind w:left="180"/>
              <w:spacing w:after="0" w:line="245" w:lineRule="exact"/>
              <w:rPr>
                <w:sz w:val="20"/>
                <w:szCs w:val="20"/>
                <w:color w:val="auto"/>
              </w:rPr>
            </w:pPr>
            <w:r>
              <w:rPr>
                <w:rFonts w:ascii="Times New Roman" w:cs="Times New Roman" w:eastAsia="Times New Roman" w:hAnsi="Times New Roman"/>
                <w:sz w:val="23"/>
                <w:szCs w:val="23"/>
                <w:color w:val="auto"/>
              </w:rPr>
              <w:t xml:space="preserve">dates, and assigned a nominal reference date of </w:t>
            </w:r>
            <w:r>
              <w:rPr>
                <w:rFonts w:ascii="Arial" w:cs="Arial" w:eastAsia="Arial" w:hAnsi="Arial"/>
                <w:sz w:val="23"/>
                <w:szCs w:val="23"/>
                <w:color w:val="auto"/>
              </w:rPr>
              <w:t>“</w:t>
            </w:r>
            <w:r>
              <w:rPr>
                <w:rFonts w:ascii="Times New Roman" w:cs="Times New Roman" w:eastAsia="Times New Roman" w:hAnsi="Times New Roman"/>
                <w:sz w:val="23"/>
                <w:szCs w:val="23"/>
                <w:color w:val="auto"/>
              </w:rPr>
              <w:t>c.</w:t>
            </w:r>
          </w:p>
        </w:tc>
        <w:tc>
          <w:tcPr>
            <w:tcW w:w="0" w:type="dxa"/>
            <w:vAlign w:val="bottom"/>
          </w:tcPr>
          <w:p>
            <w:pPr>
              <w:spacing w:after="0"/>
              <w:rPr>
                <w:sz w:val="1"/>
                <w:szCs w:val="1"/>
                <w:color w:val="auto"/>
              </w:rPr>
            </w:pPr>
          </w:p>
        </w:tc>
      </w:tr>
      <w:tr>
        <w:trPr>
          <w:trHeight w:val="317"/>
        </w:trPr>
        <w:tc>
          <w:tcPr>
            <w:tcW w:w="4920" w:type="dxa"/>
            <w:vAlign w:val="bottom"/>
            <w:vMerge w:val="restart"/>
          </w:tcPr>
          <w:p>
            <w:pPr>
              <w:spacing w:after="0"/>
              <w:rPr>
                <w:sz w:val="20"/>
                <w:szCs w:val="20"/>
                <w:color w:val="auto"/>
              </w:rPr>
            </w:pPr>
            <w:r>
              <w:rPr>
                <w:rFonts w:ascii="Arial" w:cs="Arial" w:eastAsia="Arial" w:hAnsi="Arial"/>
                <w:sz w:val="21"/>
                <w:szCs w:val="21"/>
                <w:color w:val="10157E"/>
              </w:rPr>
              <w:t>Lake Jackson</w:t>
            </w:r>
          </w:p>
        </w:tc>
        <w:tc>
          <w:tcPr>
            <w:tcW w:w="4920" w:type="dxa"/>
            <w:vAlign w:val="bottom"/>
          </w:tcPr>
          <w:p>
            <w:pPr>
              <w:ind w:left="180"/>
              <w:spacing w:after="0" w:line="317" w:lineRule="exact"/>
              <w:rPr>
                <w:sz w:val="20"/>
                <w:szCs w:val="20"/>
                <w:color w:val="auto"/>
              </w:rPr>
            </w:pPr>
            <w:r>
              <w:rPr>
                <w:rFonts w:ascii="Times New Roman" w:cs="Times New Roman" w:eastAsia="Times New Roman" w:hAnsi="Times New Roman"/>
                <w:sz w:val="23"/>
                <w:szCs w:val="23"/>
                <w:color w:val="auto"/>
              </w:rPr>
              <w:t>1900</w:t>
            </w:r>
            <w:r>
              <w:rPr>
                <w:rFonts w:ascii="Arial" w:cs="Arial" w:eastAsia="Arial" w:hAnsi="Arial"/>
                <w:sz w:val="23"/>
                <w:szCs w:val="23"/>
                <w:color w:val="auto"/>
              </w:rPr>
              <w:t>”</w:t>
            </w:r>
            <w:r>
              <w:rPr>
                <w:rFonts w:ascii="Times New Roman" w:cs="Times New Roman" w:eastAsia="Times New Roman" w:hAnsi="Times New Roman"/>
                <w:sz w:val="23"/>
                <w:szCs w:val="23"/>
                <w:color w:val="auto"/>
              </w:rPr>
              <w:t xml:space="preserve">  to the depth at which unsupported </w:t>
            </w:r>
            <w:r>
              <w:rPr>
                <w:rFonts w:ascii="Times New Roman" w:cs="Times New Roman" w:eastAsia="Times New Roman" w:hAnsi="Times New Roman"/>
                <w:sz w:val="30"/>
                <w:szCs w:val="30"/>
                <w:color w:val="auto"/>
                <w:vertAlign w:val="superscript"/>
              </w:rPr>
              <w:t>210</w:t>
            </w:r>
            <w:r>
              <w:rPr>
                <w:rFonts w:ascii="Times New Roman" w:cs="Times New Roman" w:eastAsia="Times New Roman" w:hAnsi="Times New Roman"/>
                <w:sz w:val="23"/>
                <w:szCs w:val="23"/>
                <w:color w:val="auto"/>
              </w:rPr>
              <w:t>Pb</w:t>
            </w:r>
          </w:p>
        </w:tc>
        <w:tc>
          <w:tcPr>
            <w:tcW w:w="0" w:type="dxa"/>
            <w:vAlign w:val="bottom"/>
          </w:tcPr>
          <w:p>
            <w:pPr>
              <w:spacing w:after="0"/>
              <w:rPr>
                <w:sz w:val="1"/>
                <w:szCs w:val="1"/>
                <w:color w:val="auto"/>
              </w:rPr>
            </w:pPr>
          </w:p>
        </w:tc>
      </w:tr>
      <w:tr>
        <w:trPr>
          <w:trHeight w:val="98"/>
        </w:trPr>
        <w:tc>
          <w:tcPr>
            <w:tcW w:w="4920" w:type="dxa"/>
            <w:vAlign w:val="bottom"/>
            <w:vMerge w:val="continue"/>
          </w:tcPr>
          <w:p>
            <w:pPr>
              <w:spacing w:after="0"/>
              <w:rPr>
                <w:sz w:val="8"/>
                <w:szCs w:val="8"/>
                <w:color w:val="auto"/>
              </w:rPr>
            </w:pPr>
          </w:p>
        </w:tc>
        <w:tc>
          <w:tcPr>
            <w:tcW w:w="4920" w:type="dxa"/>
            <w:vAlign w:val="bottom"/>
            <w:vMerge w:val="restart"/>
          </w:tcPr>
          <w:p>
            <w:pPr>
              <w:ind w:left="180"/>
              <w:spacing w:after="0" w:line="244" w:lineRule="exact"/>
              <w:rPr>
                <w:sz w:val="20"/>
                <w:szCs w:val="20"/>
                <w:color w:val="auto"/>
              </w:rPr>
            </w:pPr>
            <w:r>
              <w:rPr>
                <w:rFonts w:ascii="Times New Roman" w:cs="Times New Roman" w:eastAsia="Times New Roman" w:hAnsi="Times New Roman"/>
                <w:sz w:val="23"/>
                <w:szCs w:val="23"/>
                <w:color w:val="auto"/>
              </w:rPr>
              <w:t>activity reached zero. The error term for excess</w:t>
            </w:r>
          </w:p>
        </w:tc>
        <w:tc>
          <w:tcPr>
            <w:tcW w:w="0" w:type="dxa"/>
            <w:vAlign w:val="bottom"/>
          </w:tcPr>
          <w:p>
            <w:pPr>
              <w:spacing w:after="0"/>
              <w:rPr>
                <w:sz w:val="1"/>
                <w:szCs w:val="1"/>
                <w:color w:val="auto"/>
              </w:rPr>
            </w:pPr>
          </w:p>
        </w:tc>
      </w:tr>
      <w:tr>
        <w:trPr>
          <w:trHeight w:val="147"/>
        </w:trPr>
        <w:tc>
          <w:tcPr>
            <w:tcW w:w="4920" w:type="dxa"/>
            <w:vAlign w:val="bottom"/>
          </w:tcPr>
          <w:p>
            <w:pPr>
              <w:spacing w:after="0"/>
              <w:rPr>
                <w:sz w:val="12"/>
                <w:szCs w:val="12"/>
                <w:color w:val="auto"/>
              </w:rPr>
            </w:pPr>
          </w:p>
        </w:tc>
        <w:tc>
          <w:tcPr>
            <w:tcW w:w="4920" w:type="dxa"/>
            <w:vAlign w:val="bottom"/>
            <w:vMerge w:val="continue"/>
          </w:tcPr>
          <w:p>
            <w:pPr>
              <w:spacing w:after="0"/>
              <w:rPr>
                <w:sz w:val="12"/>
                <w:szCs w:val="12"/>
                <w:color w:val="auto"/>
              </w:rPr>
            </w:pPr>
          </w:p>
        </w:tc>
        <w:tc>
          <w:tcPr>
            <w:tcW w:w="0" w:type="dxa"/>
            <w:vAlign w:val="bottom"/>
          </w:tcPr>
          <w:p>
            <w:pPr>
              <w:spacing w:after="0"/>
              <w:rPr>
                <w:sz w:val="1"/>
                <w:szCs w:val="1"/>
                <w:color w:val="auto"/>
              </w:rPr>
            </w:pPr>
          </w:p>
        </w:tc>
      </w:tr>
      <w:tr>
        <w:trPr>
          <w:trHeight w:val="280"/>
        </w:trPr>
        <w:tc>
          <w:tcPr>
            <w:tcW w:w="4920" w:type="dxa"/>
            <w:vAlign w:val="bottom"/>
          </w:tcPr>
          <w:p>
            <w:pPr>
              <w:spacing w:after="0" w:line="259" w:lineRule="exact"/>
              <w:rPr>
                <w:sz w:val="20"/>
                <w:szCs w:val="20"/>
                <w:color w:val="auto"/>
              </w:rPr>
            </w:pPr>
            <w:r>
              <w:rPr>
                <w:rFonts w:ascii="Times New Roman" w:cs="Times New Roman" w:eastAsia="Times New Roman" w:hAnsi="Times New Roman"/>
                <w:sz w:val="23"/>
                <w:szCs w:val="23"/>
                <w:color w:val="auto"/>
              </w:rPr>
              <w:t>Below the 70-cm level in core 16_III_2018_ JAC</w:t>
            </w:r>
          </w:p>
        </w:tc>
        <w:tc>
          <w:tcPr>
            <w:tcW w:w="4920" w:type="dxa"/>
            <w:vAlign w:val="bottom"/>
          </w:tcPr>
          <w:p>
            <w:pPr>
              <w:ind w:left="180"/>
              <w:spacing w:after="0" w:line="279" w:lineRule="exact"/>
              <w:rPr>
                <w:sz w:val="20"/>
                <w:szCs w:val="20"/>
                <w:color w:val="auto"/>
              </w:rPr>
            </w:pPr>
            <w:r>
              <w:rPr>
                <w:rFonts w:ascii="Times New Roman" w:cs="Times New Roman" w:eastAsia="Times New Roman" w:hAnsi="Times New Roman"/>
                <w:sz w:val="30"/>
                <w:szCs w:val="30"/>
                <w:color w:val="auto"/>
                <w:w w:val="99"/>
                <w:vertAlign w:val="superscript"/>
              </w:rPr>
              <w:t>210</w:t>
            </w:r>
            <w:r>
              <w:rPr>
                <w:rFonts w:ascii="Times New Roman" w:cs="Times New Roman" w:eastAsia="Times New Roman" w:hAnsi="Times New Roman"/>
                <w:sz w:val="23"/>
                <w:szCs w:val="23"/>
                <w:color w:val="auto"/>
                <w:w w:val="99"/>
              </w:rPr>
              <w:t>Pb activity in the 20</w:t>
            </w:r>
            <w:r>
              <w:rPr>
                <w:rFonts w:ascii="Arial" w:cs="Arial" w:eastAsia="Arial" w:hAnsi="Arial"/>
                <w:sz w:val="23"/>
                <w:szCs w:val="23"/>
                <w:color w:val="auto"/>
                <w:w w:val="99"/>
              </w:rPr>
              <w:t>–</w:t>
            </w:r>
            <w:r>
              <w:rPr>
                <w:rFonts w:ascii="Times New Roman" w:cs="Times New Roman" w:eastAsia="Times New Roman" w:hAnsi="Times New Roman"/>
                <w:sz w:val="23"/>
                <w:szCs w:val="23"/>
                <w:color w:val="auto"/>
                <w:w w:val="99"/>
              </w:rPr>
              <w:t>24-cm interval was greater</w:t>
            </w:r>
          </w:p>
        </w:tc>
        <w:tc>
          <w:tcPr>
            <w:tcW w:w="0" w:type="dxa"/>
            <w:vAlign w:val="bottom"/>
          </w:tcPr>
          <w:p>
            <w:pPr>
              <w:spacing w:after="0"/>
              <w:rPr>
                <w:sz w:val="1"/>
                <w:szCs w:val="1"/>
                <w:color w:val="auto"/>
              </w:rPr>
            </w:pPr>
          </w:p>
        </w:tc>
      </w:tr>
      <w:tr>
        <w:trPr>
          <w:trHeight w:val="292"/>
        </w:trPr>
        <w:tc>
          <w:tcPr>
            <w:tcW w:w="4920" w:type="dxa"/>
            <w:vAlign w:val="bottom"/>
          </w:tcPr>
          <w:p>
            <w:pPr>
              <w:spacing w:after="0" w:line="262" w:lineRule="exact"/>
              <w:rPr>
                <w:sz w:val="20"/>
                <w:szCs w:val="20"/>
                <w:color w:val="auto"/>
              </w:rPr>
            </w:pPr>
            <w:r>
              <w:rPr>
                <w:rFonts w:ascii="Times New Roman" w:cs="Times New Roman" w:eastAsia="Times New Roman" w:hAnsi="Times New Roman"/>
                <w:sz w:val="23"/>
                <w:szCs w:val="23"/>
                <w:color w:val="auto"/>
              </w:rPr>
              <w:t>_307 (</w:t>
            </w:r>
            <w:r>
              <w:rPr>
                <w:rFonts w:ascii="Times New Roman" w:cs="Times New Roman" w:eastAsia="Times New Roman" w:hAnsi="Times New Roman"/>
                <w:sz w:val="23"/>
                <w:szCs w:val="23"/>
                <w:color w:val="000080"/>
              </w:rPr>
              <w:t>Figure 5</w:t>
            </w:r>
            <w:r>
              <w:rPr>
                <w:rFonts w:ascii="Times New Roman" w:cs="Times New Roman" w:eastAsia="Times New Roman" w:hAnsi="Times New Roman"/>
                <w:sz w:val="23"/>
                <w:szCs w:val="23"/>
                <w:color w:val="auto"/>
              </w:rPr>
              <w:t>), salt-tolerant diatoms were present</w:t>
            </w:r>
          </w:p>
        </w:tc>
        <w:tc>
          <w:tcPr>
            <w:tcW w:w="4920" w:type="dxa"/>
            <w:vAlign w:val="bottom"/>
          </w:tcPr>
          <w:p>
            <w:pPr>
              <w:ind w:left="180"/>
              <w:spacing w:after="0" w:line="291" w:lineRule="exact"/>
              <w:rPr>
                <w:sz w:val="20"/>
                <w:szCs w:val="20"/>
                <w:color w:val="auto"/>
              </w:rPr>
            </w:pPr>
            <w:r>
              <w:rPr>
                <w:rFonts w:ascii="Times New Roman" w:cs="Times New Roman" w:eastAsia="Times New Roman" w:hAnsi="Times New Roman"/>
                <w:sz w:val="23"/>
                <w:szCs w:val="23"/>
                <w:color w:val="auto"/>
              </w:rPr>
              <w:t xml:space="preserve">than the excess </w:t>
            </w:r>
            <w:r>
              <w:rPr>
                <w:rFonts w:ascii="Times New Roman" w:cs="Times New Roman" w:eastAsia="Times New Roman" w:hAnsi="Times New Roman"/>
                <w:sz w:val="30"/>
                <w:szCs w:val="30"/>
                <w:color w:val="auto"/>
                <w:vertAlign w:val="superscript"/>
              </w:rPr>
              <w:t>210</w:t>
            </w:r>
            <w:r>
              <w:rPr>
                <w:rFonts w:ascii="Times New Roman" w:cs="Times New Roman" w:eastAsia="Times New Roman" w:hAnsi="Times New Roman"/>
                <w:sz w:val="23"/>
                <w:szCs w:val="23"/>
                <w:color w:val="auto"/>
              </w:rPr>
              <w:t>Pb activity value, so we set the</w:t>
            </w:r>
          </w:p>
        </w:tc>
        <w:tc>
          <w:tcPr>
            <w:tcW w:w="0" w:type="dxa"/>
            <w:vAlign w:val="bottom"/>
          </w:tcPr>
          <w:p>
            <w:pPr>
              <w:spacing w:after="0"/>
              <w:rPr>
                <w:sz w:val="1"/>
                <w:szCs w:val="1"/>
                <w:color w:val="auto"/>
              </w:rPr>
            </w:pPr>
          </w:p>
        </w:tc>
      </w:tr>
      <w:tr>
        <w:trPr>
          <w:trHeight w:val="279"/>
        </w:trPr>
        <w:tc>
          <w:tcPr>
            <w:tcW w:w="4920" w:type="dxa"/>
            <w:vAlign w:val="bottom"/>
          </w:tcPr>
          <w:p>
            <w:pPr>
              <w:spacing w:after="0" w:line="254" w:lineRule="exact"/>
              <w:rPr>
                <w:sz w:val="20"/>
                <w:szCs w:val="20"/>
                <w:color w:val="auto"/>
              </w:rPr>
            </w:pPr>
            <w:r>
              <w:rPr>
                <w:rFonts w:ascii="Times New Roman" w:cs="Times New Roman" w:eastAsia="Times New Roman" w:hAnsi="Times New Roman"/>
                <w:sz w:val="23"/>
                <w:szCs w:val="23"/>
                <w:color w:val="auto"/>
              </w:rPr>
              <w:t>as in Lakes Cypress and East Tohopekaliga. These</w:t>
            </w:r>
          </w:p>
        </w:tc>
        <w:tc>
          <w:tcPr>
            <w:tcW w:w="4920" w:type="dxa"/>
            <w:vAlign w:val="bottom"/>
          </w:tcPr>
          <w:p>
            <w:pPr>
              <w:ind w:left="180"/>
              <w:spacing w:after="0"/>
              <w:rPr>
                <w:sz w:val="20"/>
                <w:szCs w:val="20"/>
                <w:color w:val="auto"/>
              </w:rPr>
            </w:pPr>
            <w:r>
              <w:rPr>
                <w:rFonts w:ascii="Times New Roman" w:cs="Times New Roman" w:eastAsia="Times New Roman" w:hAnsi="Times New Roman"/>
                <w:sz w:val="23"/>
                <w:szCs w:val="23"/>
                <w:color w:val="auto"/>
              </w:rPr>
              <w:t xml:space="preserve">date of </w:t>
            </w:r>
            <w:r>
              <w:rPr>
                <w:rFonts w:ascii="Arial" w:cs="Arial" w:eastAsia="Arial" w:hAnsi="Arial"/>
                <w:sz w:val="23"/>
                <w:szCs w:val="23"/>
                <w:color w:val="auto"/>
              </w:rPr>
              <w:t>“</w:t>
            </w:r>
            <w:r>
              <w:rPr>
                <w:rFonts w:ascii="Times New Roman" w:cs="Times New Roman" w:eastAsia="Times New Roman" w:hAnsi="Times New Roman"/>
                <w:sz w:val="23"/>
                <w:szCs w:val="23"/>
                <w:color w:val="auto"/>
              </w:rPr>
              <w:t>c. 1900</w:t>
            </w:r>
            <w:r>
              <w:rPr>
                <w:rFonts w:ascii="Arial" w:cs="Arial" w:eastAsia="Arial" w:hAnsi="Arial"/>
                <w:sz w:val="23"/>
                <w:szCs w:val="23"/>
                <w:color w:val="auto"/>
              </w:rPr>
              <w:t>”</w:t>
            </w:r>
            <w:r>
              <w:rPr>
                <w:rFonts w:ascii="Times New Roman" w:cs="Times New Roman" w:eastAsia="Times New Roman" w:hAnsi="Times New Roman"/>
                <w:sz w:val="23"/>
                <w:szCs w:val="23"/>
                <w:color w:val="auto"/>
              </w:rPr>
              <w:t xml:space="preserve">  for 24 cm depth in the core.</w:t>
            </w:r>
          </w:p>
        </w:tc>
        <w:tc>
          <w:tcPr>
            <w:tcW w:w="0" w:type="dxa"/>
            <w:vAlign w:val="bottom"/>
          </w:tcPr>
          <w:p>
            <w:pPr>
              <w:spacing w:after="0"/>
              <w:rPr>
                <w:sz w:val="1"/>
                <w:szCs w:val="1"/>
                <w:color w:val="auto"/>
              </w:rPr>
            </w:pPr>
          </w:p>
        </w:tc>
      </w:tr>
      <w:tr>
        <w:trPr>
          <w:trHeight w:val="280"/>
        </w:trPr>
        <w:tc>
          <w:tcPr>
            <w:tcW w:w="4920" w:type="dxa"/>
            <w:vAlign w:val="bottom"/>
          </w:tcPr>
          <w:p>
            <w:pPr>
              <w:spacing w:after="0" w:line="258" w:lineRule="exact"/>
              <w:rPr>
                <w:sz w:val="20"/>
                <w:szCs w:val="20"/>
                <w:color w:val="auto"/>
              </w:rPr>
            </w:pPr>
            <w:r>
              <w:rPr>
                <w:rFonts w:ascii="Times New Roman" w:cs="Times New Roman" w:eastAsia="Times New Roman" w:hAnsi="Times New Roman"/>
                <w:sz w:val="23"/>
                <w:szCs w:val="23"/>
                <w:color w:val="auto"/>
              </w:rPr>
              <w:t>taxa  included  Nitzschia  scalaris,  Anomoeoneis</w:t>
            </w:r>
          </w:p>
        </w:tc>
        <w:tc>
          <w:tcPr>
            <w:tcW w:w="4920" w:type="dxa"/>
            <w:vAlign w:val="bottom"/>
          </w:tcPr>
          <w:p>
            <w:pPr>
              <w:ind w:left="180"/>
              <w:spacing w:after="0"/>
              <w:rPr>
                <w:sz w:val="20"/>
                <w:szCs w:val="20"/>
                <w:color w:val="auto"/>
              </w:rPr>
            </w:pPr>
            <w:r>
              <w:rPr>
                <w:rFonts w:ascii="Times New Roman" w:cs="Times New Roman" w:eastAsia="Times New Roman" w:hAnsi="Times New Roman"/>
                <w:sz w:val="23"/>
                <w:szCs w:val="23"/>
                <w:color w:val="auto"/>
              </w:rPr>
              <w:t>Diatom assemblages changed significantly above</w:t>
            </w:r>
          </w:p>
        </w:tc>
        <w:tc>
          <w:tcPr>
            <w:tcW w:w="0" w:type="dxa"/>
            <w:vAlign w:val="bottom"/>
          </w:tcPr>
          <w:p>
            <w:pPr>
              <w:spacing w:after="0"/>
              <w:rPr>
                <w:sz w:val="1"/>
                <w:szCs w:val="1"/>
                <w:color w:val="auto"/>
              </w:rPr>
            </w:pPr>
          </w:p>
        </w:tc>
      </w:tr>
      <w:tr>
        <w:trPr>
          <w:trHeight w:val="281"/>
        </w:trPr>
        <w:tc>
          <w:tcPr>
            <w:tcW w:w="4920" w:type="dxa"/>
            <w:vAlign w:val="bottom"/>
          </w:tcPr>
          <w:p>
            <w:pPr>
              <w:spacing w:after="0" w:line="262" w:lineRule="exact"/>
              <w:rPr>
                <w:sz w:val="20"/>
                <w:szCs w:val="20"/>
                <w:color w:val="auto"/>
              </w:rPr>
            </w:pPr>
            <w:r>
              <w:rPr>
                <w:rFonts w:ascii="Times New Roman" w:cs="Times New Roman" w:eastAsia="Times New Roman" w:hAnsi="Times New Roman"/>
                <w:sz w:val="23"/>
                <w:szCs w:val="23"/>
                <w:color w:val="auto"/>
              </w:rPr>
              <w:t>sphaerophora var. sculpta, Campylodiscus clypeus,</w:t>
            </w:r>
          </w:p>
        </w:tc>
        <w:tc>
          <w:tcPr>
            <w:tcW w:w="4920" w:type="dxa"/>
            <w:vAlign w:val="bottom"/>
          </w:tcPr>
          <w:p>
            <w:pPr>
              <w:ind w:left="180"/>
              <w:spacing w:after="0"/>
              <w:rPr>
                <w:sz w:val="20"/>
                <w:szCs w:val="20"/>
                <w:color w:val="auto"/>
              </w:rPr>
            </w:pPr>
            <w:r>
              <w:rPr>
                <w:rFonts w:ascii="Times New Roman" w:cs="Times New Roman" w:eastAsia="Times New Roman" w:hAnsi="Times New Roman"/>
                <w:sz w:val="23"/>
                <w:szCs w:val="23"/>
                <w:color w:val="auto"/>
              </w:rPr>
              <w:t>the  section  of  extensive  diatom  breakage.  The</w:t>
            </w:r>
          </w:p>
        </w:tc>
        <w:tc>
          <w:tcPr>
            <w:tcW w:w="0" w:type="dxa"/>
            <w:vAlign w:val="bottom"/>
          </w:tcPr>
          <w:p>
            <w:pPr>
              <w:spacing w:after="0"/>
              <w:rPr>
                <w:sz w:val="1"/>
                <w:szCs w:val="1"/>
                <w:color w:val="auto"/>
              </w:rPr>
            </w:pPr>
          </w:p>
        </w:tc>
      </w:tr>
      <w:tr>
        <w:trPr>
          <w:trHeight w:val="280"/>
        </w:trPr>
        <w:tc>
          <w:tcPr>
            <w:tcW w:w="4920" w:type="dxa"/>
            <w:vAlign w:val="bottom"/>
          </w:tcPr>
          <w:p>
            <w:pPr>
              <w:spacing w:after="0" w:line="263" w:lineRule="exact"/>
              <w:rPr>
                <w:sz w:val="20"/>
                <w:szCs w:val="20"/>
                <w:color w:val="auto"/>
              </w:rPr>
            </w:pPr>
            <w:r>
              <w:rPr>
                <w:rFonts w:ascii="Times New Roman" w:cs="Times New Roman" w:eastAsia="Times New Roman" w:hAnsi="Times New Roman"/>
                <w:sz w:val="23"/>
                <w:szCs w:val="23"/>
                <w:color w:val="auto"/>
              </w:rPr>
              <w:t>and Halamphora coffeaeformis. These species co-</w:t>
            </w:r>
          </w:p>
        </w:tc>
        <w:tc>
          <w:tcPr>
            <w:tcW w:w="4920" w:type="dxa"/>
            <w:vAlign w:val="bottom"/>
          </w:tcPr>
          <w:p>
            <w:pPr>
              <w:ind w:left="180"/>
              <w:spacing w:after="0"/>
              <w:rPr>
                <w:sz w:val="20"/>
                <w:szCs w:val="20"/>
                <w:color w:val="auto"/>
              </w:rPr>
            </w:pPr>
            <w:r>
              <w:rPr>
                <w:rFonts w:ascii="Times New Roman" w:cs="Times New Roman" w:eastAsia="Times New Roman" w:hAnsi="Times New Roman"/>
                <w:sz w:val="23"/>
                <w:szCs w:val="23"/>
                <w:color w:val="auto"/>
              </w:rPr>
              <w:t>planktonic,  eutrophic  taxa  Aulacoseira  ambigua</w:t>
            </w:r>
          </w:p>
        </w:tc>
        <w:tc>
          <w:tcPr>
            <w:tcW w:w="0" w:type="dxa"/>
            <w:vAlign w:val="bottom"/>
          </w:tcPr>
          <w:p>
            <w:pPr>
              <w:spacing w:after="0"/>
              <w:rPr>
                <w:sz w:val="1"/>
                <w:szCs w:val="1"/>
                <w:color w:val="auto"/>
              </w:rPr>
            </w:pPr>
          </w:p>
        </w:tc>
      </w:tr>
      <w:tr>
        <w:trPr>
          <w:trHeight w:val="280"/>
        </w:trPr>
        <w:tc>
          <w:tcPr>
            <w:tcW w:w="4920" w:type="dxa"/>
            <w:vAlign w:val="bottom"/>
          </w:tcPr>
          <w:p>
            <w:pPr>
              <w:spacing w:after="0"/>
              <w:rPr>
                <w:sz w:val="20"/>
                <w:szCs w:val="20"/>
                <w:color w:val="auto"/>
              </w:rPr>
            </w:pPr>
            <w:r>
              <w:rPr>
                <w:rFonts w:ascii="Times New Roman" w:cs="Times New Roman" w:eastAsia="Times New Roman" w:hAnsi="Times New Roman"/>
                <w:sz w:val="23"/>
                <w:szCs w:val="23"/>
                <w:color w:val="auto"/>
              </w:rPr>
              <w:t>occurred  with  eutrophic  taxa  that  included</w:t>
            </w:r>
          </w:p>
        </w:tc>
        <w:tc>
          <w:tcPr>
            <w:tcW w:w="4920" w:type="dxa"/>
            <w:vAlign w:val="bottom"/>
          </w:tcPr>
          <w:p>
            <w:pPr>
              <w:ind w:left="180"/>
              <w:spacing w:after="0"/>
              <w:rPr>
                <w:sz w:val="20"/>
                <w:szCs w:val="20"/>
                <w:color w:val="auto"/>
              </w:rPr>
            </w:pPr>
            <w:r>
              <w:rPr>
                <w:rFonts w:ascii="Times New Roman" w:cs="Times New Roman" w:eastAsia="Times New Roman" w:hAnsi="Times New Roman"/>
                <w:sz w:val="23"/>
                <w:szCs w:val="23"/>
                <w:color w:val="auto"/>
              </w:rPr>
              <w:t>and A. granulata became dominant just before c.</w:t>
            </w:r>
          </w:p>
        </w:tc>
        <w:tc>
          <w:tcPr>
            <w:tcW w:w="0" w:type="dxa"/>
            <w:vAlign w:val="bottom"/>
          </w:tcPr>
          <w:p>
            <w:pPr>
              <w:spacing w:after="0"/>
              <w:rPr>
                <w:sz w:val="1"/>
                <w:szCs w:val="1"/>
                <w:color w:val="auto"/>
              </w:rPr>
            </w:pPr>
          </w:p>
        </w:tc>
      </w:tr>
      <w:tr>
        <w:trPr>
          <w:trHeight w:val="281"/>
        </w:trPr>
        <w:tc>
          <w:tcPr>
            <w:tcW w:w="4920" w:type="dxa"/>
            <w:vAlign w:val="bottom"/>
          </w:tcPr>
          <w:p>
            <w:pPr>
              <w:spacing w:after="0"/>
              <w:rPr>
                <w:sz w:val="20"/>
                <w:szCs w:val="20"/>
                <w:color w:val="auto"/>
              </w:rPr>
            </w:pPr>
            <w:r>
              <w:rPr>
                <w:rFonts w:ascii="Times New Roman" w:cs="Times New Roman" w:eastAsia="Times New Roman" w:hAnsi="Times New Roman"/>
                <w:sz w:val="23"/>
                <w:szCs w:val="23"/>
                <w:color w:val="auto"/>
              </w:rPr>
              <w:t>Cyclotella meneghiniana, Aulacoseira ambigua, and</w:t>
            </w:r>
          </w:p>
        </w:tc>
        <w:tc>
          <w:tcPr>
            <w:tcW w:w="4920" w:type="dxa"/>
            <w:vAlign w:val="bottom"/>
          </w:tcPr>
          <w:p>
            <w:pPr>
              <w:ind w:left="180"/>
              <w:spacing w:after="0"/>
              <w:rPr>
                <w:sz w:val="20"/>
                <w:szCs w:val="20"/>
                <w:color w:val="auto"/>
              </w:rPr>
            </w:pPr>
            <w:r>
              <w:rPr>
                <w:rFonts w:ascii="Times New Roman" w:cs="Times New Roman" w:eastAsia="Times New Roman" w:hAnsi="Times New Roman"/>
                <w:sz w:val="23"/>
                <w:szCs w:val="23"/>
                <w:color w:val="auto"/>
              </w:rPr>
              <w:t>1900, and salt-tolerant taxa no longer were pre-</w:t>
            </w:r>
          </w:p>
        </w:tc>
        <w:tc>
          <w:tcPr>
            <w:tcW w:w="0" w:type="dxa"/>
            <w:vAlign w:val="bottom"/>
          </w:tcPr>
          <w:p>
            <w:pPr>
              <w:spacing w:after="0"/>
              <w:rPr>
                <w:sz w:val="1"/>
                <w:szCs w:val="1"/>
                <w:color w:val="auto"/>
              </w:rPr>
            </w:pPr>
          </w:p>
        </w:tc>
      </w:tr>
      <w:tr>
        <w:trPr>
          <w:trHeight w:val="280"/>
        </w:trPr>
        <w:tc>
          <w:tcPr>
            <w:tcW w:w="4920" w:type="dxa"/>
            <w:vAlign w:val="bottom"/>
          </w:tcPr>
          <w:p>
            <w:pPr>
              <w:spacing w:after="0"/>
              <w:rPr>
                <w:sz w:val="20"/>
                <w:szCs w:val="20"/>
                <w:color w:val="auto"/>
              </w:rPr>
            </w:pPr>
            <w:r>
              <w:rPr>
                <w:rFonts w:ascii="Times New Roman" w:cs="Times New Roman" w:eastAsia="Times New Roman" w:hAnsi="Times New Roman"/>
                <w:sz w:val="23"/>
                <w:szCs w:val="23"/>
                <w:color w:val="auto"/>
              </w:rPr>
              <w:t>A. granulata, with the latter two being planktonic</w:t>
            </w:r>
          </w:p>
        </w:tc>
        <w:tc>
          <w:tcPr>
            <w:tcW w:w="4920" w:type="dxa"/>
            <w:vAlign w:val="bottom"/>
          </w:tcPr>
          <w:p>
            <w:pPr>
              <w:ind w:left="180"/>
              <w:spacing w:after="0"/>
              <w:rPr>
                <w:sz w:val="20"/>
                <w:szCs w:val="20"/>
                <w:color w:val="auto"/>
              </w:rPr>
            </w:pPr>
            <w:r>
              <w:rPr>
                <w:rFonts w:ascii="Times New Roman" w:cs="Times New Roman" w:eastAsia="Times New Roman" w:hAnsi="Times New Roman"/>
                <w:sz w:val="23"/>
                <w:szCs w:val="23"/>
                <w:color w:val="auto"/>
              </w:rPr>
              <w:t>sent. Diatom assemblages near the top of the core</w:t>
            </w:r>
          </w:p>
        </w:tc>
        <w:tc>
          <w:tcPr>
            <w:tcW w:w="0" w:type="dxa"/>
            <w:vAlign w:val="bottom"/>
          </w:tcPr>
          <w:p>
            <w:pPr>
              <w:spacing w:after="0"/>
              <w:rPr>
                <w:sz w:val="1"/>
                <w:szCs w:val="1"/>
                <w:color w:val="auto"/>
              </w:rPr>
            </w:pPr>
          </w:p>
        </w:tc>
      </w:tr>
      <w:tr>
        <w:trPr>
          <w:trHeight w:val="280"/>
        </w:trPr>
        <w:tc>
          <w:tcPr>
            <w:tcW w:w="4920" w:type="dxa"/>
            <w:vAlign w:val="bottom"/>
          </w:tcPr>
          <w:p>
            <w:pPr>
              <w:spacing w:after="0"/>
              <w:rPr>
                <w:sz w:val="20"/>
                <w:szCs w:val="20"/>
                <w:color w:val="auto"/>
              </w:rPr>
            </w:pPr>
            <w:r>
              <w:rPr>
                <w:rFonts w:ascii="Times New Roman" w:cs="Times New Roman" w:eastAsia="Times New Roman" w:hAnsi="Times New Roman"/>
                <w:sz w:val="23"/>
                <w:szCs w:val="23"/>
                <w:color w:val="auto"/>
              </w:rPr>
              <w:t>forms  that  indicated  deeper  limnetic  waters.</w:t>
            </w:r>
          </w:p>
        </w:tc>
        <w:tc>
          <w:tcPr>
            <w:tcW w:w="4920" w:type="dxa"/>
            <w:vAlign w:val="bottom"/>
          </w:tcPr>
          <w:p>
            <w:pPr>
              <w:ind w:left="180"/>
              <w:spacing w:after="0"/>
              <w:rPr>
                <w:sz w:val="20"/>
                <w:szCs w:val="20"/>
                <w:color w:val="auto"/>
              </w:rPr>
            </w:pPr>
            <w:r>
              <w:rPr>
                <w:rFonts w:ascii="Times New Roman" w:cs="Times New Roman" w:eastAsia="Times New Roman" w:hAnsi="Times New Roman"/>
                <w:sz w:val="23"/>
                <w:szCs w:val="23"/>
                <w:color w:val="auto"/>
              </w:rPr>
              <w:t>showed an increase in some periphytic taxa (e.g.,</w:t>
            </w:r>
          </w:p>
        </w:tc>
        <w:tc>
          <w:tcPr>
            <w:tcW w:w="0" w:type="dxa"/>
            <w:vAlign w:val="bottom"/>
          </w:tcPr>
          <w:p>
            <w:pPr>
              <w:spacing w:after="0"/>
              <w:rPr>
                <w:sz w:val="1"/>
                <w:szCs w:val="1"/>
                <w:color w:val="auto"/>
              </w:rPr>
            </w:pPr>
          </w:p>
        </w:tc>
      </w:tr>
      <w:tr>
        <w:trPr>
          <w:trHeight w:val="281"/>
        </w:trPr>
        <w:tc>
          <w:tcPr>
            <w:tcW w:w="4920" w:type="dxa"/>
            <w:vAlign w:val="bottom"/>
          </w:tcPr>
          <w:p>
            <w:pPr>
              <w:spacing w:after="0"/>
              <w:rPr>
                <w:sz w:val="20"/>
                <w:szCs w:val="20"/>
                <w:color w:val="auto"/>
              </w:rPr>
            </w:pPr>
            <w:r>
              <w:rPr>
                <w:rFonts w:ascii="Times New Roman" w:cs="Times New Roman" w:eastAsia="Times New Roman" w:hAnsi="Times New Roman"/>
                <w:sz w:val="23"/>
                <w:szCs w:val="23"/>
                <w:color w:val="auto"/>
              </w:rPr>
              <w:t>Water-level fluctuations were suggested by these</w:t>
            </w:r>
          </w:p>
        </w:tc>
        <w:tc>
          <w:tcPr>
            <w:tcW w:w="4920" w:type="dxa"/>
            <w:vAlign w:val="bottom"/>
          </w:tcPr>
          <w:p>
            <w:pPr>
              <w:ind w:left="180"/>
              <w:spacing w:after="0"/>
              <w:rPr>
                <w:sz w:val="20"/>
                <w:szCs w:val="20"/>
                <w:color w:val="auto"/>
              </w:rPr>
            </w:pPr>
            <w:r>
              <w:rPr>
                <w:rFonts w:ascii="Times New Roman" w:cs="Times New Roman" w:eastAsia="Times New Roman" w:hAnsi="Times New Roman"/>
                <w:sz w:val="23"/>
                <w:szCs w:val="23"/>
                <w:color w:val="auto"/>
              </w:rPr>
              <w:t>Karayevia clevei) without prominent indication of</w:t>
            </w:r>
          </w:p>
        </w:tc>
        <w:tc>
          <w:tcPr>
            <w:tcW w:w="0" w:type="dxa"/>
            <w:vAlign w:val="bottom"/>
          </w:tcPr>
          <w:p>
            <w:pPr>
              <w:spacing w:after="0"/>
              <w:rPr>
                <w:sz w:val="1"/>
                <w:szCs w:val="1"/>
                <w:color w:val="auto"/>
              </w:rPr>
            </w:pPr>
          </w:p>
        </w:tc>
      </w:tr>
      <w:tr>
        <w:trPr>
          <w:trHeight w:val="280"/>
        </w:trPr>
        <w:tc>
          <w:tcPr>
            <w:tcW w:w="4920" w:type="dxa"/>
            <w:vAlign w:val="bottom"/>
          </w:tcPr>
          <w:p>
            <w:pPr>
              <w:spacing w:after="0"/>
              <w:rPr>
                <w:sz w:val="20"/>
                <w:szCs w:val="20"/>
                <w:color w:val="auto"/>
              </w:rPr>
            </w:pPr>
            <w:r>
              <w:rPr>
                <w:rFonts w:ascii="Times New Roman" w:cs="Times New Roman" w:eastAsia="Times New Roman" w:hAnsi="Times New Roman"/>
                <w:sz w:val="23"/>
                <w:szCs w:val="23"/>
                <w:color w:val="auto"/>
              </w:rPr>
              <w:t>mixed assemblages. Diatoms between the 70- and</w:t>
            </w:r>
          </w:p>
        </w:tc>
        <w:tc>
          <w:tcPr>
            <w:tcW w:w="4920" w:type="dxa"/>
            <w:vAlign w:val="bottom"/>
          </w:tcPr>
          <w:p>
            <w:pPr>
              <w:ind w:left="180"/>
              <w:spacing w:after="0"/>
              <w:rPr>
                <w:sz w:val="20"/>
                <w:szCs w:val="20"/>
                <w:color w:val="auto"/>
              </w:rPr>
            </w:pPr>
            <w:r>
              <w:rPr>
                <w:rFonts w:ascii="Times New Roman" w:cs="Times New Roman" w:eastAsia="Times New Roman" w:hAnsi="Times New Roman"/>
                <w:sz w:val="23"/>
                <w:szCs w:val="23"/>
                <w:color w:val="auto"/>
              </w:rPr>
              <w:t>change in water quality, and the tychoplanktonic</w:t>
            </w:r>
          </w:p>
        </w:tc>
        <w:tc>
          <w:tcPr>
            <w:tcW w:w="0" w:type="dxa"/>
            <w:vAlign w:val="bottom"/>
          </w:tcPr>
          <w:p>
            <w:pPr>
              <w:spacing w:after="0"/>
              <w:rPr>
                <w:sz w:val="1"/>
                <w:szCs w:val="1"/>
                <w:color w:val="auto"/>
              </w:rPr>
            </w:pPr>
          </w:p>
        </w:tc>
      </w:tr>
    </w:tbl>
    <w:p>
      <w:pPr>
        <w:sectPr>
          <w:pgSz w:w="12240" w:h="15840" w:orient="portrait"/>
          <w:cols w:equalWidth="0" w:num="1">
            <w:col w:w="9840"/>
          </w:cols>
          <w:pgMar w:left="1200" w:top="458" w:right="1200" w:bottom="545" w:gutter="0" w:footer="0" w:header="0"/>
        </w:sectPr>
      </w:pPr>
    </w:p>
    <w:bookmarkStart w:id="13" w:name="page14"/>
    <w:bookmarkEnd w:id="13"/>
    <w:p>
      <w:pPr>
        <w:spacing w:after="0" w:line="200" w:lineRule="exact"/>
        <w:rPr>
          <w:sz w:val="20"/>
          <w:szCs w:val="20"/>
          <w:color w:val="auto"/>
        </w:rPr>
      </w:pPr>
    </w:p>
    <w:p>
      <w:pPr>
        <w:spacing w:after="0" w:line="300" w:lineRule="exact"/>
        <w:rPr>
          <w:sz w:val="20"/>
          <w:szCs w:val="20"/>
          <w:color w:val="auto"/>
        </w:rPr>
      </w:pPr>
    </w:p>
    <w:p>
      <w:pPr>
        <w:jc w:val="both"/>
        <w:spacing w:after="0" w:line="258" w:lineRule="auto"/>
        <w:rPr>
          <w:sz w:val="20"/>
          <w:szCs w:val="20"/>
          <w:color w:val="auto"/>
        </w:rPr>
      </w:pPr>
      <w:r>
        <w:rPr>
          <w:rFonts w:ascii="Times New Roman" w:cs="Times New Roman" w:eastAsia="Times New Roman" w:hAnsi="Times New Roman"/>
          <w:sz w:val="23"/>
          <w:szCs w:val="23"/>
          <w:color w:val="auto"/>
        </w:rPr>
        <w:t>taxa that we associate with competitive exclusion by cyanobacteria were not present. As in Lakes Cypress and East Tohopekaliga, quantitative water quality inferences were not available because salt-tolerant assemblages in the lower portions of the cores resulted in samples having no analogs in the calibration set (Table S3). Equivocal dates did not permit estimation of changing rates of nutri-ent deposition.</w:t>
      </w:r>
    </w:p>
    <w:p>
      <w:pPr>
        <w:spacing w:after="0" w:line="14" w:lineRule="exact"/>
        <w:rPr>
          <w:sz w:val="20"/>
          <w:szCs w:val="20"/>
          <w:color w:val="auto"/>
        </w:rPr>
      </w:pPr>
    </w:p>
    <w:p>
      <w:pPr>
        <w:jc w:val="both"/>
        <w:ind w:firstLine="240"/>
        <w:spacing w:after="0" w:line="259" w:lineRule="auto"/>
        <w:rPr>
          <w:sz w:val="20"/>
          <w:szCs w:val="20"/>
          <w:color w:val="auto"/>
        </w:rPr>
      </w:pPr>
      <w:r>
        <w:rPr>
          <w:rFonts w:ascii="Times New Roman" w:cs="Times New Roman" w:eastAsia="Times New Roman" w:hAnsi="Times New Roman"/>
          <w:sz w:val="23"/>
          <w:szCs w:val="23"/>
          <w:color w:val="auto"/>
        </w:rPr>
        <w:t>Chlorophyll derivative values were low (</w:t>
      </w:r>
      <w:r>
        <w:rPr>
          <w:rFonts w:ascii="Arial" w:cs="Arial" w:eastAsia="Arial" w:hAnsi="Arial"/>
          <w:sz w:val="23"/>
          <w:szCs w:val="23"/>
          <w:color w:val="auto"/>
        </w:rPr>
        <w:t>&lt;</w:t>
      </w:r>
      <w:r>
        <w:rPr>
          <w:rFonts w:ascii="Times New Roman" w:cs="Times New Roman" w:eastAsia="Times New Roman" w:hAnsi="Times New Roman"/>
          <w:sz w:val="23"/>
          <w:szCs w:val="23"/>
          <w:color w:val="auto"/>
        </w:rPr>
        <w:t>1.0 abs/g org matter) in sediments deposited prior to c. 1900 ( 30 cm) in core 16_III_2018_JAC_307, which indicated low historical algal productivity (</w:t>
      </w:r>
      <w:r>
        <w:rPr>
          <w:rFonts w:ascii="Times New Roman" w:cs="Times New Roman" w:eastAsia="Times New Roman" w:hAnsi="Times New Roman"/>
          <w:sz w:val="23"/>
          <w:szCs w:val="23"/>
          <w:color w:val="000080"/>
        </w:rPr>
        <w:t>Figure 5</w:t>
      </w:r>
      <w:r>
        <w:rPr>
          <w:rFonts w:ascii="Times New Roman" w:cs="Times New Roman" w:eastAsia="Times New Roman" w:hAnsi="Times New Roman"/>
          <w:sz w:val="23"/>
          <w:szCs w:val="23"/>
          <w:color w:val="auto"/>
        </w:rPr>
        <w:t>). Chlorophyll derivatives and total carotenoid concentrations increased to 2</w:t>
      </w:r>
      <w:r>
        <w:rPr>
          <w:rFonts w:ascii="Arial" w:cs="Arial" w:eastAsia="Arial" w:hAnsi="Arial"/>
          <w:sz w:val="23"/>
          <w:szCs w:val="23"/>
          <w:color w:val="auto"/>
        </w:rPr>
        <w:t>–</w:t>
      </w:r>
      <w:r>
        <w:rPr>
          <w:rFonts w:ascii="Times New Roman" w:cs="Times New Roman" w:eastAsia="Times New Roman" w:hAnsi="Times New Roman"/>
          <w:sz w:val="23"/>
          <w:szCs w:val="23"/>
          <w:color w:val="auto"/>
        </w:rPr>
        <w:t>3 abs/g above the 20-cm level. Percent native chlorophyll, the indicator of pigment preserva-tion quality, declined in the upper 28 cm of the core, which showed that pigment concen-tration increases were not an artifact of pres-ervation. Myxoxanthophyll and oscillaxanthin cyanobacterial pigments were present occa-sionally at low concentrations below the 15 cm level in the core, but they increased to 7.3 and 3.8 lg/g organic matter, respectively, in the top 10 cm.</w:t>
      </w:r>
    </w:p>
    <w:p>
      <w:pPr>
        <w:spacing w:after="0" w:line="270" w:lineRule="exact"/>
        <w:rPr>
          <w:sz w:val="20"/>
          <w:szCs w:val="20"/>
          <w:color w:val="auto"/>
        </w:rPr>
      </w:pPr>
    </w:p>
    <w:p>
      <w:pPr>
        <w:jc w:val="both"/>
        <w:ind w:firstLine="240"/>
        <w:spacing w:after="0" w:line="256" w:lineRule="auto"/>
        <w:rPr>
          <w:sz w:val="20"/>
          <w:szCs w:val="20"/>
          <w:color w:val="auto"/>
        </w:rPr>
      </w:pPr>
      <w:r>
        <w:rPr>
          <w:rFonts w:ascii="Times New Roman" w:cs="Times New Roman" w:eastAsia="Times New Roman" w:hAnsi="Times New Roman"/>
          <w:sz w:val="23"/>
          <w:szCs w:val="23"/>
          <w:color w:val="auto"/>
        </w:rPr>
        <w:t>d</w:t>
      </w:r>
      <w:r>
        <w:rPr>
          <w:rFonts w:ascii="Times New Roman" w:cs="Times New Roman" w:eastAsia="Times New Roman" w:hAnsi="Times New Roman"/>
          <w:sz w:val="30"/>
          <w:szCs w:val="30"/>
          <w:color w:val="auto"/>
          <w:vertAlign w:val="superscript"/>
        </w:rPr>
        <w:t>13</w:t>
      </w:r>
      <w:r>
        <w:rPr>
          <w:rFonts w:ascii="Times New Roman" w:cs="Times New Roman" w:eastAsia="Times New Roman" w:hAnsi="Times New Roman"/>
          <w:sz w:val="23"/>
          <w:szCs w:val="23"/>
          <w:color w:val="auto"/>
        </w:rPr>
        <w:t>C versus C/N ratios (</w:t>
      </w:r>
      <w:r>
        <w:rPr>
          <w:rFonts w:ascii="Times New Roman" w:cs="Times New Roman" w:eastAsia="Times New Roman" w:hAnsi="Times New Roman"/>
          <w:sz w:val="23"/>
          <w:szCs w:val="23"/>
          <w:color w:val="000080"/>
        </w:rPr>
        <w:t>Figure 3</w:t>
      </w:r>
      <w:r>
        <w:rPr>
          <w:rFonts w:ascii="Times New Roman" w:cs="Times New Roman" w:eastAsia="Times New Roman" w:hAnsi="Times New Roman"/>
          <w:sz w:val="23"/>
          <w:szCs w:val="23"/>
          <w:color w:val="auto"/>
        </w:rPr>
        <w:t>) indicated that carbon deposited in sediments at the bottom of the core was largely from submerged aquatic vegetation that might have included Vallisneria, Ceratophyllum, and Najas, as well as carbon from algae or periphyton. Sedimented carbon signa-tures changed to sources that probably included floating-leaved vegetation and algae/cyanobacteria toward the core top. Pollen analysis of predis-turbance samples at 70</w:t>
      </w:r>
      <w:r>
        <w:rPr>
          <w:rFonts w:ascii="Arial" w:cs="Arial" w:eastAsia="Arial" w:hAnsi="Arial"/>
          <w:sz w:val="23"/>
          <w:szCs w:val="23"/>
          <w:color w:val="auto"/>
        </w:rPr>
        <w:t>–</w:t>
      </w:r>
      <w:r>
        <w:rPr>
          <w:rFonts w:ascii="Times New Roman" w:cs="Times New Roman" w:eastAsia="Times New Roman" w:hAnsi="Times New Roman"/>
          <w:sz w:val="23"/>
          <w:szCs w:val="23"/>
          <w:color w:val="auto"/>
        </w:rPr>
        <w:t>100 cm deep in the core showed very low numbers of grains of the wet-land Taxodium (cypress), Nyssa (water tupelo), Salix (willow), and Morella (bayberry), but pollen was present from grasses and asters, such as are found in natural grasslands and dry prairies in the vicinity of the lake today (Table S9). Pollen analysis revealed Myriophyllum in predisturbance samples, and plant macrofossils included Chara, Najas, and some seeds of Nymphaea. Macrofossil remains showed that Chara was abundant in the 80</w:t>
      </w:r>
      <w:r>
        <w:rPr>
          <w:rFonts w:ascii="Arial" w:cs="Arial" w:eastAsia="Arial" w:hAnsi="Arial"/>
          <w:sz w:val="23"/>
          <w:szCs w:val="23"/>
          <w:color w:val="auto"/>
        </w:rPr>
        <w:t>–</w:t>
      </w:r>
      <w:r>
        <w:rPr>
          <w:rFonts w:ascii="Times New Roman" w:cs="Times New Roman" w:eastAsia="Times New Roman" w:hAnsi="Times New Roman"/>
          <w:sz w:val="23"/>
          <w:szCs w:val="23"/>
          <w:color w:val="auto"/>
        </w:rPr>
        <w:t>85 cm sample, but disappeared above that level in the core (Table S15).</w:t>
      </w:r>
    </w:p>
    <w:p>
      <w:pPr>
        <w:spacing w:after="0" w:line="20" w:lineRule="exact"/>
        <w:rPr>
          <w:sz w:val="20"/>
          <w:szCs w:val="20"/>
          <w:color w:val="auto"/>
        </w:rPr>
      </w:pPr>
      <w:r>
        <w:rPr>
          <w:sz w:val="20"/>
          <w:szCs w:val="20"/>
          <w:color w:val="auto"/>
        </w:rPr>
        <w:br w:type="column"/>
      </w:r>
    </w:p>
    <w:p>
      <w:pPr>
        <w:spacing w:after="0" w:line="1" w:lineRule="exact"/>
        <w:rPr>
          <w:sz w:val="1"/>
          <w:szCs w:val="1"/>
          <w:color w:val="auto"/>
        </w:rPr>
      </w:pPr>
    </w:p>
    <w:tbl>
      <w:tblPr>
        <w:tblLayout w:type="fixed"/>
        <w:tblInd w:w="1740" w:type="dxa"/>
        <w:tblCellMar>
          <w:top w:w="0" w:type="dxa"/>
          <w:left w:w="0" w:type="dxa"/>
          <w:bottom w:w="0" w:type="dxa"/>
          <w:right w:w="0" w:type="dxa"/>
        </w:tblCellMar>
      </w:tblPr>
      <w:tr>
        <w:trPr>
          <w:trHeight w:val="172"/>
        </w:trPr>
        <w:tc>
          <w:tcPr>
            <w:tcW w:w="2620" w:type="dxa"/>
            <w:vAlign w:val="bottom"/>
          </w:tcPr>
          <w:p>
            <w:pPr>
              <w:spacing w:after="0"/>
              <w:rPr>
                <w:sz w:val="20"/>
                <w:szCs w:val="20"/>
                <w:color w:val="auto"/>
              </w:rPr>
            </w:pPr>
            <w:r>
              <w:rPr>
                <w:rFonts w:ascii="Arial" w:cs="Arial" w:eastAsia="Arial" w:hAnsi="Arial"/>
                <w:sz w:val="15"/>
                <w:szCs w:val="15"/>
                <w:color w:val="auto"/>
                <w:w w:val="93"/>
              </w:rPr>
              <w:t>LAKE AND RESERVOIR MANAGEMENT</w:t>
            </w:r>
          </w:p>
        </w:tc>
        <w:tc>
          <w:tcPr>
            <w:tcW w:w="380" w:type="dxa"/>
            <w:vAlign w:val="bottom"/>
          </w:tcPr>
          <w:p>
            <w:pPr>
              <w:jc w:val="right"/>
              <w:spacing w:after="0"/>
              <w:rPr>
                <w:sz w:val="20"/>
                <w:szCs w:val="20"/>
                <w:color w:val="auto"/>
              </w:rPr>
            </w:pPr>
            <w:r>
              <w:rPr>
                <w:rFonts w:ascii="Arial" w:cs="Arial" w:eastAsia="Arial" w:hAnsi="Arial"/>
                <w:sz w:val="15"/>
                <w:szCs w:val="15"/>
                <w:color w:val="auto"/>
              </w:rPr>
              <w:t>13</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2687320</wp:posOffset>
            </wp:positionH>
            <wp:positionV relativeFrom="paragraph">
              <wp:posOffset>-128270</wp:posOffset>
            </wp:positionV>
            <wp:extent cx="165100" cy="16510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5">
                      <a:extLst>
                        <a:ext uri="{28A0092B-C50C-407E-A947-70E740481C1C}"/>
                      </a:extLst>
                    </a:blip>
                    <a:srcRect/>
                    <a:stretch>
                      <a:fillRect/>
                    </a:stretch>
                  </pic:blipFill>
                  <pic:spPr bwMode="auto">
                    <a:xfrm>
                      <a:off x="0" y="0"/>
                      <a:ext cx="165100" cy="165100"/>
                    </a:xfrm>
                    <a:prstGeom prst="rect">
                      <a:avLst/>
                    </a:prstGeom>
                    <a:noFill/>
                  </pic:spPr>
                </pic:pic>
              </a:graphicData>
            </a:graphic>
          </wp:anchor>
        </w:drawing>
      </w:r>
    </w:p>
    <w:p>
      <w:pPr>
        <w:spacing w:after="0" w:line="302" w:lineRule="exact"/>
        <w:rPr>
          <w:sz w:val="20"/>
          <w:szCs w:val="20"/>
          <w:color w:val="auto"/>
        </w:rPr>
      </w:pPr>
    </w:p>
    <w:p>
      <w:pPr>
        <w:spacing w:after="0"/>
        <w:rPr>
          <w:sz w:val="20"/>
          <w:szCs w:val="20"/>
          <w:color w:val="auto"/>
        </w:rPr>
      </w:pPr>
      <w:r>
        <w:rPr>
          <w:rFonts w:ascii="Arial" w:cs="Arial" w:eastAsia="Arial" w:hAnsi="Arial"/>
          <w:sz w:val="21"/>
          <w:szCs w:val="21"/>
          <w:color w:val="10157E"/>
        </w:rPr>
        <w:t>Lake Tohopekaliga</w:t>
      </w:r>
    </w:p>
    <w:p>
      <w:pPr>
        <w:spacing w:after="0" w:line="152" w:lineRule="exact"/>
        <w:rPr>
          <w:sz w:val="20"/>
          <w:szCs w:val="20"/>
          <w:color w:val="auto"/>
        </w:rPr>
      </w:pPr>
    </w:p>
    <w:p>
      <w:pPr>
        <w:jc w:val="both"/>
        <w:spacing w:after="0" w:line="257" w:lineRule="auto"/>
        <w:rPr>
          <w:sz w:val="20"/>
          <w:szCs w:val="20"/>
          <w:color w:val="auto"/>
        </w:rPr>
      </w:pPr>
      <w:r>
        <w:rPr>
          <w:rFonts w:ascii="Times New Roman" w:cs="Times New Roman" w:eastAsia="Times New Roman" w:hAnsi="Times New Roman"/>
          <w:sz w:val="23"/>
          <w:szCs w:val="23"/>
          <w:color w:val="auto"/>
        </w:rPr>
        <w:t xml:space="preserve">Lake Tohopekaliga core 19_I_2017_TOH_202 was retrieved in the central basin of this 3-lobed lake. Radioistopic activities for core 19_I_2017_TOH_202 are shown in </w:t>
      </w:r>
      <w:r>
        <w:rPr>
          <w:rFonts w:ascii="Times New Roman" w:cs="Times New Roman" w:eastAsia="Times New Roman" w:hAnsi="Times New Roman"/>
          <w:sz w:val="23"/>
          <w:szCs w:val="23"/>
          <w:color w:val="000080"/>
        </w:rPr>
        <w:t>Figure S6</w:t>
      </w:r>
      <w:r>
        <w:rPr>
          <w:rFonts w:ascii="Times New Roman" w:cs="Times New Roman" w:eastAsia="Times New Roman" w:hAnsi="Times New Roman"/>
          <w:sz w:val="23"/>
          <w:szCs w:val="23"/>
          <w:color w:val="auto"/>
        </w:rPr>
        <w:t>, and dates are shown in Table S6. Diatom assemblages below the 60-cm level contained a large number of planktonic taxa that included Cyclotella meneghiniana, Synedra radians, and Cyclotella distinguenda. In addition, these samples included Anomoeoneis sphaerophora var. sculpta, Mastogloia smithii, M. braunii, and M. smithii var. lacustris, which indicated high solute concen-trations that resulted from low water-level condi-tions (</w:t>
      </w:r>
      <w:r>
        <w:rPr>
          <w:rFonts w:ascii="Times New Roman" w:cs="Times New Roman" w:eastAsia="Times New Roman" w:hAnsi="Times New Roman"/>
          <w:sz w:val="23"/>
          <w:szCs w:val="23"/>
          <w:color w:val="000080"/>
        </w:rPr>
        <w:t>Figure 6</w:t>
      </w:r>
      <w:r>
        <w:rPr>
          <w:rFonts w:ascii="Times New Roman" w:cs="Times New Roman" w:eastAsia="Times New Roman" w:hAnsi="Times New Roman"/>
          <w:sz w:val="23"/>
          <w:szCs w:val="23"/>
          <w:color w:val="auto"/>
        </w:rPr>
        <w:t xml:space="preserve">). We interpreted these mixed assemblages as being caused by large fluctuations in water level prior to the 1890s. CONISS and the broken-stick model showed a statistically sig-nificant change in diatom assemblages above the 60-cm level (c. 1890), and taxa indicative of high salinity conditions were no longer present. Eutrophic and planktonic species of Aulacoseira spp. became dominant around the 50-cm level in the core (c. 1916). After c. 1931, diatom domin-ance shifted to more highly eutrophic benthic taxa that included Pseudostaurosira brevistriata, Staurosirella berolinensis, and Staurosira con-struens. This transition suggested increased influ-ence of cyanobacteria on planktonic diatom assemblages (Whitmore et al. </w:t>
      </w:r>
      <w:r>
        <w:rPr>
          <w:rFonts w:ascii="Times New Roman" w:cs="Times New Roman" w:eastAsia="Times New Roman" w:hAnsi="Times New Roman"/>
          <w:sz w:val="23"/>
          <w:szCs w:val="23"/>
          <w:color w:val="000080"/>
        </w:rPr>
        <w:t>2018</w:t>
      </w:r>
      <w:r>
        <w:rPr>
          <w:rFonts w:ascii="Times New Roman" w:cs="Times New Roman" w:eastAsia="Times New Roman" w:hAnsi="Times New Roman"/>
          <w:sz w:val="23"/>
          <w:szCs w:val="23"/>
          <w:color w:val="auto"/>
        </w:rPr>
        <w:t>). Salt-tolerant diatoms below the 50-cm level resulted in sam-ples that had no analogs in the calibration set (Table S6), so quantitative water quality infer-ences were not available.</w:t>
      </w:r>
    </w:p>
    <w:p>
      <w:pPr>
        <w:spacing w:after="0" w:line="27" w:lineRule="exact"/>
        <w:rPr>
          <w:sz w:val="20"/>
          <w:szCs w:val="20"/>
          <w:color w:val="auto"/>
        </w:rPr>
      </w:pPr>
    </w:p>
    <w:p>
      <w:pPr>
        <w:jc w:val="both"/>
        <w:ind w:firstLine="240"/>
        <w:spacing w:after="0" w:line="257" w:lineRule="auto"/>
        <w:rPr>
          <w:sz w:val="20"/>
          <w:szCs w:val="20"/>
          <w:color w:val="auto"/>
        </w:rPr>
      </w:pPr>
      <w:r>
        <w:rPr>
          <w:rFonts w:ascii="Times New Roman" w:cs="Times New Roman" w:eastAsia="Times New Roman" w:hAnsi="Times New Roman"/>
          <w:sz w:val="23"/>
          <w:szCs w:val="23"/>
          <w:color w:val="auto"/>
        </w:rPr>
        <w:t xml:space="preserve">Chlorophyll derivative concentrations were </w:t>
      </w:r>
      <w:r>
        <w:rPr>
          <w:rFonts w:ascii="Arial" w:cs="Arial" w:eastAsia="Arial" w:hAnsi="Arial"/>
          <w:sz w:val="23"/>
          <w:szCs w:val="23"/>
          <w:color w:val="auto"/>
        </w:rPr>
        <w:t>&lt;</w:t>
      </w:r>
      <w:r>
        <w:rPr>
          <w:rFonts w:ascii="Times New Roman" w:cs="Times New Roman" w:eastAsia="Times New Roman" w:hAnsi="Times New Roman"/>
          <w:sz w:val="23"/>
          <w:szCs w:val="23"/>
          <w:color w:val="auto"/>
        </w:rPr>
        <w:t>0.3 abs/g organic matter below the 65-cm level</w:t>
      </w:r>
      <w:r>
        <w:rPr>
          <w:rFonts w:ascii="Arial" w:cs="Arial" w:eastAsia="Arial" w:hAnsi="Arial"/>
          <w:sz w:val="23"/>
          <w:szCs w:val="23"/>
          <w:color w:val="auto"/>
        </w:rPr>
        <w:t xml:space="preserve"> </w:t>
      </w:r>
      <w:r>
        <w:rPr>
          <w:rFonts w:ascii="Times New Roman" w:cs="Times New Roman" w:eastAsia="Times New Roman" w:hAnsi="Times New Roman"/>
          <w:sz w:val="23"/>
          <w:szCs w:val="23"/>
          <w:color w:val="auto"/>
        </w:rPr>
        <w:t>(prior to 1897), and they increased steadily to about 4.0 abs/g organic matter at the top of the core (</w:t>
      </w:r>
      <w:r>
        <w:rPr>
          <w:rFonts w:ascii="Times New Roman" w:cs="Times New Roman" w:eastAsia="Times New Roman" w:hAnsi="Times New Roman"/>
          <w:sz w:val="23"/>
          <w:szCs w:val="23"/>
          <w:color w:val="000080"/>
        </w:rPr>
        <w:t>Figure 6</w:t>
      </w:r>
      <w:r>
        <w:rPr>
          <w:rFonts w:ascii="Times New Roman" w:cs="Times New Roman" w:eastAsia="Times New Roman" w:hAnsi="Times New Roman"/>
          <w:sz w:val="23"/>
          <w:szCs w:val="23"/>
          <w:color w:val="auto"/>
        </w:rPr>
        <w:t>). Total carotenoid concentrations varied around 0.5 abs/g organic matter below the 40 cm level in the core (c. 1950), then increased to 1</w:t>
      </w:r>
      <w:r>
        <w:rPr>
          <w:rFonts w:ascii="Arial" w:cs="Arial" w:eastAsia="Arial" w:hAnsi="Arial"/>
          <w:sz w:val="23"/>
          <w:szCs w:val="23"/>
          <w:color w:val="auto"/>
        </w:rPr>
        <w:t>–</w:t>
      </w:r>
      <w:r>
        <w:rPr>
          <w:rFonts w:ascii="Times New Roman" w:cs="Times New Roman" w:eastAsia="Times New Roman" w:hAnsi="Times New Roman"/>
          <w:sz w:val="23"/>
          <w:szCs w:val="23"/>
          <w:color w:val="auto"/>
        </w:rPr>
        <w:t>2 abs/g organic matter in the topmost sam-ples. Oscillaxanthin and myxoxanthophyll cyano-bacterial pigments were present and variable around 0.1</w:t>
      </w:r>
      <w:r>
        <w:rPr>
          <w:rFonts w:ascii="Arial" w:cs="Arial" w:eastAsia="Arial" w:hAnsi="Arial"/>
          <w:sz w:val="23"/>
          <w:szCs w:val="23"/>
          <w:color w:val="auto"/>
        </w:rPr>
        <w:t>–</w:t>
      </w:r>
      <w:r>
        <w:rPr>
          <w:rFonts w:ascii="Times New Roman" w:cs="Times New Roman" w:eastAsia="Times New Roman" w:hAnsi="Times New Roman"/>
          <w:sz w:val="23"/>
          <w:szCs w:val="23"/>
          <w:color w:val="auto"/>
        </w:rPr>
        <w:t>1 lg pigment/g organic matter below the 40 cm level, then increased to 2 lg pigment/</w:t>
      </w:r>
    </w:p>
    <w:p>
      <w:pPr>
        <w:spacing w:after="0" w:line="7" w:lineRule="exact"/>
        <w:rPr>
          <w:sz w:val="20"/>
          <w:szCs w:val="20"/>
          <w:color w:val="auto"/>
        </w:rPr>
      </w:pPr>
    </w:p>
    <w:p>
      <w:pPr>
        <w:jc w:val="both"/>
        <w:spacing w:after="0" w:line="248" w:lineRule="auto"/>
        <w:tabs>
          <w:tab w:leader="none" w:pos="214" w:val="left"/>
        </w:tabs>
        <w:numPr>
          <w:ilvl w:val="0"/>
          <w:numId w:val="3"/>
        </w:numPr>
        <w:rPr>
          <w:rFonts w:ascii="Times New Roman" w:cs="Times New Roman" w:eastAsia="Times New Roman" w:hAnsi="Times New Roman"/>
          <w:sz w:val="23"/>
          <w:szCs w:val="23"/>
          <w:color w:val="auto"/>
        </w:rPr>
      </w:pPr>
      <w:r>
        <w:rPr>
          <w:rFonts w:ascii="Times New Roman" w:cs="Times New Roman" w:eastAsia="Times New Roman" w:hAnsi="Times New Roman"/>
          <w:sz w:val="23"/>
          <w:szCs w:val="23"/>
          <w:color w:val="auto"/>
        </w:rPr>
        <w:t>organic matter of oscillaxanthin and 5 lg pig-ment/g organic matter of myxoxanthophyll in the</w:t>
      </w:r>
    </w:p>
    <w:p>
      <w:pPr>
        <w:sectPr>
          <w:pgSz w:w="12240" w:h="15840" w:orient="portrait"/>
          <w:cols w:equalWidth="0" w:num="2">
            <w:col w:w="4740" w:space="360"/>
            <w:col w:w="4740"/>
          </w:cols>
          <w:pgMar w:left="1200" w:top="521" w:right="1200" w:bottom="537" w:gutter="0" w:footer="0" w:header="0"/>
        </w:sectPr>
      </w:pPr>
    </w:p>
    <w:bookmarkStart w:id="14" w:name="page15"/>
    <w:bookmarkEnd w:id="14"/>
    <w:p>
      <w:pPr>
        <w:spacing w:after="0"/>
        <w:rPr>
          <w:sz w:val="20"/>
          <w:szCs w:val="20"/>
          <w:color w:val="auto"/>
        </w:rPr>
      </w:pPr>
      <w:r>
        <w:rPr>
          <w:rFonts w:ascii="Arial" w:cs="Arial" w:eastAsia="Arial" w:hAnsi="Arial"/>
          <w:sz w:val="15"/>
          <w:szCs w:val="15"/>
          <w:color w:val="auto"/>
        </w:rPr>
        <w:t xml:space="preserve">14  </w:t>
      </w:r>
      <w:r>
        <w:rPr>
          <w:sz w:val="1"/>
          <w:szCs w:val="1"/>
          <w:color w:val="auto"/>
        </w:rPr>
        <w:drawing>
          <wp:inline distT="0" distB="0" distL="0" distR="0">
            <wp:extent cx="165100" cy="1651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6">
                      <a:extLst>
                        <a:ext uri="{28A0092B-C50C-407E-A947-70E740481C1C}"/>
                      </a:extLst>
                    </a:blip>
                    <a:srcRect/>
                    <a:stretch>
                      <a:fillRect/>
                    </a:stretch>
                  </pic:blipFill>
                  <pic:spPr bwMode="auto">
                    <a:xfrm>
                      <a:off x="0" y="0"/>
                      <a:ext cx="165100" cy="165100"/>
                    </a:xfrm>
                    <a:prstGeom prst="rect">
                      <a:avLst/>
                    </a:prstGeom>
                    <a:noFill/>
                    <a:ln>
                      <a:noFill/>
                    </a:ln>
                  </pic:spPr>
                </pic:pic>
              </a:graphicData>
            </a:graphic>
          </wp:inline>
        </w:drawing>
      </w:r>
      <w:r>
        <w:rPr>
          <w:rFonts w:ascii="Arial" w:cs="Arial" w:eastAsia="Arial" w:hAnsi="Arial"/>
          <w:sz w:val="15"/>
          <w:szCs w:val="15"/>
          <w:color w:val="auto"/>
        </w:rPr>
        <w:t xml:space="preserve">  T. J. WHITMORE ET AL.</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68580</wp:posOffset>
            </wp:positionH>
            <wp:positionV relativeFrom="paragraph">
              <wp:posOffset>196850</wp:posOffset>
            </wp:positionV>
            <wp:extent cx="6110605" cy="3107055"/>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7">
                      <a:extLst>
                        <a:ext uri="{28A0092B-C50C-407E-A947-70E740481C1C}"/>
                      </a:extLst>
                    </a:blip>
                    <a:srcRect/>
                    <a:stretch>
                      <a:fillRect/>
                    </a:stretch>
                  </pic:blipFill>
                  <pic:spPr bwMode="auto">
                    <a:xfrm>
                      <a:off x="0" y="0"/>
                      <a:ext cx="6110605" cy="310705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3" w:lineRule="exact"/>
        <w:rPr>
          <w:sz w:val="20"/>
          <w:szCs w:val="20"/>
          <w:color w:val="auto"/>
        </w:rPr>
      </w:pPr>
    </w:p>
    <w:p>
      <w:pPr>
        <w:spacing w:after="0" w:line="238" w:lineRule="auto"/>
        <w:rPr>
          <w:sz w:val="20"/>
          <w:szCs w:val="20"/>
          <w:color w:val="auto"/>
        </w:rPr>
      </w:pPr>
      <w:r>
        <w:rPr>
          <w:rFonts w:ascii="Arial" w:cs="Arial" w:eastAsia="Arial" w:hAnsi="Arial"/>
          <w:sz w:val="19"/>
          <w:szCs w:val="19"/>
          <w:color w:val="10157E"/>
        </w:rPr>
        <w:t xml:space="preserve">Figure 6. </w:t>
      </w:r>
      <w:r>
        <w:rPr>
          <w:rFonts w:ascii="Arial" w:cs="Arial" w:eastAsia="Arial" w:hAnsi="Arial"/>
          <w:sz w:val="19"/>
          <w:szCs w:val="19"/>
          <w:color w:val="000000"/>
        </w:rPr>
        <w:t>Diatom profile with CONISS zonation for core 19_I_2017_TOH_202 from Lake Tohopekaliga. Lower panels show sedi-mented algal and cyanobacterial pigment profiles.</w:t>
      </w:r>
    </w:p>
    <w:p>
      <w:pPr>
        <w:sectPr>
          <w:pgSz w:w="12240" w:h="15840" w:orient="portrait"/>
          <w:cols w:equalWidth="0" w:num="1">
            <w:col w:w="9840"/>
          </w:cols>
          <w:pgMar w:left="1200" w:top="458" w:right="1200" w:bottom="527" w:gutter="0" w:footer="0" w:header="0"/>
        </w:sectPr>
      </w:pPr>
    </w:p>
    <w:p>
      <w:pPr>
        <w:spacing w:after="0" w:line="220" w:lineRule="exact"/>
        <w:rPr>
          <w:sz w:val="20"/>
          <w:szCs w:val="20"/>
          <w:color w:val="auto"/>
        </w:rPr>
      </w:pPr>
    </w:p>
    <w:p>
      <w:pPr>
        <w:jc w:val="both"/>
        <w:spacing w:after="0" w:line="238" w:lineRule="auto"/>
        <w:rPr>
          <w:sz w:val="20"/>
          <w:szCs w:val="20"/>
          <w:color w:val="auto"/>
        </w:rPr>
      </w:pPr>
      <w:r>
        <w:rPr>
          <w:rFonts w:ascii="Times New Roman" w:cs="Times New Roman" w:eastAsia="Times New Roman" w:hAnsi="Times New Roman"/>
          <w:sz w:val="23"/>
          <w:szCs w:val="23"/>
          <w:color w:val="auto"/>
        </w:rPr>
        <w:t>topmost samples. Although d</w:t>
      </w:r>
      <w:r>
        <w:rPr>
          <w:rFonts w:ascii="Times New Roman" w:cs="Times New Roman" w:eastAsia="Times New Roman" w:hAnsi="Times New Roman"/>
          <w:sz w:val="30"/>
          <w:szCs w:val="30"/>
          <w:color w:val="auto"/>
          <w:vertAlign w:val="superscript"/>
        </w:rPr>
        <w:t>15</w:t>
      </w:r>
      <w:r>
        <w:rPr>
          <w:rFonts w:ascii="Times New Roman" w:cs="Times New Roman" w:eastAsia="Times New Roman" w:hAnsi="Times New Roman"/>
          <w:sz w:val="23"/>
          <w:szCs w:val="23"/>
          <w:color w:val="auto"/>
        </w:rPr>
        <w:t>N values of sedi-mented organic matter tended to be unchanged in all other lakes of this study, d</w:t>
      </w:r>
      <w:r>
        <w:rPr>
          <w:rFonts w:ascii="Times New Roman" w:cs="Times New Roman" w:eastAsia="Times New Roman" w:hAnsi="Times New Roman"/>
          <w:sz w:val="30"/>
          <w:szCs w:val="30"/>
          <w:color w:val="auto"/>
          <w:vertAlign w:val="superscript"/>
        </w:rPr>
        <w:t>15</w:t>
      </w:r>
      <w:r>
        <w:rPr>
          <w:rFonts w:ascii="Times New Roman" w:cs="Times New Roman" w:eastAsia="Times New Roman" w:hAnsi="Times New Roman"/>
          <w:sz w:val="23"/>
          <w:szCs w:val="23"/>
          <w:color w:val="auto"/>
        </w:rPr>
        <w:t>N values in Tohopekaliga core 19_I_2017_TOH_202 showed a decline (</w:t>
      </w:r>
      <w:r>
        <w:rPr>
          <w:rFonts w:ascii="Times New Roman" w:cs="Times New Roman" w:eastAsia="Times New Roman" w:hAnsi="Times New Roman"/>
          <w:sz w:val="23"/>
          <w:szCs w:val="23"/>
          <w:color w:val="000080"/>
        </w:rPr>
        <w:t>Figure 6</w:t>
      </w:r>
      <w:r>
        <w:rPr>
          <w:rFonts w:ascii="Times New Roman" w:cs="Times New Roman" w:eastAsia="Times New Roman" w:hAnsi="Times New Roman"/>
          <w:sz w:val="23"/>
          <w:szCs w:val="23"/>
          <w:color w:val="auto"/>
        </w:rPr>
        <w:t xml:space="preserve">) that is a typical response to nitrogen-fixing cyanobacteria (Brenner et al. </w:t>
      </w:r>
      <w:r>
        <w:rPr>
          <w:rFonts w:ascii="Times New Roman" w:cs="Times New Roman" w:eastAsia="Times New Roman" w:hAnsi="Times New Roman"/>
          <w:sz w:val="23"/>
          <w:szCs w:val="23"/>
          <w:color w:val="000080"/>
        </w:rPr>
        <w:t>1999</w:t>
      </w:r>
      <w:r>
        <w:rPr>
          <w:rFonts w:ascii="Times New Roman" w:cs="Times New Roman" w:eastAsia="Times New Roman" w:hAnsi="Times New Roman"/>
          <w:sz w:val="23"/>
          <w:szCs w:val="23"/>
          <w:color w:val="000000"/>
        </w:rPr>
        <w:t>, Riedinger-Whitmore et al.</w:t>
      </w:r>
      <w:r>
        <w:rPr>
          <w:rFonts w:ascii="Times New Roman" w:cs="Times New Roman" w:eastAsia="Times New Roman" w:hAnsi="Times New Roman"/>
          <w:sz w:val="23"/>
          <w:szCs w:val="23"/>
          <w:color w:val="000080"/>
        </w:rPr>
        <w:t xml:space="preserve"> 2005</w:t>
      </w:r>
      <w:r>
        <w:rPr>
          <w:rFonts w:ascii="Times New Roman" w:cs="Times New Roman" w:eastAsia="Times New Roman" w:hAnsi="Times New Roman"/>
          <w:sz w:val="23"/>
          <w:szCs w:val="23"/>
          <w:color w:val="000000"/>
        </w:rPr>
        <w:t>). The</w:t>
      </w:r>
      <w:r>
        <w:rPr>
          <w:rFonts w:ascii="Times New Roman" w:cs="Times New Roman" w:eastAsia="Times New Roman" w:hAnsi="Times New Roman"/>
          <w:sz w:val="23"/>
          <w:szCs w:val="23"/>
          <w:color w:val="000080"/>
        </w:rPr>
        <w:t xml:space="preserve"> </w:t>
      </w:r>
      <w:r>
        <w:rPr>
          <w:rFonts w:ascii="Times New Roman" w:cs="Times New Roman" w:eastAsia="Times New Roman" w:hAnsi="Times New Roman"/>
          <w:sz w:val="23"/>
          <w:szCs w:val="23"/>
          <w:color w:val="000000"/>
        </w:rPr>
        <w:t>decline in d</w:t>
      </w:r>
      <w:r>
        <w:rPr>
          <w:rFonts w:ascii="Times New Roman" w:cs="Times New Roman" w:eastAsia="Times New Roman" w:hAnsi="Times New Roman"/>
          <w:sz w:val="30"/>
          <w:szCs w:val="30"/>
          <w:color w:val="000000"/>
          <w:vertAlign w:val="superscript"/>
        </w:rPr>
        <w:t>15</w:t>
      </w:r>
      <w:r>
        <w:rPr>
          <w:rFonts w:ascii="Times New Roman" w:cs="Times New Roman" w:eastAsia="Times New Roman" w:hAnsi="Times New Roman"/>
          <w:sz w:val="23"/>
          <w:szCs w:val="23"/>
          <w:color w:val="000000"/>
        </w:rPr>
        <w:t xml:space="preserve">N values was consistent with diatom evidence of increased cyanobacteria presence (Whitmore et al. </w:t>
      </w:r>
      <w:r>
        <w:rPr>
          <w:rFonts w:ascii="Times New Roman" w:cs="Times New Roman" w:eastAsia="Times New Roman" w:hAnsi="Times New Roman"/>
          <w:sz w:val="23"/>
          <w:szCs w:val="23"/>
          <w:color w:val="000080"/>
        </w:rPr>
        <w:t>2018</w:t>
      </w:r>
      <w:r>
        <w:rPr>
          <w:rFonts w:ascii="Times New Roman" w:cs="Times New Roman" w:eastAsia="Times New Roman" w:hAnsi="Times New Roman"/>
          <w:sz w:val="23"/>
          <w:szCs w:val="23"/>
          <w:color w:val="000000"/>
        </w:rPr>
        <w:t>).</w:t>
      </w:r>
    </w:p>
    <w:p>
      <w:pPr>
        <w:spacing w:after="0" w:line="10" w:lineRule="exact"/>
        <w:rPr>
          <w:sz w:val="20"/>
          <w:szCs w:val="20"/>
          <w:color w:val="auto"/>
        </w:rPr>
      </w:pPr>
    </w:p>
    <w:p>
      <w:pPr>
        <w:jc w:val="both"/>
        <w:ind w:firstLine="240"/>
        <w:spacing w:after="0" w:line="249" w:lineRule="auto"/>
        <w:rPr>
          <w:sz w:val="20"/>
          <w:szCs w:val="20"/>
          <w:color w:val="auto"/>
        </w:rPr>
      </w:pPr>
      <w:r>
        <w:rPr>
          <w:rFonts w:ascii="Times New Roman" w:cs="Times New Roman" w:eastAsia="Times New Roman" w:hAnsi="Times New Roman"/>
          <w:sz w:val="23"/>
          <w:szCs w:val="23"/>
          <w:color w:val="auto"/>
        </w:rPr>
        <w:t>d</w:t>
      </w:r>
      <w:r>
        <w:rPr>
          <w:rFonts w:ascii="Times New Roman" w:cs="Times New Roman" w:eastAsia="Times New Roman" w:hAnsi="Times New Roman"/>
          <w:sz w:val="30"/>
          <w:szCs w:val="30"/>
          <w:color w:val="auto"/>
          <w:vertAlign w:val="superscript"/>
        </w:rPr>
        <w:t>13</w:t>
      </w:r>
      <w:r>
        <w:rPr>
          <w:rFonts w:ascii="Times New Roman" w:cs="Times New Roman" w:eastAsia="Times New Roman" w:hAnsi="Times New Roman"/>
          <w:sz w:val="23"/>
          <w:szCs w:val="23"/>
          <w:color w:val="auto"/>
        </w:rPr>
        <w:t>C versus C/N ratios indicated that sub-merged aquatic vegetation, periphyton, and algae were important sources of sedimented carbon prior to 1897, but signatures changed rapidly thereafter to reflect sources that included cyano-bacteria, algae, and possibly floating-leaved vege-tation (</w:t>
      </w:r>
      <w:r>
        <w:rPr>
          <w:rFonts w:ascii="Times New Roman" w:cs="Times New Roman" w:eastAsia="Times New Roman" w:hAnsi="Times New Roman"/>
          <w:sz w:val="23"/>
          <w:szCs w:val="23"/>
          <w:color w:val="000080"/>
        </w:rPr>
        <w:t>Figure 3</w:t>
      </w:r>
      <w:r>
        <w:rPr>
          <w:rFonts w:ascii="Times New Roman" w:cs="Times New Roman" w:eastAsia="Times New Roman" w:hAnsi="Times New Roman"/>
          <w:sz w:val="23"/>
          <w:szCs w:val="23"/>
          <w:color w:val="auto"/>
        </w:rPr>
        <w:t>).</w:t>
      </w:r>
    </w:p>
    <w:p>
      <w:pPr>
        <w:spacing w:after="0" w:line="23" w:lineRule="exact"/>
        <w:rPr>
          <w:sz w:val="20"/>
          <w:szCs w:val="20"/>
          <w:color w:val="auto"/>
        </w:rPr>
      </w:pPr>
    </w:p>
    <w:p>
      <w:pPr>
        <w:jc w:val="both"/>
        <w:ind w:firstLine="240"/>
        <w:spacing w:after="0" w:line="259" w:lineRule="auto"/>
        <w:rPr>
          <w:sz w:val="20"/>
          <w:szCs w:val="20"/>
          <w:color w:val="auto"/>
        </w:rPr>
      </w:pPr>
      <w:r>
        <w:rPr>
          <w:rFonts w:ascii="Times New Roman" w:cs="Times New Roman" w:eastAsia="Times New Roman" w:hAnsi="Times New Roman"/>
          <w:sz w:val="23"/>
          <w:szCs w:val="23"/>
          <w:color w:val="auto"/>
        </w:rPr>
        <w:t>Pollen from grasses, sedges, and asters in pre-disturbance samples ( 100</w:t>
      </w:r>
      <w:r>
        <w:rPr>
          <w:rFonts w:ascii="Arial" w:cs="Arial" w:eastAsia="Arial" w:hAnsi="Arial"/>
          <w:sz w:val="23"/>
          <w:szCs w:val="23"/>
          <w:color w:val="auto"/>
        </w:rPr>
        <w:t>–</w:t>
      </w:r>
      <w:r>
        <w:rPr>
          <w:rFonts w:ascii="Times New Roman" w:cs="Times New Roman" w:eastAsia="Times New Roman" w:hAnsi="Times New Roman"/>
          <w:sz w:val="23"/>
          <w:szCs w:val="23"/>
          <w:color w:val="auto"/>
        </w:rPr>
        <w:t>60 cm depth) indi-cated that marshes or open grasslands were present in the vicinity (Table S12). Pollen from wetland taxa, which included Taxodium, Salix, and Morella, were present only in very low num-bers. Pollen from Pontederia, Myriophyllum, and Typha domingensis were present. Plant macrofos-sils in predisturbance samples ( 113</w:t>
      </w:r>
      <w:r>
        <w:rPr>
          <w:rFonts w:ascii="Arial" w:cs="Arial" w:eastAsia="Arial" w:hAnsi="Arial"/>
          <w:sz w:val="23"/>
          <w:szCs w:val="23"/>
          <w:color w:val="auto"/>
        </w:rPr>
        <w:t>–</w:t>
      </w:r>
      <w:r>
        <w:rPr>
          <w:rFonts w:ascii="Times New Roman" w:cs="Times New Roman" w:eastAsia="Times New Roman" w:hAnsi="Times New Roman"/>
          <w:sz w:val="23"/>
          <w:szCs w:val="23"/>
          <w:color w:val="auto"/>
        </w:rPr>
        <w:t>60 cm depth) showed abundant Chara, which indicated clear or shallow waters. Nymphaea appeared</w:t>
      </w:r>
    </w:p>
    <w:p>
      <w:pPr>
        <w:spacing w:after="0" w:line="20" w:lineRule="exact"/>
        <w:rPr>
          <w:sz w:val="20"/>
          <w:szCs w:val="20"/>
          <w:color w:val="auto"/>
        </w:rPr>
      </w:pPr>
      <w:r>
        <w:rPr>
          <w:sz w:val="20"/>
          <w:szCs w:val="20"/>
          <w:color w:val="auto"/>
        </w:rPr>
        <w:br w:type="column"/>
      </w:r>
    </w:p>
    <w:p>
      <w:pPr>
        <w:spacing w:after="0" w:line="236" w:lineRule="exact"/>
        <w:rPr>
          <w:sz w:val="20"/>
          <w:szCs w:val="20"/>
          <w:color w:val="auto"/>
        </w:rPr>
      </w:pPr>
    </w:p>
    <w:p>
      <w:pPr>
        <w:jc w:val="both"/>
        <w:spacing w:after="0" w:line="259" w:lineRule="auto"/>
        <w:rPr>
          <w:sz w:val="20"/>
          <w:szCs w:val="20"/>
          <w:color w:val="auto"/>
        </w:rPr>
      </w:pPr>
      <w:r>
        <w:rPr>
          <w:rFonts w:ascii="Times New Roman" w:cs="Times New Roman" w:eastAsia="Times New Roman" w:hAnsi="Times New Roman"/>
          <w:sz w:val="23"/>
          <w:szCs w:val="23"/>
          <w:color w:val="auto"/>
        </w:rPr>
        <w:t>around 65 cm depth in the core as Chara declined (Table S18). Macrofossil analyses also showed Ruppia maritima seeds in predisturbance sediments of 3 cores from Lake Tohopekaliga, which indicated periods of very high solute con-centrations during predisturbance times. Ruppia appeared in 2 cores from the southern basin and in one core from the central basin. In one core from the southern basin, up to 111 Ruppia seeds were found in analyzed samples.</w:t>
      </w:r>
    </w:p>
    <w:p>
      <w:pPr>
        <w:spacing w:after="0" w:line="7" w:lineRule="exact"/>
        <w:rPr>
          <w:sz w:val="20"/>
          <w:szCs w:val="20"/>
          <w:color w:val="auto"/>
        </w:rPr>
      </w:pPr>
    </w:p>
    <w:p>
      <w:pPr>
        <w:jc w:val="both"/>
        <w:ind w:firstLine="240"/>
        <w:spacing w:after="0" w:line="259" w:lineRule="auto"/>
        <w:rPr>
          <w:sz w:val="20"/>
          <w:szCs w:val="20"/>
          <w:color w:val="auto"/>
        </w:rPr>
      </w:pPr>
      <w:r>
        <w:rPr>
          <w:rFonts w:ascii="Times New Roman" w:cs="Times New Roman" w:eastAsia="Times New Roman" w:hAnsi="Times New Roman"/>
          <w:sz w:val="23"/>
          <w:szCs w:val="23"/>
          <w:color w:val="auto"/>
        </w:rPr>
        <w:t>Ostracods showed evidence of very high solute concentrations as a result of extreme water-level fluctuations during predisturbance times. In the 113</w:t>
      </w:r>
      <w:r>
        <w:rPr>
          <w:rFonts w:ascii="Arial" w:cs="Arial" w:eastAsia="Arial" w:hAnsi="Arial"/>
          <w:sz w:val="23"/>
          <w:szCs w:val="23"/>
          <w:color w:val="auto"/>
        </w:rPr>
        <w:t>–</w:t>
      </w:r>
      <w:r>
        <w:rPr>
          <w:rFonts w:ascii="Times New Roman" w:cs="Times New Roman" w:eastAsia="Times New Roman" w:hAnsi="Times New Roman"/>
          <w:sz w:val="23"/>
          <w:szCs w:val="23"/>
          <w:color w:val="auto"/>
        </w:rPr>
        <w:t xml:space="preserve">89 cm levels of core 19_I_2017_TOH_202, freshwater to oligohaline ostracods included Darwinula stevensoni, Cyprideis salebrosa, Physocypria krapelini, Limnocythere floridensis, Limnocythere inopinata, and Cypridopsis vidua. Several of these taxa plus Cypretta brevisaepta and Cypridopsis okeechobei were present in pre-disturbance samples from a core in the southern basin. Ostracods were not observed again after the 1890s in any sediment samples. Their dis-appearance likely resulted from stabilized water levels that precluded high dissolved solute con-centrations, but reduction of macrophytes and increased sediment deposition also might have contributed to their decline (Keyser </w:t>
      </w:r>
      <w:r>
        <w:rPr>
          <w:rFonts w:ascii="Times New Roman" w:cs="Times New Roman" w:eastAsia="Times New Roman" w:hAnsi="Times New Roman"/>
          <w:sz w:val="23"/>
          <w:szCs w:val="23"/>
          <w:color w:val="000080"/>
        </w:rPr>
        <w:t>1977</w:t>
      </w:r>
      <w:r>
        <w:rPr>
          <w:rFonts w:ascii="Times New Roman" w:cs="Times New Roman" w:eastAsia="Times New Roman" w:hAnsi="Times New Roman"/>
          <w:sz w:val="23"/>
          <w:szCs w:val="23"/>
          <w:color w:val="auto"/>
        </w:rPr>
        <w:t>,</w:t>
      </w:r>
    </w:p>
    <w:p>
      <w:pPr>
        <w:sectPr>
          <w:pgSz w:w="12240" w:h="15840" w:orient="portrait"/>
          <w:cols w:equalWidth="0" w:num="2">
            <w:col w:w="4740" w:space="360"/>
            <w:col w:w="4740"/>
          </w:cols>
          <w:pgMar w:left="1200" w:top="458" w:right="1200" w:bottom="527" w:gutter="0" w:footer="0" w:header="0"/>
          <w:type w:val="continuous"/>
        </w:sectPr>
      </w:pPr>
    </w:p>
    <w:bookmarkStart w:id="15" w:name="page16"/>
    <w:bookmarkEnd w:id="15"/>
    <w:p>
      <w:pPr>
        <w:ind w:left="6840"/>
        <w:spacing w:after="0"/>
        <w:rPr>
          <w:sz w:val="20"/>
          <w:szCs w:val="20"/>
          <w:color w:val="auto"/>
        </w:rPr>
      </w:pPr>
      <w:r>
        <w:rPr>
          <w:rFonts w:ascii="Arial" w:cs="Arial" w:eastAsia="Arial" w:hAnsi="Arial"/>
          <w:sz w:val="12"/>
          <w:szCs w:val="12"/>
          <w:color w:val="auto"/>
        </w:rPr>
        <w:t xml:space="preserve">LAKE AND RESERVOIR MANAGEMENT  </w:t>
      </w:r>
      <w:r>
        <w:rPr>
          <w:sz w:val="1"/>
          <w:szCs w:val="1"/>
          <w:color w:val="auto"/>
        </w:rPr>
        <w:drawing>
          <wp:inline distT="0" distB="0" distL="0" distR="0">
            <wp:extent cx="165100" cy="1651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8">
                      <a:extLst>
                        <a:ext uri="{28A0092B-C50C-407E-A947-70E740481C1C}"/>
                      </a:extLst>
                    </a:blip>
                    <a:srcRect/>
                    <a:stretch>
                      <a:fillRect/>
                    </a:stretch>
                  </pic:blipFill>
                  <pic:spPr bwMode="auto">
                    <a:xfrm>
                      <a:off x="0" y="0"/>
                      <a:ext cx="165100" cy="165100"/>
                    </a:xfrm>
                    <a:prstGeom prst="rect">
                      <a:avLst/>
                    </a:prstGeom>
                    <a:noFill/>
                    <a:ln>
                      <a:noFill/>
                    </a:ln>
                  </pic:spPr>
                </pic:pic>
              </a:graphicData>
            </a:graphic>
          </wp:inline>
        </w:drawing>
      </w:r>
      <w:r>
        <w:rPr>
          <w:rFonts w:ascii="Arial" w:cs="Arial" w:eastAsia="Arial" w:hAnsi="Arial"/>
          <w:sz w:val="12"/>
          <w:szCs w:val="12"/>
          <w:color w:val="auto"/>
        </w:rPr>
        <w:t xml:space="preserve">  15</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68580</wp:posOffset>
            </wp:positionH>
            <wp:positionV relativeFrom="paragraph">
              <wp:posOffset>196850</wp:posOffset>
            </wp:positionV>
            <wp:extent cx="6110605" cy="3959225"/>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9">
                      <a:extLst>
                        <a:ext uri="{28A0092B-C50C-407E-A947-70E740481C1C}"/>
                      </a:extLst>
                    </a:blip>
                    <a:srcRect/>
                    <a:stretch>
                      <a:fillRect/>
                    </a:stretch>
                  </pic:blipFill>
                  <pic:spPr bwMode="auto">
                    <a:xfrm>
                      <a:off x="0" y="0"/>
                      <a:ext cx="6110605" cy="39592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5" w:lineRule="exact"/>
        <w:rPr>
          <w:sz w:val="20"/>
          <w:szCs w:val="20"/>
          <w:color w:val="auto"/>
        </w:rPr>
      </w:pPr>
    </w:p>
    <w:p>
      <w:pPr>
        <w:spacing w:after="0" w:line="263" w:lineRule="auto"/>
        <w:rPr>
          <w:sz w:val="20"/>
          <w:szCs w:val="20"/>
          <w:color w:val="auto"/>
        </w:rPr>
      </w:pPr>
      <w:r>
        <w:rPr>
          <w:rFonts w:ascii="Arial" w:cs="Arial" w:eastAsia="Arial" w:hAnsi="Arial"/>
          <w:sz w:val="18"/>
          <w:szCs w:val="18"/>
          <w:color w:val="10157E"/>
        </w:rPr>
        <w:t xml:space="preserve">Figure 7. </w:t>
      </w:r>
      <w:r>
        <w:rPr>
          <w:rFonts w:ascii="Arial" w:cs="Arial" w:eastAsia="Arial" w:hAnsi="Arial"/>
          <w:sz w:val="18"/>
          <w:szCs w:val="18"/>
          <w:color w:val="000000"/>
        </w:rPr>
        <w:t>Diatom profile with CONISS zonation for core 27_XII_2017_KIS_2 from Lake Kissimmee. Lower panels show sedimented</w:t>
      </w:r>
      <w:r>
        <w:rPr>
          <w:rFonts w:ascii="Arial" w:cs="Arial" w:eastAsia="Arial" w:hAnsi="Arial"/>
          <w:sz w:val="18"/>
          <w:szCs w:val="18"/>
          <w:color w:val="10157E"/>
        </w:rPr>
        <w:t xml:space="preserve"> </w:t>
      </w:r>
      <w:r>
        <w:rPr>
          <w:rFonts w:ascii="Arial" w:cs="Arial" w:eastAsia="Arial" w:hAnsi="Arial"/>
          <w:sz w:val="18"/>
          <w:szCs w:val="18"/>
          <w:color w:val="000000"/>
        </w:rPr>
        <w:t>algal and cyanobacterial pigment profiles. Lower right panel presents diatom-based limnetic total P inferences.</w:t>
      </w:r>
    </w:p>
    <w:p>
      <w:pPr>
        <w:sectPr>
          <w:pgSz w:w="12240" w:h="15840" w:orient="portrait"/>
          <w:cols w:equalWidth="0" w:num="1">
            <w:col w:w="9840"/>
          </w:cols>
          <w:pgMar w:left="1200" w:top="464" w:right="1200" w:bottom="521" w:gutter="0" w:footer="0" w:header="0"/>
        </w:sectPr>
      </w:pPr>
    </w:p>
    <w:p>
      <w:pPr>
        <w:spacing w:after="0" w:line="200" w:lineRule="exact"/>
        <w:rPr>
          <w:sz w:val="20"/>
          <w:szCs w:val="20"/>
          <w:color w:val="auto"/>
        </w:rPr>
      </w:pPr>
    </w:p>
    <w:p>
      <w:pPr>
        <w:spacing w:after="0" w:line="268" w:lineRule="exact"/>
        <w:rPr>
          <w:sz w:val="20"/>
          <w:szCs w:val="20"/>
          <w:color w:val="auto"/>
        </w:rPr>
      </w:pPr>
    </w:p>
    <w:p>
      <w:pPr>
        <w:jc w:val="both"/>
        <w:spacing w:after="0" w:line="253" w:lineRule="auto"/>
        <w:rPr>
          <w:sz w:val="20"/>
          <w:szCs w:val="20"/>
          <w:color w:val="auto"/>
        </w:rPr>
      </w:pPr>
      <w:r>
        <w:rPr>
          <w:rFonts w:ascii="Times New Roman" w:cs="Times New Roman" w:eastAsia="Times New Roman" w:hAnsi="Times New Roman"/>
          <w:sz w:val="23"/>
          <w:szCs w:val="23"/>
          <w:color w:val="auto"/>
        </w:rPr>
        <w:t xml:space="preserve">Holmes </w:t>
      </w:r>
      <w:r>
        <w:rPr>
          <w:rFonts w:ascii="Times New Roman" w:cs="Times New Roman" w:eastAsia="Times New Roman" w:hAnsi="Times New Roman"/>
          <w:sz w:val="23"/>
          <w:szCs w:val="23"/>
          <w:color w:val="000080"/>
        </w:rPr>
        <w:t>1992</w:t>
      </w:r>
      <w:r>
        <w:rPr>
          <w:rFonts w:ascii="Times New Roman" w:cs="Times New Roman" w:eastAsia="Times New Roman" w:hAnsi="Times New Roman"/>
          <w:sz w:val="23"/>
          <w:szCs w:val="23"/>
          <w:color w:val="auto"/>
        </w:rPr>
        <w:t xml:space="preserve">, Ruiz et al. </w:t>
      </w:r>
      <w:r>
        <w:rPr>
          <w:rFonts w:ascii="Times New Roman" w:cs="Times New Roman" w:eastAsia="Times New Roman" w:hAnsi="Times New Roman"/>
          <w:sz w:val="23"/>
          <w:szCs w:val="23"/>
          <w:color w:val="000080"/>
        </w:rPr>
        <w:t>2013</w:t>
      </w:r>
      <w:r>
        <w:rPr>
          <w:rFonts w:ascii="Times New Roman" w:cs="Times New Roman" w:eastAsia="Times New Roman" w:hAnsi="Times New Roman"/>
          <w:sz w:val="23"/>
          <w:szCs w:val="23"/>
          <w:color w:val="auto"/>
        </w:rPr>
        <w:t>). Total P accumu-lation rates increased 4- to 12-fold in the central basin, and total N accumulation rates increased 4- to 23-fold.</w:t>
      </w:r>
    </w:p>
    <w:p>
      <w:pPr>
        <w:spacing w:after="0" w:line="200" w:lineRule="exact"/>
        <w:rPr>
          <w:sz w:val="20"/>
          <w:szCs w:val="20"/>
          <w:color w:val="auto"/>
        </w:rPr>
      </w:pPr>
    </w:p>
    <w:p>
      <w:pPr>
        <w:spacing w:after="0" w:line="209" w:lineRule="exact"/>
        <w:rPr>
          <w:sz w:val="20"/>
          <w:szCs w:val="20"/>
          <w:color w:val="auto"/>
        </w:rPr>
      </w:pPr>
    </w:p>
    <w:p>
      <w:pPr>
        <w:spacing w:after="0"/>
        <w:rPr>
          <w:sz w:val="20"/>
          <w:szCs w:val="20"/>
          <w:color w:val="auto"/>
        </w:rPr>
      </w:pPr>
      <w:r>
        <w:rPr>
          <w:rFonts w:ascii="Arial" w:cs="Arial" w:eastAsia="Arial" w:hAnsi="Arial"/>
          <w:sz w:val="21"/>
          <w:szCs w:val="21"/>
          <w:color w:val="10157E"/>
        </w:rPr>
        <w:t>Lake Kissimmee</w:t>
      </w:r>
    </w:p>
    <w:p>
      <w:pPr>
        <w:spacing w:after="0" w:line="152" w:lineRule="exact"/>
        <w:rPr>
          <w:sz w:val="20"/>
          <w:szCs w:val="20"/>
          <w:color w:val="auto"/>
        </w:rPr>
      </w:pPr>
    </w:p>
    <w:p>
      <w:pPr>
        <w:jc w:val="both"/>
        <w:spacing w:after="0" w:line="268" w:lineRule="auto"/>
        <w:rPr>
          <w:sz w:val="20"/>
          <w:szCs w:val="20"/>
          <w:color w:val="auto"/>
        </w:rPr>
      </w:pPr>
      <w:r>
        <w:rPr>
          <w:rFonts w:ascii="Times New Roman" w:cs="Times New Roman" w:eastAsia="Times New Roman" w:hAnsi="Times New Roman"/>
          <w:sz w:val="22"/>
          <w:szCs w:val="22"/>
          <w:color w:val="auto"/>
        </w:rPr>
        <w:t xml:space="preserve">Lake Kissimmee core 27_XII_2017_KIS_2 was retrieved from the main basin of the lake. Radioistopic activities for core 27_XII_2017_KIS_2 are shown in </w:t>
      </w:r>
      <w:r>
        <w:rPr>
          <w:rFonts w:ascii="Times New Roman" w:cs="Times New Roman" w:eastAsia="Times New Roman" w:hAnsi="Times New Roman"/>
          <w:sz w:val="22"/>
          <w:szCs w:val="22"/>
          <w:color w:val="000080"/>
        </w:rPr>
        <w:t>Figure S4</w:t>
      </w:r>
      <w:r>
        <w:rPr>
          <w:rFonts w:ascii="Times New Roman" w:cs="Times New Roman" w:eastAsia="Times New Roman" w:hAnsi="Times New Roman"/>
          <w:sz w:val="22"/>
          <w:szCs w:val="22"/>
          <w:color w:val="auto"/>
        </w:rPr>
        <w:t>, and dates are presented in Table S4. The diatom assemblage profile (</w:t>
      </w:r>
      <w:r>
        <w:rPr>
          <w:rFonts w:ascii="Times New Roman" w:cs="Times New Roman" w:eastAsia="Times New Roman" w:hAnsi="Times New Roman"/>
          <w:sz w:val="22"/>
          <w:szCs w:val="22"/>
          <w:color w:val="000080"/>
        </w:rPr>
        <w:t>Figure 7</w:t>
      </w:r>
      <w:r>
        <w:rPr>
          <w:rFonts w:ascii="Times New Roman" w:cs="Times New Roman" w:eastAsia="Times New Roman" w:hAnsi="Times New Roman"/>
          <w:sz w:val="22"/>
          <w:szCs w:val="22"/>
          <w:color w:val="auto"/>
        </w:rPr>
        <w:t xml:space="preserve">) shows that Aulacoseira spp. were pre-sent at 10% of assemblages or greater through-out the entire core. Pseudostaurosira brevistriata and Staurosira construens var. venter, which are most abundant during advanced eutrophication with cyanobacteria (Whitmore et al. </w:t>
      </w:r>
      <w:r>
        <w:rPr>
          <w:rFonts w:ascii="Times New Roman" w:cs="Times New Roman" w:eastAsia="Times New Roman" w:hAnsi="Times New Roman"/>
          <w:sz w:val="22"/>
          <w:szCs w:val="22"/>
          <w:color w:val="000080"/>
        </w:rPr>
        <w:t>2018</w:t>
      </w:r>
      <w:r>
        <w:rPr>
          <w:rFonts w:ascii="Times New Roman" w:cs="Times New Roman" w:eastAsia="Times New Roman" w:hAnsi="Times New Roman"/>
          <w:sz w:val="22"/>
          <w:szCs w:val="22"/>
          <w:color w:val="auto"/>
        </w:rPr>
        <w:t>), were present consistently at percentages similar to Aulacoseira spp. These diatoms indicated that Lake Kissimmee was eutrophic and has sustained high productivity since well before 1826. Salt-toler-ant diatoms were not present in the Lake</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48" w:lineRule="exact"/>
        <w:rPr>
          <w:sz w:val="20"/>
          <w:szCs w:val="20"/>
          <w:color w:val="auto"/>
        </w:rPr>
      </w:pPr>
    </w:p>
    <w:p>
      <w:pPr>
        <w:jc w:val="both"/>
        <w:spacing w:after="0" w:line="253" w:lineRule="auto"/>
        <w:rPr>
          <w:sz w:val="20"/>
          <w:szCs w:val="20"/>
          <w:color w:val="auto"/>
        </w:rPr>
      </w:pPr>
      <w:r>
        <w:rPr>
          <w:rFonts w:ascii="Times New Roman" w:cs="Times New Roman" w:eastAsia="Times New Roman" w:hAnsi="Times New Roman"/>
          <w:sz w:val="23"/>
          <w:szCs w:val="23"/>
          <w:color w:val="auto"/>
        </w:rPr>
        <w:t>Kissimmee cores, and analog matching results showed that diatom assemblages throughout the core had many analogs (5</w:t>
      </w:r>
      <w:r>
        <w:rPr>
          <w:rFonts w:ascii="Arial" w:cs="Arial" w:eastAsia="Arial" w:hAnsi="Arial"/>
          <w:sz w:val="23"/>
          <w:szCs w:val="23"/>
          <w:color w:val="auto"/>
        </w:rPr>
        <w:t>–</w:t>
      </w:r>
      <w:r>
        <w:rPr>
          <w:rFonts w:ascii="Times New Roman" w:cs="Times New Roman" w:eastAsia="Times New Roman" w:hAnsi="Times New Roman"/>
          <w:sz w:val="23"/>
          <w:szCs w:val="23"/>
          <w:color w:val="auto"/>
        </w:rPr>
        <w:t xml:space="preserve">13, generally </w:t>
      </w:r>
      <w:r>
        <w:rPr>
          <w:rFonts w:ascii="Arial" w:cs="Arial" w:eastAsia="Arial" w:hAnsi="Arial"/>
          <w:sz w:val="23"/>
          <w:szCs w:val="23"/>
          <w:color w:val="auto"/>
        </w:rPr>
        <w:t>&gt;</w:t>
      </w:r>
      <w:r>
        <w:rPr>
          <w:rFonts w:ascii="Times New Roman" w:cs="Times New Roman" w:eastAsia="Times New Roman" w:hAnsi="Times New Roman"/>
          <w:sz w:val="23"/>
          <w:szCs w:val="23"/>
          <w:color w:val="auto"/>
        </w:rPr>
        <w:t>10) among lakes in the calibration set (Table S4). Diatom-based limnetic total P inferences obtained by weighted averaging for the predisturbance period were approximately 61 lg/L at the base of the core during the early 1800s, and they generally increased to the present time (</w:t>
      </w:r>
      <w:r>
        <w:rPr>
          <w:rFonts w:ascii="Times New Roman" w:cs="Times New Roman" w:eastAsia="Times New Roman" w:hAnsi="Times New Roman"/>
          <w:sz w:val="23"/>
          <w:szCs w:val="23"/>
          <w:color w:val="000080"/>
        </w:rPr>
        <w:t>Figure 7</w:t>
      </w:r>
      <w:r>
        <w:rPr>
          <w:rFonts w:ascii="Times New Roman" w:cs="Times New Roman" w:eastAsia="Times New Roman" w:hAnsi="Times New Roman"/>
          <w:sz w:val="23"/>
          <w:szCs w:val="23"/>
          <w:color w:val="auto"/>
        </w:rPr>
        <w:t>, Table S4). The Florida DEP provided a modern limnetic total P average of 64.1 lg/L for 2000</w:t>
      </w:r>
      <w:r>
        <w:rPr>
          <w:rFonts w:ascii="Arial" w:cs="Arial" w:eastAsia="Arial" w:hAnsi="Arial"/>
          <w:sz w:val="23"/>
          <w:szCs w:val="23"/>
          <w:color w:val="auto"/>
        </w:rPr>
        <w:t>–</w:t>
      </w:r>
      <w:r>
        <w:rPr>
          <w:rFonts w:ascii="Times New Roman" w:cs="Times New Roman" w:eastAsia="Times New Roman" w:hAnsi="Times New Roman"/>
          <w:sz w:val="23"/>
          <w:szCs w:val="23"/>
          <w:color w:val="auto"/>
        </w:rPr>
        <w:t>2006 (</w:t>
      </w:r>
      <w:r>
        <w:rPr>
          <w:rFonts w:ascii="Times New Roman" w:cs="Times New Roman" w:eastAsia="Times New Roman" w:hAnsi="Times New Roman"/>
          <w:sz w:val="23"/>
          <w:szCs w:val="23"/>
          <w:color w:val="000080"/>
        </w:rPr>
        <w:t>Table 1</w:t>
      </w:r>
      <w:r>
        <w:rPr>
          <w:rFonts w:ascii="Times New Roman" w:cs="Times New Roman" w:eastAsia="Times New Roman" w:hAnsi="Times New Roman"/>
          <w:sz w:val="23"/>
          <w:szCs w:val="23"/>
          <w:color w:val="auto"/>
        </w:rPr>
        <w:t>) for comparison, and our diatom-based limnetic total P inference for that time period was 76.6 lg/L. We note that the lake has highly variable water quality, with a limnetic total P range of 9</w:t>
      </w:r>
      <w:r>
        <w:rPr>
          <w:rFonts w:ascii="Arial" w:cs="Arial" w:eastAsia="Arial" w:hAnsi="Arial"/>
          <w:sz w:val="23"/>
          <w:szCs w:val="23"/>
          <w:color w:val="auto"/>
        </w:rPr>
        <w:t>–</w:t>
      </w:r>
      <w:r>
        <w:rPr>
          <w:rFonts w:ascii="Times New Roman" w:cs="Times New Roman" w:eastAsia="Times New Roman" w:hAnsi="Times New Roman"/>
          <w:sz w:val="23"/>
          <w:szCs w:val="23"/>
          <w:color w:val="auto"/>
        </w:rPr>
        <w:t>700 lg/ L during 2000</w:t>
      </w:r>
      <w:r>
        <w:rPr>
          <w:rFonts w:ascii="Arial" w:cs="Arial" w:eastAsia="Arial" w:hAnsi="Arial"/>
          <w:sz w:val="23"/>
          <w:szCs w:val="23"/>
          <w:color w:val="auto"/>
        </w:rPr>
        <w:t>–</w:t>
      </w:r>
      <w:r>
        <w:rPr>
          <w:rFonts w:ascii="Times New Roman" w:cs="Times New Roman" w:eastAsia="Times New Roman" w:hAnsi="Times New Roman"/>
          <w:sz w:val="23"/>
          <w:szCs w:val="23"/>
          <w:color w:val="auto"/>
        </w:rPr>
        <w:t xml:space="preserve">2006 (Polk County Water Atlas </w:t>
      </w:r>
      <w:r>
        <w:rPr>
          <w:rFonts w:ascii="Times New Roman" w:cs="Times New Roman" w:eastAsia="Times New Roman" w:hAnsi="Times New Roman"/>
          <w:sz w:val="23"/>
          <w:szCs w:val="23"/>
          <w:color w:val="000080"/>
        </w:rPr>
        <w:t>2019</w:t>
      </w:r>
      <w:r>
        <w:rPr>
          <w:rFonts w:ascii="Times New Roman" w:cs="Times New Roman" w:eastAsia="Times New Roman" w:hAnsi="Times New Roman"/>
          <w:sz w:val="23"/>
          <w:szCs w:val="23"/>
          <w:color w:val="000000"/>
        </w:rPr>
        <w:t>), so although our inference is somewhat</w:t>
      </w:r>
      <w:r>
        <w:rPr>
          <w:rFonts w:ascii="Times New Roman" w:cs="Times New Roman" w:eastAsia="Times New Roman" w:hAnsi="Times New Roman"/>
          <w:sz w:val="23"/>
          <w:szCs w:val="23"/>
          <w:color w:val="000080"/>
        </w:rPr>
        <w:t xml:space="preserve"> </w:t>
      </w:r>
      <w:r>
        <w:rPr>
          <w:rFonts w:ascii="Times New Roman" w:cs="Times New Roman" w:eastAsia="Times New Roman" w:hAnsi="Times New Roman"/>
          <w:sz w:val="23"/>
          <w:szCs w:val="23"/>
          <w:color w:val="000000"/>
        </w:rPr>
        <w:t>high, there might be a question about representa-tivity of the modern reported mean. Total P accu-mulation rates in core 27_XII_2017_KIS_2 increased approximately 74-fold from 1886 to the present time, and total N accumulation rates increased approximately 12-fold.</w:t>
      </w:r>
    </w:p>
    <w:p>
      <w:pPr>
        <w:sectPr>
          <w:pgSz w:w="12240" w:h="15840" w:orient="portrait"/>
          <w:cols w:equalWidth="0" w:num="2">
            <w:col w:w="4740" w:space="360"/>
            <w:col w:w="4740"/>
          </w:cols>
          <w:pgMar w:left="1200" w:top="464" w:right="1200" w:bottom="521" w:gutter="0" w:footer="0" w:header="0"/>
          <w:type w:val="continuous"/>
        </w:sectPr>
      </w:pPr>
    </w:p>
    <w:bookmarkStart w:id="16" w:name="page17"/>
    <w:bookmarkEnd w:id="16"/>
    <w:p>
      <w:pPr>
        <w:spacing w:after="0"/>
        <w:rPr>
          <w:sz w:val="20"/>
          <w:szCs w:val="20"/>
          <w:color w:val="auto"/>
        </w:rPr>
      </w:pPr>
      <w:r>
        <w:rPr>
          <w:rFonts w:ascii="Arial" w:cs="Arial" w:eastAsia="Arial" w:hAnsi="Arial"/>
          <w:sz w:val="15"/>
          <w:szCs w:val="15"/>
          <w:color w:val="auto"/>
        </w:rPr>
        <w:t xml:space="preserve">16  </w:t>
      </w:r>
      <w:r>
        <w:rPr>
          <w:sz w:val="1"/>
          <w:szCs w:val="1"/>
          <w:color w:val="auto"/>
        </w:rPr>
        <w:drawing>
          <wp:inline distT="0" distB="0" distL="0" distR="0">
            <wp:extent cx="165100" cy="1651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0">
                      <a:extLst>
                        <a:ext uri="{28A0092B-C50C-407E-A947-70E740481C1C}"/>
                      </a:extLst>
                    </a:blip>
                    <a:srcRect/>
                    <a:stretch>
                      <a:fillRect/>
                    </a:stretch>
                  </pic:blipFill>
                  <pic:spPr bwMode="auto">
                    <a:xfrm>
                      <a:off x="0" y="0"/>
                      <a:ext cx="165100" cy="165100"/>
                    </a:xfrm>
                    <a:prstGeom prst="rect">
                      <a:avLst/>
                    </a:prstGeom>
                    <a:noFill/>
                    <a:ln>
                      <a:noFill/>
                    </a:ln>
                  </pic:spPr>
                </pic:pic>
              </a:graphicData>
            </a:graphic>
          </wp:inline>
        </w:drawing>
      </w:r>
      <w:r>
        <w:rPr>
          <w:rFonts w:ascii="Arial" w:cs="Arial" w:eastAsia="Arial" w:hAnsi="Arial"/>
          <w:sz w:val="15"/>
          <w:szCs w:val="15"/>
          <w:color w:val="auto"/>
        </w:rPr>
        <w:t xml:space="preserve">  T. J. WHITMORE ET AL.</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69850</wp:posOffset>
            </wp:positionH>
            <wp:positionV relativeFrom="paragraph">
              <wp:posOffset>196850</wp:posOffset>
            </wp:positionV>
            <wp:extent cx="6109335" cy="2543175"/>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1">
                      <a:extLst>
                        <a:ext uri="{28A0092B-C50C-407E-A947-70E740481C1C}"/>
                      </a:extLst>
                    </a:blip>
                    <a:srcRect/>
                    <a:stretch>
                      <a:fillRect/>
                    </a:stretch>
                  </pic:blipFill>
                  <pic:spPr bwMode="auto">
                    <a:xfrm>
                      <a:off x="0" y="0"/>
                      <a:ext cx="6109335" cy="25431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0" w:lineRule="exact"/>
        <w:rPr>
          <w:sz w:val="20"/>
          <w:szCs w:val="20"/>
          <w:color w:val="auto"/>
        </w:rPr>
      </w:pPr>
    </w:p>
    <w:p>
      <w:pPr>
        <w:jc w:val="both"/>
        <w:spacing w:after="0" w:line="213" w:lineRule="auto"/>
        <w:rPr>
          <w:sz w:val="20"/>
          <w:szCs w:val="20"/>
          <w:color w:val="auto"/>
        </w:rPr>
      </w:pPr>
      <w:r>
        <w:rPr>
          <w:rFonts w:ascii="Arial" w:cs="Arial" w:eastAsia="Arial" w:hAnsi="Arial"/>
          <w:sz w:val="19"/>
          <w:szCs w:val="19"/>
          <w:color w:val="10157E"/>
        </w:rPr>
        <w:t xml:space="preserve">Figure 8. </w:t>
      </w:r>
      <w:r>
        <w:rPr>
          <w:rFonts w:ascii="Arial" w:cs="Arial" w:eastAsia="Arial" w:hAnsi="Arial"/>
          <w:sz w:val="19"/>
          <w:szCs w:val="19"/>
          <w:color w:val="000000"/>
        </w:rPr>
        <w:t>Plots of</w:t>
      </w:r>
      <w:r>
        <w:rPr>
          <w:rFonts w:ascii="Arial" w:cs="Arial" w:eastAsia="Arial" w:hAnsi="Arial"/>
          <w:sz w:val="19"/>
          <w:szCs w:val="19"/>
          <w:color w:val="10157E"/>
        </w:rPr>
        <w:t xml:space="preserve"> </w:t>
      </w:r>
      <w:r>
        <w:rPr>
          <w:rFonts w:ascii="Times New Roman" w:cs="Times New Roman" w:eastAsia="Times New Roman" w:hAnsi="Times New Roman"/>
          <w:sz w:val="19"/>
          <w:szCs w:val="19"/>
          <w:color w:val="000000"/>
        </w:rPr>
        <w:t>d</w:t>
      </w:r>
      <w:r>
        <w:rPr>
          <w:rFonts w:ascii="Arial" w:cs="Arial" w:eastAsia="Arial" w:hAnsi="Arial"/>
          <w:sz w:val="25"/>
          <w:szCs w:val="25"/>
          <w:color w:val="000000"/>
          <w:vertAlign w:val="superscript"/>
        </w:rPr>
        <w:t>13</w:t>
      </w:r>
      <w:r>
        <w:rPr>
          <w:rFonts w:ascii="Arial" w:cs="Arial" w:eastAsia="Arial" w:hAnsi="Arial"/>
          <w:sz w:val="19"/>
          <w:szCs w:val="19"/>
          <w:color w:val="000000"/>
        </w:rPr>
        <w:t>C versus C/N ratios in sedimented organic matter for cores from Lakes Kissimmee and Marian from the early</w:t>
      </w:r>
      <w:r>
        <w:rPr>
          <w:rFonts w:ascii="Arial" w:cs="Arial" w:eastAsia="Arial" w:hAnsi="Arial"/>
          <w:sz w:val="19"/>
          <w:szCs w:val="19"/>
          <w:color w:val="10157E"/>
        </w:rPr>
        <w:t xml:space="preserve"> </w:t>
      </w:r>
      <w:r>
        <w:rPr>
          <w:rFonts w:ascii="Arial" w:cs="Arial" w:eastAsia="Arial" w:hAnsi="Arial"/>
          <w:sz w:val="19"/>
          <w:szCs w:val="19"/>
          <w:color w:val="000000"/>
        </w:rPr>
        <w:t xml:space="preserve">1800s until 2017. Both lakes lacked macrofossil evidence and were consistently dominated by algae and cyanobacteria over time. Specific taxa are placed in relative positions based on </w:t>
      </w:r>
      <w:r>
        <w:rPr>
          <w:rFonts w:ascii="Times New Roman" w:cs="Times New Roman" w:eastAsia="Times New Roman" w:hAnsi="Times New Roman"/>
          <w:sz w:val="19"/>
          <w:szCs w:val="19"/>
          <w:color w:val="000000"/>
        </w:rPr>
        <w:t>d</w:t>
      </w:r>
      <w:r>
        <w:rPr>
          <w:rFonts w:ascii="Arial" w:cs="Arial" w:eastAsia="Arial" w:hAnsi="Arial"/>
          <w:sz w:val="25"/>
          <w:szCs w:val="25"/>
          <w:color w:val="000000"/>
          <w:vertAlign w:val="superscript"/>
        </w:rPr>
        <w:t>13</w:t>
      </w:r>
      <w:r>
        <w:rPr>
          <w:rFonts w:ascii="Arial" w:cs="Arial" w:eastAsia="Arial" w:hAnsi="Arial"/>
          <w:sz w:val="19"/>
          <w:szCs w:val="19"/>
          <w:color w:val="000000"/>
        </w:rPr>
        <w:t>C and C/N values reported for studies of other Florida lakes, and are used here to provide general indication of trends in community change.</w:t>
      </w:r>
    </w:p>
    <w:p>
      <w:pPr>
        <w:sectPr>
          <w:pgSz w:w="12240" w:h="15840" w:orient="portrait"/>
          <w:cols w:equalWidth="0" w:num="1">
            <w:col w:w="9840"/>
          </w:cols>
          <w:pgMar w:left="1200" w:top="458" w:right="1200" w:bottom="533" w:gutter="0" w:footer="0" w:header="0"/>
        </w:sectPr>
      </w:pPr>
    </w:p>
    <w:p>
      <w:pPr>
        <w:spacing w:after="0" w:line="276" w:lineRule="exact"/>
        <w:rPr>
          <w:sz w:val="20"/>
          <w:szCs w:val="20"/>
          <w:color w:val="auto"/>
        </w:rPr>
      </w:pPr>
    </w:p>
    <w:p>
      <w:pPr>
        <w:jc w:val="both"/>
        <w:ind w:firstLine="240"/>
        <w:spacing w:after="0" w:line="253" w:lineRule="auto"/>
        <w:rPr>
          <w:sz w:val="20"/>
          <w:szCs w:val="20"/>
          <w:color w:val="auto"/>
        </w:rPr>
      </w:pPr>
      <w:r>
        <w:rPr>
          <w:rFonts w:ascii="Times New Roman" w:cs="Times New Roman" w:eastAsia="Times New Roman" w:hAnsi="Times New Roman"/>
          <w:sz w:val="23"/>
          <w:szCs w:val="23"/>
          <w:color w:val="auto"/>
        </w:rPr>
        <w:t xml:space="preserve">Chlorophyll derivative values were </w:t>
      </w:r>
      <w:r>
        <w:rPr>
          <w:rFonts w:ascii="Arial" w:cs="Arial" w:eastAsia="Arial" w:hAnsi="Arial"/>
          <w:sz w:val="23"/>
          <w:szCs w:val="23"/>
          <w:color w:val="auto"/>
        </w:rPr>
        <w:t>&lt;</w:t>
      </w:r>
      <w:r>
        <w:rPr>
          <w:rFonts w:ascii="Times New Roman" w:cs="Times New Roman" w:eastAsia="Times New Roman" w:hAnsi="Times New Roman"/>
          <w:sz w:val="23"/>
          <w:szCs w:val="23"/>
          <w:color w:val="auto"/>
        </w:rPr>
        <w:t>1 abs/g organic matter below 50 cm (prior to 1880s) in core 27_XII_2017_KIS_2, then increased grad-ually above the 50 cm level to 4.4 abs/g organic matter at the top of the core (</w:t>
      </w:r>
      <w:r>
        <w:rPr>
          <w:rFonts w:ascii="Times New Roman" w:cs="Times New Roman" w:eastAsia="Times New Roman" w:hAnsi="Times New Roman"/>
          <w:sz w:val="23"/>
          <w:szCs w:val="23"/>
          <w:color w:val="000080"/>
        </w:rPr>
        <w:t>Figure 7</w:t>
      </w:r>
      <w:r>
        <w:rPr>
          <w:rFonts w:ascii="Times New Roman" w:cs="Times New Roman" w:eastAsia="Times New Roman" w:hAnsi="Times New Roman"/>
          <w:sz w:val="23"/>
          <w:szCs w:val="23"/>
          <w:color w:val="auto"/>
        </w:rPr>
        <w:t xml:space="preserve">). Total carotenoid values were </w:t>
      </w:r>
      <w:r>
        <w:rPr>
          <w:rFonts w:ascii="Arial" w:cs="Arial" w:eastAsia="Arial" w:hAnsi="Arial"/>
          <w:sz w:val="23"/>
          <w:szCs w:val="23"/>
          <w:color w:val="auto"/>
        </w:rPr>
        <w:t>&lt;</w:t>
      </w:r>
      <w:r>
        <w:rPr>
          <w:rFonts w:ascii="Times New Roman" w:cs="Times New Roman" w:eastAsia="Times New Roman" w:hAnsi="Times New Roman"/>
          <w:sz w:val="23"/>
          <w:szCs w:val="23"/>
          <w:color w:val="auto"/>
        </w:rPr>
        <w:t>1 abs/g organic matter</w:t>
      </w:r>
    </w:p>
    <w:p>
      <w:pPr>
        <w:spacing w:after="0" w:line="3" w:lineRule="exact"/>
        <w:rPr>
          <w:sz w:val="20"/>
          <w:szCs w:val="20"/>
          <w:color w:val="auto"/>
        </w:rPr>
      </w:pPr>
    </w:p>
    <w:p>
      <w:pPr>
        <w:spacing w:after="0"/>
        <w:rPr>
          <w:sz w:val="20"/>
          <w:szCs w:val="20"/>
          <w:color w:val="auto"/>
        </w:rPr>
      </w:pPr>
      <w:r>
        <w:rPr>
          <w:rFonts w:ascii="Times New Roman" w:cs="Times New Roman" w:eastAsia="Times New Roman" w:hAnsi="Times New Roman"/>
          <w:sz w:val="23"/>
          <w:szCs w:val="23"/>
          <w:color w:val="auto"/>
        </w:rPr>
        <w:t>below the 20 cm level (c. 1990), but increased</w:t>
      </w:r>
    </w:p>
    <w:p>
      <w:pPr>
        <w:spacing w:after="0" w:line="29" w:lineRule="exact"/>
        <w:rPr>
          <w:sz w:val="20"/>
          <w:szCs w:val="20"/>
          <w:color w:val="auto"/>
        </w:rPr>
      </w:pPr>
    </w:p>
    <w:p>
      <w:pPr>
        <w:jc w:val="both"/>
        <w:spacing w:after="0" w:line="251" w:lineRule="auto"/>
        <w:rPr>
          <w:sz w:val="20"/>
          <w:szCs w:val="20"/>
          <w:color w:val="auto"/>
        </w:rPr>
      </w:pPr>
      <w:r>
        <w:rPr>
          <w:rFonts w:ascii="Times New Roman" w:cs="Times New Roman" w:eastAsia="Times New Roman" w:hAnsi="Times New Roman"/>
          <w:sz w:val="23"/>
          <w:szCs w:val="23"/>
          <w:color w:val="auto"/>
        </w:rPr>
        <w:t>to 2 abs/g organic matter. Most notably, the cyanobacterial pigments myxoxanthophyll and oscillaxanthin were found throughout the Lake Kissimmee cores at values ranging from 1 to 6 lg pigment/g organic matter, which indicated that cyanobacteria populations were continuously pre-sent since prior to the 1880s.</w:t>
      </w:r>
    </w:p>
    <w:p>
      <w:pPr>
        <w:spacing w:after="0" w:line="7" w:lineRule="exact"/>
        <w:rPr>
          <w:sz w:val="20"/>
          <w:szCs w:val="20"/>
          <w:color w:val="auto"/>
        </w:rPr>
      </w:pPr>
    </w:p>
    <w:p>
      <w:pPr>
        <w:jc w:val="both"/>
        <w:ind w:firstLine="240"/>
        <w:spacing w:after="0" w:line="245" w:lineRule="auto"/>
        <w:rPr>
          <w:sz w:val="20"/>
          <w:szCs w:val="20"/>
          <w:color w:val="auto"/>
        </w:rPr>
      </w:pPr>
      <w:r>
        <w:rPr>
          <w:rFonts w:ascii="Times New Roman" w:cs="Times New Roman" w:eastAsia="Times New Roman" w:hAnsi="Times New Roman"/>
          <w:sz w:val="23"/>
          <w:szCs w:val="23"/>
          <w:color w:val="auto"/>
        </w:rPr>
        <w:t>d</w:t>
      </w:r>
      <w:r>
        <w:rPr>
          <w:rFonts w:ascii="Times New Roman" w:cs="Times New Roman" w:eastAsia="Times New Roman" w:hAnsi="Times New Roman"/>
          <w:sz w:val="30"/>
          <w:szCs w:val="30"/>
          <w:color w:val="auto"/>
          <w:vertAlign w:val="superscript"/>
        </w:rPr>
        <w:t>13</w:t>
      </w:r>
      <w:r>
        <w:rPr>
          <w:rFonts w:ascii="Times New Roman" w:cs="Times New Roman" w:eastAsia="Times New Roman" w:hAnsi="Times New Roman"/>
          <w:sz w:val="23"/>
          <w:szCs w:val="23"/>
          <w:color w:val="auto"/>
        </w:rPr>
        <w:t>C versus C/N ratios (</w:t>
      </w:r>
      <w:r>
        <w:rPr>
          <w:rFonts w:ascii="Times New Roman" w:cs="Times New Roman" w:eastAsia="Times New Roman" w:hAnsi="Times New Roman"/>
          <w:sz w:val="23"/>
          <w:szCs w:val="23"/>
          <w:color w:val="000080"/>
        </w:rPr>
        <w:t>Figure 8</w:t>
      </w:r>
      <w:r>
        <w:rPr>
          <w:rFonts w:ascii="Times New Roman" w:cs="Times New Roman" w:eastAsia="Times New Roman" w:hAnsi="Times New Roman"/>
          <w:sz w:val="23"/>
          <w:szCs w:val="23"/>
          <w:color w:val="auto"/>
        </w:rPr>
        <w:t>) were essen-tially unchanged throughout the length of the sediment core (since prior to 1826), and they suggested that carbon deposited in sediments was consistently influenced by cyanobacteria and algae, and possibly to some extent by floating-leaved vegetation as well.</w:t>
      </w:r>
    </w:p>
    <w:p>
      <w:pPr>
        <w:spacing w:after="0" w:line="23" w:lineRule="exact"/>
        <w:rPr>
          <w:sz w:val="20"/>
          <w:szCs w:val="20"/>
          <w:color w:val="auto"/>
        </w:rPr>
      </w:pPr>
    </w:p>
    <w:p>
      <w:pPr>
        <w:jc w:val="both"/>
        <w:ind w:firstLine="240"/>
        <w:spacing w:after="0" w:line="254" w:lineRule="auto"/>
        <w:rPr>
          <w:sz w:val="20"/>
          <w:szCs w:val="20"/>
          <w:color w:val="auto"/>
        </w:rPr>
      </w:pPr>
      <w:r>
        <w:rPr>
          <w:rFonts w:ascii="Times New Roman" w:cs="Times New Roman" w:eastAsia="Times New Roman" w:hAnsi="Times New Roman"/>
          <w:sz w:val="23"/>
          <w:szCs w:val="23"/>
          <w:color w:val="auto"/>
        </w:rPr>
        <w:t>Pollen from predisturbance samples showed high amounts of Taxodium grains ( 17% of assemblages), which indicated that swamps were associated with Lake Kissimmee prior to 1826. Pollen from the wetland taxa Nyssa, Salix, and Morella supported that conclusion (Table S10). Plant macrofossils showed virtually no evidence of submerged aquatic vegetation, but seeds from floating-leaved nymphaeids were present (Table</w:t>
      </w:r>
    </w:p>
    <w:p>
      <w:pPr>
        <w:spacing w:after="0" w:line="20" w:lineRule="exact"/>
        <w:rPr>
          <w:sz w:val="20"/>
          <w:szCs w:val="20"/>
          <w:color w:val="auto"/>
        </w:rPr>
      </w:pPr>
      <w:r>
        <w:rPr>
          <w:sz w:val="20"/>
          <w:szCs w:val="20"/>
          <w:color w:val="auto"/>
        </w:rPr>
        <w:br w:type="column"/>
      </w:r>
    </w:p>
    <w:p>
      <w:pPr>
        <w:spacing w:after="0" w:line="256" w:lineRule="exact"/>
        <w:rPr>
          <w:sz w:val="20"/>
          <w:szCs w:val="20"/>
          <w:color w:val="auto"/>
        </w:rPr>
      </w:pPr>
    </w:p>
    <w:p>
      <w:pPr>
        <w:jc w:val="both"/>
        <w:spacing w:after="0" w:line="258" w:lineRule="auto"/>
        <w:rPr>
          <w:sz w:val="20"/>
          <w:szCs w:val="20"/>
          <w:color w:val="auto"/>
        </w:rPr>
      </w:pPr>
      <w:r>
        <w:rPr>
          <w:rFonts w:ascii="Times New Roman" w:cs="Times New Roman" w:eastAsia="Times New Roman" w:hAnsi="Times New Roman"/>
          <w:sz w:val="23"/>
          <w:szCs w:val="23"/>
          <w:color w:val="auto"/>
        </w:rPr>
        <w:t>S16), which indicated turbid waters from algae/ cyanobacteria, or high dissolved organic carbon concentrations (color) from associated swamps.</w:t>
      </w:r>
    </w:p>
    <w:p>
      <w:pPr>
        <w:spacing w:after="0" w:line="200" w:lineRule="exact"/>
        <w:rPr>
          <w:sz w:val="20"/>
          <w:szCs w:val="20"/>
          <w:color w:val="auto"/>
        </w:rPr>
      </w:pPr>
    </w:p>
    <w:p>
      <w:pPr>
        <w:spacing w:after="0" w:line="334" w:lineRule="exact"/>
        <w:rPr>
          <w:sz w:val="20"/>
          <w:szCs w:val="20"/>
          <w:color w:val="auto"/>
        </w:rPr>
      </w:pPr>
    </w:p>
    <w:p>
      <w:pPr>
        <w:spacing w:after="0"/>
        <w:rPr>
          <w:sz w:val="20"/>
          <w:szCs w:val="20"/>
          <w:color w:val="auto"/>
        </w:rPr>
      </w:pPr>
      <w:r>
        <w:rPr>
          <w:rFonts w:ascii="Arial" w:cs="Arial" w:eastAsia="Arial" w:hAnsi="Arial"/>
          <w:sz w:val="21"/>
          <w:szCs w:val="21"/>
          <w:color w:val="10157E"/>
        </w:rPr>
        <w:t>Lake Marian</w:t>
      </w:r>
    </w:p>
    <w:p>
      <w:pPr>
        <w:spacing w:after="0" w:line="152" w:lineRule="exact"/>
        <w:rPr>
          <w:sz w:val="20"/>
          <w:szCs w:val="20"/>
          <w:color w:val="auto"/>
        </w:rPr>
      </w:pPr>
    </w:p>
    <w:p>
      <w:pPr>
        <w:jc w:val="both"/>
        <w:spacing w:after="0" w:line="262" w:lineRule="auto"/>
        <w:rPr>
          <w:sz w:val="20"/>
          <w:szCs w:val="20"/>
          <w:color w:val="auto"/>
        </w:rPr>
      </w:pPr>
      <w:r>
        <w:rPr>
          <w:rFonts w:ascii="Times New Roman" w:cs="Times New Roman" w:eastAsia="Times New Roman" w:hAnsi="Times New Roman"/>
          <w:sz w:val="23"/>
          <w:szCs w:val="23"/>
          <w:color w:val="auto"/>
        </w:rPr>
        <w:t xml:space="preserve">Radioisotopic activities for Lake Marian core 31_III_2018_MAR_328 are shown in </w:t>
      </w:r>
      <w:r>
        <w:rPr>
          <w:rFonts w:ascii="Times New Roman" w:cs="Times New Roman" w:eastAsia="Times New Roman" w:hAnsi="Times New Roman"/>
          <w:sz w:val="23"/>
          <w:szCs w:val="23"/>
          <w:color w:val="000080"/>
        </w:rPr>
        <w:t>Figure S5</w:t>
      </w:r>
      <w:r>
        <w:rPr>
          <w:rFonts w:ascii="Times New Roman" w:cs="Times New Roman" w:eastAsia="Times New Roman" w:hAnsi="Times New Roman"/>
          <w:sz w:val="23"/>
          <w:szCs w:val="23"/>
          <w:color w:val="auto"/>
        </w:rPr>
        <w:t>, and dates are shown in Table S5. In Lake Marian, as in Lake Kissimmee, diatoms showed highly productive conditions throughout the entire 1.5 m profile, with no evidence of salt-tolerant diatoms that would suggest water-level fluctuations (</w:t>
      </w:r>
      <w:r>
        <w:rPr>
          <w:rFonts w:ascii="Times New Roman" w:cs="Times New Roman" w:eastAsia="Times New Roman" w:hAnsi="Times New Roman"/>
          <w:sz w:val="23"/>
          <w:szCs w:val="23"/>
          <w:color w:val="000080"/>
        </w:rPr>
        <w:t>Figure 9</w:t>
      </w:r>
      <w:r>
        <w:rPr>
          <w:rFonts w:ascii="Times New Roman" w:cs="Times New Roman" w:eastAsia="Times New Roman" w:hAnsi="Times New Roman"/>
          <w:sz w:val="23"/>
          <w:szCs w:val="23"/>
          <w:color w:val="auto"/>
        </w:rPr>
        <w:t>). The eutrophic, plank-tonic diatom Aulacoseira ambigua represented 50</w:t>
      </w:r>
      <w:r>
        <w:rPr>
          <w:rFonts w:ascii="Arial" w:cs="Arial" w:eastAsia="Arial" w:hAnsi="Arial"/>
          <w:sz w:val="23"/>
          <w:szCs w:val="23"/>
          <w:color w:val="auto"/>
        </w:rPr>
        <w:t>–</w:t>
      </w:r>
      <w:r>
        <w:rPr>
          <w:rFonts w:ascii="Times New Roman" w:cs="Times New Roman" w:eastAsia="Times New Roman" w:hAnsi="Times New Roman"/>
          <w:sz w:val="23"/>
          <w:szCs w:val="23"/>
          <w:color w:val="auto"/>
        </w:rPr>
        <w:t>60% of diatoms in the assemblages from 150 to 100 cm depth in the core. A. ambigua progressively declined above the 100-cm level (c. 1898) to 10% of the assemblage at the top of the core, while Pseudostaurosira brevistriata, Staurosira construens, and Staurosirella beroli-nensis increased and represented 10</w:t>
      </w:r>
      <w:r>
        <w:rPr>
          <w:rFonts w:ascii="Arial" w:cs="Arial" w:eastAsia="Arial" w:hAnsi="Arial"/>
          <w:sz w:val="23"/>
          <w:szCs w:val="23"/>
          <w:color w:val="auto"/>
        </w:rPr>
        <w:t>–</w:t>
      </w:r>
      <w:r>
        <w:rPr>
          <w:rFonts w:ascii="Times New Roman" w:cs="Times New Roman" w:eastAsia="Times New Roman" w:hAnsi="Times New Roman"/>
          <w:sz w:val="23"/>
          <w:szCs w:val="23"/>
          <w:color w:val="auto"/>
        </w:rPr>
        <w:t xml:space="preserve">20% of the assemblage at the core top. This shift is consist-ent with increased competitive exclusion of planktonic diatom taxa by cyanobacteria (Whitmore et al. </w:t>
      </w:r>
      <w:r>
        <w:rPr>
          <w:rFonts w:ascii="Times New Roman" w:cs="Times New Roman" w:eastAsia="Times New Roman" w:hAnsi="Times New Roman"/>
          <w:sz w:val="23"/>
          <w:szCs w:val="23"/>
          <w:color w:val="000080"/>
        </w:rPr>
        <w:t>2018</w:t>
      </w:r>
      <w:r>
        <w:rPr>
          <w:rFonts w:ascii="Times New Roman" w:cs="Times New Roman" w:eastAsia="Times New Roman" w:hAnsi="Times New Roman"/>
          <w:sz w:val="23"/>
          <w:szCs w:val="23"/>
          <w:color w:val="auto"/>
        </w:rPr>
        <w:t>). Diatom samples in the core had 7</w:t>
      </w:r>
      <w:r>
        <w:rPr>
          <w:rFonts w:ascii="Arial" w:cs="Arial" w:eastAsia="Arial" w:hAnsi="Arial"/>
          <w:sz w:val="23"/>
          <w:szCs w:val="23"/>
          <w:color w:val="auto"/>
        </w:rPr>
        <w:t>–</w:t>
      </w:r>
      <w:r>
        <w:rPr>
          <w:rFonts w:ascii="Times New Roman" w:cs="Times New Roman" w:eastAsia="Times New Roman" w:hAnsi="Times New Roman"/>
          <w:sz w:val="23"/>
          <w:szCs w:val="23"/>
          <w:color w:val="auto"/>
        </w:rPr>
        <w:t>9 analogs in the calibration set before c. 1837, and 12</w:t>
      </w:r>
      <w:r>
        <w:rPr>
          <w:rFonts w:ascii="Arial" w:cs="Arial" w:eastAsia="Arial" w:hAnsi="Arial"/>
          <w:sz w:val="23"/>
          <w:szCs w:val="23"/>
          <w:color w:val="auto"/>
        </w:rPr>
        <w:t>–</w:t>
      </w:r>
      <w:r>
        <w:rPr>
          <w:rFonts w:ascii="Times New Roman" w:cs="Times New Roman" w:eastAsia="Times New Roman" w:hAnsi="Times New Roman"/>
          <w:sz w:val="23"/>
          <w:szCs w:val="23"/>
          <w:color w:val="auto"/>
        </w:rPr>
        <w:t>15 analogs at all depths higher than that in the core (Table S5).</w:t>
      </w:r>
    </w:p>
    <w:p>
      <w:pPr>
        <w:sectPr>
          <w:pgSz w:w="12240" w:h="15840" w:orient="portrait"/>
          <w:cols w:equalWidth="0" w:num="2">
            <w:col w:w="4740" w:space="360"/>
            <w:col w:w="4740"/>
          </w:cols>
          <w:pgMar w:left="1200" w:top="458" w:right="1200" w:bottom="533" w:gutter="0" w:footer="0" w:header="0"/>
          <w:type w:val="continuous"/>
        </w:sectPr>
      </w:pPr>
    </w:p>
    <w:bookmarkStart w:id="17" w:name="page18"/>
    <w:bookmarkEnd w:id="17"/>
    <w:p>
      <w:pPr>
        <w:jc w:val="right"/>
        <w:spacing w:after="0"/>
        <w:rPr>
          <w:sz w:val="20"/>
          <w:szCs w:val="20"/>
          <w:color w:val="auto"/>
        </w:rPr>
      </w:pPr>
      <w:r>
        <w:rPr>
          <w:rFonts w:ascii="Arial" w:cs="Arial" w:eastAsia="Arial" w:hAnsi="Arial"/>
          <w:sz w:val="15"/>
          <w:szCs w:val="15"/>
          <w:color w:val="auto"/>
        </w:rPr>
        <w:t xml:space="preserve">LAKE AND RESERVOIR MANAGEMENT  </w:t>
      </w:r>
      <w:r>
        <w:rPr>
          <w:sz w:val="1"/>
          <w:szCs w:val="1"/>
          <w:color w:val="auto"/>
        </w:rPr>
        <w:drawing>
          <wp:inline distT="0" distB="0" distL="0" distR="0">
            <wp:extent cx="165100" cy="1651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2">
                      <a:extLst>
                        <a:ext uri="{28A0092B-C50C-407E-A947-70E740481C1C}"/>
                      </a:extLst>
                    </a:blip>
                    <a:srcRect/>
                    <a:stretch>
                      <a:fillRect/>
                    </a:stretch>
                  </pic:blipFill>
                  <pic:spPr bwMode="auto">
                    <a:xfrm>
                      <a:off x="0" y="0"/>
                      <a:ext cx="165100" cy="165100"/>
                    </a:xfrm>
                    <a:prstGeom prst="rect">
                      <a:avLst/>
                    </a:prstGeom>
                    <a:noFill/>
                    <a:ln>
                      <a:noFill/>
                    </a:ln>
                  </pic:spPr>
                </pic:pic>
              </a:graphicData>
            </a:graphic>
          </wp:inline>
        </w:drawing>
      </w:r>
      <w:r>
        <w:rPr>
          <w:rFonts w:ascii="Arial" w:cs="Arial" w:eastAsia="Arial" w:hAnsi="Arial"/>
          <w:sz w:val="15"/>
          <w:szCs w:val="15"/>
          <w:color w:val="auto"/>
        </w:rPr>
        <w:t xml:space="preserve">  17</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68580</wp:posOffset>
            </wp:positionH>
            <wp:positionV relativeFrom="paragraph">
              <wp:posOffset>196850</wp:posOffset>
            </wp:positionV>
            <wp:extent cx="6110605" cy="3822065"/>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3">
                      <a:extLst>
                        <a:ext uri="{28A0092B-C50C-407E-A947-70E740481C1C}"/>
                      </a:extLst>
                    </a:blip>
                    <a:srcRect/>
                    <a:stretch>
                      <a:fillRect/>
                    </a:stretch>
                  </pic:blipFill>
                  <pic:spPr bwMode="auto">
                    <a:xfrm>
                      <a:off x="0" y="0"/>
                      <a:ext cx="6110605" cy="382206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9" w:lineRule="exact"/>
        <w:rPr>
          <w:sz w:val="20"/>
          <w:szCs w:val="20"/>
          <w:color w:val="auto"/>
        </w:rPr>
      </w:pPr>
    </w:p>
    <w:p>
      <w:pPr>
        <w:jc w:val="both"/>
        <w:spacing w:after="0" w:line="292" w:lineRule="auto"/>
        <w:rPr>
          <w:sz w:val="20"/>
          <w:szCs w:val="20"/>
          <w:color w:val="auto"/>
        </w:rPr>
      </w:pPr>
      <w:r>
        <w:rPr>
          <w:rFonts w:ascii="Arial" w:cs="Arial" w:eastAsia="Arial" w:hAnsi="Arial"/>
          <w:sz w:val="17"/>
          <w:szCs w:val="17"/>
          <w:color w:val="10157E"/>
        </w:rPr>
        <w:t xml:space="preserve">Figure 9. </w:t>
      </w:r>
      <w:r>
        <w:rPr>
          <w:rFonts w:ascii="Arial" w:cs="Arial" w:eastAsia="Arial" w:hAnsi="Arial"/>
          <w:sz w:val="17"/>
          <w:szCs w:val="17"/>
          <w:color w:val="000000"/>
        </w:rPr>
        <w:t>Diatom profile with CONISS zonation for core 31_III_2018_MAR_328 from Lake Marian. Lower panels show sedimented</w:t>
      </w:r>
      <w:r>
        <w:rPr>
          <w:rFonts w:ascii="Arial" w:cs="Arial" w:eastAsia="Arial" w:hAnsi="Arial"/>
          <w:sz w:val="17"/>
          <w:szCs w:val="17"/>
          <w:color w:val="10157E"/>
        </w:rPr>
        <w:t xml:space="preserve"> </w:t>
      </w:r>
      <w:r>
        <w:rPr>
          <w:rFonts w:ascii="Arial" w:cs="Arial" w:eastAsia="Arial" w:hAnsi="Arial"/>
          <w:sz w:val="17"/>
          <w:szCs w:val="17"/>
          <w:color w:val="000000"/>
        </w:rPr>
        <w:t>algal and cyanobacterial pigment profiles. Lower right panel presents diatom-based limnetic chlorophyll a inferences.</w:t>
      </w:r>
    </w:p>
    <w:p>
      <w:pPr>
        <w:sectPr>
          <w:pgSz w:w="12240" w:h="15840" w:orient="portrait"/>
          <w:cols w:equalWidth="0" w:num="1">
            <w:col w:w="9840"/>
          </w:cols>
          <w:pgMar w:left="1200" w:top="458" w:right="1200" w:bottom="530" w:gutter="0" w:footer="0" w:header="0"/>
        </w:sectPr>
      </w:pPr>
    </w:p>
    <w:p>
      <w:pPr>
        <w:spacing w:after="0" w:line="233" w:lineRule="exact"/>
        <w:rPr>
          <w:sz w:val="20"/>
          <w:szCs w:val="20"/>
          <w:color w:val="auto"/>
        </w:rPr>
      </w:pPr>
    </w:p>
    <w:p>
      <w:pPr>
        <w:jc w:val="both"/>
        <w:ind w:firstLine="240"/>
        <w:spacing w:after="0" w:line="271" w:lineRule="auto"/>
        <w:rPr>
          <w:sz w:val="20"/>
          <w:szCs w:val="20"/>
          <w:color w:val="auto"/>
        </w:rPr>
      </w:pPr>
      <w:r>
        <w:rPr>
          <w:rFonts w:ascii="Times New Roman" w:cs="Times New Roman" w:eastAsia="Times New Roman" w:hAnsi="Times New Roman"/>
          <w:sz w:val="22"/>
          <w:szCs w:val="22"/>
          <w:color w:val="auto"/>
        </w:rPr>
        <w:t>The Florida DEP provided a mean of measured limnetic total P for 2000</w:t>
      </w:r>
      <w:r>
        <w:rPr>
          <w:rFonts w:ascii="Arial" w:cs="Arial" w:eastAsia="Arial" w:hAnsi="Arial"/>
          <w:sz w:val="22"/>
          <w:szCs w:val="22"/>
          <w:color w:val="auto"/>
        </w:rPr>
        <w:t>–</w:t>
      </w:r>
      <w:r>
        <w:rPr>
          <w:rFonts w:ascii="Times New Roman" w:cs="Times New Roman" w:eastAsia="Times New Roman" w:hAnsi="Times New Roman"/>
          <w:sz w:val="22"/>
          <w:szCs w:val="22"/>
          <w:color w:val="auto"/>
        </w:rPr>
        <w:t>2006 of 155 lg/L, and our diatom-inferred value for that period was 82.1 lg/L, which substantially underestimated the reported value. The modern measured value is beyond the reliable range of our total P inference model, and we suspect at least intermittent nitrogen limitation in Lake Marian. As a result, we rejected use of the limnetic total P inference model for Lake Marian. Instead, we applied the weighted-averaging model that is used to infer chlorophyll a from diatom assemblages in sediments. The Florida DEP reported a measured mean chlorophyll a value of 54.5 lg/L for 2000</w:t>
      </w:r>
      <w:r>
        <w:rPr>
          <w:rFonts w:ascii="Arial" w:cs="Arial" w:eastAsia="Arial" w:hAnsi="Arial"/>
          <w:sz w:val="22"/>
          <w:szCs w:val="22"/>
          <w:color w:val="auto"/>
        </w:rPr>
        <w:t>–</w:t>
      </w:r>
      <w:r>
        <w:rPr>
          <w:rFonts w:ascii="Times New Roman" w:cs="Times New Roman" w:eastAsia="Times New Roman" w:hAnsi="Times New Roman"/>
          <w:sz w:val="22"/>
          <w:szCs w:val="22"/>
          <w:color w:val="auto"/>
        </w:rPr>
        <w:t xml:space="preserve">2006, and our inferred value was 53.6 lg/L for that period, which indicated reli-able performance. Limnetic chlorophyll a inferences for Lake Marian are shown in </w:t>
      </w:r>
      <w:r>
        <w:rPr>
          <w:rFonts w:ascii="Times New Roman" w:cs="Times New Roman" w:eastAsia="Times New Roman" w:hAnsi="Times New Roman"/>
          <w:sz w:val="22"/>
          <w:szCs w:val="22"/>
          <w:color w:val="000080"/>
        </w:rPr>
        <w:t>Figure 9</w:t>
      </w:r>
      <w:r>
        <w:rPr>
          <w:rFonts w:ascii="Times New Roman" w:cs="Times New Roman" w:eastAsia="Times New Roman" w:hAnsi="Times New Roman"/>
          <w:sz w:val="22"/>
          <w:szCs w:val="22"/>
          <w:color w:val="auto"/>
        </w:rPr>
        <w:t xml:space="preserve"> and Table S5. Inferred limnetic chlorophyll a at the base of the core, which was deposited well before c. 1837, was 28.3 lg/L. Limnetic chlorophyll a, therefore, increased significantly in Lake Marian from the early 1800s to the present time.</w:t>
      </w:r>
    </w:p>
    <w:p>
      <w:pPr>
        <w:spacing w:after="0" w:line="16" w:lineRule="exact"/>
        <w:rPr>
          <w:sz w:val="20"/>
          <w:szCs w:val="20"/>
          <w:color w:val="auto"/>
        </w:rPr>
      </w:pPr>
    </w:p>
    <w:p>
      <w:pPr>
        <w:jc w:val="both"/>
        <w:ind w:firstLine="240"/>
        <w:spacing w:after="0" w:line="249" w:lineRule="auto"/>
        <w:rPr>
          <w:sz w:val="20"/>
          <w:szCs w:val="20"/>
          <w:color w:val="auto"/>
        </w:rPr>
      </w:pPr>
      <w:r>
        <w:rPr>
          <w:rFonts w:ascii="Times New Roman" w:cs="Times New Roman" w:eastAsia="Times New Roman" w:hAnsi="Times New Roman"/>
          <w:sz w:val="23"/>
          <w:szCs w:val="23"/>
          <w:color w:val="auto"/>
        </w:rPr>
        <w:t xml:space="preserve">Chlorophyll derivatives and total carotenoid concentrations were </w:t>
      </w:r>
      <w:r>
        <w:rPr>
          <w:rFonts w:ascii="Arial" w:cs="Arial" w:eastAsia="Arial" w:hAnsi="Arial"/>
          <w:sz w:val="23"/>
          <w:szCs w:val="23"/>
          <w:color w:val="auto"/>
        </w:rPr>
        <w:t>&lt;</w:t>
      </w:r>
      <w:r>
        <w:rPr>
          <w:rFonts w:ascii="Times New Roman" w:cs="Times New Roman" w:eastAsia="Times New Roman" w:hAnsi="Times New Roman"/>
          <w:sz w:val="23"/>
          <w:szCs w:val="23"/>
          <w:color w:val="auto"/>
        </w:rPr>
        <w:t>1.0 abs/g organic matter c.</w:t>
      </w:r>
    </w:p>
    <w:p>
      <w:pPr>
        <w:spacing w:after="0" w:line="20" w:lineRule="exact"/>
        <w:rPr>
          <w:sz w:val="20"/>
          <w:szCs w:val="20"/>
          <w:color w:val="auto"/>
        </w:rPr>
      </w:pPr>
      <w:r>
        <w:rPr>
          <w:sz w:val="20"/>
          <w:szCs w:val="20"/>
          <w:color w:val="auto"/>
        </w:rPr>
        <w:br w:type="column"/>
      </w:r>
    </w:p>
    <w:p>
      <w:pPr>
        <w:spacing w:after="0" w:line="213" w:lineRule="exact"/>
        <w:rPr>
          <w:sz w:val="20"/>
          <w:szCs w:val="20"/>
          <w:color w:val="auto"/>
        </w:rPr>
      </w:pPr>
    </w:p>
    <w:p>
      <w:pPr>
        <w:jc w:val="both"/>
        <w:spacing w:after="0" w:line="259" w:lineRule="auto"/>
        <w:rPr>
          <w:sz w:val="20"/>
          <w:szCs w:val="20"/>
          <w:color w:val="auto"/>
        </w:rPr>
      </w:pPr>
      <w:r>
        <w:rPr>
          <w:rFonts w:ascii="Times New Roman" w:cs="Times New Roman" w:eastAsia="Times New Roman" w:hAnsi="Times New Roman"/>
          <w:sz w:val="23"/>
          <w:szCs w:val="23"/>
          <w:color w:val="auto"/>
        </w:rPr>
        <w:t>1837 (</w:t>
      </w:r>
      <w:r>
        <w:rPr>
          <w:rFonts w:ascii="Times New Roman" w:cs="Times New Roman" w:eastAsia="Times New Roman" w:hAnsi="Times New Roman"/>
          <w:sz w:val="23"/>
          <w:szCs w:val="23"/>
          <w:color w:val="000080"/>
        </w:rPr>
        <w:t>Figure 9</w:t>
      </w:r>
      <w:r>
        <w:rPr>
          <w:rFonts w:ascii="Times New Roman" w:cs="Times New Roman" w:eastAsia="Times New Roman" w:hAnsi="Times New Roman"/>
          <w:sz w:val="23"/>
          <w:szCs w:val="23"/>
          <w:color w:val="auto"/>
        </w:rPr>
        <w:t>). Chlorophyll derivatives increased progressively after c. 1898 to 5 abs/g organic matter at the top of the core. Total carotenoids increased rapidly after c. 1960</w:t>
      </w:r>
      <w:r>
        <w:rPr>
          <w:rFonts w:ascii="Arial" w:cs="Arial" w:eastAsia="Arial" w:hAnsi="Arial"/>
          <w:sz w:val="23"/>
          <w:szCs w:val="23"/>
          <w:color w:val="auto"/>
        </w:rPr>
        <w:t>–</w:t>
      </w:r>
      <w:r>
        <w:rPr>
          <w:rFonts w:ascii="Times New Roman" w:cs="Times New Roman" w:eastAsia="Times New Roman" w:hAnsi="Times New Roman"/>
          <w:sz w:val="23"/>
          <w:szCs w:val="23"/>
          <w:color w:val="auto"/>
        </w:rPr>
        <w:t>1973 to 2 abs/g organic matter at the top of the core (</w:t>
      </w:r>
      <w:r>
        <w:rPr>
          <w:rFonts w:ascii="Times New Roman" w:cs="Times New Roman" w:eastAsia="Times New Roman" w:hAnsi="Times New Roman"/>
          <w:sz w:val="23"/>
          <w:szCs w:val="23"/>
          <w:color w:val="000080"/>
        </w:rPr>
        <w:t>Figure 9</w:t>
      </w:r>
      <w:r>
        <w:rPr>
          <w:rFonts w:ascii="Times New Roman" w:cs="Times New Roman" w:eastAsia="Times New Roman" w:hAnsi="Times New Roman"/>
          <w:sz w:val="23"/>
          <w:szCs w:val="23"/>
          <w:color w:val="auto"/>
        </w:rPr>
        <w:t>). Myxoxanthophyll and oscillaxanthin cyanobacter-ial pigment concentrations showed considerable variation over time, but prior to c. 1837, they were nearly as high as during recent decades. Myxoxanthopyll increased rapidly after c. 1999.</w:t>
      </w:r>
    </w:p>
    <w:p>
      <w:pPr>
        <w:spacing w:after="0" w:line="6" w:lineRule="exact"/>
        <w:rPr>
          <w:sz w:val="20"/>
          <w:szCs w:val="20"/>
          <w:color w:val="auto"/>
        </w:rPr>
      </w:pPr>
    </w:p>
    <w:p>
      <w:pPr>
        <w:jc w:val="both"/>
        <w:ind w:firstLine="240"/>
        <w:spacing w:after="0" w:line="259" w:lineRule="auto"/>
        <w:rPr>
          <w:sz w:val="20"/>
          <w:szCs w:val="20"/>
          <w:color w:val="auto"/>
        </w:rPr>
      </w:pPr>
      <w:r>
        <w:rPr>
          <w:rFonts w:ascii="Times New Roman" w:cs="Times New Roman" w:eastAsia="Times New Roman" w:hAnsi="Times New Roman"/>
          <w:sz w:val="23"/>
          <w:szCs w:val="23"/>
          <w:color w:val="auto"/>
        </w:rPr>
        <w:t>As in Lake Kissimmee, stable isotopes and C/ N ratios of organic matter in sediments showed that algae and cyanobacteria, and possibly some floating-leaved macrophytes, were the primary sources of sediment organic matter from prior to 1837 up to the present time (</w:t>
      </w:r>
      <w:r>
        <w:rPr>
          <w:rFonts w:ascii="Times New Roman" w:cs="Times New Roman" w:eastAsia="Times New Roman" w:hAnsi="Times New Roman"/>
          <w:sz w:val="23"/>
          <w:szCs w:val="23"/>
          <w:color w:val="000080"/>
        </w:rPr>
        <w:t>Figure 8</w:t>
      </w:r>
      <w:r>
        <w:rPr>
          <w:rFonts w:ascii="Times New Roman" w:cs="Times New Roman" w:eastAsia="Times New Roman" w:hAnsi="Times New Roman"/>
          <w:sz w:val="23"/>
          <w:szCs w:val="23"/>
          <w:color w:val="auto"/>
        </w:rPr>
        <w:t>). Macrofossil remains were very sparse, with no indication of submerged aquatic vegetation, and only a few sclereids of nymphaeids were found in one core in deposits that dated to the early 1900s (Table S17). Pollen grains of Taxodium ( 13</w:t>
      </w:r>
      <w:r>
        <w:rPr>
          <w:rFonts w:ascii="Arial" w:cs="Arial" w:eastAsia="Arial" w:hAnsi="Arial"/>
          <w:sz w:val="23"/>
          <w:szCs w:val="23"/>
          <w:color w:val="auto"/>
        </w:rPr>
        <w:t>–</w:t>
      </w:r>
      <w:r>
        <w:rPr>
          <w:rFonts w:ascii="Times New Roman" w:cs="Times New Roman" w:eastAsia="Times New Roman" w:hAnsi="Times New Roman"/>
          <w:sz w:val="23"/>
          <w:szCs w:val="23"/>
          <w:color w:val="auto"/>
        </w:rPr>
        <w:t>17% of assemblages) as well as Morella (bayberry) were abundant in samples prior to 1837 (Table S11), which indicated that swamps</w:t>
      </w:r>
    </w:p>
    <w:p>
      <w:pPr>
        <w:sectPr>
          <w:pgSz w:w="12240" w:h="15840" w:orient="portrait"/>
          <w:cols w:equalWidth="0" w:num="2">
            <w:col w:w="4740" w:space="360"/>
            <w:col w:w="4740"/>
          </w:cols>
          <w:pgMar w:left="1200" w:top="458" w:right="1200" w:bottom="530" w:gutter="0" w:footer="0" w:header="0"/>
          <w:type w:val="continuous"/>
        </w:sectPr>
      </w:pPr>
    </w:p>
    <w:bookmarkStart w:id="18" w:name="page19"/>
    <w:bookmarkEnd w:id="18"/>
    <w:p>
      <w:pPr>
        <w:spacing w:after="0"/>
        <w:rPr>
          <w:sz w:val="20"/>
          <w:szCs w:val="20"/>
          <w:color w:val="auto"/>
        </w:rPr>
      </w:pPr>
      <w:r>
        <w:rPr>
          <w:rFonts w:ascii="Arial" w:cs="Arial" w:eastAsia="Arial" w:hAnsi="Arial"/>
          <w:sz w:val="15"/>
          <w:szCs w:val="15"/>
          <w:color w:val="auto"/>
        </w:rPr>
        <w:t xml:space="preserve">18  </w:t>
      </w:r>
      <w:r>
        <w:rPr>
          <w:sz w:val="1"/>
          <w:szCs w:val="1"/>
          <w:color w:val="auto"/>
        </w:rPr>
        <w:drawing>
          <wp:inline distT="0" distB="0" distL="0" distR="0">
            <wp:extent cx="165100" cy="1651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4">
                      <a:extLst>
                        <a:ext uri="{28A0092B-C50C-407E-A947-70E740481C1C}"/>
                      </a:extLst>
                    </a:blip>
                    <a:srcRect/>
                    <a:stretch>
                      <a:fillRect/>
                    </a:stretch>
                  </pic:blipFill>
                  <pic:spPr bwMode="auto">
                    <a:xfrm>
                      <a:off x="0" y="0"/>
                      <a:ext cx="165100" cy="165100"/>
                    </a:xfrm>
                    <a:prstGeom prst="rect">
                      <a:avLst/>
                    </a:prstGeom>
                    <a:noFill/>
                    <a:ln>
                      <a:noFill/>
                    </a:ln>
                  </pic:spPr>
                </pic:pic>
              </a:graphicData>
            </a:graphic>
          </wp:inline>
        </w:drawing>
      </w:r>
      <w:r>
        <w:rPr>
          <w:rFonts w:ascii="Arial" w:cs="Arial" w:eastAsia="Arial" w:hAnsi="Arial"/>
          <w:sz w:val="15"/>
          <w:szCs w:val="15"/>
          <w:color w:val="auto"/>
        </w:rPr>
        <w:t xml:space="preserve">  T. J. WHITMORE ET AL.</w:t>
      </w:r>
    </w:p>
    <w:p>
      <w:pPr>
        <w:spacing w:after="0" w:line="271" w:lineRule="exact"/>
        <w:rPr>
          <w:sz w:val="20"/>
          <w:szCs w:val="20"/>
          <w:color w:val="auto"/>
        </w:rPr>
      </w:pPr>
    </w:p>
    <w:p>
      <w:pPr>
        <w:jc w:val="both"/>
        <w:spacing w:after="0" w:line="257" w:lineRule="auto"/>
        <w:rPr>
          <w:sz w:val="20"/>
          <w:szCs w:val="20"/>
          <w:color w:val="auto"/>
        </w:rPr>
      </w:pPr>
      <w:r>
        <w:rPr>
          <w:rFonts w:ascii="Times New Roman" w:cs="Times New Roman" w:eastAsia="Times New Roman" w:hAnsi="Times New Roman"/>
          <w:sz w:val="23"/>
          <w:szCs w:val="23"/>
          <w:color w:val="auto"/>
        </w:rPr>
        <w:t>were well established in the vicinity of Lake Marian. Pollen and macrofossil evidence, there-fore, supported an interpretation of waters that were high in algae/cyanobacteria concentrations, as well as possible high color from dissolved organic carbon from associated swamps.</w:t>
      </w:r>
    </w:p>
    <w:p>
      <w:pPr>
        <w:spacing w:after="0" w:line="383" w:lineRule="exact"/>
        <w:rPr>
          <w:sz w:val="20"/>
          <w:szCs w:val="20"/>
          <w:color w:val="auto"/>
        </w:rPr>
      </w:pPr>
    </w:p>
    <w:p>
      <w:pPr>
        <w:spacing w:after="0"/>
        <w:rPr>
          <w:sz w:val="20"/>
          <w:szCs w:val="20"/>
          <w:color w:val="auto"/>
        </w:rPr>
      </w:pPr>
      <w:r>
        <w:rPr>
          <w:rFonts w:ascii="Arial" w:cs="Arial" w:eastAsia="Arial" w:hAnsi="Arial"/>
          <w:sz w:val="22"/>
          <w:szCs w:val="22"/>
          <w:color w:val="10157E"/>
        </w:rPr>
        <w:t>Discussion</w:t>
      </w:r>
    </w:p>
    <w:p>
      <w:pPr>
        <w:spacing w:after="0" w:line="151" w:lineRule="exact"/>
        <w:rPr>
          <w:sz w:val="20"/>
          <w:szCs w:val="20"/>
          <w:color w:val="auto"/>
        </w:rPr>
      </w:pPr>
    </w:p>
    <w:p>
      <w:pPr>
        <w:spacing w:after="0"/>
        <w:rPr>
          <w:sz w:val="20"/>
          <w:szCs w:val="20"/>
          <w:color w:val="auto"/>
        </w:rPr>
      </w:pPr>
      <w:r>
        <w:rPr>
          <w:rFonts w:ascii="Arial" w:cs="Arial" w:eastAsia="Arial" w:hAnsi="Arial"/>
          <w:sz w:val="21"/>
          <w:szCs w:val="21"/>
          <w:color w:val="10157E"/>
        </w:rPr>
        <w:t>Predisturbance water quality and eutrophication</w:t>
      </w:r>
    </w:p>
    <w:p>
      <w:pPr>
        <w:spacing w:after="0" w:line="152" w:lineRule="exact"/>
        <w:rPr>
          <w:sz w:val="20"/>
          <w:szCs w:val="20"/>
          <w:color w:val="auto"/>
        </w:rPr>
      </w:pPr>
    </w:p>
    <w:p>
      <w:pPr>
        <w:jc w:val="both"/>
        <w:spacing w:after="0" w:line="256" w:lineRule="auto"/>
        <w:rPr>
          <w:sz w:val="20"/>
          <w:szCs w:val="20"/>
          <w:color w:val="auto"/>
        </w:rPr>
      </w:pPr>
      <w:r>
        <w:rPr>
          <w:rFonts w:ascii="Times New Roman" w:cs="Times New Roman" w:eastAsia="Times New Roman" w:hAnsi="Times New Roman"/>
          <w:sz w:val="23"/>
          <w:szCs w:val="23"/>
          <w:color w:val="auto"/>
        </w:rPr>
        <w:t>Eutrophication occurred in all of the study lakes to varying degrees. This was evidenced by increased deposition rates of phosphorus and nitrogen, by increased sedimented pigment con-centrations of algae and cyanobacteria, and by diatom autecology and statistical inferences of water quality. d</w:t>
      </w:r>
      <w:r>
        <w:rPr>
          <w:rFonts w:ascii="Times New Roman" w:cs="Times New Roman" w:eastAsia="Times New Roman" w:hAnsi="Times New Roman"/>
          <w:sz w:val="30"/>
          <w:szCs w:val="30"/>
          <w:color w:val="auto"/>
          <w:vertAlign w:val="superscript"/>
        </w:rPr>
        <w:t>13</w:t>
      </w:r>
      <w:r>
        <w:rPr>
          <w:rFonts w:ascii="Times New Roman" w:cs="Times New Roman" w:eastAsia="Times New Roman" w:hAnsi="Times New Roman"/>
          <w:sz w:val="23"/>
          <w:szCs w:val="23"/>
          <w:color w:val="auto"/>
        </w:rPr>
        <w:t xml:space="preserve">C versus C/N plots and plant macrofossils in Lakes Cypress, East Tohopeliga, Jackson, and Tohopekaliga showed a shift from submerged plant communities to floating-leaved taxa, then to algae/cyanobacteria, a progression that is typical of light limitation caused by eutrophication (Sayer et al. </w:t>
      </w:r>
      <w:r>
        <w:rPr>
          <w:rFonts w:ascii="Times New Roman" w:cs="Times New Roman" w:eastAsia="Times New Roman" w:hAnsi="Times New Roman"/>
          <w:sz w:val="23"/>
          <w:szCs w:val="23"/>
          <w:color w:val="000080"/>
        </w:rPr>
        <w:t>2010a</w:t>
      </w:r>
      <w:r>
        <w:rPr>
          <w:rFonts w:ascii="Times New Roman" w:cs="Times New Roman" w:eastAsia="Times New Roman" w:hAnsi="Times New Roman"/>
          <w:sz w:val="23"/>
          <w:szCs w:val="23"/>
          <w:color w:val="auto"/>
        </w:rPr>
        <w:t xml:space="preserve">, </w:t>
      </w:r>
      <w:r>
        <w:rPr>
          <w:rFonts w:ascii="Times New Roman" w:cs="Times New Roman" w:eastAsia="Times New Roman" w:hAnsi="Times New Roman"/>
          <w:sz w:val="23"/>
          <w:szCs w:val="23"/>
          <w:color w:val="000080"/>
        </w:rPr>
        <w:t>2010b</w:t>
      </w:r>
      <w:r>
        <w:rPr>
          <w:rFonts w:ascii="Times New Roman" w:cs="Times New Roman" w:eastAsia="Times New Roman" w:hAnsi="Times New Roman"/>
          <w:sz w:val="23"/>
          <w:szCs w:val="23"/>
          <w:color w:val="auto"/>
        </w:rPr>
        <w:t xml:space="preserve">, Bennion et al. </w:t>
      </w:r>
      <w:r>
        <w:rPr>
          <w:rFonts w:ascii="Times New Roman" w:cs="Times New Roman" w:eastAsia="Times New Roman" w:hAnsi="Times New Roman"/>
          <w:sz w:val="23"/>
          <w:szCs w:val="23"/>
          <w:color w:val="000080"/>
        </w:rPr>
        <w:t>2018</w:t>
      </w:r>
      <w:r>
        <w:rPr>
          <w:rFonts w:ascii="Times New Roman" w:cs="Times New Roman" w:eastAsia="Times New Roman" w:hAnsi="Times New Roman"/>
          <w:sz w:val="23"/>
          <w:szCs w:val="23"/>
          <w:color w:val="auto"/>
        </w:rPr>
        <w:t xml:space="preserve">). Multiple lines of evidence showed that all lakes in this study were meso-eutrophic to eutrophic during predisturbance times. None of the lakes in this study held oligo-trophic waters during their reference periods in the early 1800s. Qualitative diatom evidence based on well-documented autecological preferen-ces in the literature, as well as the limnetic total P optima reported for dominant taxa (Whitmore et al. </w:t>
      </w:r>
      <w:r>
        <w:rPr>
          <w:rFonts w:ascii="Times New Roman" w:cs="Times New Roman" w:eastAsia="Times New Roman" w:hAnsi="Times New Roman"/>
          <w:sz w:val="23"/>
          <w:szCs w:val="23"/>
          <w:color w:val="000080"/>
        </w:rPr>
        <w:t>2018</w:t>
      </w:r>
      <w:r>
        <w:rPr>
          <w:rFonts w:ascii="Times New Roman" w:cs="Times New Roman" w:eastAsia="Times New Roman" w:hAnsi="Times New Roman"/>
          <w:sz w:val="23"/>
          <w:szCs w:val="23"/>
          <w:color w:val="auto"/>
        </w:rPr>
        <w:t>), showed that Lakes Cypress, East Tohopekaliga, Jackson, and Tohopekaliga had high productivity during their predisturbance periods in the early 1800s. Predisturbance infer-ences for limnetic total P in Lake Kissimmee (61 lg/L) and for limnetic chlorophyll a in Lake Marian (28.3 lg/L) were within the eutrophic range for lakes.</w:t>
      </w:r>
    </w:p>
    <w:p>
      <w:pPr>
        <w:spacing w:after="0" w:line="306" w:lineRule="exact"/>
        <w:rPr>
          <w:sz w:val="20"/>
          <w:szCs w:val="20"/>
          <w:color w:val="auto"/>
        </w:rPr>
      </w:pPr>
    </w:p>
    <w:p>
      <w:pPr>
        <w:jc w:val="both"/>
        <w:ind w:firstLine="240"/>
        <w:spacing w:after="0" w:line="258" w:lineRule="auto"/>
        <w:rPr>
          <w:sz w:val="20"/>
          <w:szCs w:val="20"/>
          <w:color w:val="auto"/>
        </w:rPr>
      </w:pPr>
      <w:r>
        <w:rPr>
          <w:rFonts w:ascii="Times New Roman" w:cs="Times New Roman" w:eastAsia="Times New Roman" w:hAnsi="Times New Roman"/>
          <w:sz w:val="23"/>
          <w:szCs w:val="23"/>
          <w:color w:val="auto"/>
        </w:rPr>
        <w:t xml:space="preserve">High productivity in these lakes during their predisturbance periods is consistent with their geological setting. Paleolimnological studies have shown that a significant number of Florida lakes, particularly alkaline lakes with color, were pro-ductive during predisturbance periods because of naturally high edaphic nutrient supply (e.g., Brenner et al. </w:t>
      </w:r>
      <w:r>
        <w:rPr>
          <w:rFonts w:ascii="Times New Roman" w:cs="Times New Roman" w:eastAsia="Times New Roman" w:hAnsi="Times New Roman"/>
          <w:sz w:val="23"/>
          <w:szCs w:val="23"/>
          <w:color w:val="000080"/>
        </w:rPr>
        <w:t>1993</w:t>
      </w:r>
      <w:r>
        <w:rPr>
          <w:rFonts w:ascii="Times New Roman" w:cs="Times New Roman" w:eastAsia="Times New Roman" w:hAnsi="Times New Roman"/>
          <w:sz w:val="23"/>
          <w:szCs w:val="23"/>
          <w:color w:val="auto"/>
        </w:rPr>
        <w:t>, Riedinger-Whitmore et al.</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342" w:lineRule="exact"/>
        <w:rPr>
          <w:sz w:val="20"/>
          <w:szCs w:val="20"/>
          <w:color w:val="auto"/>
        </w:rPr>
      </w:pPr>
    </w:p>
    <w:p>
      <w:pPr>
        <w:jc w:val="both"/>
        <w:spacing w:after="0" w:line="254" w:lineRule="auto"/>
        <w:rPr>
          <w:sz w:val="20"/>
          <w:szCs w:val="20"/>
          <w:color w:val="auto"/>
        </w:rPr>
      </w:pPr>
      <w:r>
        <w:rPr>
          <w:rFonts w:ascii="Times New Roman" w:cs="Times New Roman" w:eastAsia="Times New Roman" w:hAnsi="Times New Roman"/>
          <w:sz w:val="23"/>
          <w:szCs w:val="23"/>
          <w:color w:val="000080"/>
        </w:rPr>
        <w:t>2005</w:t>
      </w:r>
      <w:r>
        <w:rPr>
          <w:rFonts w:ascii="Times New Roman" w:cs="Times New Roman" w:eastAsia="Times New Roman" w:hAnsi="Times New Roman"/>
          <w:sz w:val="23"/>
          <w:szCs w:val="23"/>
          <w:color w:val="000000"/>
        </w:rPr>
        <w:t>, Kenney et al.</w:t>
      </w:r>
      <w:r>
        <w:rPr>
          <w:rFonts w:ascii="Times New Roman" w:cs="Times New Roman" w:eastAsia="Times New Roman" w:hAnsi="Times New Roman"/>
          <w:sz w:val="23"/>
          <w:szCs w:val="23"/>
          <w:color w:val="000080"/>
        </w:rPr>
        <w:t xml:space="preserve"> 2014</w:t>
      </w:r>
      <w:r>
        <w:rPr>
          <w:rFonts w:ascii="Times New Roman" w:cs="Times New Roman" w:eastAsia="Times New Roman" w:hAnsi="Times New Roman"/>
          <w:sz w:val="23"/>
          <w:szCs w:val="23"/>
          <w:color w:val="000000"/>
        </w:rPr>
        <w:t xml:space="preserve">). For such lakes, nutri-ent criteria standards </w:t>
      </w:r>
      <w:r>
        <w:rPr>
          <w:rFonts w:ascii="Arial" w:cs="Arial" w:eastAsia="Arial" w:hAnsi="Arial"/>
          <w:sz w:val="23"/>
          <w:szCs w:val="23"/>
          <w:color w:val="000000"/>
        </w:rPr>
        <w:t>&lt;</w:t>
      </w:r>
      <w:r>
        <w:rPr>
          <w:rFonts w:ascii="Times New Roman" w:cs="Times New Roman" w:eastAsia="Times New Roman" w:hAnsi="Times New Roman"/>
          <w:sz w:val="23"/>
          <w:szCs w:val="23"/>
          <w:color w:val="000000"/>
        </w:rPr>
        <w:t>40</w:t>
      </w:r>
      <w:r>
        <w:rPr>
          <w:rFonts w:ascii="Arial" w:cs="Arial" w:eastAsia="Arial" w:hAnsi="Arial"/>
          <w:sz w:val="23"/>
          <w:szCs w:val="23"/>
          <w:color w:val="000000"/>
        </w:rPr>
        <w:t>–</w:t>
      </w:r>
      <w:r>
        <w:rPr>
          <w:rFonts w:ascii="Times New Roman" w:cs="Times New Roman" w:eastAsia="Times New Roman" w:hAnsi="Times New Roman"/>
          <w:sz w:val="23"/>
          <w:szCs w:val="23"/>
          <w:color w:val="000000"/>
        </w:rPr>
        <w:t xml:space="preserve">45 </w:t>
      </w:r>
      <w:r>
        <w:rPr>
          <w:rFonts w:ascii="Arial" w:cs="Arial" w:eastAsia="Arial" w:hAnsi="Arial"/>
          <w:sz w:val="23"/>
          <w:szCs w:val="23"/>
          <w:color w:val="000000"/>
        </w:rPr>
        <w:t>m</w:t>
      </w:r>
      <w:r>
        <w:rPr>
          <w:rFonts w:ascii="Times New Roman" w:cs="Times New Roman" w:eastAsia="Times New Roman" w:hAnsi="Times New Roman"/>
          <w:sz w:val="23"/>
          <w:szCs w:val="23"/>
          <w:color w:val="000000"/>
        </w:rPr>
        <w:t xml:space="preserve">g/L total P would not be appropriate. Naturally high productivity in lakes on the Kissimmee Chain suggests that rela-tively small amounts of nutrient additions could occur before modern nutrient criteria standards would be exceeded. Paleolimnological studies have demonstrated naturally high productivity and sustained cyanobacterial populations in other regions as well (McGowan et al. </w:t>
      </w:r>
      <w:r>
        <w:rPr>
          <w:rFonts w:ascii="Times New Roman" w:cs="Times New Roman" w:eastAsia="Times New Roman" w:hAnsi="Times New Roman"/>
          <w:sz w:val="23"/>
          <w:szCs w:val="23"/>
          <w:color w:val="000080"/>
        </w:rPr>
        <w:t>1999</w:t>
      </w:r>
      <w:r>
        <w:rPr>
          <w:rFonts w:ascii="Times New Roman" w:cs="Times New Roman" w:eastAsia="Times New Roman" w:hAnsi="Times New Roman"/>
          <w:sz w:val="23"/>
          <w:szCs w:val="23"/>
          <w:color w:val="000000"/>
        </w:rPr>
        <w:t xml:space="preserve">, Brooks et al. </w:t>
      </w:r>
      <w:r>
        <w:rPr>
          <w:rFonts w:ascii="Times New Roman" w:cs="Times New Roman" w:eastAsia="Times New Roman" w:hAnsi="Times New Roman"/>
          <w:sz w:val="23"/>
          <w:szCs w:val="23"/>
          <w:color w:val="000080"/>
        </w:rPr>
        <w:t>2001</w:t>
      </w:r>
      <w:r>
        <w:rPr>
          <w:rFonts w:ascii="Times New Roman" w:cs="Times New Roman" w:eastAsia="Times New Roman" w:hAnsi="Times New Roman"/>
          <w:sz w:val="23"/>
          <w:szCs w:val="23"/>
          <w:color w:val="000000"/>
        </w:rPr>
        <w:t xml:space="preserve">, Simmatis et al. </w:t>
      </w:r>
      <w:r>
        <w:rPr>
          <w:rFonts w:ascii="Times New Roman" w:cs="Times New Roman" w:eastAsia="Times New Roman" w:hAnsi="Times New Roman"/>
          <w:sz w:val="23"/>
          <w:szCs w:val="23"/>
          <w:color w:val="000080"/>
        </w:rPr>
        <w:t>2020</w:t>
      </w:r>
      <w:r>
        <w:rPr>
          <w:rFonts w:ascii="Times New Roman" w:cs="Times New Roman" w:eastAsia="Times New Roman" w:hAnsi="Times New Roman"/>
          <w:sz w:val="23"/>
          <w:szCs w:val="23"/>
          <w:color w:val="000000"/>
        </w:rPr>
        <w:t>).</w:t>
      </w:r>
    </w:p>
    <w:p>
      <w:pPr>
        <w:spacing w:after="0" w:line="15" w:lineRule="exact"/>
        <w:rPr>
          <w:sz w:val="20"/>
          <w:szCs w:val="20"/>
          <w:color w:val="auto"/>
        </w:rPr>
      </w:pPr>
    </w:p>
    <w:p>
      <w:pPr>
        <w:jc w:val="both"/>
        <w:ind w:firstLine="240"/>
        <w:spacing w:after="0" w:line="255" w:lineRule="auto"/>
        <w:rPr>
          <w:sz w:val="20"/>
          <w:szCs w:val="20"/>
          <w:color w:val="auto"/>
        </w:rPr>
      </w:pPr>
      <w:r>
        <w:rPr>
          <w:rFonts w:ascii="Times New Roman" w:cs="Times New Roman" w:eastAsia="Times New Roman" w:hAnsi="Times New Roman"/>
          <w:sz w:val="23"/>
          <w:szCs w:val="23"/>
          <w:color w:val="auto"/>
        </w:rPr>
        <w:t xml:space="preserve">In Lakes Cypress, East Tohopekaliga, Tohopekaliga, and Marian, diatom communities changed in response to increased cyanobacteria presence. Tychoplanktonic taxa increased as cyanobacteria became well established and plank-tonic taxa, including Aulacoseira spp., were sub-ject to competitive exclusion (Whitmore et al. </w:t>
      </w:r>
      <w:r>
        <w:rPr>
          <w:rFonts w:ascii="Times New Roman" w:cs="Times New Roman" w:eastAsia="Times New Roman" w:hAnsi="Times New Roman"/>
          <w:sz w:val="23"/>
          <w:szCs w:val="23"/>
          <w:color w:val="000080"/>
        </w:rPr>
        <w:t>2018</w:t>
      </w:r>
      <w:r>
        <w:rPr>
          <w:rFonts w:ascii="Times New Roman" w:cs="Times New Roman" w:eastAsia="Times New Roman" w:hAnsi="Times New Roman"/>
          <w:sz w:val="23"/>
          <w:szCs w:val="23"/>
          <w:color w:val="000000"/>
        </w:rPr>
        <w:t>). Although this shift might seem paradox-ical in hypereutrophic conditions because of potential light limitation of algae that grow on surfaces, frequent mixing in Florida</w:t>
      </w:r>
      <w:r>
        <w:rPr>
          <w:rFonts w:ascii="Arial" w:cs="Arial" w:eastAsia="Arial" w:hAnsi="Arial"/>
          <w:sz w:val="23"/>
          <w:szCs w:val="23"/>
          <w:color w:val="000000"/>
        </w:rPr>
        <w:t>’</w:t>
      </w:r>
      <w:r>
        <w:rPr>
          <w:rFonts w:ascii="Times New Roman" w:cs="Times New Roman" w:eastAsia="Times New Roman" w:hAnsi="Times New Roman"/>
          <w:sz w:val="23"/>
          <w:szCs w:val="23"/>
          <w:color w:val="000000"/>
        </w:rPr>
        <w:t xml:space="preserve">s shallow, wind-stressed lakes affords tychoplanktonic taxa the opportunity to meet minimum light require-ments. Recognition of this community shift might serve as an early warning indicator of pending system changes in modern Florida lakes, and it might be used to better inform decisions about lake management (Reavie </w:t>
      </w:r>
      <w:r>
        <w:rPr>
          <w:rFonts w:ascii="Times New Roman" w:cs="Times New Roman" w:eastAsia="Times New Roman" w:hAnsi="Times New Roman"/>
          <w:sz w:val="23"/>
          <w:szCs w:val="23"/>
          <w:color w:val="000080"/>
        </w:rPr>
        <w:t>2019</w:t>
      </w:r>
      <w:r>
        <w:rPr>
          <w:rFonts w:ascii="Times New Roman" w:cs="Times New Roman" w:eastAsia="Times New Roman" w:hAnsi="Times New Roman"/>
          <w:sz w:val="23"/>
          <w:szCs w:val="23"/>
          <w:color w:val="000000"/>
        </w:rPr>
        <w:t>). This diatom community change was not evident in Lake Jackson, however, and sedimented pig-ments showed that cyanobacteria increased in that lake only recently. Lakes Kissimmee and Marian sustained substantial cyanobacteria pop-ulations throughout their entire records since the early 1800s.</w:t>
      </w:r>
    </w:p>
    <w:p>
      <w:pPr>
        <w:spacing w:after="0" w:line="200" w:lineRule="exact"/>
        <w:rPr>
          <w:sz w:val="20"/>
          <w:szCs w:val="20"/>
          <w:color w:val="auto"/>
        </w:rPr>
      </w:pPr>
    </w:p>
    <w:p>
      <w:pPr>
        <w:spacing w:after="0" w:line="200" w:lineRule="exact"/>
        <w:rPr>
          <w:sz w:val="20"/>
          <w:szCs w:val="20"/>
          <w:color w:val="auto"/>
        </w:rPr>
      </w:pPr>
    </w:p>
    <w:p>
      <w:pPr>
        <w:spacing w:after="0" w:line="291" w:lineRule="exact"/>
        <w:rPr>
          <w:sz w:val="20"/>
          <w:szCs w:val="20"/>
          <w:color w:val="auto"/>
        </w:rPr>
      </w:pPr>
    </w:p>
    <w:p>
      <w:pPr>
        <w:ind w:right="220"/>
        <w:spacing w:after="0" w:line="276" w:lineRule="auto"/>
        <w:rPr>
          <w:sz w:val="20"/>
          <w:szCs w:val="20"/>
          <w:color w:val="auto"/>
        </w:rPr>
      </w:pPr>
      <w:r>
        <w:rPr>
          <w:rFonts w:ascii="Arial" w:cs="Arial" w:eastAsia="Arial" w:hAnsi="Arial"/>
          <w:sz w:val="21"/>
          <w:szCs w:val="21"/>
          <w:color w:val="10157E"/>
        </w:rPr>
        <w:t>Associated wetlands and their possible influence on lake color</w:t>
      </w:r>
    </w:p>
    <w:p>
      <w:pPr>
        <w:spacing w:after="0" w:line="117" w:lineRule="exact"/>
        <w:rPr>
          <w:sz w:val="20"/>
          <w:szCs w:val="20"/>
          <w:color w:val="auto"/>
        </w:rPr>
      </w:pPr>
    </w:p>
    <w:p>
      <w:pPr>
        <w:jc w:val="both"/>
        <w:spacing w:after="0" w:line="254" w:lineRule="auto"/>
        <w:rPr>
          <w:sz w:val="20"/>
          <w:szCs w:val="20"/>
          <w:color w:val="auto"/>
        </w:rPr>
      </w:pPr>
      <w:r>
        <w:rPr>
          <w:rFonts w:ascii="Times New Roman" w:cs="Times New Roman" w:eastAsia="Times New Roman" w:hAnsi="Times New Roman"/>
          <w:sz w:val="23"/>
          <w:szCs w:val="23"/>
          <w:color w:val="auto"/>
        </w:rPr>
        <w:t>Carpenter et al. (</w:t>
      </w:r>
      <w:r>
        <w:rPr>
          <w:rFonts w:ascii="Times New Roman" w:cs="Times New Roman" w:eastAsia="Times New Roman" w:hAnsi="Times New Roman"/>
          <w:sz w:val="23"/>
          <w:szCs w:val="23"/>
          <w:color w:val="000080"/>
        </w:rPr>
        <w:t>1998</w:t>
      </w:r>
      <w:r>
        <w:rPr>
          <w:rFonts w:ascii="Times New Roman" w:cs="Times New Roman" w:eastAsia="Times New Roman" w:hAnsi="Times New Roman"/>
          <w:sz w:val="23"/>
          <w:szCs w:val="23"/>
          <w:color w:val="auto"/>
        </w:rPr>
        <w:t>) showed strong effects of dissolved organic color on chlorophyll concentra-tions and primary production in lakes because of light attenuation in the water column. Persistent and highly colored humic and fulvic acids that contribute to colored dissolved organic carbon (C-DOC) in lakes often have allochthonous sour-ces from nearby wetlands, although pine flat-woods in Florida often contribute C-DOC</w:t>
      </w:r>
    </w:p>
    <w:p>
      <w:pPr>
        <w:sectPr>
          <w:pgSz w:w="12240" w:h="15840" w:orient="portrait"/>
          <w:cols w:equalWidth="0" w:num="2">
            <w:col w:w="4740" w:space="360"/>
            <w:col w:w="4740"/>
          </w:cols>
          <w:pgMar w:left="1200" w:top="458" w:right="1200" w:bottom="527" w:gutter="0" w:footer="0" w:header="0"/>
        </w:sectPr>
      </w:pPr>
    </w:p>
    <w:bookmarkStart w:id="19" w:name="page20"/>
    <w:bookmarkEnd w:id="19"/>
    <w:p>
      <w:pPr>
        <w:spacing w:after="0" w:line="200" w:lineRule="exact"/>
        <w:rPr>
          <w:sz w:val="20"/>
          <w:szCs w:val="20"/>
          <w:color w:val="auto"/>
        </w:rPr>
      </w:pPr>
    </w:p>
    <w:p>
      <w:pPr>
        <w:spacing w:after="0" w:line="356" w:lineRule="exact"/>
        <w:rPr>
          <w:sz w:val="20"/>
          <w:szCs w:val="20"/>
          <w:color w:val="auto"/>
        </w:rPr>
      </w:pPr>
    </w:p>
    <w:p>
      <w:pPr>
        <w:jc w:val="both"/>
        <w:spacing w:after="0" w:line="266" w:lineRule="auto"/>
        <w:rPr>
          <w:sz w:val="20"/>
          <w:szCs w:val="20"/>
          <w:color w:val="auto"/>
        </w:rPr>
      </w:pPr>
      <w:r>
        <w:rPr>
          <w:rFonts w:ascii="Times New Roman" w:cs="Times New Roman" w:eastAsia="Times New Roman" w:hAnsi="Times New Roman"/>
          <w:sz w:val="22"/>
          <w:szCs w:val="22"/>
          <w:color w:val="auto"/>
        </w:rPr>
        <w:t>because shallow, impervious clay layers direct tan-nins laterally to nearby waterbodies. In contrast, autochthonous DOC from the breakdown of phyto-plankton and macrophyte biomass is less highly colored and is easily degraded. Because of its poten-tial for moderating primary production, Williamson et al. (</w:t>
      </w:r>
      <w:r>
        <w:rPr>
          <w:rFonts w:ascii="Times New Roman" w:cs="Times New Roman" w:eastAsia="Times New Roman" w:hAnsi="Times New Roman"/>
          <w:sz w:val="22"/>
          <w:szCs w:val="22"/>
          <w:color w:val="000080"/>
        </w:rPr>
        <w:t>1999</w:t>
      </w:r>
      <w:r>
        <w:rPr>
          <w:rFonts w:ascii="Times New Roman" w:cs="Times New Roman" w:eastAsia="Times New Roman" w:hAnsi="Times New Roman"/>
          <w:sz w:val="22"/>
          <w:szCs w:val="22"/>
          <w:color w:val="auto"/>
        </w:rPr>
        <w:t>) maintained that there is a clear need to incorporate C-DOC into lake management approaches. However, C-DOC is not equally effect-ive in controlling algal production in lakes across a wide range of trophic states. Carpenter et al. (</w:t>
      </w:r>
      <w:r>
        <w:rPr>
          <w:rFonts w:ascii="Times New Roman" w:cs="Times New Roman" w:eastAsia="Times New Roman" w:hAnsi="Times New Roman"/>
          <w:sz w:val="22"/>
          <w:szCs w:val="22"/>
          <w:color w:val="000080"/>
        </w:rPr>
        <w:t>1998</w:t>
      </w:r>
      <w:r>
        <w:rPr>
          <w:rFonts w:ascii="Times New Roman" w:cs="Times New Roman" w:eastAsia="Times New Roman" w:hAnsi="Times New Roman"/>
          <w:sz w:val="22"/>
          <w:szCs w:val="22"/>
          <w:color w:val="auto"/>
        </w:rPr>
        <w:t>) stated that eutrophication is responsible for a broad range of P inputs to lakes, and this strong environ-mental gradient tends to mask the effects of C-DOC in multiple-lake comparisons. Karlsson et al. (</w:t>
      </w:r>
      <w:r>
        <w:rPr>
          <w:rFonts w:ascii="Times New Roman" w:cs="Times New Roman" w:eastAsia="Times New Roman" w:hAnsi="Times New Roman"/>
          <w:sz w:val="22"/>
          <w:szCs w:val="22"/>
          <w:color w:val="000080"/>
        </w:rPr>
        <w:t>2009</w:t>
      </w:r>
      <w:r>
        <w:rPr>
          <w:rFonts w:ascii="Times New Roman" w:cs="Times New Roman" w:eastAsia="Times New Roman" w:hAnsi="Times New Roman"/>
          <w:sz w:val="22"/>
          <w:szCs w:val="22"/>
          <w:color w:val="auto"/>
        </w:rPr>
        <w:t>) concluded that light availability, as influ-enced by C-DOC, controls productivity most effect-ively in low-productivity lakes, whereas nutrient availability controls productivity in lakes that are eutrophic and dominated by pelagic production. Based on these studies, it seems appropriate to con-clude that the potential moderating effect of C-DOC on primary productivity is likely to be more effective during periods of low disturbance than it is when lakes have undergone advanced eutrophica-tion. This suggests the importance of protecting associated wetlands for lakes that have not been subject to high nutrient loading, and for imple-menting wetland restoration after high nutrient concentrations have been reduced.</w:t>
      </w:r>
    </w:p>
    <w:p>
      <w:pPr>
        <w:spacing w:after="0" w:line="279" w:lineRule="exact"/>
        <w:rPr>
          <w:sz w:val="20"/>
          <w:szCs w:val="20"/>
          <w:color w:val="auto"/>
        </w:rPr>
      </w:pPr>
    </w:p>
    <w:p>
      <w:pPr>
        <w:jc w:val="both"/>
        <w:ind w:firstLine="240"/>
        <w:spacing w:after="0" w:line="253" w:lineRule="auto"/>
        <w:rPr>
          <w:sz w:val="20"/>
          <w:szCs w:val="20"/>
          <w:color w:val="auto"/>
        </w:rPr>
      </w:pPr>
      <w:r>
        <w:rPr>
          <w:rFonts w:ascii="Times New Roman" w:cs="Times New Roman" w:eastAsia="Times New Roman" w:hAnsi="Times New Roman"/>
          <w:sz w:val="23"/>
          <w:szCs w:val="23"/>
          <w:color w:val="auto"/>
        </w:rPr>
        <w:t xml:space="preserve">At the beginning of the 1800s, wetlands cov-ered nearly 50% of the surface area of Florida (Fernald and Purdum </w:t>
      </w:r>
      <w:r>
        <w:rPr>
          <w:rFonts w:ascii="Times New Roman" w:cs="Times New Roman" w:eastAsia="Times New Roman" w:hAnsi="Times New Roman"/>
          <w:sz w:val="23"/>
          <w:szCs w:val="23"/>
          <w:color w:val="000080"/>
        </w:rPr>
        <w:t>1998</w:t>
      </w:r>
      <w:r>
        <w:rPr>
          <w:rFonts w:ascii="Times New Roman" w:cs="Times New Roman" w:eastAsia="Times New Roman" w:hAnsi="Times New Roman"/>
          <w:sz w:val="23"/>
          <w:szCs w:val="23"/>
          <w:color w:val="auto"/>
        </w:rPr>
        <w:t>). Subsequent logging and alteration of lake levels caused substantial loss of wetlands associated with Florida</w:t>
      </w:r>
      <w:r>
        <w:rPr>
          <w:rFonts w:ascii="Arial" w:cs="Arial" w:eastAsia="Arial" w:hAnsi="Arial"/>
          <w:sz w:val="23"/>
          <w:szCs w:val="23"/>
          <w:color w:val="auto"/>
        </w:rPr>
        <w:t>’</w:t>
      </w:r>
      <w:r>
        <w:rPr>
          <w:rFonts w:ascii="Times New Roman" w:cs="Times New Roman" w:eastAsia="Times New Roman" w:hAnsi="Times New Roman"/>
          <w:sz w:val="23"/>
          <w:szCs w:val="23"/>
          <w:color w:val="auto"/>
        </w:rPr>
        <w:t xml:space="preserve">s 8000 lakes. When the present study was initiated, the Osceola County Public Works Department con-ducted a statistical evaluation of water quality measures for a large set of lakes to determine whether C-DOC has a moderating influence on phytoplankton concentrations in this region. Limnetic concentrations of total nitrogen, total phosphorus, and chlorophyll a were compared for 2 categories: lakes with low color concentra-tions (i.e., </w:t>
      </w:r>
      <w:r>
        <w:rPr>
          <w:rFonts w:ascii="Arial" w:cs="Arial" w:eastAsia="Arial" w:hAnsi="Arial"/>
          <w:sz w:val="23"/>
          <w:szCs w:val="23"/>
          <w:color w:val="auto"/>
        </w:rPr>
        <w:t>&lt;</w:t>
      </w:r>
      <w:r>
        <w:rPr>
          <w:rFonts w:ascii="Times New Roman" w:cs="Times New Roman" w:eastAsia="Times New Roman" w:hAnsi="Times New Roman"/>
          <w:sz w:val="23"/>
          <w:szCs w:val="23"/>
          <w:color w:val="auto"/>
        </w:rPr>
        <w:t>75 platinum cobalt units; PCU) and lakes with high color concentrations (</w:t>
      </w:r>
      <w:r>
        <w:rPr>
          <w:rFonts w:ascii="Arial" w:cs="Arial" w:eastAsia="Arial" w:hAnsi="Arial"/>
          <w:sz w:val="23"/>
          <w:szCs w:val="23"/>
          <w:color w:val="auto"/>
        </w:rPr>
        <w:t>&gt;</w:t>
      </w:r>
      <w:r>
        <w:rPr>
          <w:rFonts w:ascii="Times New Roman" w:cs="Times New Roman" w:eastAsia="Times New Roman" w:hAnsi="Times New Roman"/>
          <w:sz w:val="23"/>
          <w:szCs w:val="23"/>
          <w:color w:val="auto"/>
        </w:rPr>
        <w:t>75 PCU). Results showed that nutrient concentrations were likely to be higher under high color conditions, but concentrations of chlorophyll a were likely to</w:t>
      </w:r>
    </w:p>
    <w:p>
      <w:pPr>
        <w:spacing w:after="0" w:line="20" w:lineRule="exact"/>
        <w:rPr>
          <w:sz w:val="20"/>
          <w:szCs w:val="20"/>
          <w:color w:val="auto"/>
        </w:rPr>
      </w:pPr>
      <w:r>
        <w:rPr>
          <w:sz w:val="20"/>
          <w:szCs w:val="20"/>
          <w:color w:val="auto"/>
        </w:rPr>
        <w:br w:type="column"/>
      </w:r>
    </w:p>
    <w:p>
      <w:pPr>
        <w:ind w:left="1740"/>
        <w:spacing w:after="0"/>
        <w:rPr>
          <w:sz w:val="20"/>
          <w:szCs w:val="20"/>
          <w:color w:val="auto"/>
        </w:rPr>
      </w:pPr>
      <w:r>
        <w:rPr>
          <w:rFonts w:ascii="Arial" w:cs="Arial" w:eastAsia="Arial" w:hAnsi="Arial"/>
          <w:sz w:val="12"/>
          <w:szCs w:val="12"/>
          <w:color w:val="auto"/>
        </w:rPr>
        <w:t xml:space="preserve">LAKE AND RESERVOIR MANAGEMENT  </w:t>
      </w:r>
      <w:r>
        <w:rPr>
          <w:sz w:val="1"/>
          <w:szCs w:val="1"/>
          <w:color w:val="auto"/>
        </w:rPr>
        <w:drawing>
          <wp:inline distT="0" distB="0" distL="0" distR="0">
            <wp:extent cx="165100" cy="1651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5">
                      <a:extLst>
                        <a:ext uri="{28A0092B-C50C-407E-A947-70E740481C1C}"/>
                      </a:extLst>
                    </a:blip>
                    <a:srcRect/>
                    <a:stretch>
                      <a:fillRect/>
                    </a:stretch>
                  </pic:blipFill>
                  <pic:spPr bwMode="auto">
                    <a:xfrm>
                      <a:off x="0" y="0"/>
                      <a:ext cx="165100" cy="165100"/>
                    </a:xfrm>
                    <a:prstGeom prst="rect">
                      <a:avLst/>
                    </a:prstGeom>
                    <a:noFill/>
                    <a:ln>
                      <a:noFill/>
                    </a:ln>
                  </pic:spPr>
                </pic:pic>
              </a:graphicData>
            </a:graphic>
          </wp:inline>
        </w:drawing>
      </w:r>
      <w:r>
        <w:rPr>
          <w:rFonts w:ascii="Arial" w:cs="Arial" w:eastAsia="Arial" w:hAnsi="Arial"/>
          <w:sz w:val="12"/>
          <w:szCs w:val="12"/>
          <w:color w:val="auto"/>
        </w:rPr>
        <w:t xml:space="preserve">  19</w:t>
      </w:r>
    </w:p>
    <w:p>
      <w:pPr>
        <w:spacing w:after="0" w:line="271" w:lineRule="exact"/>
        <w:rPr>
          <w:sz w:val="20"/>
          <w:szCs w:val="20"/>
          <w:color w:val="auto"/>
        </w:rPr>
      </w:pPr>
    </w:p>
    <w:p>
      <w:pPr>
        <w:jc w:val="both"/>
        <w:spacing w:after="0" w:line="252" w:lineRule="auto"/>
        <w:rPr>
          <w:sz w:val="20"/>
          <w:szCs w:val="20"/>
          <w:color w:val="auto"/>
        </w:rPr>
      </w:pPr>
      <w:r>
        <w:rPr>
          <w:rFonts w:ascii="Times New Roman" w:cs="Times New Roman" w:eastAsia="Times New Roman" w:hAnsi="Times New Roman"/>
          <w:sz w:val="23"/>
          <w:szCs w:val="23"/>
          <w:color w:val="auto"/>
        </w:rPr>
        <w:t>be lower under high color conditions. The Osceola County and Florida DEP concluded that C-DOC has the potential to alter relationships between watershed loadings and in-lake concentrations of chlorophyll a in Kissimmee Basin lakes.</w:t>
      </w:r>
    </w:p>
    <w:p>
      <w:pPr>
        <w:spacing w:after="0" w:line="17" w:lineRule="exact"/>
        <w:rPr>
          <w:sz w:val="20"/>
          <w:szCs w:val="20"/>
          <w:color w:val="auto"/>
        </w:rPr>
      </w:pPr>
    </w:p>
    <w:p>
      <w:pPr>
        <w:jc w:val="both"/>
        <w:ind w:firstLine="240"/>
        <w:spacing w:after="0" w:line="254" w:lineRule="auto"/>
        <w:rPr>
          <w:sz w:val="20"/>
          <w:szCs w:val="20"/>
          <w:color w:val="auto"/>
        </w:rPr>
      </w:pPr>
      <w:r>
        <w:rPr>
          <w:rFonts w:ascii="Times New Roman" w:cs="Times New Roman" w:eastAsia="Times New Roman" w:hAnsi="Times New Roman"/>
          <w:sz w:val="23"/>
          <w:szCs w:val="23"/>
          <w:color w:val="auto"/>
        </w:rPr>
        <w:t>Lakes Kissimmee and Marian showed high pol-len concentrations of Taxodium (cypress), Nyssa (water tupelo), Salix (willow), and Morella in bot-tommost core samples, which indicated clear asso-ciation of swamps with the lakes. Macrofossil evidence was scarce, except for floating-leaved nymphaeids that can grow in waters with high color or turbidity. There was little evidence for submerged aquatic-plant communities. Our conclu-sion is that during predisturbance times in Lakes Kissimmee and Marian, waters were high in C-DOC that probably moderated algal productivity.</w:t>
      </w:r>
    </w:p>
    <w:p>
      <w:pPr>
        <w:spacing w:after="0" w:line="19" w:lineRule="exact"/>
        <w:rPr>
          <w:sz w:val="20"/>
          <w:szCs w:val="20"/>
          <w:color w:val="auto"/>
        </w:rPr>
      </w:pPr>
    </w:p>
    <w:p>
      <w:pPr>
        <w:jc w:val="both"/>
        <w:ind w:firstLine="240"/>
        <w:spacing w:after="0" w:line="267" w:lineRule="auto"/>
        <w:rPr>
          <w:sz w:val="20"/>
          <w:szCs w:val="20"/>
          <w:color w:val="auto"/>
        </w:rPr>
      </w:pPr>
      <w:r>
        <w:rPr>
          <w:rFonts w:ascii="Times New Roman" w:cs="Times New Roman" w:eastAsia="Times New Roman" w:hAnsi="Times New Roman"/>
          <w:sz w:val="22"/>
          <w:szCs w:val="22"/>
          <w:color w:val="auto"/>
        </w:rPr>
        <w:t xml:space="preserve">In contrast, pollen in reference samples from Lakes East Tohopekaliga and Tohopekaliga showed relatively little evidence of swamp taxa, and macro-fossils showed substantial amounts of Chara and Ruppia that indicated clear waters (Dressler et al. </w:t>
      </w:r>
      <w:r>
        <w:rPr>
          <w:rFonts w:ascii="Times New Roman" w:cs="Times New Roman" w:eastAsia="Times New Roman" w:hAnsi="Times New Roman"/>
          <w:sz w:val="22"/>
          <w:szCs w:val="22"/>
          <w:color w:val="000080"/>
        </w:rPr>
        <w:t>1987</w:t>
      </w:r>
      <w:r>
        <w:rPr>
          <w:rFonts w:ascii="Times New Roman" w:cs="Times New Roman" w:eastAsia="Times New Roman" w:hAnsi="Times New Roman"/>
          <w:sz w:val="22"/>
          <w:szCs w:val="22"/>
          <w:color w:val="000000"/>
        </w:rPr>
        <w:t>, Bennion et al.</w:t>
      </w:r>
      <w:r>
        <w:rPr>
          <w:rFonts w:ascii="Times New Roman" w:cs="Times New Roman" w:eastAsia="Times New Roman" w:hAnsi="Times New Roman"/>
          <w:sz w:val="22"/>
          <w:szCs w:val="22"/>
          <w:color w:val="000080"/>
        </w:rPr>
        <w:t xml:space="preserve"> 2018</w:t>
      </w:r>
      <w:r>
        <w:rPr>
          <w:rFonts w:ascii="Times New Roman" w:cs="Times New Roman" w:eastAsia="Times New Roman" w:hAnsi="Times New Roman"/>
          <w:sz w:val="22"/>
          <w:szCs w:val="22"/>
          <w:color w:val="000000"/>
        </w:rPr>
        <w:t>). This also was the case</w:t>
      </w:r>
      <w:r>
        <w:rPr>
          <w:rFonts w:ascii="Times New Roman" w:cs="Times New Roman" w:eastAsia="Times New Roman" w:hAnsi="Times New Roman"/>
          <w:sz w:val="22"/>
          <w:szCs w:val="22"/>
          <w:color w:val="000080"/>
        </w:rPr>
        <w:t xml:space="preserve"> </w:t>
      </w:r>
      <w:r>
        <w:rPr>
          <w:rFonts w:ascii="Times New Roman" w:cs="Times New Roman" w:eastAsia="Times New Roman" w:hAnsi="Times New Roman"/>
          <w:sz w:val="22"/>
          <w:szCs w:val="22"/>
          <w:color w:val="000000"/>
        </w:rPr>
        <w:t>with Lakes Cypress and Jackson, but they lacked Ruppia in early deposits. Because historical drain-age reports indicated that some swamps were pre-sent near Cypress, East Tohopekaliga, and Tohopekaliga (Atlantic and Gulf Coast Canal and Okeechobee Land Company 1885), it might be appropriate to consider restoration efforts to sup-port associated wetlands near those lakes. We con-cluded from pollen evidence, however, that Lake Jackson had fairly clear waters and apparently lacked associated swamps that might have contrib-uted significant amounts of C-DOC.</w:t>
      </w:r>
    </w:p>
    <w:p>
      <w:pPr>
        <w:spacing w:after="0" w:line="1" w:lineRule="exact"/>
        <w:rPr>
          <w:sz w:val="20"/>
          <w:szCs w:val="20"/>
          <w:color w:val="auto"/>
        </w:rPr>
      </w:pPr>
    </w:p>
    <w:p>
      <w:pPr>
        <w:jc w:val="both"/>
        <w:ind w:firstLine="240"/>
        <w:spacing w:after="0" w:line="254" w:lineRule="auto"/>
        <w:rPr>
          <w:sz w:val="20"/>
          <w:szCs w:val="20"/>
          <w:color w:val="auto"/>
        </w:rPr>
      </w:pPr>
      <w:r>
        <w:rPr>
          <w:rFonts w:ascii="Times New Roman" w:cs="Times New Roman" w:eastAsia="Times New Roman" w:hAnsi="Times New Roman"/>
          <w:sz w:val="23"/>
          <w:szCs w:val="23"/>
          <w:color w:val="auto"/>
        </w:rPr>
        <w:t>Regarding the question of whether restoring more natural water levels and colored dissolved organic carbon concentrations might mitigate algal productivity and alter restoration strategies in lakes on the Kissimmee Chain, we recommend that this approach should first be implemented for Lakes Kissimmee and Marian, because paleo-limnological evidence showed greater original wetland presence for those lakes.</w:t>
      </w:r>
    </w:p>
    <w:p>
      <w:pPr>
        <w:spacing w:after="0" w:line="200" w:lineRule="exact"/>
        <w:rPr>
          <w:sz w:val="20"/>
          <w:szCs w:val="20"/>
          <w:color w:val="auto"/>
        </w:rPr>
      </w:pPr>
    </w:p>
    <w:p>
      <w:pPr>
        <w:spacing w:after="0" w:line="210" w:lineRule="exact"/>
        <w:rPr>
          <w:sz w:val="20"/>
          <w:szCs w:val="20"/>
          <w:color w:val="auto"/>
        </w:rPr>
      </w:pPr>
    </w:p>
    <w:p>
      <w:pPr>
        <w:spacing w:after="0"/>
        <w:rPr>
          <w:sz w:val="20"/>
          <w:szCs w:val="20"/>
          <w:color w:val="auto"/>
        </w:rPr>
      </w:pPr>
      <w:r>
        <w:rPr>
          <w:rFonts w:ascii="Arial" w:cs="Arial" w:eastAsia="Arial" w:hAnsi="Arial"/>
          <w:sz w:val="21"/>
          <w:szCs w:val="21"/>
          <w:color w:val="10157E"/>
        </w:rPr>
        <w:t>Historical changes in lake water levels</w:t>
      </w:r>
    </w:p>
    <w:p>
      <w:pPr>
        <w:spacing w:after="0" w:line="151" w:lineRule="exact"/>
        <w:rPr>
          <w:sz w:val="20"/>
          <w:szCs w:val="20"/>
          <w:color w:val="auto"/>
        </w:rPr>
      </w:pPr>
    </w:p>
    <w:p>
      <w:pPr>
        <w:jc w:val="both"/>
        <w:spacing w:after="0" w:line="246" w:lineRule="auto"/>
        <w:rPr>
          <w:sz w:val="20"/>
          <w:szCs w:val="20"/>
          <w:color w:val="auto"/>
        </w:rPr>
      </w:pPr>
      <w:r>
        <w:rPr>
          <w:rFonts w:ascii="Times New Roman" w:cs="Times New Roman" w:eastAsia="Times New Roman" w:hAnsi="Times New Roman"/>
          <w:sz w:val="23"/>
          <w:szCs w:val="23"/>
          <w:color w:val="auto"/>
        </w:rPr>
        <w:t>Modern water levels in lakes of the Kissimmee Chain are substantially lower than they were</w:t>
      </w:r>
    </w:p>
    <w:p>
      <w:pPr>
        <w:sectPr>
          <w:pgSz w:w="12240" w:h="15840" w:orient="portrait"/>
          <w:cols w:equalWidth="0" w:num="2">
            <w:col w:w="4740" w:space="360"/>
            <w:col w:w="4740"/>
          </w:cols>
          <w:pgMar w:left="1200" w:top="464" w:right="1200" w:bottom="539" w:gutter="0" w:footer="0" w:header="0"/>
        </w:sectPr>
      </w:pPr>
    </w:p>
    <w:bookmarkStart w:id="20" w:name="page21"/>
    <w:bookmarkEnd w:id="20"/>
    <w:p>
      <w:pPr>
        <w:spacing w:after="0"/>
        <w:rPr>
          <w:sz w:val="20"/>
          <w:szCs w:val="20"/>
          <w:color w:val="auto"/>
        </w:rPr>
      </w:pPr>
      <w:r>
        <w:rPr>
          <w:rFonts w:ascii="Arial" w:cs="Arial" w:eastAsia="Arial" w:hAnsi="Arial"/>
          <w:sz w:val="15"/>
          <w:szCs w:val="15"/>
          <w:color w:val="auto"/>
        </w:rPr>
        <w:t xml:space="preserve">20  </w:t>
      </w:r>
      <w:r>
        <w:rPr>
          <w:sz w:val="1"/>
          <w:szCs w:val="1"/>
          <w:color w:val="auto"/>
        </w:rPr>
        <w:drawing>
          <wp:inline distT="0" distB="0" distL="0" distR="0">
            <wp:extent cx="165100" cy="1651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6">
                      <a:extLst>
                        <a:ext uri="{28A0092B-C50C-407E-A947-70E740481C1C}"/>
                      </a:extLst>
                    </a:blip>
                    <a:srcRect/>
                    <a:stretch>
                      <a:fillRect/>
                    </a:stretch>
                  </pic:blipFill>
                  <pic:spPr bwMode="auto">
                    <a:xfrm>
                      <a:off x="0" y="0"/>
                      <a:ext cx="165100" cy="165100"/>
                    </a:xfrm>
                    <a:prstGeom prst="rect">
                      <a:avLst/>
                    </a:prstGeom>
                    <a:noFill/>
                    <a:ln>
                      <a:noFill/>
                    </a:ln>
                  </pic:spPr>
                </pic:pic>
              </a:graphicData>
            </a:graphic>
          </wp:inline>
        </w:drawing>
      </w:r>
      <w:r>
        <w:rPr>
          <w:rFonts w:ascii="Arial" w:cs="Arial" w:eastAsia="Arial" w:hAnsi="Arial"/>
          <w:sz w:val="15"/>
          <w:szCs w:val="15"/>
          <w:color w:val="auto"/>
        </w:rPr>
        <w:t xml:space="preserve">  T. J. WHITMORE ET AL.</w:t>
      </w:r>
    </w:p>
    <w:p>
      <w:pPr>
        <w:spacing w:after="0" w:line="271" w:lineRule="exact"/>
        <w:rPr>
          <w:sz w:val="20"/>
          <w:szCs w:val="20"/>
          <w:color w:val="auto"/>
        </w:rPr>
      </w:pPr>
    </w:p>
    <w:p>
      <w:pPr>
        <w:jc w:val="both"/>
        <w:spacing w:after="0" w:line="253" w:lineRule="auto"/>
        <w:rPr>
          <w:sz w:val="20"/>
          <w:szCs w:val="20"/>
          <w:color w:val="auto"/>
        </w:rPr>
      </w:pPr>
      <w:r>
        <w:rPr>
          <w:rFonts w:ascii="Times New Roman" w:cs="Times New Roman" w:eastAsia="Times New Roman" w:hAnsi="Times New Roman"/>
          <w:sz w:val="23"/>
          <w:szCs w:val="23"/>
          <w:color w:val="auto"/>
        </w:rPr>
        <w:t xml:space="preserve">prior to engineered drainage activities that began in the 1880s. Decreases in water levels during the 19th and 20th centuries contributed to management challenges, such as a greater potential for internal nutrient loading from sediment resuspension over a larger portion of the lake areas (e.g., Nagid et al. </w:t>
      </w:r>
      <w:r>
        <w:rPr>
          <w:rFonts w:ascii="Times New Roman" w:cs="Times New Roman" w:eastAsia="Times New Roman" w:hAnsi="Times New Roman"/>
          <w:sz w:val="23"/>
          <w:szCs w:val="23"/>
          <w:color w:val="000080"/>
        </w:rPr>
        <w:t>2001</w:t>
      </w:r>
      <w:r>
        <w:rPr>
          <w:rFonts w:ascii="Times New Roman" w:cs="Times New Roman" w:eastAsia="Times New Roman" w:hAnsi="Times New Roman"/>
          <w:sz w:val="23"/>
          <w:szCs w:val="23"/>
          <w:color w:val="000000"/>
        </w:rPr>
        <w:t>), a reduced volume of water that would make</w:t>
      </w:r>
      <w:r>
        <w:rPr>
          <w:rFonts w:ascii="Times New Roman" w:cs="Times New Roman" w:eastAsia="Times New Roman" w:hAnsi="Times New Roman"/>
          <w:sz w:val="23"/>
          <w:szCs w:val="23"/>
          <w:color w:val="000080"/>
        </w:rPr>
        <w:t xml:space="preserve"> </w:t>
      </w:r>
      <w:r>
        <w:rPr>
          <w:rFonts w:ascii="Times New Roman" w:cs="Times New Roman" w:eastAsia="Times New Roman" w:hAnsi="Times New Roman"/>
          <w:sz w:val="23"/>
          <w:szCs w:val="23"/>
          <w:color w:val="000000"/>
        </w:rPr>
        <w:t>the lakes more susceptible to eutrophication for a given increase in nutrient loading, and a potential loss of allochthonous C-DOC from associated wet-lands that might have helped to moderate algal production by light limitation.</w:t>
      </w:r>
    </w:p>
    <w:p>
      <w:pPr>
        <w:spacing w:after="0" w:line="17" w:lineRule="exact"/>
        <w:rPr>
          <w:sz w:val="20"/>
          <w:szCs w:val="20"/>
          <w:color w:val="auto"/>
        </w:rPr>
      </w:pPr>
    </w:p>
    <w:p>
      <w:pPr>
        <w:jc w:val="both"/>
        <w:ind w:firstLine="240"/>
        <w:spacing w:after="0" w:line="265" w:lineRule="auto"/>
        <w:rPr>
          <w:sz w:val="20"/>
          <w:szCs w:val="20"/>
          <w:color w:val="auto"/>
        </w:rPr>
      </w:pPr>
      <w:r>
        <w:rPr>
          <w:rFonts w:ascii="Times New Roman" w:cs="Times New Roman" w:eastAsia="Times New Roman" w:hAnsi="Times New Roman"/>
          <w:sz w:val="22"/>
          <w:szCs w:val="22"/>
          <w:color w:val="auto"/>
        </w:rPr>
        <w:t xml:space="preserve">A potentially greater disturbance resulted from reducing the large natural variations in water lev-els that prevailed prior to engineered changes. It was speculated that water levels in Kissimmee Chain lakes fluctuated during predisturbance times up to 3 m (US Army Corps of Engineers </w:t>
      </w:r>
      <w:r>
        <w:rPr>
          <w:rFonts w:ascii="Times New Roman" w:cs="Times New Roman" w:eastAsia="Times New Roman" w:hAnsi="Times New Roman"/>
          <w:sz w:val="22"/>
          <w:szCs w:val="22"/>
          <w:color w:val="000080"/>
        </w:rPr>
        <w:t>1996</w:t>
      </w:r>
      <w:r>
        <w:rPr>
          <w:rFonts w:ascii="Times New Roman" w:cs="Times New Roman" w:eastAsia="Times New Roman" w:hAnsi="Times New Roman"/>
          <w:sz w:val="22"/>
          <w:szCs w:val="22"/>
          <w:color w:val="000000"/>
        </w:rPr>
        <w:t>), and that was confirmed by the present</w:t>
      </w:r>
      <w:r>
        <w:rPr>
          <w:rFonts w:ascii="Times New Roman" w:cs="Times New Roman" w:eastAsia="Times New Roman" w:hAnsi="Times New Roman"/>
          <w:sz w:val="22"/>
          <w:szCs w:val="22"/>
          <w:color w:val="000080"/>
        </w:rPr>
        <w:t xml:space="preserve"> </w:t>
      </w:r>
      <w:r>
        <w:rPr>
          <w:rFonts w:ascii="Times New Roman" w:cs="Times New Roman" w:eastAsia="Times New Roman" w:hAnsi="Times New Roman"/>
          <w:sz w:val="22"/>
          <w:szCs w:val="22"/>
          <w:color w:val="000000"/>
        </w:rPr>
        <w:t xml:space="preserve">study. Salinity preferences of diatoms, macrofos-sils, and ostracods showed that these fluctuations greatly exceeded seasonal water-level variations, and that they occasionally led to total drying in portions of the lakes. Large water-level fluctua-tions would have increased habitat diversity and helped to maintain the integrity of the lake eco-systems, and natural fires during low water levels would have burned organic matter in exposed lit-toral areas (US Army Corps of Engineers </w:t>
      </w:r>
      <w:r>
        <w:rPr>
          <w:rFonts w:ascii="Times New Roman" w:cs="Times New Roman" w:eastAsia="Times New Roman" w:hAnsi="Times New Roman"/>
          <w:sz w:val="22"/>
          <w:szCs w:val="22"/>
          <w:color w:val="000080"/>
        </w:rPr>
        <w:t>1996</w:t>
      </w:r>
      <w:r>
        <w:rPr>
          <w:rFonts w:ascii="Times New Roman" w:cs="Times New Roman" w:eastAsia="Times New Roman" w:hAnsi="Times New Roman"/>
          <w:sz w:val="22"/>
          <w:szCs w:val="22"/>
          <w:color w:val="000000"/>
        </w:rPr>
        <w:t>). Early natural fires were evident from charcoal that appeared periodically in diatom samples of the pre-sent study, although charcoal was not analyzed in detail. Multiple indicators in all sediment cores showed that Lakes Cypress, East Tohopekaliga, Jackson, and Tohopekaliga changed significantly after the 1880s because they failed to undergo very low water-level events that concentrated solutes on a periodic basis. Modern water levels are held rela-tively constant (within 0.6</w:t>
      </w:r>
      <w:r>
        <w:rPr>
          <w:rFonts w:ascii="Arial" w:cs="Arial" w:eastAsia="Arial" w:hAnsi="Arial"/>
          <w:sz w:val="22"/>
          <w:szCs w:val="22"/>
          <w:color w:val="000000"/>
        </w:rPr>
        <w:t>–</w:t>
      </w:r>
      <w:r>
        <w:rPr>
          <w:rFonts w:ascii="Times New Roman" w:cs="Times New Roman" w:eastAsia="Times New Roman" w:hAnsi="Times New Roman"/>
          <w:sz w:val="22"/>
          <w:szCs w:val="22"/>
          <w:color w:val="000000"/>
        </w:rPr>
        <w:t xml:space="preserve">0.9 m) by the South Florida Water Management District (Osceola County Community Development Department </w:t>
      </w:r>
      <w:r>
        <w:rPr>
          <w:rFonts w:ascii="Times New Roman" w:cs="Times New Roman" w:eastAsia="Times New Roman" w:hAnsi="Times New Roman"/>
          <w:sz w:val="22"/>
          <w:szCs w:val="22"/>
          <w:color w:val="000080"/>
        </w:rPr>
        <w:t>2015</w:t>
      </w:r>
      <w:r>
        <w:rPr>
          <w:rFonts w:ascii="Times New Roman" w:cs="Times New Roman" w:eastAsia="Times New Roman" w:hAnsi="Times New Roman"/>
          <w:sz w:val="22"/>
          <w:szCs w:val="22"/>
          <w:color w:val="000000"/>
        </w:rPr>
        <w:t>). This has promoted organic matter accumu-lation, and favored proliferation of certain nuisance plants such as Hydrilla over native plants that depend on seasonal water-level variations for propagation. Results of the present study show that the cessation of natural water-level fluctuations had greater impact on lake processes, water quality, and community compositions than generally has</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343" w:lineRule="exact"/>
        <w:rPr>
          <w:sz w:val="20"/>
          <w:szCs w:val="20"/>
          <w:color w:val="auto"/>
        </w:rPr>
      </w:pPr>
    </w:p>
    <w:p>
      <w:pPr>
        <w:jc w:val="both"/>
        <w:spacing w:after="0" w:line="251" w:lineRule="auto"/>
        <w:rPr>
          <w:sz w:val="20"/>
          <w:szCs w:val="20"/>
          <w:color w:val="auto"/>
        </w:rPr>
      </w:pPr>
      <w:r>
        <w:rPr>
          <w:rFonts w:ascii="Times New Roman" w:cs="Times New Roman" w:eastAsia="Times New Roman" w:hAnsi="Times New Roman"/>
          <w:sz w:val="23"/>
          <w:szCs w:val="23"/>
          <w:color w:val="auto"/>
        </w:rPr>
        <w:t xml:space="preserve">been recognized. Changes in water-level fluctua-tions were shown to affect the structure and func-tion of shallow lakes in other paleolimnological studies as well (e.g., Levi et al. </w:t>
      </w:r>
      <w:r>
        <w:rPr>
          <w:rFonts w:ascii="Times New Roman" w:cs="Times New Roman" w:eastAsia="Times New Roman" w:hAnsi="Times New Roman"/>
          <w:sz w:val="23"/>
          <w:szCs w:val="23"/>
          <w:color w:val="000080"/>
        </w:rPr>
        <w:t>2016</w:t>
      </w:r>
      <w:r>
        <w:rPr>
          <w:rFonts w:ascii="Times New Roman" w:cs="Times New Roman" w:eastAsia="Times New Roman" w:hAnsi="Times New Roman"/>
          <w:sz w:val="23"/>
          <w:szCs w:val="23"/>
          <w:color w:val="auto"/>
        </w:rPr>
        <w:t>).</w:t>
      </w:r>
    </w:p>
    <w:p>
      <w:pPr>
        <w:spacing w:after="0" w:line="15" w:lineRule="exact"/>
        <w:rPr>
          <w:sz w:val="20"/>
          <w:szCs w:val="20"/>
          <w:color w:val="auto"/>
        </w:rPr>
      </w:pPr>
    </w:p>
    <w:p>
      <w:pPr>
        <w:jc w:val="both"/>
        <w:ind w:firstLine="240"/>
        <w:spacing w:after="0" w:line="253" w:lineRule="auto"/>
        <w:rPr>
          <w:sz w:val="20"/>
          <w:szCs w:val="20"/>
          <w:color w:val="auto"/>
        </w:rPr>
      </w:pPr>
      <w:r>
        <w:rPr>
          <w:rFonts w:ascii="Times New Roman" w:cs="Times New Roman" w:eastAsia="Times New Roman" w:hAnsi="Times New Roman"/>
          <w:sz w:val="23"/>
          <w:szCs w:val="23"/>
          <w:color w:val="auto"/>
        </w:rPr>
        <w:t>The most prominent diatom indicator of high solute conditions during extreme low water-level events in Lakes Cypress, East Tohopekaliga, Jackson, and Tohopekaliga was Campylodiscus clypeus. Poulickova and Jahn (</w:t>
      </w:r>
      <w:r>
        <w:rPr>
          <w:rFonts w:ascii="Times New Roman" w:cs="Times New Roman" w:eastAsia="Times New Roman" w:hAnsi="Times New Roman"/>
          <w:sz w:val="23"/>
          <w:szCs w:val="23"/>
          <w:color w:val="000080"/>
        </w:rPr>
        <w:t>2007</w:t>
      </w:r>
      <w:r>
        <w:rPr>
          <w:rFonts w:ascii="Times New Roman" w:cs="Times New Roman" w:eastAsia="Times New Roman" w:hAnsi="Times New Roman"/>
          <w:sz w:val="23"/>
          <w:szCs w:val="23"/>
          <w:color w:val="auto"/>
        </w:rPr>
        <w:t>) described this species as widespread mostly in hypersaline waters, but at specific conductance values begin-ning as low as 2000</w:t>
      </w:r>
      <w:r>
        <w:rPr>
          <w:rFonts w:ascii="Arial" w:cs="Arial" w:eastAsia="Arial" w:hAnsi="Arial"/>
          <w:sz w:val="23"/>
          <w:szCs w:val="23"/>
          <w:color w:val="auto"/>
        </w:rPr>
        <w:t>–</w:t>
      </w:r>
      <w:r>
        <w:rPr>
          <w:rFonts w:ascii="Times New Roman" w:cs="Times New Roman" w:eastAsia="Times New Roman" w:hAnsi="Times New Roman"/>
          <w:sz w:val="23"/>
          <w:szCs w:val="23"/>
          <w:color w:val="auto"/>
        </w:rPr>
        <w:t>3000 lS/cm, and where dominant anions tend to be carbonate or sulfate rather than chloride. Carvalho et al. (</w:t>
      </w:r>
      <w:r>
        <w:rPr>
          <w:rFonts w:ascii="Times New Roman" w:cs="Times New Roman" w:eastAsia="Times New Roman" w:hAnsi="Times New Roman"/>
          <w:sz w:val="23"/>
          <w:szCs w:val="23"/>
          <w:color w:val="000080"/>
        </w:rPr>
        <w:t>1995</w:t>
      </w:r>
      <w:r>
        <w:rPr>
          <w:rFonts w:ascii="Times New Roman" w:cs="Times New Roman" w:eastAsia="Times New Roman" w:hAnsi="Times New Roman"/>
          <w:sz w:val="23"/>
          <w:szCs w:val="23"/>
          <w:color w:val="auto"/>
        </w:rPr>
        <w:t>) reported that Campylodiscus clypeus occurred most often in hypersaline sites with Anomoeoneis sphaerophora var. costata. In the present study we observed Anomoeoneis sphaerophora var. cos-tata, as well as two of its salt-tolerant varieties.</w:t>
      </w:r>
    </w:p>
    <w:p>
      <w:pPr>
        <w:spacing w:after="0" w:line="21" w:lineRule="exact"/>
        <w:rPr>
          <w:sz w:val="20"/>
          <w:szCs w:val="20"/>
          <w:color w:val="auto"/>
        </w:rPr>
      </w:pPr>
    </w:p>
    <w:p>
      <w:pPr>
        <w:jc w:val="both"/>
        <w:ind w:firstLine="240"/>
        <w:spacing w:after="0" w:line="253" w:lineRule="auto"/>
        <w:rPr>
          <w:sz w:val="20"/>
          <w:szCs w:val="20"/>
          <w:color w:val="auto"/>
        </w:rPr>
      </w:pPr>
      <w:r>
        <w:rPr>
          <w:rFonts w:ascii="Times New Roman" w:cs="Times New Roman" w:eastAsia="Times New Roman" w:hAnsi="Times New Roman"/>
          <w:sz w:val="23"/>
          <w:szCs w:val="23"/>
          <w:color w:val="auto"/>
        </w:rPr>
        <w:t xml:space="preserve">Ruppia maritima seeds were abundant in cores from Lakes Tohopekaliga and East Tohopekaliga prior to 1880. Although Ruppia is often described as an estuarine plant in areas of lower salinity, it is actually a freshwater plant that has pronounced salinity tolerance, and it occurs in clear waters </w:t>
      </w:r>
      <w:r>
        <w:rPr>
          <w:rFonts w:ascii="Arial" w:cs="Arial" w:eastAsia="Arial" w:hAnsi="Arial"/>
          <w:sz w:val="23"/>
          <w:szCs w:val="23"/>
          <w:color w:val="auto"/>
        </w:rPr>
        <w:t>&lt;</w:t>
      </w:r>
      <w:r>
        <w:rPr>
          <w:rFonts w:ascii="Times New Roman" w:cs="Times New Roman" w:eastAsia="Times New Roman" w:hAnsi="Times New Roman"/>
          <w:sz w:val="23"/>
          <w:szCs w:val="23"/>
          <w:color w:val="auto"/>
        </w:rPr>
        <w:t>2.0 m deep (Zieman</w:t>
      </w:r>
      <w:r>
        <w:rPr>
          <w:rFonts w:ascii="Arial" w:cs="Arial" w:eastAsia="Arial" w:hAnsi="Arial"/>
          <w:sz w:val="23"/>
          <w:szCs w:val="23"/>
          <w:color w:val="auto"/>
        </w:rPr>
        <w:t xml:space="preserve"> </w:t>
      </w:r>
      <w:r>
        <w:rPr>
          <w:rFonts w:ascii="Times New Roman" w:cs="Times New Roman" w:eastAsia="Times New Roman" w:hAnsi="Times New Roman"/>
          <w:sz w:val="23"/>
          <w:szCs w:val="23"/>
          <w:color w:val="000080"/>
        </w:rPr>
        <w:t>1982</w:t>
      </w:r>
      <w:r>
        <w:rPr>
          <w:rFonts w:ascii="Times New Roman" w:cs="Times New Roman" w:eastAsia="Times New Roman" w:hAnsi="Times New Roman"/>
          <w:sz w:val="23"/>
          <w:szCs w:val="23"/>
          <w:color w:val="auto"/>
        </w:rPr>
        <w:t>, Kantrud</w:t>
      </w:r>
      <w:r>
        <w:rPr>
          <w:rFonts w:ascii="Arial" w:cs="Arial" w:eastAsia="Arial" w:hAnsi="Arial"/>
          <w:sz w:val="23"/>
          <w:szCs w:val="23"/>
          <w:color w:val="auto"/>
        </w:rPr>
        <w:t xml:space="preserve"> </w:t>
      </w:r>
      <w:r>
        <w:rPr>
          <w:rFonts w:ascii="Times New Roman" w:cs="Times New Roman" w:eastAsia="Times New Roman" w:hAnsi="Times New Roman"/>
          <w:sz w:val="23"/>
          <w:szCs w:val="23"/>
          <w:color w:val="000080"/>
        </w:rPr>
        <w:t>1991</w:t>
      </w:r>
      <w:r>
        <w:rPr>
          <w:rFonts w:ascii="Times New Roman" w:cs="Times New Roman" w:eastAsia="Times New Roman" w:hAnsi="Times New Roman"/>
          <w:sz w:val="23"/>
          <w:szCs w:val="23"/>
          <w:color w:val="auto"/>
        </w:rPr>
        <w:t>). We</w:t>
      </w:r>
      <w:r>
        <w:rPr>
          <w:rFonts w:ascii="Arial" w:cs="Arial" w:eastAsia="Arial" w:hAnsi="Arial"/>
          <w:sz w:val="23"/>
          <w:szCs w:val="23"/>
          <w:color w:val="auto"/>
        </w:rPr>
        <w:t xml:space="preserve"> </w:t>
      </w:r>
      <w:r>
        <w:rPr>
          <w:rFonts w:ascii="Times New Roman" w:cs="Times New Roman" w:eastAsia="Times New Roman" w:hAnsi="Times New Roman"/>
          <w:sz w:val="23"/>
          <w:szCs w:val="23"/>
          <w:color w:val="auto"/>
        </w:rPr>
        <w:t xml:space="preserve">have collected Ruppia, for example, in the littoral zone of a freshwater Florida lake that has a spe-cific conductance of about 1500 lS/cm. Ruppia seeds are ingested by waterfowl and can be trans-ported 280 km (Charalambidou et al. </w:t>
      </w:r>
      <w:r>
        <w:rPr>
          <w:rFonts w:ascii="Times New Roman" w:cs="Times New Roman" w:eastAsia="Times New Roman" w:hAnsi="Times New Roman"/>
          <w:sz w:val="23"/>
          <w:szCs w:val="23"/>
          <w:color w:val="000080"/>
        </w:rPr>
        <w:t>2003</w:t>
      </w:r>
      <w:r>
        <w:rPr>
          <w:rFonts w:ascii="Times New Roman" w:cs="Times New Roman" w:eastAsia="Times New Roman" w:hAnsi="Times New Roman"/>
          <w:sz w:val="23"/>
          <w:szCs w:val="23"/>
          <w:color w:val="auto"/>
        </w:rPr>
        <w:t>), so it could have been distributed from coastal areas to these lakes during low water-level stands. Its presence in the sediment record of inland lakes provides clear indication of former elevated con-centrations of dissolved solutes.</w:t>
      </w:r>
    </w:p>
    <w:p>
      <w:pPr>
        <w:spacing w:after="0" w:line="24" w:lineRule="exact"/>
        <w:rPr>
          <w:sz w:val="20"/>
          <w:szCs w:val="20"/>
          <w:color w:val="auto"/>
        </w:rPr>
      </w:pPr>
    </w:p>
    <w:p>
      <w:pPr>
        <w:jc w:val="both"/>
        <w:ind w:firstLine="240"/>
        <w:spacing w:after="0" w:line="253" w:lineRule="auto"/>
        <w:rPr>
          <w:sz w:val="20"/>
          <w:szCs w:val="20"/>
          <w:color w:val="auto"/>
        </w:rPr>
      </w:pPr>
      <w:r>
        <w:rPr>
          <w:rFonts w:ascii="Times New Roman" w:cs="Times New Roman" w:eastAsia="Times New Roman" w:hAnsi="Times New Roman"/>
          <w:sz w:val="23"/>
          <w:szCs w:val="23"/>
          <w:color w:val="auto"/>
        </w:rPr>
        <w:t xml:space="preserve">Ostracods provided additional evidence of ele-vated dissolved solute concentrations at the base of several Lake Tohopekaliga cores. Darwinula stevensoni, Limnocythere inopinata, and Cypridopsis vidua occur in fresh to oligohaline waters (Keyser </w:t>
      </w:r>
      <w:r>
        <w:rPr>
          <w:rFonts w:ascii="Times New Roman" w:cs="Times New Roman" w:eastAsia="Times New Roman" w:hAnsi="Times New Roman"/>
          <w:sz w:val="23"/>
          <w:szCs w:val="23"/>
          <w:color w:val="000080"/>
        </w:rPr>
        <w:t>1977</w:t>
      </w:r>
      <w:r>
        <w:rPr>
          <w:rFonts w:ascii="Times New Roman" w:cs="Times New Roman" w:eastAsia="Times New Roman" w:hAnsi="Times New Roman"/>
          <w:sz w:val="23"/>
          <w:szCs w:val="23"/>
          <w:color w:val="auto"/>
        </w:rPr>
        <w:t xml:space="preserve">, Holmes </w:t>
      </w:r>
      <w:r>
        <w:rPr>
          <w:rFonts w:ascii="Times New Roman" w:cs="Times New Roman" w:eastAsia="Times New Roman" w:hAnsi="Times New Roman"/>
          <w:sz w:val="23"/>
          <w:szCs w:val="23"/>
          <w:color w:val="000080"/>
        </w:rPr>
        <w:t>1992</w:t>
      </w:r>
      <w:r>
        <w:rPr>
          <w:rFonts w:ascii="Times New Roman" w:cs="Times New Roman" w:eastAsia="Times New Roman" w:hAnsi="Times New Roman"/>
          <w:sz w:val="23"/>
          <w:szCs w:val="23"/>
          <w:color w:val="auto"/>
        </w:rPr>
        <w:t xml:space="preserve">, Ruiz et al. </w:t>
      </w:r>
      <w:r>
        <w:rPr>
          <w:rFonts w:ascii="Times New Roman" w:cs="Times New Roman" w:eastAsia="Times New Roman" w:hAnsi="Times New Roman"/>
          <w:sz w:val="23"/>
          <w:szCs w:val="23"/>
          <w:color w:val="000080"/>
        </w:rPr>
        <w:t>2013</w:t>
      </w:r>
      <w:r>
        <w:rPr>
          <w:rFonts w:ascii="Times New Roman" w:cs="Times New Roman" w:eastAsia="Times New Roman" w:hAnsi="Times New Roman"/>
          <w:sz w:val="23"/>
          <w:szCs w:val="23"/>
          <w:color w:val="000000"/>
        </w:rPr>
        <w:t>).</w:t>
      </w:r>
      <w:r>
        <w:rPr>
          <w:rFonts w:ascii="Times New Roman" w:cs="Times New Roman" w:eastAsia="Times New Roman" w:hAnsi="Times New Roman"/>
          <w:sz w:val="23"/>
          <w:szCs w:val="23"/>
          <w:color w:val="000080"/>
        </w:rPr>
        <w:t xml:space="preserve"> </w:t>
      </w:r>
      <w:r>
        <w:rPr>
          <w:rFonts w:ascii="Times New Roman" w:cs="Times New Roman" w:eastAsia="Times New Roman" w:hAnsi="Times New Roman"/>
          <w:sz w:val="23"/>
          <w:szCs w:val="23"/>
          <w:color w:val="000000"/>
        </w:rPr>
        <w:t>Cypridopsis okeechobei</w:t>
      </w:r>
      <w:r>
        <w:rPr>
          <w:rFonts w:ascii="Times New Roman" w:cs="Times New Roman" w:eastAsia="Times New Roman" w:hAnsi="Times New Roman"/>
          <w:sz w:val="23"/>
          <w:szCs w:val="23"/>
          <w:color w:val="000080"/>
        </w:rPr>
        <w:t xml:space="preserve"> </w:t>
      </w:r>
      <w:r>
        <w:rPr>
          <w:rFonts w:ascii="Times New Roman" w:cs="Times New Roman" w:eastAsia="Times New Roman" w:hAnsi="Times New Roman"/>
          <w:sz w:val="23"/>
          <w:szCs w:val="23"/>
          <w:color w:val="000000"/>
        </w:rPr>
        <w:t>has an optimum</w:t>
      </w:r>
      <w:r>
        <w:rPr>
          <w:rFonts w:ascii="Times New Roman" w:cs="Times New Roman" w:eastAsia="Times New Roman" w:hAnsi="Times New Roman"/>
          <w:sz w:val="23"/>
          <w:szCs w:val="23"/>
          <w:color w:val="000080"/>
        </w:rPr>
        <w:t xml:space="preserve"> </w:t>
      </w:r>
      <w:r>
        <w:rPr>
          <w:rFonts w:ascii="Times New Roman" w:cs="Times New Roman" w:eastAsia="Times New Roman" w:hAnsi="Times New Roman"/>
          <w:sz w:val="23"/>
          <w:szCs w:val="23"/>
          <w:color w:val="000000"/>
        </w:rPr>
        <w:t>range of 0.3</w:t>
      </w:r>
      <w:r>
        <w:rPr>
          <w:rFonts w:ascii="Arial" w:cs="Arial" w:eastAsia="Arial" w:hAnsi="Arial"/>
          <w:sz w:val="23"/>
          <w:szCs w:val="23"/>
          <w:color w:val="000000"/>
        </w:rPr>
        <w:t>–</w:t>
      </w:r>
      <w:r>
        <w:rPr>
          <w:rFonts w:ascii="Times New Roman" w:cs="Times New Roman" w:eastAsia="Times New Roman" w:hAnsi="Times New Roman"/>
          <w:sz w:val="23"/>
          <w:szCs w:val="23"/>
          <w:color w:val="000000"/>
        </w:rPr>
        <w:t xml:space="preserve">0.5 ppt salinity (Keyser </w:t>
      </w:r>
      <w:r>
        <w:rPr>
          <w:rFonts w:ascii="Times New Roman" w:cs="Times New Roman" w:eastAsia="Times New Roman" w:hAnsi="Times New Roman"/>
          <w:sz w:val="23"/>
          <w:szCs w:val="23"/>
          <w:color w:val="000080"/>
        </w:rPr>
        <w:t>1977</w:t>
      </w:r>
      <w:r>
        <w:rPr>
          <w:rFonts w:ascii="Times New Roman" w:cs="Times New Roman" w:eastAsia="Times New Roman" w:hAnsi="Times New Roman"/>
          <w:sz w:val="23"/>
          <w:szCs w:val="23"/>
          <w:color w:val="000000"/>
        </w:rPr>
        <w:t xml:space="preserve">, Holmes </w:t>
      </w:r>
      <w:r>
        <w:rPr>
          <w:rFonts w:ascii="Times New Roman" w:cs="Times New Roman" w:eastAsia="Times New Roman" w:hAnsi="Times New Roman"/>
          <w:sz w:val="23"/>
          <w:szCs w:val="23"/>
          <w:color w:val="000080"/>
        </w:rPr>
        <w:t>1992</w:t>
      </w:r>
      <w:r>
        <w:rPr>
          <w:rFonts w:ascii="Times New Roman" w:cs="Times New Roman" w:eastAsia="Times New Roman" w:hAnsi="Times New Roman"/>
          <w:sz w:val="23"/>
          <w:szCs w:val="23"/>
          <w:color w:val="000000"/>
        </w:rPr>
        <w:t>). Cypretta brevisaepta is an oligoha-line indicator that occurs below 0.5 ppt, but it has an optimum range of 0.5</w:t>
      </w:r>
      <w:r>
        <w:rPr>
          <w:rFonts w:ascii="Arial" w:cs="Arial" w:eastAsia="Arial" w:hAnsi="Arial"/>
          <w:sz w:val="23"/>
          <w:szCs w:val="23"/>
          <w:color w:val="000000"/>
        </w:rPr>
        <w:t>–</w:t>
      </w:r>
      <w:r>
        <w:rPr>
          <w:rFonts w:ascii="Times New Roman" w:cs="Times New Roman" w:eastAsia="Times New Roman" w:hAnsi="Times New Roman"/>
          <w:sz w:val="23"/>
          <w:szCs w:val="23"/>
          <w:color w:val="000000"/>
        </w:rPr>
        <w:t xml:space="preserve">1 ppt (Keyser </w:t>
      </w:r>
      <w:r>
        <w:rPr>
          <w:rFonts w:ascii="Times New Roman" w:cs="Times New Roman" w:eastAsia="Times New Roman" w:hAnsi="Times New Roman"/>
          <w:sz w:val="23"/>
          <w:szCs w:val="23"/>
          <w:color w:val="000080"/>
        </w:rPr>
        <w:t>1977</w:t>
      </w:r>
      <w:r>
        <w:rPr>
          <w:rFonts w:ascii="Times New Roman" w:cs="Times New Roman" w:eastAsia="Times New Roman" w:hAnsi="Times New Roman"/>
          <w:sz w:val="23"/>
          <w:szCs w:val="23"/>
          <w:color w:val="000000"/>
        </w:rPr>
        <w:t>).</w:t>
      </w:r>
      <w:r>
        <w:rPr>
          <w:rFonts w:ascii="Times New Roman" w:cs="Times New Roman" w:eastAsia="Times New Roman" w:hAnsi="Times New Roman"/>
          <w:sz w:val="23"/>
          <w:szCs w:val="23"/>
          <w:color w:val="000080"/>
        </w:rPr>
        <w:t xml:space="preserve"> </w:t>
      </w:r>
      <w:r>
        <w:rPr>
          <w:rFonts w:ascii="Times New Roman" w:cs="Times New Roman" w:eastAsia="Times New Roman" w:hAnsi="Times New Roman"/>
          <w:sz w:val="23"/>
          <w:szCs w:val="23"/>
          <w:color w:val="000000"/>
        </w:rPr>
        <w:t>Limnocythere inopinata</w:t>
      </w:r>
      <w:r>
        <w:rPr>
          <w:rFonts w:ascii="Times New Roman" w:cs="Times New Roman" w:eastAsia="Times New Roman" w:hAnsi="Times New Roman"/>
          <w:sz w:val="23"/>
          <w:szCs w:val="23"/>
          <w:color w:val="000080"/>
        </w:rPr>
        <w:t xml:space="preserve"> </w:t>
      </w:r>
      <w:r>
        <w:rPr>
          <w:rFonts w:ascii="Times New Roman" w:cs="Times New Roman" w:eastAsia="Times New Roman" w:hAnsi="Times New Roman"/>
          <w:sz w:val="23"/>
          <w:szCs w:val="23"/>
          <w:color w:val="000000"/>
        </w:rPr>
        <w:t>and</w:t>
      </w:r>
      <w:r>
        <w:rPr>
          <w:rFonts w:ascii="Times New Roman" w:cs="Times New Roman" w:eastAsia="Times New Roman" w:hAnsi="Times New Roman"/>
          <w:sz w:val="23"/>
          <w:szCs w:val="23"/>
          <w:color w:val="000080"/>
        </w:rPr>
        <w:t xml:space="preserve"> </w:t>
      </w:r>
      <w:r>
        <w:rPr>
          <w:rFonts w:ascii="Times New Roman" w:cs="Times New Roman" w:eastAsia="Times New Roman" w:hAnsi="Times New Roman"/>
          <w:sz w:val="23"/>
          <w:szCs w:val="23"/>
          <w:color w:val="000000"/>
        </w:rPr>
        <w:t>Cypridopsis</w:t>
      </w:r>
      <w:r>
        <w:rPr>
          <w:rFonts w:ascii="Times New Roman" w:cs="Times New Roman" w:eastAsia="Times New Roman" w:hAnsi="Times New Roman"/>
          <w:sz w:val="23"/>
          <w:szCs w:val="23"/>
          <w:color w:val="000080"/>
        </w:rPr>
        <w:t xml:space="preserve"> </w:t>
      </w:r>
      <w:r>
        <w:rPr>
          <w:rFonts w:ascii="Times New Roman" w:cs="Times New Roman" w:eastAsia="Times New Roman" w:hAnsi="Times New Roman"/>
          <w:sz w:val="23"/>
          <w:szCs w:val="23"/>
          <w:color w:val="000000"/>
        </w:rPr>
        <w:t>vidua prefer organic substrates with vegetative</w:t>
      </w:r>
    </w:p>
    <w:p>
      <w:pPr>
        <w:sectPr>
          <w:pgSz w:w="12240" w:h="15840" w:orient="portrait"/>
          <w:cols w:equalWidth="0" w:num="2">
            <w:col w:w="4740" w:space="360"/>
            <w:col w:w="4740"/>
          </w:cols>
          <w:pgMar w:left="1200" w:top="458" w:right="1200" w:bottom="537" w:gutter="0" w:footer="0" w:header="0"/>
        </w:sectPr>
      </w:pPr>
    </w:p>
    <w:bookmarkStart w:id="21" w:name="page22"/>
    <w:bookmarkEnd w:id="21"/>
    <w:p>
      <w:pPr>
        <w:spacing w:after="0" w:line="200" w:lineRule="exact"/>
        <w:rPr>
          <w:sz w:val="20"/>
          <w:szCs w:val="20"/>
          <w:color w:val="auto"/>
        </w:rPr>
      </w:pPr>
    </w:p>
    <w:p>
      <w:pPr>
        <w:spacing w:after="0" w:line="356" w:lineRule="exact"/>
        <w:rPr>
          <w:sz w:val="20"/>
          <w:szCs w:val="20"/>
          <w:color w:val="auto"/>
        </w:rPr>
      </w:pPr>
    </w:p>
    <w:p>
      <w:pPr>
        <w:jc w:val="both"/>
        <w:spacing w:after="0" w:line="253" w:lineRule="auto"/>
        <w:rPr>
          <w:sz w:val="20"/>
          <w:szCs w:val="20"/>
          <w:color w:val="auto"/>
        </w:rPr>
      </w:pPr>
      <w:r>
        <w:rPr>
          <w:rFonts w:ascii="Times New Roman" w:cs="Times New Roman" w:eastAsia="Times New Roman" w:hAnsi="Times New Roman"/>
          <w:sz w:val="23"/>
          <w:szCs w:val="23"/>
          <w:color w:val="auto"/>
        </w:rPr>
        <w:t xml:space="preserve">cover and are often associated with Chara (Matsuda et al. </w:t>
      </w:r>
      <w:r>
        <w:rPr>
          <w:rFonts w:ascii="Times New Roman" w:cs="Times New Roman" w:eastAsia="Times New Roman" w:hAnsi="Times New Roman"/>
          <w:sz w:val="23"/>
          <w:szCs w:val="23"/>
          <w:color w:val="000080"/>
        </w:rPr>
        <w:t>2015</w:t>
      </w:r>
      <w:r>
        <w:rPr>
          <w:rFonts w:ascii="Times New Roman" w:cs="Times New Roman" w:eastAsia="Times New Roman" w:hAnsi="Times New Roman"/>
          <w:sz w:val="23"/>
          <w:szCs w:val="23"/>
          <w:color w:val="auto"/>
        </w:rPr>
        <w:t>), as they were in core sam-ples prior to c. 1890. Ostracods were absent in Lake Tohopekaliga after c. 1890, which signaled the disappearance of naturally low water levels. It appears evident that the hydrological alterations that began in 1883 prevented extremely low water levels after that time.</w:t>
      </w:r>
    </w:p>
    <w:p>
      <w:pPr>
        <w:spacing w:after="0" w:line="12" w:lineRule="exact"/>
        <w:rPr>
          <w:sz w:val="20"/>
          <w:szCs w:val="20"/>
          <w:color w:val="auto"/>
        </w:rPr>
      </w:pPr>
    </w:p>
    <w:p>
      <w:pPr>
        <w:jc w:val="both"/>
        <w:ind w:firstLine="240"/>
        <w:spacing w:after="0" w:line="253" w:lineRule="auto"/>
        <w:rPr>
          <w:sz w:val="20"/>
          <w:szCs w:val="20"/>
          <w:color w:val="auto"/>
        </w:rPr>
      </w:pPr>
      <w:r>
        <w:rPr>
          <w:rFonts w:ascii="Times New Roman" w:cs="Times New Roman" w:eastAsia="Times New Roman" w:hAnsi="Times New Roman"/>
          <w:sz w:val="23"/>
          <w:szCs w:val="23"/>
          <w:color w:val="auto"/>
        </w:rPr>
        <w:t xml:space="preserve">Many shallow Florida lakes are subject to very large fluctuations in water level, in part because of elution, or downward leakage in karst bedrock (Deevey </w:t>
      </w:r>
      <w:r>
        <w:rPr>
          <w:rFonts w:ascii="Times New Roman" w:cs="Times New Roman" w:eastAsia="Times New Roman" w:hAnsi="Times New Roman"/>
          <w:sz w:val="23"/>
          <w:szCs w:val="23"/>
          <w:color w:val="000080"/>
        </w:rPr>
        <w:t>1988</w:t>
      </w:r>
      <w:r>
        <w:rPr>
          <w:rFonts w:ascii="Times New Roman" w:cs="Times New Roman" w:eastAsia="Times New Roman" w:hAnsi="Times New Roman"/>
          <w:sz w:val="23"/>
          <w:szCs w:val="23"/>
          <w:color w:val="auto"/>
        </w:rPr>
        <w:t xml:space="preserve">), which contributes to falling levels during drier periods. Natural fluctuations up to 3.5 m have been demonstrated in multiple-year studies of Florida lakes (Hoyer et al. </w:t>
      </w:r>
      <w:r>
        <w:rPr>
          <w:rFonts w:ascii="Times New Roman" w:cs="Times New Roman" w:eastAsia="Times New Roman" w:hAnsi="Times New Roman"/>
          <w:sz w:val="23"/>
          <w:szCs w:val="23"/>
          <w:color w:val="000080"/>
        </w:rPr>
        <w:t>2005</w:t>
      </w:r>
      <w:r>
        <w:rPr>
          <w:rFonts w:ascii="Times New Roman" w:cs="Times New Roman" w:eastAsia="Times New Roman" w:hAnsi="Times New Roman"/>
          <w:sz w:val="23"/>
          <w:szCs w:val="23"/>
          <w:color w:val="auto"/>
        </w:rPr>
        <w:t xml:space="preserve">), and up to 10 m in lakes that are astatic (Deevey </w:t>
      </w:r>
      <w:r>
        <w:rPr>
          <w:rFonts w:ascii="Times New Roman" w:cs="Times New Roman" w:eastAsia="Times New Roman" w:hAnsi="Times New Roman"/>
          <w:sz w:val="23"/>
          <w:szCs w:val="23"/>
          <w:color w:val="000080"/>
        </w:rPr>
        <w:t>1988</w:t>
      </w:r>
      <w:r>
        <w:rPr>
          <w:rFonts w:ascii="Times New Roman" w:cs="Times New Roman" w:eastAsia="Times New Roman" w:hAnsi="Times New Roman"/>
          <w:sz w:val="23"/>
          <w:szCs w:val="23"/>
          <w:color w:val="000000"/>
        </w:rPr>
        <w:t>). Large water-level fluctuations are not</w:t>
      </w:r>
      <w:r>
        <w:rPr>
          <w:rFonts w:ascii="Times New Roman" w:cs="Times New Roman" w:eastAsia="Times New Roman" w:hAnsi="Times New Roman"/>
          <w:sz w:val="23"/>
          <w:szCs w:val="23"/>
          <w:color w:val="000080"/>
        </w:rPr>
        <w:t xml:space="preserve"> </w:t>
      </w:r>
      <w:r>
        <w:rPr>
          <w:rFonts w:ascii="Times New Roman" w:cs="Times New Roman" w:eastAsia="Times New Roman" w:hAnsi="Times New Roman"/>
          <w:sz w:val="23"/>
          <w:szCs w:val="23"/>
          <w:color w:val="000000"/>
        </w:rPr>
        <w:t xml:space="preserve">caused so much by precipitation in a given year, but by cumulative interannual precipitation pat-terns that affect groundwater levels on the order of decades (Deevey </w:t>
      </w:r>
      <w:r>
        <w:rPr>
          <w:rFonts w:ascii="Times New Roman" w:cs="Times New Roman" w:eastAsia="Times New Roman" w:hAnsi="Times New Roman"/>
          <w:sz w:val="23"/>
          <w:szCs w:val="23"/>
          <w:color w:val="000080"/>
        </w:rPr>
        <w:t>1988</w:t>
      </w:r>
      <w:r>
        <w:rPr>
          <w:rFonts w:ascii="Times New Roman" w:cs="Times New Roman" w:eastAsia="Times New Roman" w:hAnsi="Times New Roman"/>
          <w:sz w:val="23"/>
          <w:szCs w:val="23"/>
          <w:color w:val="000000"/>
        </w:rPr>
        <w:t>).</w:t>
      </w:r>
    </w:p>
    <w:p>
      <w:pPr>
        <w:spacing w:after="0" w:line="19" w:lineRule="exact"/>
        <w:rPr>
          <w:sz w:val="20"/>
          <w:szCs w:val="20"/>
          <w:color w:val="auto"/>
        </w:rPr>
      </w:pPr>
    </w:p>
    <w:p>
      <w:pPr>
        <w:jc w:val="both"/>
        <w:ind w:firstLine="240"/>
        <w:spacing w:after="0" w:line="252" w:lineRule="auto"/>
        <w:rPr>
          <w:sz w:val="20"/>
          <w:szCs w:val="20"/>
          <w:color w:val="auto"/>
        </w:rPr>
      </w:pPr>
      <w:r>
        <w:rPr>
          <w:rFonts w:ascii="Times New Roman" w:cs="Times New Roman" w:eastAsia="Times New Roman" w:hAnsi="Times New Roman"/>
          <w:sz w:val="23"/>
          <w:szCs w:val="23"/>
          <w:color w:val="auto"/>
        </w:rPr>
        <w:t>Because most Florida lakes are shallow (</w:t>
      </w:r>
      <w:r>
        <w:rPr>
          <w:rFonts w:ascii="Arial" w:cs="Arial" w:eastAsia="Arial" w:hAnsi="Arial"/>
          <w:sz w:val="23"/>
          <w:szCs w:val="23"/>
          <w:color w:val="auto"/>
        </w:rPr>
        <w:t>&lt;</w:t>
      </w:r>
      <w:r>
        <w:rPr>
          <w:rFonts w:ascii="Times New Roman" w:cs="Times New Roman" w:eastAsia="Times New Roman" w:hAnsi="Times New Roman"/>
          <w:sz w:val="23"/>
          <w:szCs w:val="23"/>
          <w:color w:val="auto"/>
        </w:rPr>
        <w:t xml:space="preserve">5 m), water-level fluctuations can greatly affect lake area and volume. We calculated the percent volume curve for modern Lake Tohopekaliga using con-tour areas and depths indicated in a contemporary morphometric map (UF/IFAS </w:t>
      </w:r>
      <w:r>
        <w:rPr>
          <w:rFonts w:ascii="Times New Roman" w:cs="Times New Roman" w:eastAsia="Times New Roman" w:hAnsi="Times New Roman"/>
          <w:sz w:val="23"/>
          <w:szCs w:val="23"/>
          <w:color w:val="000080"/>
        </w:rPr>
        <w:t>2019</w:t>
      </w:r>
      <w:r>
        <w:rPr>
          <w:rFonts w:ascii="Times New Roman" w:cs="Times New Roman" w:eastAsia="Times New Roman" w:hAnsi="Times New Roman"/>
          <w:sz w:val="23"/>
          <w:szCs w:val="23"/>
          <w:color w:val="auto"/>
        </w:rPr>
        <w:t>). A drop of 2 m in current water level would reduce the lake to 23% of its volume, and would expose 37% of</w:t>
      </w:r>
    </w:p>
    <w:p>
      <w:pPr>
        <w:spacing w:after="0" w:line="20" w:lineRule="exact"/>
        <w:rPr>
          <w:sz w:val="20"/>
          <w:szCs w:val="20"/>
          <w:color w:val="auto"/>
        </w:rPr>
      </w:pPr>
    </w:p>
    <w:p>
      <w:pPr>
        <w:jc w:val="both"/>
        <w:spacing w:after="0" w:line="253" w:lineRule="auto"/>
        <w:rPr>
          <w:sz w:val="20"/>
          <w:szCs w:val="20"/>
          <w:color w:val="auto"/>
        </w:rPr>
      </w:pPr>
      <w:r>
        <w:rPr>
          <w:rFonts w:ascii="Times New Roman" w:cs="Times New Roman" w:eastAsia="Times New Roman" w:hAnsi="Times New Roman"/>
          <w:sz w:val="23"/>
          <w:szCs w:val="23"/>
          <w:color w:val="auto"/>
        </w:rPr>
        <w:t xml:space="preserve">the lake area to drying. A drop of 3 m in Tohopekaliga would reduce the current volume to 4%, and would expose 70% of the lake bed to dry-ing, which could easily increase total dissolved sol-ids sufficiently to support salt-tolerant taxa. Although downward elution likely would have removed some solutes as well as water during drier periods (Deevey </w:t>
      </w:r>
      <w:r>
        <w:rPr>
          <w:rFonts w:ascii="Times New Roman" w:cs="Times New Roman" w:eastAsia="Times New Roman" w:hAnsi="Times New Roman"/>
          <w:sz w:val="23"/>
          <w:szCs w:val="23"/>
          <w:color w:val="000080"/>
        </w:rPr>
        <w:t>1988</w:t>
      </w:r>
      <w:r>
        <w:rPr>
          <w:rFonts w:ascii="Times New Roman" w:cs="Times New Roman" w:eastAsia="Times New Roman" w:hAnsi="Times New Roman"/>
          <w:sz w:val="23"/>
          <w:szCs w:val="23"/>
          <w:color w:val="auto"/>
        </w:rPr>
        <w:t>), the lakes in this study achieved impressively high salinities, as indicated by diverse biological evidence, so evaporation had to exceed leakage by a substantial amount.</w:t>
      </w:r>
    </w:p>
    <w:p>
      <w:pPr>
        <w:spacing w:after="0" w:line="17" w:lineRule="exact"/>
        <w:rPr>
          <w:sz w:val="20"/>
          <w:szCs w:val="20"/>
          <w:color w:val="auto"/>
        </w:rPr>
      </w:pPr>
    </w:p>
    <w:p>
      <w:pPr>
        <w:jc w:val="both"/>
        <w:ind w:firstLine="240"/>
        <w:spacing w:after="0" w:line="251" w:lineRule="auto"/>
        <w:rPr>
          <w:sz w:val="20"/>
          <w:szCs w:val="20"/>
          <w:color w:val="auto"/>
        </w:rPr>
      </w:pPr>
      <w:r>
        <w:rPr>
          <w:rFonts w:ascii="Times New Roman" w:cs="Times New Roman" w:eastAsia="Times New Roman" w:hAnsi="Times New Roman"/>
          <w:sz w:val="23"/>
          <w:szCs w:val="23"/>
          <w:color w:val="auto"/>
        </w:rPr>
        <w:t>Lakes Kissimmee and Marian did not show evidence of extreme water-level fluctuations like the other lakes, and they demonstrated the clear-est evidence of associated wetlands. We note that predisturbance water levels in East Tohopekaliga</w:t>
      </w:r>
    </w:p>
    <w:p>
      <w:pPr>
        <w:spacing w:after="0" w:line="8" w:lineRule="exact"/>
        <w:rPr>
          <w:sz w:val="20"/>
          <w:szCs w:val="20"/>
          <w:color w:val="auto"/>
        </w:rPr>
      </w:pPr>
    </w:p>
    <w:tbl>
      <w:tblPr>
        <w:tblLayout w:type="fixed"/>
        <w:tblInd w:w="0" w:type="dxa"/>
        <w:tblCellMar>
          <w:top w:w="0" w:type="dxa"/>
          <w:left w:w="0" w:type="dxa"/>
          <w:bottom w:w="0" w:type="dxa"/>
          <w:right w:w="0" w:type="dxa"/>
        </w:tblCellMar>
      </w:tblPr>
      <w:tr>
        <w:trPr>
          <w:trHeight w:val="264"/>
        </w:trPr>
        <w:tc>
          <w:tcPr>
            <w:tcW w:w="760" w:type="dxa"/>
            <w:vAlign w:val="bottom"/>
          </w:tcPr>
          <w:p>
            <w:pPr>
              <w:spacing w:after="0"/>
              <w:rPr>
                <w:sz w:val="20"/>
                <w:szCs w:val="20"/>
                <w:color w:val="auto"/>
              </w:rPr>
            </w:pPr>
            <w:r>
              <w:rPr>
                <w:rFonts w:ascii="Times New Roman" w:cs="Times New Roman" w:eastAsia="Times New Roman" w:hAnsi="Times New Roman"/>
                <w:sz w:val="23"/>
                <w:szCs w:val="23"/>
                <w:color w:val="auto"/>
              </w:rPr>
              <w:t>(70.3 ft,</w:t>
            </w:r>
          </w:p>
        </w:tc>
        <w:tc>
          <w:tcPr>
            <w:tcW w:w="1000" w:type="dxa"/>
            <w:vAlign w:val="bottom"/>
          </w:tcPr>
          <w:p>
            <w:pPr>
              <w:ind w:left="200"/>
              <w:spacing w:after="0"/>
              <w:rPr>
                <w:sz w:val="20"/>
                <w:szCs w:val="20"/>
                <w:color w:val="auto"/>
              </w:rPr>
            </w:pPr>
            <w:r>
              <w:rPr>
                <w:rFonts w:ascii="Times New Roman" w:cs="Times New Roman" w:eastAsia="Times New Roman" w:hAnsi="Times New Roman"/>
                <w:sz w:val="23"/>
                <w:szCs w:val="23"/>
                <w:color w:val="auto"/>
              </w:rPr>
              <w:t>21.4 m)</w:t>
            </w:r>
          </w:p>
        </w:tc>
        <w:tc>
          <w:tcPr>
            <w:tcW w:w="2040" w:type="dxa"/>
            <w:vAlign w:val="bottom"/>
          </w:tcPr>
          <w:p>
            <w:pPr>
              <w:ind w:left="140"/>
              <w:spacing w:after="0"/>
              <w:rPr>
                <w:sz w:val="20"/>
                <w:szCs w:val="20"/>
                <w:color w:val="auto"/>
              </w:rPr>
            </w:pPr>
            <w:r>
              <w:rPr>
                <w:rFonts w:ascii="Times New Roman" w:cs="Times New Roman" w:eastAsia="Times New Roman" w:hAnsi="Times New Roman"/>
                <w:sz w:val="23"/>
                <w:szCs w:val="23"/>
                <w:color w:val="auto"/>
              </w:rPr>
              <w:t>and   Tohopekaliga</w:t>
            </w:r>
          </w:p>
        </w:tc>
        <w:tc>
          <w:tcPr>
            <w:tcW w:w="940" w:type="dxa"/>
            <w:vAlign w:val="bottom"/>
            <w:gridSpan w:val="2"/>
          </w:tcPr>
          <w:p>
            <w:pPr>
              <w:jc w:val="right"/>
              <w:spacing w:after="0"/>
              <w:rPr>
                <w:sz w:val="20"/>
                <w:szCs w:val="20"/>
                <w:color w:val="auto"/>
              </w:rPr>
            </w:pPr>
            <w:r>
              <w:rPr>
                <w:rFonts w:ascii="Times New Roman" w:cs="Times New Roman" w:eastAsia="Times New Roman" w:hAnsi="Times New Roman"/>
                <w:sz w:val="23"/>
                <w:szCs w:val="23"/>
                <w:color w:val="auto"/>
              </w:rPr>
              <w:t>(64.6 ft,</w:t>
            </w:r>
          </w:p>
        </w:tc>
      </w:tr>
      <w:tr>
        <w:trPr>
          <w:trHeight w:val="280"/>
        </w:trPr>
        <w:tc>
          <w:tcPr>
            <w:tcW w:w="760" w:type="dxa"/>
            <w:vAlign w:val="bottom"/>
          </w:tcPr>
          <w:p>
            <w:pPr>
              <w:spacing w:after="0"/>
              <w:rPr>
                <w:sz w:val="20"/>
                <w:szCs w:val="20"/>
                <w:color w:val="auto"/>
              </w:rPr>
            </w:pPr>
            <w:r>
              <w:rPr>
                <w:rFonts w:ascii="Times New Roman" w:cs="Times New Roman" w:eastAsia="Times New Roman" w:hAnsi="Times New Roman"/>
                <w:sz w:val="23"/>
                <w:szCs w:val="23"/>
                <w:color w:val="auto"/>
              </w:rPr>
              <w:t>19.7 m)</w:t>
            </w:r>
          </w:p>
        </w:tc>
        <w:tc>
          <w:tcPr>
            <w:tcW w:w="3640" w:type="dxa"/>
            <w:vAlign w:val="bottom"/>
            <w:gridSpan w:val="3"/>
          </w:tcPr>
          <w:p>
            <w:pPr>
              <w:ind w:left="140"/>
              <w:spacing w:after="0"/>
              <w:rPr>
                <w:sz w:val="20"/>
                <w:szCs w:val="20"/>
                <w:color w:val="auto"/>
              </w:rPr>
            </w:pPr>
            <w:r>
              <w:rPr>
                <w:rFonts w:ascii="Times New Roman" w:cs="Times New Roman" w:eastAsia="Times New Roman" w:hAnsi="Times New Roman"/>
                <w:sz w:val="23"/>
                <w:szCs w:val="23"/>
                <w:color w:val="auto"/>
              </w:rPr>
              <w:t>stood  at  higher  elevations  than</w:t>
            </w:r>
          </w:p>
        </w:tc>
        <w:tc>
          <w:tcPr>
            <w:tcW w:w="340" w:type="dxa"/>
            <w:vAlign w:val="bottom"/>
          </w:tcPr>
          <w:p>
            <w:pPr>
              <w:jc w:val="right"/>
              <w:spacing w:after="0"/>
              <w:rPr>
                <w:sz w:val="20"/>
                <w:szCs w:val="20"/>
                <w:color w:val="auto"/>
              </w:rPr>
            </w:pPr>
            <w:r>
              <w:rPr>
                <w:rFonts w:ascii="Times New Roman" w:cs="Times New Roman" w:eastAsia="Times New Roman" w:hAnsi="Times New Roman"/>
                <w:sz w:val="23"/>
                <w:szCs w:val="23"/>
                <w:color w:val="auto"/>
              </w:rPr>
              <w:t>in</w:t>
            </w:r>
          </w:p>
        </w:tc>
      </w:tr>
      <w:tr>
        <w:trPr>
          <w:trHeight w:val="281"/>
        </w:trPr>
        <w:tc>
          <w:tcPr>
            <w:tcW w:w="4400" w:type="dxa"/>
            <w:vAlign w:val="bottom"/>
            <w:gridSpan w:val="4"/>
          </w:tcPr>
          <w:p>
            <w:pPr>
              <w:spacing w:after="0"/>
              <w:rPr>
                <w:sz w:val="20"/>
                <w:szCs w:val="20"/>
                <w:color w:val="auto"/>
              </w:rPr>
            </w:pPr>
            <w:r>
              <w:rPr>
                <w:rFonts w:ascii="Times New Roman" w:cs="Times New Roman" w:eastAsia="Times New Roman" w:hAnsi="Times New Roman"/>
                <w:sz w:val="23"/>
                <w:szCs w:val="23"/>
                <w:color w:val="auto"/>
              </w:rPr>
              <w:t>Kissimmee (59.1 ft, 18.0 m; surveyed prior to</w:t>
            </w:r>
          </w:p>
        </w:tc>
        <w:tc>
          <w:tcPr>
            <w:tcW w:w="340" w:type="dxa"/>
            <w:vAlign w:val="bottom"/>
          </w:tcPr>
          <w:p>
            <w:pPr>
              <w:jc w:val="right"/>
              <w:spacing w:after="0"/>
              <w:rPr>
                <w:sz w:val="20"/>
                <w:szCs w:val="20"/>
                <w:color w:val="auto"/>
              </w:rPr>
            </w:pPr>
            <w:r>
              <w:rPr>
                <w:rFonts w:ascii="Times New Roman" w:cs="Times New Roman" w:eastAsia="Times New Roman" w:hAnsi="Times New Roman"/>
                <w:sz w:val="23"/>
                <w:szCs w:val="23"/>
                <w:color w:val="auto"/>
              </w:rPr>
              <w:t>the</w:t>
            </w:r>
          </w:p>
        </w:tc>
      </w:tr>
      <w:tr>
        <w:trPr>
          <w:trHeight w:val="280"/>
        </w:trPr>
        <w:tc>
          <w:tcPr>
            <w:tcW w:w="760" w:type="dxa"/>
            <w:vAlign w:val="bottom"/>
          </w:tcPr>
          <w:p>
            <w:pPr>
              <w:spacing w:after="0"/>
              <w:rPr>
                <w:sz w:val="20"/>
                <w:szCs w:val="20"/>
                <w:color w:val="auto"/>
              </w:rPr>
            </w:pPr>
            <w:r>
              <w:rPr>
                <w:rFonts w:ascii="Times New Roman" w:cs="Times New Roman" w:eastAsia="Times New Roman" w:hAnsi="Times New Roman"/>
                <w:sz w:val="23"/>
                <w:szCs w:val="23"/>
                <w:color w:val="auto"/>
              </w:rPr>
              <w:t>NGVD</w:t>
            </w:r>
          </w:p>
        </w:tc>
        <w:tc>
          <w:tcPr>
            <w:tcW w:w="1000" w:type="dxa"/>
            <w:vAlign w:val="bottom"/>
          </w:tcPr>
          <w:p>
            <w:pPr>
              <w:ind w:left="80"/>
              <w:spacing w:after="0"/>
              <w:rPr>
                <w:sz w:val="20"/>
                <w:szCs w:val="20"/>
                <w:color w:val="auto"/>
              </w:rPr>
            </w:pPr>
            <w:r>
              <w:rPr>
                <w:rFonts w:ascii="Times New Roman" w:cs="Times New Roman" w:eastAsia="Times New Roman" w:hAnsi="Times New Roman"/>
                <w:sz w:val="23"/>
                <w:szCs w:val="23"/>
                <w:color w:val="auto"/>
              </w:rPr>
              <w:t>elevation</w:t>
            </w:r>
          </w:p>
        </w:tc>
        <w:tc>
          <w:tcPr>
            <w:tcW w:w="2040" w:type="dxa"/>
            <w:vAlign w:val="bottom"/>
          </w:tcPr>
          <w:p>
            <w:pPr>
              <w:ind w:left="80"/>
              <w:spacing w:after="0"/>
              <w:rPr>
                <w:sz w:val="20"/>
                <w:szCs w:val="20"/>
                <w:color w:val="auto"/>
              </w:rPr>
            </w:pPr>
            <w:r>
              <w:rPr>
                <w:rFonts w:ascii="Times New Roman" w:cs="Times New Roman" w:eastAsia="Times New Roman" w:hAnsi="Times New Roman"/>
                <w:sz w:val="23"/>
                <w:szCs w:val="23"/>
                <w:color w:val="auto"/>
              </w:rPr>
              <w:t>standard:  Atlantic</w:t>
            </w:r>
          </w:p>
        </w:tc>
        <w:tc>
          <w:tcPr>
            <w:tcW w:w="940" w:type="dxa"/>
            <w:vAlign w:val="bottom"/>
            <w:gridSpan w:val="2"/>
          </w:tcPr>
          <w:p>
            <w:pPr>
              <w:jc w:val="right"/>
              <w:spacing w:after="0"/>
              <w:rPr>
                <w:sz w:val="20"/>
                <w:szCs w:val="20"/>
                <w:color w:val="auto"/>
              </w:rPr>
            </w:pPr>
            <w:r>
              <w:rPr>
                <w:rFonts w:ascii="Times New Roman" w:cs="Times New Roman" w:eastAsia="Times New Roman" w:hAnsi="Times New Roman"/>
                <w:sz w:val="23"/>
                <w:szCs w:val="23"/>
                <w:color w:val="auto"/>
              </w:rPr>
              <w:t>and  Gulf</w:t>
            </w:r>
          </w:p>
        </w:tc>
      </w:tr>
    </w:tbl>
    <w:p>
      <w:pPr>
        <w:spacing w:after="0" w:line="20" w:lineRule="exact"/>
        <w:rPr>
          <w:sz w:val="20"/>
          <w:szCs w:val="20"/>
          <w:color w:val="auto"/>
        </w:rPr>
      </w:pPr>
      <w:r>
        <w:rPr>
          <w:sz w:val="20"/>
          <w:szCs w:val="20"/>
          <w:color w:val="auto"/>
        </w:rPr>
        <w:br w:type="column"/>
      </w:r>
    </w:p>
    <w:p>
      <w:pPr>
        <w:ind w:left="1740"/>
        <w:spacing w:after="0"/>
        <w:rPr>
          <w:sz w:val="20"/>
          <w:szCs w:val="20"/>
          <w:color w:val="auto"/>
        </w:rPr>
      </w:pPr>
      <w:r>
        <w:rPr>
          <w:rFonts w:ascii="Arial" w:cs="Arial" w:eastAsia="Arial" w:hAnsi="Arial"/>
          <w:sz w:val="12"/>
          <w:szCs w:val="12"/>
          <w:color w:val="auto"/>
        </w:rPr>
        <w:t xml:space="preserve">LAKE AND RESERVOIR MANAGEMENT  </w:t>
      </w:r>
      <w:r>
        <w:rPr>
          <w:sz w:val="1"/>
          <w:szCs w:val="1"/>
          <w:color w:val="auto"/>
        </w:rPr>
        <w:drawing>
          <wp:inline distT="0" distB="0" distL="0" distR="0">
            <wp:extent cx="165100" cy="1651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7">
                      <a:extLst>
                        <a:ext uri="{28A0092B-C50C-407E-A947-70E740481C1C}"/>
                      </a:extLst>
                    </a:blip>
                    <a:srcRect/>
                    <a:stretch>
                      <a:fillRect/>
                    </a:stretch>
                  </pic:blipFill>
                  <pic:spPr bwMode="auto">
                    <a:xfrm>
                      <a:off x="0" y="0"/>
                      <a:ext cx="165100" cy="165100"/>
                    </a:xfrm>
                    <a:prstGeom prst="rect">
                      <a:avLst/>
                    </a:prstGeom>
                    <a:noFill/>
                    <a:ln>
                      <a:noFill/>
                    </a:ln>
                  </pic:spPr>
                </pic:pic>
              </a:graphicData>
            </a:graphic>
          </wp:inline>
        </w:drawing>
      </w:r>
      <w:r>
        <w:rPr>
          <w:rFonts w:ascii="Arial" w:cs="Arial" w:eastAsia="Arial" w:hAnsi="Arial"/>
          <w:sz w:val="12"/>
          <w:szCs w:val="12"/>
          <w:color w:val="auto"/>
        </w:rPr>
        <w:t xml:space="preserve">  21</w:t>
      </w:r>
    </w:p>
    <w:p>
      <w:pPr>
        <w:spacing w:after="0" w:line="271" w:lineRule="exact"/>
        <w:rPr>
          <w:sz w:val="20"/>
          <w:szCs w:val="20"/>
          <w:color w:val="auto"/>
        </w:rPr>
      </w:pPr>
    </w:p>
    <w:p>
      <w:pPr>
        <w:jc w:val="both"/>
        <w:spacing w:after="0" w:line="255" w:lineRule="auto"/>
        <w:rPr>
          <w:sz w:val="20"/>
          <w:szCs w:val="20"/>
          <w:color w:val="auto"/>
        </w:rPr>
      </w:pPr>
      <w:r>
        <w:rPr>
          <w:rFonts w:ascii="Times New Roman" w:cs="Times New Roman" w:eastAsia="Times New Roman" w:hAnsi="Times New Roman"/>
          <w:sz w:val="23"/>
          <w:szCs w:val="23"/>
          <w:color w:val="auto"/>
        </w:rPr>
        <w:t>Coast Canal and Okeechobee Land Company 1885). Although the predisturbance water level of Lake Cypress was not reported, it would have been between 60 and 64 ft (18.3</w:t>
      </w:r>
      <w:r>
        <w:rPr>
          <w:rFonts w:ascii="Arial" w:cs="Arial" w:eastAsia="Arial" w:hAnsi="Arial"/>
          <w:sz w:val="23"/>
          <w:szCs w:val="23"/>
          <w:color w:val="auto"/>
        </w:rPr>
        <w:t>–</w:t>
      </w:r>
      <w:r>
        <w:rPr>
          <w:rFonts w:ascii="Times New Roman" w:cs="Times New Roman" w:eastAsia="Times New Roman" w:hAnsi="Times New Roman"/>
          <w:sz w:val="23"/>
          <w:szCs w:val="23"/>
          <w:color w:val="auto"/>
        </w:rPr>
        <w:t xml:space="preserve">19.5 m). It appears that local hydrological factors made Kissimmee and Marian less subject to drying than East Tohopekaliga, Tohopekaliga, and Cypress, which stood at higher elevations. Lake Jackson is situated between Kissimmee and Marian, but it showed evidence of high solutes and dry periods that Kissimmee and Marian did not. Jackson has been bordered by dry prairies historically, so it has a different edaphic setting. Jackson and Cypress are the smallest and volu-metrically shallowest lakes in this study: a 2-m water-level drop would currently reduce both lakes to </w:t>
      </w:r>
      <w:r>
        <w:rPr>
          <w:rFonts w:ascii="Arial" w:cs="Arial" w:eastAsia="Arial" w:hAnsi="Arial"/>
          <w:sz w:val="23"/>
          <w:szCs w:val="23"/>
          <w:color w:val="auto"/>
        </w:rPr>
        <w:t>&lt;</w:t>
      </w:r>
      <w:r>
        <w:rPr>
          <w:rFonts w:ascii="Times New Roman" w:cs="Times New Roman" w:eastAsia="Times New Roman" w:hAnsi="Times New Roman"/>
          <w:sz w:val="23"/>
          <w:szCs w:val="23"/>
          <w:color w:val="auto"/>
        </w:rPr>
        <w:t>1% of their volume, and a 3-m drop would cause the lakes to go dry.</w:t>
      </w:r>
    </w:p>
    <w:p>
      <w:pPr>
        <w:spacing w:after="0" w:line="385" w:lineRule="exact"/>
        <w:rPr>
          <w:sz w:val="20"/>
          <w:szCs w:val="20"/>
          <w:color w:val="auto"/>
        </w:rPr>
      </w:pPr>
    </w:p>
    <w:p>
      <w:pPr>
        <w:spacing w:after="0"/>
        <w:rPr>
          <w:sz w:val="20"/>
          <w:szCs w:val="20"/>
          <w:color w:val="auto"/>
        </w:rPr>
      </w:pPr>
      <w:r>
        <w:rPr>
          <w:rFonts w:ascii="Arial" w:cs="Arial" w:eastAsia="Arial" w:hAnsi="Arial"/>
          <w:sz w:val="22"/>
          <w:szCs w:val="22"/>
          <w:color w:val="10157E"/>
        </w:rPr>
        <w:t>Conclusions</w:t>
      </w:r>
    </w:p>
    <w:p>
      <w:pPr>
        <w:spacing w:after="0" w:line="146" w:lineRule="exact"/>
        <w:rPr>
          <w:sz w:val="20"/>
          <w:szCs w:val="20"/>
          <w:color w:val="auto"/>
        </w:rPr>
      </w:pPr>
    </w:p>
    <w:p>
      <w:pPr>
        <w:jc w:val="both"/>
        <w:spacing w:after="0" w:line="255" w:lineRule="auto"/>
        <w:rPr>
          <w:sz w:val="20"/>
          <w:szCs w:val="20"/>
          <w:color w:val="auto"/>
        </w:rPr>
      </w:pPr>
      <w:r>
        <w:rPr>
          <w:rFonts w:ascii="Times New Roman" w:cs="Times New Roman" w:eastAsia="Times New Roman" w:hAnsi="Times New Roman"/>
          <w:sz w:val="23"/>
          <w:szCs w:val="23"/>
          <w:color w:val="auto"/>
        </w:rPr>
        <w:t>Two major types of changes occurred in these lakes during the late 19th and 20th centuries. All lakes in this study were meso-eutrophic prior to the mid 1800s, but eutrophication was observed in 5 of the 6 lakes, as shown by multiple lines of evidence. East Lake Tohopekaliga showed the least evidence of nutrient changes, and eutrophication was most pronounced in Lake Marian. Onset of eutrophication began in the late 1800s immedi-ately after engineered hydrological changes, and it increased distinctly during the 20th century because of nutrient loading that likely arose from urbanization, land-use change, agriculture, and cattle ranching. Engineered connection of the lakes facilitated a downstream cascade of nutrients, and the loss of former connecting wetlands reduced the biological filtering of nutrients that occurred prior to disturbance.</w:t>
      </w:r>
    </w:p>
    <w:p>
      <w:pPr>
        <w:spacing w:after="0" w:line="16" w:lineRule="exact"/>
        <w:rPr>
          <w:sz w:val="20"/>
          <w:szCs w:val="20"/>
          <w:color w:val="auto"/>
        </w:rPr>
      </w:pPr>
    </w:p>
    <w:p>
      <w:pPr>
        <w:jc w:val="both"/>
        <w:ind w:firstLine="240"/>
        <w:spacing w:after="0" w:line="254" w:lineRule="auto"/>
        <w:rPr>
          <w:sz w:val="20"/>
          <w:szCs w:val="20"/>
          <w:color w:val="auto"/>
        </w:rPr>
      </w:pPr>
      <w:r>
        <w:rPr>
          <w:rFonts w:ascii="Times New Roman" w:cs="Times New Roman" w:eastAsia="Times New Roman" w:hAnsi="Times New Roman"/>
          <w:sz w:val="23"/>
          <w:szCs w:val="23"/>
          <w:color w:val="auto"/>
        </w:rPr>
        <w:t>The second and possibly more prominent change in 4 of the 6 lakes was that hydrology was altered dramatically, both by lowering water levels with respect to former associated wetlands and, importantly, by permanently preventing the lakes from undergoing natural large fluctuations in water levels. This was evident in Lakes Cypress, East Tohopekaliga, Jackson, and Tohopekaliga, but was not the case in Lakes Kissimmee and Marian. Large natural</w:t>
      </w:r>
    </w:p>
    <w:p>
      <w:pPr>
        <w:sectPr>
          <w:pgSz w:w="12240" w:h="15840" w:orient="portrait"/>
          <w:cols w:equalWidth="0" w:num="2">
            <w:col w:w="4740" w:space="360"/>
            <w:col w:w="4740"/>
          </w:cols>
          <w:pgMar w:left="1200" w:top="464" w:right="1200" w:bottom="538" w:gutter="0" w:footer="0" w:header="0"/>
        </w:sectPr>
      </w:pPr>
    </w:p>
    <w:bookmarkStart w:id="22" w:name="page23"/>
    <w:bookmarkEnd w:id="22"/>
    <w:p>
      <w:pPr>
        <w:spacing w:after="0"/>
        <w:rPr>
          <w:sz w:val="20"/>
          <w:szCs w:val="20"/>
          <w:color w:val="auto"/>
        </w:rPr>
      </w:pPr>
      <w:r>
        <w:rPr>
          <w:rFonts w:ascii="Arial" w:cs="Arial" w:eastAsia="Arial" w:hAnsi="Arial"/>
          <w:sz w:val="15"/>
          <w:szCs w:val="15"/>
          <w:color w:val="auto"/>
        </w:rPr>
        <w:t xml:space="preserve">22  </w:t>
      </w:r>
      <w:r>
        <w:rPr>
          <w:sz w:val="1"/>
          <w:szCs w:val="1"/>
          <w:color w:val="auto"/>
        </w:rPr>
        <w:drawing>
          <wp:inline distT="0" distB="0" distL="0" distR="0">
            <wp:extent cx="165100" cy="1651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8">
                      <a:extLst>
                        <a:ext uri="{28A0092B-C50C-407E-A947-70E740481C1C}"/>
                      </a:extLst>
                    </a:blip>
                    <a:srcRect/>
                    <a:stretch>
                      <a:fillRect/>
                    </a:stretch>
                  </pic:blipFill>
                  <pic:spPr bwMode="auto">
                    <a:xfrm>
                      <a:off x="0" y="0"/>
                      <a:ext cx="165100" cy="165100"/>
                    </a:xfrm>
                    <a:prstGeom prst="rect">
                      <a:avLst/>
                    </a:prstGeom>
                    <a:noFill/>
                    <a:ln>
                      <a:noFill/>
                    </a:ln>
                  </pic:spPr>
                </pic:pic>
              </a:graphicData>
            </a:graphic>
          </wp:inline>
        </w:drawing>
      </w:r>
      <w:r>
        <w:rPr>
          <w:rFonts w:ascii="Arial" w:cs="Arial" w:eastAsia="Arial" w:hAnsi="Arial"/>
          <w:sz w:val="15"/>
          <w:szCs w:val="15"/>
          <w:color w:val="auto"/>
        </w:rPr>
        <w:t xml:space="preserve">  T. J. WHITMORE ET AL.</w:t>
      </w:r>
    </w:p>
    <w:p>
      <w:pPr>
        <w:spacing w:after="0" w:line="271" w:lineRule="exact"/>
        <w:rPr>
          <w:sz w:val="20"/>
          <w:szCs w:val="20"/>
          <w:color w:val="auto"/>
        </w:rPr>
      </w:pPr>
    </w:p>
    <w:p>
      <w:pPr>
        <w:jc w:val="both"/>
        <w:spacing w:after="0" w:line="253" w:lineRule="auto"/>
        <w:rPr>
          <w:sz w:val="20"/>
          <w:szCs w:val="20"/>
          <w:color w:val="auto"/>
        </w:rPr>
      </w:pPr>
      <w:r>
        <w:rPr>
          <w:rFonts w:ascii="Times New Roman" w:cs="Times New Roman" w:eastAsia="Times New Roman" w:hAnsi="Times New Roman"/>
          <w:sz w:val="23"/>
          <w:szCs w:val="23"/>
          <w:color w:val="auto"/>
        </w:rPr>
        <w:t>fluctuations influenced the types of native plant communities that were present, whereas more static water levels in recent times have contrib-uted to organic matter accumulation and high standing crops of aquatic plants. Although lake levels have been lowered occasionally in recent decades so littoral sediments can be scraped and burned, this is mechanically doing the work that natural processes did before engineered activities prevented large natural fluctuations in water levels.</w:t>
      </w:r>
    </w:p>
    <w:p>
      <w:pPr>
        <w:spacing w:after="0" w:line="295" w:lineRule="exact"/>
        <w:rPr>
          <w:sz w:val="20"/>
          <w:szCs w:val="20"/>
          <w:color w:val="auto"/>
        </w:rPr>
      </w:pPr>
    </w:p>
    <w:p>
      <w:pPr>
        <w:jc w:val="both"/>
        <w:ind w:firstLine="240"/>
        <w:spacing w:after="0" w:line="253" w:lineRule="auto"/>
        <w:rPr>
          <w:sz w:val="20"/>
          <w:szCs w:val="20"/>
          <w:color w:val="auto"/>
        </w:rPr>
      </w:pPr>
      <w:r>
        <w:rPr>
          <w:rFonts w:ascii="Times New Roman" w:cs="Times New Roman" w:eastAsia="Times New Roman" w:hAnsi="Times New Roman"/>
          <w:sz w:val="23"/>
          <w:szCs w:val="23"/>
          <w:color w:val="auto"/>
        </w:rPr>
        <w:t xml:space="preserve">Current management approaches often empha-size in-lake nutrient concentrations and mitiga-tion without adequately considering other significant changes in ecology or ecosystem func-tion, but restoration cannot be effective when it regards system changes as univariate (Davidson et al. </w:t>
      </w:r>
      <w:r>
        <w:rPr>
          <w:rFonts w:ascii="Times New Roman" w:cs="Times New Roman" w:eastAsia="Times New Roman" w:hAnsi="Times New Roman"/>
          <w:sz w:val="23"/>
          <w:szCs w:val="23"/>
          <w:color w:val="000080"/>
        </w:rPr>
        <w:t>2018</w:t>
      </w:r>
      <w:r>
        <w:rPr>
          <w:rFonts w:ascii="Times New Roman" w:cs="Times New Roman" w:eastAsia="Times New Roman" w:hAnsi="Times New Roman"/>
          <w:sz w:val="23"/>
          <w:szCs w:val="23"/>
          <w:color w:val="auto"/>
        </w:rPr>
        <w:t>). Contemporary challenges for man-agement of these lakes include satisfying stake-holder needs related to the sport-fishing economy, recreational uses, water supply, and flood prevention. The lakes, however, are dis-tinctly out of balance with respect to nutrient content and recycling, standing crops of native and invasive plants, and the accumulation of nutrient-rich organic sediments. Considerable energy and costs are required for periodic draw-downs, scraping of sediments, and management of aquatic plants. The sustained connection of the lakes, which originated as a 19th-century paradigm, also facilitates transport of nutrients through the Kissimmee</w:t>
      </w:r>
      <w:r>
        <w:rPr>
          <w:rFonts w:ascii="Arial" w:cs="Arial" w:eastAsia="Arial" w:hAnsi="Arial"/>
          <w:sz w:val="23"/>
          <w:szCs w:val="23"/>
          <w:color w:val="auto"/>
        </w:rPr>
        <w:t>–</w:t>
      </w:r>
      <w:r>
        <w:rPr>
          <w:rFonts w:ascii="Times New Roman" w:cs="Times New Roman" w:eastAsia="Times New Roman" w:hAnsi="Times New Roman"/>
          <w:sz w:val="23"/>
          <w:szCs w:val="23"/>
          <w:color w:val="auto"/>
        </w:rPr>
        <w:t>Okeechobee</w:t>
      </w:r>
      <w:r>
        <w:rPr>
          <w:rFonts w:ascii="Arial" w:cs="Arial" w:eastAsia="Arial" w:hAnsi="Arial"/>
          <w:sz w:val="23"/>
          <w:szCs w:val="23"/>
          <w:color w:val="auto"/>
        </w:rPr>
        <w:t>–</w:t>
      </w:r>
      <w:r>
        <w:rPr>
          <w:rFonts w:ascii="Times New Roman" w:cs="Times New Roman" w:eastAsia="Times New Roman" w:hAnsi="Times New Roman"/>
          <w:sz w:val="23"/>
          <w:szCs w:val="23"/>
          <w:color w:val="auto"/>
        </w:rPr>
        <w:t>Everglades system, and it contributes to downstream restor-ation challenges.</w:t>
      </w:r>
    </w:p>
    <w:p>
      <w:pPr>
        <w:spacing w:after="0" w:line="314" w:lineRule="exact"/>
        <w:rPr>
          <w:sz w:val="20"/>
          <w:szCs w:val="20"/>
          <w:color w:val="auto"/>
        </w:rPr>
      </w:pPr>
    </w:p>
    <w:p>
      <w:pPr>
        <w:jc w:val="both"/>
        <w:ind w:firstLine="240"/>
        <w:spacing w:after="0" w:line="253" w:lineRule="auto"/>
        <w:rPr>
          <w:sz w:val="20"/>
          <w:szCs w:val="20"/>
          <w:color w:val="auto"/>
        </w:rPr>
      </w:pPr>
      <w:r>
        <w:rPr>
          <w:rFonts w:ascii="Times New Roman" w:cs="Times New Roman" w:eastAsia="Times New Roman" w:hAnsi="Times New Roman"/>
          <w:sz w:val="23"/>
          <w:szCs w:val="23"/>
          <w:color w:val="auto"/>
        </w:rPr>
        <w:t>Based on the findings of this study, we recom-mend disconnecting the lakes from each other and from the Kissimmee River to reestablish large, nat-ural fluctuations in water levels that were part of healthy ecosystem function. Some structures might need to be retained but modified to prevent flood-ing in developed areas. The current downstream nutrient cascade challenges local management agencies to deal with nutrient loads that arise partly outside of their jurisdictions. Hydrological restoration would return nutrient loading to being more of a local issue. Former wetlands between the lakes should be restored because this would reestablish biological communities that sequester nutrients that currently enter the lakes and river</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343" w:lineRule="exact"/>
        <w:rPr>
          <w:sz w:val="20"/>
          <w:szCs w:val="20"/>
          <w:color w:val="auto"/>
        </w:rPr>
      </w:pPr>
    </w:p>
    <w:p>
      <w:pPr>
        <w:jc w:val="both"/>
        <w:spacing w:after="0" w:line="251" w:lineRule="auto"/>
        <w:rPr>
          <w:sz w:val="20"/>
          <w:szCs w:val="20"/>
          <w:color w:val="auto"/>
        </w:rPr>
      </w:pPr>
      <w:r>
        <w:rPr>
          <w:rFonts w:ascii="Times New Roman" w:cs="Times New Roman" w:eastAsia="Times New Roman" w:hAnsi="Times New Roman"/>
          <w:sz w:val="23"/>
          <w:szCs w:val="23"/>
          <w:color w:val="auto"/>
        </w:rPr>
        <w:t>system, and that subsequently reach Lake Okeechobee, the Everglades, and offshore coral reef systems.</w:t>
      </w:r>
    </w:p>
    <w:p>
      <w:pPr>
        <w:spacing w:after="0" w:line="15" w:lineRule="exact"/>
        <w:rPr>
          <w:sz w:val="20"/>
          <w:szCs w:val="20"/>
          <w:color w:val="auto"/>
        </w:rPr>
      </w:pPr>
    </w:p>
    <w:p>
      <w:pPr>
        <w:jc w:val="both"/>
        <w:ind w:firstLine="240"/>
        <w:spacing w:after="0" w:line="254" w:lineRule="auto"/>
        <w:rPr>
          <w:sz w:val="20"/>
          <w:szCs w:val="20"/>
          <w:color w:val="auto"/>
        </w:rPr>
      </w:pPr>
      <w:r>
        <w:rPr>
          <w:rFonts w:ascii="Times New Roman" w:cs="Times New Roman" w:eastAsia="Times New Roman" w:hAnsi="Times New Roman"/>
          <w:sz w:val="23"/>
          <w:szCs w:val="23"/>
          <w:color w:val="auto"/>
        </w:rPr>
        <w:t>The focus of the 19th and early 20th centuries was on making engineered changes in natural sys-tems for perceived human benefit, but that led to many unanticipated problems in lakes on the Kissimmee Chain. We advocate for a management paradigm in the 21st century that places greater emphasis on sustainability, reduced energy expenditure, and restoring the benefits that were provided by natural ecosystem functions.</w:t>
      </w:r>
    </w:p>
    <w:p>
      <w:pPr>
        <w:spacing w:after="0" w:line="390" w:lineRule="exact"/>
        <w:rPr>
          <w:sz w:val="20"/>
          <w:szCs w:val="20"/>
          <w:color w:val="auto"/>
        </w:rPr>
      </w:pPr>
    </w:p>
    <w:p>
      <w:pPr>
        <w:spacing w:after="0"/>
        <w:rPr>
          <w:sz w:val="20"/>
          <w:szCs w:val="20"/>
          <w:color w:val="auto"/>
        </w:rPr>
      </w:pPr>
      <w:r>
        <w:rPr>
          <w:rFonts w:ascii="Arial" w:cs="Arial" w:eastAsia="Arial" w:hAnsi="Arial"/>
          <w:sz w:val="22"/>
          <w:szCs w:val="22"/>
          <w:color w:val="10157E"/>
        </w:rPr>
        <w:t>Acknowledgments</w:t>
      </w:r>
    </w:p>
    <w:p>
      <w:pPr>
        <w:spacing w:after="0" w:line="160" w:lineRule="exact"/>
        <w:rPr>
          <w:sz w:val="20"/>
          <w:szCs w:val="20"/>
          <w:color w:val="auto"/>
        </w:rPr>
      </w:pPr>
    </w:p>
    <w:p>
      <w:pPr>
        <w:jc w:val="both"/>
        <w:spacing w:after="0" w:line="264" w:lineRule="auto"/>
        <w:rPr>
          <w:sz w:val="20"/>
          <w:szCs w:val="20"/>
          <w:color w:val="auto"/>
        </w:rPr>
      </w:pPr>
      <w:r>
        <w:rPr>
          <w:rFonts w:ascii="Times New Roman" w:cs="Times New Roman" w:eastAsia="Times New Roman" w:hAnsi="Times New Roman"/>
          <w:sz w:val="19"/>
          <w:szCs w:val="19"/>
          <w:color w:val="auto"/>
        </w:rPr>
        <w:t>We are particularly grateful to Susan Gosselin (Osceola County Public Works Department) and to Kimberly Lawrence (Reedy Creek Improvement District) for their support of our study. Three anonymous reviewers provided helpful feedback. Neil Rose arranged for radioisotopic dat-ing at the Environmental Change Research Centre at University College London. Mark Brenner provided valuable suggestions that helped to improve the article. Kendal Jackson assisted in the field.</w:t>
      </w:r>
    </w:p>
    <w:p>
      <w:pPr>
        <w:spacing w:after="0" w:line="383" w:lineRule="exact"/>
        <w:rPr>
          <w:sz w:val="20"/>
          <w:szCs w:val="20"/>
          <w:color w:val="auto"/>
        </w:rPr>
      </w:pPr>
    </w:p>
    <w:p>
      <w:pPr>
        <w:spacing w:after="0"/>
        <w:rPr>
          <w:sz w:val="20"/>
          <w:szCs w:val="20"/>
          <w:color w:val="auto"/>
        </w:rPr>
      </w:pPr>
      <w:r>
        <w:rPr>
          <w:rFonts w:ascii="Arial" w:cs="Arial" w:eastAsia="Arial" w:hAnsi="Arial"/>
          <w:sz w:val="22"/>
          <w:szCs w:val="22"/>
          <w:color w:val="10157E"/>
        </w:rPr>
        <w:t>Funding</w:t>
      </w:r>
    </w:p>
    <w:p>
      <w:pPr>
        <w:spacing w:after="0" w:line="149" w:lineRule="exact"/>
        <w:rPr>
          <w:sz w:val="20"/>
          <w:szCs w:val="20"/>
          <w:color w:val="auto"/>
        </w:rPr>
      </w:pPr>
    </w:p>
    <w:p>
      <w:pPr>
        <w:jc w:val="both"/>
        <w:spacing w:after="0" w:line="261" w:lineRule="auto"/>
        <w:rPr>
          <w:sz w:val="20"/>
          <w:szCs w:val="20"/>
          <w:color w:val="auto"/>
        </w:rPr>
      </w:pPr>
      <w:r>
        <w:rPr>
          <w:rFonts w:ascii="Times New Roman" w:cs="Times New Roman" w:eastAsia="Times New Roman" w:hAnsi="Times New Roman"/>
          <w:sz w:val="19"/>
          <w:szCs w:val="19"/>
          <w:color w:val="auto"/>
        </w:rPr>
        <w:t>This study was funded in part by Osceola County Public Works Department and the Florida Department of Environmental Protection.</w:t>
      </w:r>
    </w:p>
    <w:p>
      <w:pPr>
        <w:spacing w:after="0" w:line="380" w:lineRule="exact"/>
        <w:rPr>
          <w:sz w:val="20"/>
          <w:szCs w:val="20"/>
          <w:color w:val="auto"/>
        </w:rPr>
      </w:pPr>
    </w:p>
    <w:p>
      <w:pPr>
        <w:spacing w:after="0"/>
        <w:rPr>
          <w:sz w:val="20"/>
          <w:szCs w:val="20"/>
          <w:color w:val="auto"/>
        </w:rPr>
      </w:pPr>
      <w:r>
        <w:rPr>
          <w:rFonts w:ascii="Arial" w:cs="Arial" w:eastAsia="Arial" w:hAnsi="Arial"/>
          <w:sz w:val="22"/>
          <w:szCs w:val="22"/>
          <w:color w:val="10157E"/>
        </w:rPr>
        <w:t>References</w:t>
      </w:r>
    </w:p>
    <w:p>
      <w:pPr>
        <w:spacing w:after="0" w:line="159" w:lineRule="exact"/>
        <w:rPr>
          <w:sz w:val="20"/>
          <w:szCs w:val="20"/>
          <w:color w:val="auto"/>
        </w:rPr>
      </w:pPr>
    </w:p>
    <w:p>
      <w:pPr>
        <w:jc w:val="both"/>
        <w:ind w:left="200" w:hanging="200"/>
        <w:spacing w:after="0"/>
        <w:rPr>
          <w:rFonts w:ascii="Times New Roman" w:cs="Times New Roman" w:eastAsia="Times New Roman" w:hAnsi="Times New Roman"/>
          <w:sz w:val="19"/>
          <w:szCs w:val="19"/>
          <w:color w:val="auto"/>
        </w:rPr>
      </w:pPr>
      <w:r>
        <w:rPr>
          <w:rFonts w:ascii="Times New Roman" w:cs="Times New Roman" w:eastAsia="Times New Roman" w:hAnsi="Times New Roman"/>
          <w:sz w:val="19"/>
          <w:szCs w:val="19"/>
          <w:color w:val="auto"/>
        </w:rPr>
        <w:t xml:space="preserve">Appleby PG, Nolan PJ, Gifford DW, Godfrey MJ, Oldfield F, Anderson NJ, Battarbee RW. 1986. </w:t>
      </w:r>
      <w:r>
        <w:rPr>
          <w:rFonts w:ascii="Times New Roman" w:cs="Times New Roman" w:eastAsia="Times New Roman" w:hAnsi="Times New Roman"/>
          <w:sz w:val="25"/>
          <w:szCs w:val="25"/>
          <w:color w:val="auto"/>
          <w:vertAlign w:val="superscript"/>
        </w:rPr>
        <w:t>210</w:t>
      </w:r>
      <w:r>
        <w:rPr>
          <w:rFonts w:ascii="Times New Roman" w:cs="Times New Roman" w:eastAsia="Times New Roman" w:hAnsi="Times New Roman"/>
          <w:sz w:val="19"/>
          <w:szCs w:val="19"/>
          <w:color w:val="auto"/>
        </w:rPr>
        <w:t>Pb dating by low background gamma counting. Hydrobiologia. 143(1): 21</w:t>
      </w:r>
      <w:r>
        <w:rPr>
          <w:rFonts w:ascii="Arial" w:cs="Arial" w:eastAsia="Arial" w:hAnsi="Arial"/>
          <w:sz w:val="19"/>
          <w:szCs w:val="19"/>
          <w:color w:val="auto"/>
        </w:rPr>
        <w:t>–</w:t>
      </w:r>
      <w:r>
        <w:rPr>
          <w:rFonts w:ascii="Times New Roman" w:cs="Times New Roman" w:eastAsia="Times New Roman" w:hAnsi="Times New Roman"/>
          <w:sz w:val="19"/>
          <w:szCs w:val="19"/>
          <w:color w:val="auto"/>
        </w:rPr>
        <w:t>27. doi:</w:t>
      </w:r>
      <w:hyperlink r:id="rId69">
        <w:r>
          <w:rPr>
            <w:rFonts w:ascii="Times New Roman" w:cs="Times New Roman" w:eastAsia="Times New Roman" w:hAnsi="Times New Roman"/>
            <w:sz w:val="19"/>
            <w:szCs w:val="19"/>
            <w:color w:val="000080"/>
          </w:rPr>
          <w:t>10.1007/BF00026640</w:t>
        </w:r>
      </w:hyperlink>
      <w:r>
        <w:rPr>
          <w:rFonts w:ascii="Times New Roman" w:cs="Times New Roman" w:eastAsia="Times New Roman" w:hAnsi="Times New Roman"/>
          <w:sz w:val="19"/>
          <w:szCs w:val="19"/>
          <w:color w:val="auto"/>
        </w:rPr>
        <w:t>.</w:t>
      </w:r>
    </w:p>
    <w:p>
      <w:pPr>
        <w:jc w:val="both"/>
        <w:ind w:left="200" w:hanging="200"/>
        <w:spacing w:after="0" w:line="241" w:lineRule="auto"/>
        <w:rPr>
          <w:rFonts w:ascii="Times New Roman" w:cs="Times New Roman" w:eastAsia="Times New Roman" w:hAnsi="Times New Roman"/>
          <w:sz w:val="19"/>
          <w:szCs w:val="19"/>
          <w:color w:val="auto"/>
        </w:rPr>
      </w:pPr>
      <w:r>
        <w:rPr>
          <w:rFonts w:ascii="Times New Roman" w:cs="Times New Roman" w:eastAsia="Times New Roman" w:hAnsi="Times New Roman"/>
          <w:sz w:val="19"/>
          <w:szCs w:val="19"/>
          <w:color w:val="auto"/>
        </w:rPr>
        <w:t xml:space="preserve">Appleby PG, Oldfield F. 1983. The assessment of </w:t>
      </w:r>
      <w:r>
        <w:rPr>
          <w:rFonts w:ascii="Times New Roman" w:cs="Times New Roman" w:eastAsia="Times New Roman" w:hAnsi="Times New Roman"/>
          <w:sz w:val="25"/>
          <w:szCs w:val="25"/>
          <w:color w:val="auto"/>
          <w:vertAlign w:val="superscript"/>
        </w:rPr>
        <w:t>210</w:t>
      </w:r>
      <w:r>
        <w:rPr>
          <w:rFonts w:ascii="Times New Roman" w:cs="Times New Roman" w:eastAsia="Times New Roman" w:hAnsi="Times New Roman"/>
          <w:sz w:val="19"/>
          <w:szCs w:val="19"/>
          <w:color w:val="auto"/>
        </w:rPr>
        <w:t>Pb data from sites with varying sediment accumulation rates. Hydrobiologia. 103(1):29</w:t>
      </w:r>
      <w:r>
        <w:rPr>
          <w:rFonts w:ascii="Arial" w:cs="Arial" w:eastAsia="Arial" w:hAnsi="Arial"/>
          <w:sz w:val="19"/>
          <w:szCs w:val="19"/>
          <w:color w:val="auto"/>
        </w:rPr>
        <w:t>–</w:t>
      </w:r>
      <w:r>
        <w:rPr>
          <w:rFonts w:ascii="Times New Roman" w:cs="Times New Roman" w:eastAsia="Times New Roman" w:hAnsi="Times New Roman"/>
          <w:sz w:val="19"/>
          <w:szCs w:val="19"/>
          <w:color w:val="auto"/>
        </w:rPr>
        <w:t>35. doi:</w:t>
      </w:r>
      <w:hyperlink r:id="rId70">
        <w:r>
          <w:rPr>
            <w:rFonts w:ascii="Times New Roman" w:cs="Times New Roman" w:eastAsia="Times New Roman" w:hAnsi="Times New Roman"/>
            <w:sz w:val="19"/>
            <w:szCs w:val="19"/>
            <w:color w:val="000080"/>
          </w:rPr>
          <w:t>10.1007/BF00028424</w:t>
        </w:r>
      </w:hyperlink>
      <w:r>
        <w:rPr>
          <w:rFonts w:ascii="Times New Roman" w:cs="Times New Roman" w:eastAsia="Times New Roman" w:hAnsi="Times New Roman"/>
          <w:sz w:val="19"/>
          <w:szCs w:val="19"/>
          <w:color w:val="auto"/>
        </w:rPr>
        <w:t>.</w:t>
      </w:r>
    </w:p>
    <w:p>
      <w:pPr>
        <w:spacing w:after="0" w:line="31" w:lineRule="exact"/>
        <w:rPr>
          <w:sz w:val="20"/>
          <w:szCs w:val="20"/>
          <w:color w:val="auto"/>
        </w:rPr>
      </w:pPr>
    </w:p>
    <w:p>
      <w:pPr>
        <w:jc w:val="both"/>
        <w:ind w:left="200" w:hanging="200"/>
        <w:spacing w:after="0" w:line="265" w:lineRule="auto"/>
        <w:rPr>
          <w:rFonts w:ascii="Times New Roman" w:cs="Times New Roman" w:eastAsia="Times New Roman" w:hAnsi="Times New Roman"/>
          <w:sz w:val="19"/>
          <w:szCs w:val="19"/>
          <w:color w:val="000080"/>
        </w:rPr>
      </w:pPr>
      <w:r>
        <w:rPr>
          <w:rFonts w:ascii="Times New Roman" w:cs="Times New Roman" w:eastAsia="Times New Roman" w:hAnsi="Times New Roman"/>
          <w:sz w:val="19"/>
          <w:szCs w:val="19"/>
          <w:color w:val="auto"/>
        </w:rPr>
        <w:t>Appleby PG, Richardson N, Nolan PJ. 1992. Self-absorp-tion corrections for well-type germanium detectors. Nucl Inst Methods B. 71(2):228</w:t>
      </w:r>
      <w:r>
        <w:rPr>
          <w:rFonts w:ascii="Arial" w:cs="Arial" w:eastAsia="Arial" w:hAnsi="Arial"/>
          <w:sz w:val="19"/>
          <w:szCs w:val="19"/>
          <w:color w:val="auto"/>
        </w:rPr>
        <w:t>–</w:t>
      </w:r>
      <w:r>
        <w:rPr>
          <w:rFonts w:ascii="Times New Roman" w:cs="Times New Roman" w:eastAsia="Times New Roman" w:hAnsi="Times New Roman"/>
          <w:sz w:val="19"/>
          <w:szCs w:val="19"/>
          <w:color w:val="auto"/>
        </w:rPr>
        <w:t>233. doi:</w:t>
      </w:r>
      <w:hyperlink r:id="rId71">
        <w:r>
          <w:rPr>
            <w:rFonts w:ascii="Times New Roman" w:cs="Times New Roman" w:eastAsia="Times New Roman" w:hAnsi="Times New Roman"/>
            <w:sz w:val="19"/>
            <w:szCs w:val="19"/>
            <w:color w:val="000080"/>
          </w:rPr>
          <w:t>10.1016/0168-</w:t>
        </w:r>
      </w:hyperlink>
      <w:hyperlink r:id="rId71">
        <w:r>
          <w:rPr>
            <w:rFonts w:ascii="Times New Roman" w:cs="Times New Roman" w:eastAsia="Times New Roman" w:hAnsi="Times New Roman"/>
            <w:sz w:val="19"/>
            <w:szCs w:val="19"/>
            <w:color w:val="000080"/>
          </w:rPr>
          <w:t>583X(92)95328-O</w:t>
        </w:r>
      </w:hyperlink>
      <w:r>
        <w:rPr>
          <w:rFonts w:ascii="Times New Roman" w:cs="Times New Roman" w:eastAsia="Times New Roman" w:hAnsi="Times New Roman"/>
          <w:sz w:val="19"/>
          <w:szCs w:val="19"/>
          <w:color w:val="000000"/>
        </w:rPr>
        <w:t>.</w:t>
      </w:r>
    </w:p>
    <w:p>
      <w:pPr>
        <w:spacing w:after="0" w:line="8" w:lineRule="exact"/>
        <w:rPr>
          <w:sz w:val="20"/>
          <w:szCs w:val="20"/>
          <w:color w:val="auto"/>
        </w:rPr>
      </w:pPr>
    </w:p>
    <w:p>
      <w:pPr>
        <w:jc w:val="both"/>
        <w:ind w:left="200" w:hanging="200"/>
        <w:spacing w:after="0" w:line="265" w:lineRule="auto"/>
        <w:rPr>
          <w:rFonts w:ascii="Times New Roman" w:cs="Times New Roman" w:eastAsia="Times New Roman" w:hAnsi="Times New Roman"/>
          <w:sz w:val="19"/>
          <w:szCs w:val="19"/>
          <w:color w:val="auto"/>
        </w:rPr>
      </w:pPr>
      <w:r>
        <w:rPr>
          <w:rFonts w:ascii="Times New Roman" w:cs="Times New Roman" w:eastAsia="Times New Roman" w:hAnsi="Times New Roman"/>
          <w:sz w:val="19"/>
          <w:szCs w:val="19"/>
          <w:color w:val="auto"/>
        </w:rPr>
        <w:t>Battarbee RW, Bennion B. 2011. Palaeolimnology and its developing role in assessing the history and extent of human impact on lake ecosystems. J Paleolimnol. 45(4): 399</w:t>
      </w:r>
      <w:r>
        <w:rPr>
          <w:rFonts w:ascii="Arial" w:cs="Arial" w:eastAsia="Arial" w:hAnsi="Arial"/>
          <w:sz w:val="19"/>
          <w:szCs w:val="19"/>
          <w:color w:val="auto"/>
        </w:rPr>
        <w:t>–</w:t>
      </w:r>
      <w:r>
        <w:rPr>
          <w:rFonts w:ascii="Times New Roman" w:cs="Times New Roman" w:eastAsia="Times New Roman" w:hAnsi="Times New Roman"/>
          <w:sz w:val="19"/>
          <w:szCs w:val="19"/>
          <w:color w:val="auto"/>
        </w:rPr>
        <w:t>404. doi:</w:t>
      </w:r>
      <w:hyperlink r:id="rId72">
        <w:r>
          <w:rPr>
            <w:rFonts w:ascii="Times New Roman" w:cs="Times New Roman" w:eastAsia="Times New Roman" w:hAnsi="Times New Roman"/>
            <w:sz w:val="19"/>
            <w:szCs w:val="19"/>
            <w:color w:val="000080"/>
          </w:rPr>
          <w:t>10.1007/s10933-010-9423-7</w:t>
        </w:r>
      </w:hyperlink>
      <w:r>
        <w:rPr>
          <w:rFonts w:ascii="Times New Roman" w:cs="Times New Roman" w:eastAsia="Times New Roman" w:hAnsi="Times New Roman"/>
          <w:sz w:val="19"/>
          <w:szCs w:val="19"/>
          <w:color w:val="auto"/>
        </w:rPr>
        <w:t>.</w:t>
      </w:r>
    </w:p>
    <w:p>
      <w:pPr>
        <w:spacing w:after="0" w:line="8" w:lineRule="exact"/>
        <w:rPr>
          <w:sz w:val="20"/>
          <w:szCs w:val="20"/>
          <w:color w:val="auto"/>
        </w:rPr>
      </w:pPr>
    </w:p>
    <w:p>
      <w:pPr>
        <w:jc w:val="both"/>
        <w:ind w:left="200" w:hanging="200"/>
        <w:spacing w:after="0" w:line="263" w:lineRule="auto"/>
        <w:rPr>
          <w:rFonts w:ascii="Times New Roman" w:cs="Times New Roman" w:eastAsia="Times New Roman" w:hAnsi="Times New Roman"/>
          <w:sz w:val="19"/>
          <w:szCs w:val="19"/>
          <w:color w:val="auto"/>
        </w:rPr>
      </w:pPr>
      <w:r>
        <w:rPr>
          <w:rFonts w:ascii="Times New Roman" w:cs="Times New Roman" w:eastAsia="Times New Roman" w:hAnsi="Times New Roman"/>
          <w:sz w:val="19"/>
          <w:szCs w:val="19"/>
          <w:color w:val="auto"/>
        </w:rPr>
        <w:t>Bennett KD. 1996. Determination of the number of zones in a biostratigraphical sequence. New Phytol. 132(1): 155</w:t>
      </w:r>
      <w:r>
        <w:rPr>
          <w:rFonts w:ascii="Arial" w:cs="Arial" w:eastAsia="Arial" w:hAnsi="Arial"/>
          <w:sz w:val="19"/>
          <w:szCs w:val="19"/>
          <w:color w:val="auto"/>
        </w:rPr>
        <w:t>–</w:t>
      </w:r>
      <w:r>
        <w:rPr>
          <w:rFonts w:ascii="Times New Roman" w:cs="Times New Roman" w:eastAsia="Times New Roman" w:hAnsi="Times New Roman"/>
          <w:sz w:val="19"/>
          <w:szCs w:val="19"/>
          <w:color w:val="auto"/>
        </w:rPr>
        <w:t>170. doi:</w:t>
      </w:r>
      <w:hyperlink r:id="rId73">
        <w:r>
          <w:rPr>
            <w:rFonts w:ascii="Times New Roman" w:cs="Times New Roman" w:eastAsia="Times New Roman" w:hAnsi="Times New Roman"/>
            <w:sz w:val="19"/>
            <w:szCs w:val="19"/>
            <w:color w:val="000080"/>
          </w:rPr>
          <w:t>10.1111/j.1469-8137.1996.tb04521.x</w:t>
        </w:r>
      </w:hyperlink>
      <w:r>
        <w:rPr>
          <w:rFonts w:ascii="Times New Roman" w:cs="Times New Roman" w:eastAsia="Times New Roman" w:hAnsi="Times New Roman"/>
          <w:sz w:val="19"/>
          <w:szCs w:val="19"/>
          <w:color w:val="auto"/>
        </w:rPr>
        <w:t>.</w:t>
      </w:r>
    </w:p>
    <w:p>
      <w:pPr>
        <w:spacing w:after="0" w:line="10" w:lineRule="exact"/>
        <w:rPr>
          <w:sz w:val="20"/>
          <w:szCs w:val="20"/>
          <w:color w:val="auto"/>
        </w:rPr>
      </w:pPr>
    </w:p>
    <w:p>
      <w:pPr>
        <w:jc w:val="both"/>
        <w:ind w:left="200" w:hanging="200"/>
        <w:spacing w:after="0" w:line="263" w:lineRule="auto"/>
        <w:rPr>
          <w:sz w:val="20"/>
          <w:szCs w:val="20"/>
          <w:color w:val="auto"/>
        </w:rPr>
      </w:pPr>
      <w:r>
        <w:rPr>
          <w:rFonts w:ascii="Times New Roman" w:cs="Times New Roman" w:eastAsia="Times New Roman" w:hAnsi="Times New Roman"/>
          <w:sz w:val="19"/>
          <w:szCs w:val="19"/>
          <w:color w:val="auto"/>
        </w:rPr>
        <w:t>Bennett KD, Willis KJ. 2001. Pollen. In: Smol JP, Birks HJ, Last WM, editors. Tracking environmental change using lake sediments volume 3: terrestrial, algal, and siliceous</w:t>
      </w:r>
    </w:p>
    <w:p>
      <w:pPr>
        <w:sectPr>
          <w:pgSz w:w="12240" w:h="15840" w:orient="portrait"/>
          <w:cols w:equalWidth="0" w:num="2">
            <w:col w:w="4740" w:space="360"/>
            <w:col w:w="4740"/>
          </w:cols>
          <w:pgMar w:left="1200" w:top="458" w:right="1200" w:bottom="536" w:gutter="0" w:footer="0" w:header="0"/>
        </w:sectPr>
      </w:pPr>
    </w:p>
    <w:bookmarkStart w:id="23" w:name="page24"/>
    <w:bookmarkEnd w:id="23"/>
    <w:p>
      <w:pPr>
        <w:spacing w:after="0" w:line="200" w:lineRule="exact"/>
        <w:rPr>
          <w:sz w:val="20"/>
          <w:szCs w:val="20"/>
          <w:color w:val="auto"/>
        </w:rPr>
      </w:pPr>
    </w:p>
    <w:p>
      <w:pPr>
        <w:spacing w:after="0" w:line="370" w:lineRule="exact"/>
        <w:rPr>
          <w:sz w:val="20"/>
          <w:szCs w:val="20"/>
          <w:color w:val="auto"/>
        </w:rPr>
      </w:pPr>
    </w:p>
    <w:p>
      <w:pPr>
        <w:spacing w:after="0" w:line="259" w:lineRule="auto"/>
        <w:rPr>
          <w:sz w:val="20"/>
          <w:szCs w:val="20"/>
          <w:color w:val="auto"/>
        </w:rPr>
      </w:pPr>
      <w:r>
        <w:rPr>
          <w:rFonts w:ascii="Times New Roman" w:cs="Times New Roman" w:eastAsia="Times New Roman" w:hAnsi="Times New Roman"/>
          <w:sz w:val="19"/>
          <w:szCs w:val="19"/>
          <w:color w:val="auto"/>
        </w:rPr>
        <w:t>indicators. Dordrecht, The Netherlands: Kluwer Academic Publications; p. 5</w:t>
      </w:r>
      <w:r>
        <w:rPr>
          <w:rFonts w:ascii="Arial" w:cs="Arial" w:eastAsia="Arial" w:hAnsi="Arial"/>
          <w:sz w:val="19"/>
          <w:szCs w:val="19"/>
          <w:color w:val="auto"/>
        </w:rPr>
        <w:t>–</w:t>
      </w:r>
      <w:r>
        <w:rPr>
          <w:rFonts w:ascii="Times New Roman" w:cs="Times New Roman" w:eastAsia="Times New Roman" w:hAnsi="Times New Roman"/>
          <w:sz w:val="19"/>
          <w:szCs w:val="19"/>
          <w:color w:val="auto"/>
        </w:rPr>
        <w:t>32.</w:t>
      </w:r>
    </w:p>
    <w:p>
      <w:pPr>
        <w:spacing w:after="0" w:line="14" w:lineRule="exact"/>
        <w:rPr>
          <w:sz w:val="20"/>
          <w:szCs w:val="20"/>
          <w:color w:val="auto"/>
        </w:rPr>
      </w:pPr>
    </w:p>
    <w:p>
      <w:pPr>
        <w:jc w:val="both"/>
        <w:ind w:hanging="199"/>
        <w:spacing w:after="0" w:line="268" w:lineRule="auto"/>
        <w:rPr>
          <w:rFonts w:ascii="Times New Roman" w:cs="Times New Roman" w:eastAsia="Times New Roman" w:hAnsi="Times New Roman"/>
          <w:sz w:val="19"/>
          <w:szCs w:val="19"/>
          <w:color w:val="000080"/>
        </w:rPr>
      </w:pPr>
      <w:r>
        <w:rPr>
          <w:rFonts w:ascii="Times New Roman" w:cs="Times New Roman" w:eastAsia="Times New Roman" w:hAnsi="Times New Roman"/>
          <w:sz w:val="19"/>
          <w:szCs w:val="19"/>
          <w:color w:val="auto"/>
        </w:rPr>
        <w:t>Bennion</w:t>
      </w:r>
      <w:r>
        <w:rPr>
          <w:sz w:val="20"/>
          <w:szCs w:val="20"/>
          <w:color w:val="auto"/>
        </w:rPr>
        <w:t xml:space="preserve"> </w:t>
      </w:r>
      <w:r>
        <w:rPr>
          <w:rFonts w:ascii="Times New Roman" w:cs="Times New Roman" w:eastAsia="Times New Roman" w:hAnsi="Times New Roman"/>
          <w:sz w:val="19"/>
          <w:szCs w:val="19"/>
          <w:color w:val="auto"/>
        </w:rPr>
        <w:t>H, Battarbee RW, Sayer CD, Simpson GL, Davidson TA. 2011. Defining reference conditions and restoration targets for lake ecosystems using palaeolim-nology: a synthesis. J Paleolimnol. 45(4):533</w:t>
      </w:r>
      <w:r>
        <w:rPr>
          <w:rFonts w:ascii="Arial" w:cs="Arial" w:eastAsia="Arial" w:hAnsi="Arial"/>
          <w:sz w:val="19"/>
          <w:szCs w:val="19"/>
          <w:color w:val="auto"/>
        </w:rPr>
        <w:t>–</w:t>
      </w:r>
      <w:r>
        <w:rPr>
          <w:rFonts w:ascii="Times New Roman" w:cs="Times New Roman" w:eastAsia="Times New Roman" w:hAnsi="Times New Roman"/>
          <w:sz w:val="19"/>
          <w:szCs w:val="19"/>
          <w:color w:val="auto"/>
        </w:rPr>
        <w:t>544. doi:</w:t>
      </w:r>
      <w:hyperlink r:id="rId74">
        <w:r>
          <w:rPr>
            <w:rFonts w:ascii="Times New Roman" w:cs="Times New Roman" w:eastAsia="Times New Roman" w:hAnsi="Times New Roman"/>
            <w:sz w:val="19"/>
            <w:szCs w:val="19"/>
            <w:color w:val="000080"/>
          </w:rPr>
          <w:t>10.</w:t>
        </w:r>
      </w:hyperlink>
      <w:r>
        <w:rPr>
          <w:rFonts w:ascii="Times New Roman" w:cs="Times New Roman" w:eastAsia="Times New Roman" w:hAnsi="Times New Roman"/>
          <w:sz w:val="19"/>
          <w:szCs w:val="19"/>
          <w:color w:val="auto"/>
        </w:rPr>
        <w:t xml:space="preserve"> </w:t>
      </w:r>
      <w:hyperlink r:id="rId74">
        <w:r>
          <w:rPr>
            <w:rFonts w:ascii="Times New Roman" w:cs="Times New Roman" w:eastAsia="Times New Roman" w:hAnsi="Times New Roman"/>
            <w:sz w:val="19"/>
            <w:szCs w:val="19"/>
            <w:color w:val="000080"/>
          </w:rPr>
          <w:t>1007/s10933-010-9419-3</w:t>
        </w:r>
      </w:hyperlink>
      <w:r>
        <w:rPr>
          <w:rFonts w:ascii="Times New Roman" w:cs="Times New Roman" w:eastAsia="Times New Roman" w:hAnsi="Times New Roman"/>
          <w:sz w:val="19"/>
          <w:szCs w:val="19"/>
          <w:color w:val="000000"/>
        </w:rPr>
        <w:t>.</w:t>
      </w:r>
    </w:p>
    <w:p>
      <w:pPr>
        <w:spacing w:after="0" w:line="6" w:lineRule="exact"/>
        <w:rPr>
          <w:sz w:val="20"/>
          <w:szCs w:val="20"/>
          <w:color w:val="auto"/>
        </w:rPr>
      </w:pPr>
    </w:p>
    <w:p>
      <w:pPr>
        <w:jc w:val="both"/>
        <w:ind w:hanging="199"/>
        <w:spacing w:after="0" w:line="268" w:lineRule="auto"/>
        <w:rPr>
          <w:rFonts w:ascii="Times New Roman" w:cs="Times New Roman" w:eastAsia="Times New Roman" w:hAnsi="Times New Roman"/>
          <w:sz w:val="19"/>
          <w:szCs w:val="19"/>
          <w:color w:val="000080"/>
        </w:rPr>
      </w:pPr>
      <w:r>
        <w:rPr>
          <w:rFonts w:ascii="Times New Roman" w:cs="Times New Roman" w:eastAsia="Times New Roman" w:hAnsi="Times New Roman"/>
          <w:sz w:val="19"/>
          <w:szCs w:val="19"/>
          <w:color w:val="auto"/>
        </w:rPr>
        <w:t>Bennion H, Sayer CD, Clarke SJ, Davidson TA, Rose NL, Goldsmith B, Rawcliffe R, Burgess A, Clarke G, Turner S, Wiik E. 2018. Sedimentary macrofossil records reveal ecological change in English lakes: implications for con-servation. J Paleolimnol. 60(2):329</w:t>
      </w:r>
      <w:r>
        <w:rPr>
          <w:rFonts w:ascii="Arial" w:cs="Arial" w:eastAsia="Arial" w:hAnsi="Arial"/>
          <w:sz w:val="19"/>
          <w:szCs w:val="19"/>
          <w:color w:val="auto"/>
        </w:rPr>
        <w:t>–</w:t>
      </w:r>
      <w:r>
        <w:rPr>
          <w:rFonts w:ascii="Times New Roman" w:cs="Times New Roman" w:eastAsia="Times New Roman" w:hAnsi="Times New Roman"/>
          <w:sz w:val="19"/>
          <w:szCs w:val="19"/>
          <w:color w:val="auto"/>
        </w:rPr>
        <w:t>348. doi:</w:t>
      </w:r>
      <w:hyperlink r:id="rId75">
        <w:r>
          <w:rPr>
            <w:rFonts w:ascii="Times New Roman" w:cs="Times New Roman" w:eastAsia="Times New Roman" w:hAnsi="Times New Roman"/>
            <w:sz w:val="19"/>
            <w:szCs w:val="19"/>
            <w:color w:val="000080"/>
          </w:rPr>
          <w:t>10.1007/</w:t>
        </w:r>
      </w:hyperlink>
      <w:r>
        <w:rPr>
          <w:rFonts w:ascii="Times New Roman" w:cs="Times New Roman" w:eastAsia="Times New Roman" w:hAnsi="Times New Roman"/>
          <w:sz w:val="19"/>
          <w:szCs w:val="19"/>
          <w:color w:val="auto"/>
        </w:rPr>
        <w:t xml:space="preserve"> </w:t>
      </w:r>
      <w:hyperlink r:id="rId75">
        <w:r>
          <w:rPr>
            <w:rFonts w:ascii="Times New Roman" w:cs="Times New Roman" w:eastAsia="Times New Roman" w:hAnsi="Times New Roman"/>
            <w:sz w:val="19"/>
            <w:szCs w:val="19"/>
            <w:color w:val="000080"/>
          </w:rPr>
          <w:t>s10933-017-9941-7</w:t>
        </w:r>
      </w:hyperlink>
      <w:r>
        <w:rPr>
          <w:rFonts w:ascii="Times New Roman" w:cs="Times New Roman" w:eastAsia="Times New Roman" w:hAnsi="Times New Roman"/>
          <w:sz w:val="19"/>
          <w:szCs w:val="19"/>
          <w:color w:val="000000"/>
        </w:rPr>
        <w:t>.</w:t>
      </w:r>
    </w:p>
    <w:p>
      <w:pPr>
        <w:spacing w:after="0" w:line="8" w:lineRule="exact"/>
        <w:rPr>
          <w:sz w:val="20"/>
          <w:szCs w:val="20"/>
          <w:color w:val="auto"/>
        </w:rPr>
      </w:pPr>
    </w:p>
    <w:p>
      <w:pPr>
        <w:jc w:val="both"/>
        <w:ind w:hanging="199"/>
        <w:spacing w:after="0" w:line="265" w:lineRule="auto"/>
        <w:rPr>
          <w:sz w:val="20"/>
          <w:szCs w:val="20"/>
          <w:color w:val="auto"/>
        </w:rPr>
      </w:pPr>
      <w:r>
        <w:rPr>
          <w:rFonts w:ascii="Times New Roman" w:cs="Times New Roman" w:eastAsia="Times New Roman" w:hAnsi="Times New Roman"/>
          <w:sz w:val="19"/>
          <w:szCs w:val="19"/>
          <w:color w:val="auto"/>
        </w:rPr>
        <w:t>Birks</w:t>
      </w:r>
      <w:r>
        <w:rPr>
          <w:sz w:val="20"/>
          <w:szCs w:val="20"/>
          <w:color w:val="auto"/>
        </w:rPr>
        <w:t xml:space="preserve"> </w:t>
      </w:r>
      <w:r>
        <w:rPr>
          <w:rFonts w:ascii="Times New Roman" w:cs="Times New Roman" w:eastAsia="Times New Roman" w:hAnsi="Times New Roman"/>
          <w:sz w:val="19"/>
          <w:szCs w:val="19"/>
          <w:color w:val="auto"/>
        </w:rPr>
        <w:t>HH. 2017. Plant macrofossil introduction. In: Reference module in earth systems and environmental sciences. New York: Elsevier.</w:t>
      </w:r>
    </w:p>
    <w:p>
      <w:pPr>
        <w:spacing w:after="0" w:line="9" w:lineRule="exact"/>
        <w:rPr>
          <w:sz w:val="20"/>
          <w:szCs w:val="20"/>
          <w:color w:val="auto"/>
        </w:rPr>
      </w:pPr>
    </w:p>
    <w:p>
      <w:pPr>
        <w:jc w:val="both"/>
        <w:ind w:hanging="199"/>
        <w:spacing w:after="0" w:line="265" w:lineRule="auto"/>
        <w:rPr>
          <w:rFonts w:ascii="Times New Roman" w:cs="Times New Roman" w:eastAsia="Times New Roman" w:hAnsi="Times New Roman"/>
          <w:sz w:val="19"/>
          <w:szCs w:val="19"/>
          <w:color w:val="auto"/>
        </w:rPr>
      </w:pPr>
      <w:r>
        <w:rPr>
          <w:rFonts w:ascii="Times New Roman" w:cs="Times New Roman" w:eastAsia="Times New Roman" w:hAnsi="Times New Roman"/>
          <w:sz w:val="19"/>
          <w:szCs w:val="19"/>
          <w:color w:val="auto"/>
        </w:rPr>
        <w:t>Blindow I. 1992. Decline of charophytes during eutrophica-tion: comparison with angiosperms. Freshwater Biol. 28(1):9</w:t>
      </w:r>
      <w:r>
        <w:rPr>
          <w:rFonts w:ascii="Arial" w:cs="Arial" w:eastAsia="Arial" w:hAnsi="Arial"/>
          <w:sz w:val="19"/>
          <w:szCs w:val="19"/>
          <w:color w:val="auto"/>
        </w:rPr>
        <w:t>–</w:t>
      </w:r>
      <w:r>
        <w:rPr>
          <w:rFonts w:ascii="Times New Roman" w:cs="Times New Roman" w:eastAsia="Times New Roman" w:hAnsi="Times New Roman"/>
          <w:sz w:val="19"/>
          <w:szCs w:val="19"/>
          <w:color w:val="auto"/>
        </w:rPr>
        <w:t>14. doi:</w:t>
      </w:r>
      <w:hyperlink r:id="rId76">
        <w:r>
          <w:rPr>
            <w:rFonts w:ascii="Times New Roman" w:cs="Times New Roman" w:eastAsia="Times New Roman" w:hAnsi="Times New Roman"/>
            <w:sz w:val="19"/>
            <w:szCs w:val="19"/>
            <w:color w:val="000080"/>
          </w:rPr>
          <w:t>10.1111/j.1365-2427.1992.tb00557.x</w:t>
        </w:r>
      </w:hyperlink>
      <w:r>
        <w:rPr>
          <w:rFonts w:ascii="Times New Roman" w:cs="Times New Roman" w:eastAsia="Times New Roman" w:hAnsi="Times New Roman"/>
          <w:sz w:val="19"/>
          <w:szCs w:val="19"/>
          <w:color w:val="auto"/>
        </w:rPr>
        <w:t>.</w:t>
      </w:r>
    </w:p>
    <w:p>
      <w:pPr>
        <w:spacing w:after="0" w:line="9" w:lineRule="exact"/>
        <w:rPr>
          <w:sz w:val="20"/>
          <w:szCs w:val="20"/>
          <w:color w:val="auto"/>
        </w:rPr>
      </w:pPr>
    </w:p>
    <w:p>
      <w:pPr>
        <w:jc w:val="both"/>
        <w:ind w:hanging="199"/>
        <w:spacing w:after="0" w:line="268" w:lineRule="auto"/>
        <w:rPr>
          <w:rFonts w:ascii="Times New Roman" w:cs="Times New Roman" w:eastAsia="Times New Roman" w:hAnsi="Times New Roman"/>
          <w:sz w:val="19"/>
          <w:szCs w:val="19"/>
          <w:color w:val="auto"/>
        </w:rPr>
      </w:pPr>
      <w:r>
        <w:rPr>
          <w:rFonts w:ascii="Times New Roman" w:cs="Times New Roman" w:eastAsia="Times New Roman" w:hAnsi="Times New Roman"/>
          <w:sz w:val="19"/>
          <w:szCs w:val="19"/>
          <w:color w:val="auto"/>
        </w:rPr>
        <w:t>Brenner M, Hodell DA, Leyden BW, Curtis JH, Kenney WF, Gu BH, Newman JM. 2006. Mechanisms for organic matter and phosphorus burial in sediments of a shallow, subtropical, macrophyte-dominated lake. J Paleolimnol. 35(1):129</w:t>
      </w:r>
      <w:r>
        <w:rPr>
          <w:rFonts w:ascii="Arial" w:cs="Arial" w:eastAsia="Arial" w:hAnsi="Arial"/>
          <w:sz w:val="19"/>
          <w:szCs w:val="19"/>
          <w:color w:val="auto"/>
        </w:rPr>
        <w:t>–</w:t>
      </w:r>
      <w:r>
        <w:rPr>
          <w:rFonts w:ascii="Times New Roman" w:cs="Times New Roman" w:eastAsia="Times New Roman" w:hAnsi="Times New Roman"/>
          <w:sz w:val="19"/>
          <w:szCs w:val="19"/>
          <w:color w:val="auto"/>
        </w:rPr>
        <w:t>148. doi:</w:t>
      </w:r>
      <w:hyperlink r:id="rId77">
        <w:r>
          <w:rPr>
            <w:rFonts w:ascii="Times New Roman" w:cs="Times New Roman" w:eastAsia="Times New Roman" w:hAnsi="Times New Roman"/>
            <w:sz w:val="19"/>
            <w:szCs w:val="19"/>
            <w:color w:val="000080"/>
          </w:rPr>
          <w:t>10.1007/s10933-005-7881-0</w:t>
        </w:r>
      </w:hyperlink>
      <w:r>
        <w:rPr>
          <w:rFonts w:ascii="Times New Roman" w:cs="Times New Roman" w:eastAsia="Times New Roman" w:hAnsi="Times New Roman"/>
          <w:sz w:val="19"/>
          <w:szCs w:val="19"/>
          <w:color w:val="auto"/>
        </w:rPr>
        <w:t>.</w:t>
      </w:r>
    </w:p>
    <w:p>
      <w:pPr>
        <w:spacing w:after="0" w:line="5" w:lineRule="exact"/>
        <w:rPr>
          <w:sz w:val="20"/>
          <w:szCs w:val="20"/>
          <w:color w:val="auto"/>
        </w:rPr>
      </w:pPr>
    </w:p>
    <w:p>
      <w:pPr>
        <w:jc w:val="both"/>
        <w:ind w:hanging="199"/>
        <w:spacing w:after="0" w:line="258" w:lineRule="auto"/>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Brenner M, Whitmore TJ, Curtis JH, Hodell DA, Schelske CL. 1999. Stable isotopes (d</w:t>
      </w:r>
      <w:r>
        <w:rPr>
          <w:rFonts w:ascii="Times New Roman" w:cs="Times New Roman" w:eastAsia="Times New Roman" w:hAnsi="Times New Roman"/>
          <w:sz w:val="24"/>
          <w:szCs w:val="24"/>
          <w:color w:val="auto"/>
          <w:vertAlign w:val="superscript"/>
        </w:rPr>
        <w:t>13</w:t>
      </w:r>
      <w:r>
        <w:rPr>
          <w:rFonts w:ascii="Times New Roman" w:cs="Times New Roman" w:eastAsia="Times New Roman" w:hAnsi="Times New Roman"/>
          <w:sz w:val="18"/>
          <w:szCs w:val="18"/>
          <w:color w:val="auto"/>
        </w:rPr>
        <w:t>C and d</w:t>
      </w:r>
      <w:r>
        <w:rPr>
          <w:rFonts w:ascii="Times New Roman" w:cs="Times New Roman" w:eastAsia="Times New Roman" w:hAnsi="Times New Roman"/>
          <w:sz w:val="24"/>
          <w:szCs w:val="24"/>
          <w:color w:val="auto"/>
          <w:vertAlign w:val="superscript"/>
        </w:rPr>
        <w:t>15</w:t>
      </w:r>
      <w:r>
        <w:rPr>
          <w:rFonts w:ascii="Times New Roman" w:cs="Times New Roman" w:eastAsia="Times New Roman" w:hAnsi="Times New Roman"/>
          <w:sz w:val="18"/>
          <w:szCs w:val="18"/>
          <w:color w:val="auto"/>
        </w:rPr>
        <w:t>N) of sedimented organic matter as indicators of historic lake trophic state. J Paleolimnol. 22(2):205</w:t>
      </w:r>
      <w:r>
        <w:rPr>
          <w:rFonts w:ascii="Arial" w:cs="Arial" w:eastAsia="Arial" w:hAnsi="Arial"/>
          <w:sz w:val="18"/>
          <w:szCs w:val="18"/>
          <w:color w:val="auto"/>
        </w:rPr>
        <w:t>–</w:t>
      </w:r>
      <w:r>
        <w:rPr>
          <w:rFonts w:ascii="Times New Roman" w:cs="Times New Roman" w:eastAsia="Times New Roman" w:hAnsi="Times New Roman"/>
          <w:sz w:val="18"/>
          <w:szCs w:val="18"/>
          <w:color w:val="auto"/>
        </w:rPr>
        <w:t>221. doi:</w:t>
      </w:r>
      <w:hyperlink r:id="rId78">
        <w:r>
          <w:rPr>
            <w:rFonts w:ascii="Times New Roman" w:cs="Times New Roman" w:eastAsia="Times New Roman" w:hAnsi="Times New Roman"/>
            <w:sz w:val="18"/>
            <w:szCs w:val="18"/>
            <w:color w:val="000080"/>
          </w:rPr>
          <w:t>10.1023/A:1008078222806</w:t>
        </w:r>
      </w:hyperlink>
      <w:r>
        <w:rPr>
          <w:rFonts w:ascii="Times New Roman" w:cs="Times New Roman" w:eastAsia="Times New Roman" w:hAnsi="Times New Roman"/>
          <w:sz w:val="18"/>
          <w:szCs w:val="18"/>
          <w:color w:val="auto"/>
        </w:rPr>
        <w:t>.</w:t>
      </w:r>
    </w:p>
    <w:p>
      <w:pPr>
        <w:spacing w:after="0" w:line="15" w:lineRule="exact"/>
        <w:rPr>
          <w:sz w:val="20"/>
          <w:szCs w:val="20"/>
          <w:color w:val="auto"/>
        </w:rPr>
      </w:pPr>
    </w:p>
    <w:p>
      <w:pPr>
        <w:jc w:val="both"/>
        <w:ind w:hanging="199"/>
        <w:spacing w:after="0" w:line="267" w:lineRule="auto"/>
        <w:rPr>
          <w:rFonts w:ascii="Times New Roman" w:cs="Times New Roman" w:eastAsia="Times New Roman" w:hAnsi="Times New Roman"/>
          <w:sz w:val="19"/>
          <w:szCs w:val="19"/>
          <w:color w:val="auto"/>
        </w:rPr>
      </w:pPr>
      <w:r>
        <w:rPr>
          <w:rFonts w:ascii="Times New Roman" w:cs="Times New Roman" w:eastAsia="Times New Roman" w:hAnsi="Times New Roman"/>
          <w:sz w:val="19"/>
          <w:szCs w:val="19"/>
          <w:color w:val="auto"/>
        </w:rPr>
        <w:t>Brenner M, Whitmore TJ, Flannery MS, Binford MW. 1993. Paleolimnological methods for defining target conditions in lake restoration: Florida case studies. Lake Reserv Manage. 7(2):209</w:t>
      </w:r>
      <w:r>
        <w:rPr>
          <w:rFonts w:ascii="Arial" w:cs="Arial" w:eastAsia="Arial" w:hAnsi="Arial"/>
          <w:sz w:val="19"/>
          <w:szCs w:val="19"/>
          <w:color w:val="auto"/>
        </w:rPr>
        <w:t>–</w:t>
      </w:r>
      <w:r>
        <w:rPr>
          <w:rFonts w:ascii="Times New Roman" w:cs="Times New Roman" w:eastAsia="Times New Roman" w:hAnsi="Times New Roman"/>
          <w:sz w:val="19"/>
          <w:szCs w:val="19"/>
          <w:color w:val="auto"/>
        </w:rPr>
        <w:t>217. doi:</w:t>
      </w:r>
      <w:hyperlink r:id="rId79">
        <w:r>
          <w:rPr>
            <w:rFonts w:ascii="Times New Roman" w:cs="Times New Roman" w:eastAsia="Times New Roman" w:hAnsi="Times New Roman"/>
            <w:sz w:val="19"/>
            <w:szCs w:val="19"/>
            <w:color w:val="000080"/>
          </w:rPr>
          <w:t>10.1080/07438149309354272</w:t>
        </w:r>
      </w:hyperlink>
      <w:r>
        <w:rPr>
          <w:rFonts w:ascii="Times New Roman" w:cs="Times New Roman" w:eastAsia="Times New Roman" w:hAnsi="Times New Roman"/>
          <w:sz w:val="19"/>
          <w:szCs w:val="19"/>
          <w:color w:val="auto"/>
        </w:rPr>
        <w:t>.</w:t>
      </w:r>
    </w:p>
    <w:p>
      <w:pPr>
        <w:spacing w:after="0" w:line="6" w:lineRule="exact"/>
        <w:rPr>
          <w:sz w:val="20"/>
          <w:szCs w:val="20"/>
          <w:color w:val="auto"/>
        </w:rPr>
      </w:pPr>
    </w:p>
    <w:p>
      <w:pPr>
        <w:jc w:val="both"/>
        <w:ind w:hanging="199"/>
        <w:spacing w:after="0" w:line="267" w:lineRule="auto"/>
        <w:rPr>
          <w:rFonts w:ascii="Times New Roman" w:cs="Times New Roman" w:eastAsia="Times New Roman" w:hAnsi="Times New Roman"/>
          <w:sz w:val="19"/>
          <w:szCs w:val="19"/>
          <w:color w:val="000080"/>
        </w:rPr>
      </w:pPr>
      <w:r>
        <w:rPr>
          <w:rFonts w:ascii="Times New Roman" w:cs="Times New Roman" w:eastAsia="Times New Roman" w:hAnsi="Times New Roman"/>
          <w:sz w:val="19"/>
          <w:szCs w:val="19"/>
          <w:color w:val="auto"/>
        </w:rPr>
        <w:t>Brooks SJ, Bennion H, Birks H. 2001. Tracing lake trophic history with a chironomid-total phosphorus inference model. Freshwater Biol. 46(4):513</w:t>
      </w:r>
      <w:r>
        <w:rPr>
          <w:rFonts w:ascii="Arial" w:cs="Arial" w:eastAsia="Arial" w:hAnsi="Arial"/>
          <w:sz w:val="19"/>
          <w:szCs w:val="19"/>
          <w:color w:val="auto"/>
        </w:rPr>
        <w:t>–</w:t>
      </w:r>
      <w:r>
        <w:rPr>
          <w:rFonts w:ascii="Times New Roman" w:cs="Times New Roman" w:eastAsia="Times New Roman" w:hAnsi="Times New Roman"/>
          <w:sz w:val="19"/>
          <w:szCs w:val="19"/>
          <w:color w:val="auto"/>
        </w:rPr>
        <w:t>533. doi:</w:t>
      </w:r>
      <w:hyperlink r:id="rId80">
        <w:r>
          <w:rPr>
            <w:rFonts w:ascii="Times New Roman" w:cs="Times New Roman" w:eastAsia="Times New Roman" w:hAnsi="Times New Roman"/>
            <w:sz w:val="19"/>
            <w:szCs w:val="19"/>
            <w:color w:val="000080"/>
          </w:rPr>
          <w:t>10.1046/j.</w:t>
        </w:r>
      </w:hyperlink>
      <w:r>
        <w:rPr>
          <w:rFonts w:ascii="Times New Roman" w:cs="Times New Roman" w:eastAsia="Times New Roman" w:hAnsi="Times New Roman"/>
          <w:sz w:val="19"/>
          <w:szCs w:val="19"/>
          <w:color w:val="auto"/>
        </w:rPr>
        <w:t xml:space="preserve"> </w:t>
      </w:r>
      <w:hyperlink r:id="rId80">
        <w:r>
          <w:rPr>
            <w:rFonts w:ascii="Times New Roman" w:cs="Times New Roman" w:eastAsia="Times New Roman" w:hAnsi="Times New Roman"/>
            <w:sz w:val="19"/>
            <w:szCs w:val="19"/>
            <w:color w:val="000080"/>
          </w:rPr>
          <w:t>1365-2427.2001.00684.x</w:t>
        </w:r>
      </w:hyperlink>
      <w:r>
        <w:rPr>
          <w:rFonts w:ascii="Times New Roman" w:cs="Times New Roman" w:eastAsia="Times New Roman" w:hAnsi="Times New Roman"/>
          <w:sz w:val="19"/>
          <w:szCs w:val="19"/>
          <w:color w:val="000000"/>
        </w:rPr>
        <w:t>.</w:t>
      </w:r>
    </w:p>
    <w:p>
      <w:pPr>
        <w:spacing w:after="0" w:line="7" w:lineRule="exact"/>
        <w:rPr>
          <w:sz w:val="20"/>
          <w:szCs w:val="20"/>
          <w:color w:val="auto"/>
        </w:rPr>
      </w:pPr>
    </w:p>
    <w:p>
      <w:pPr>
        <w:jc w:val="both"/>
        <w:ind w:hanging="199"/>
        <w:spacing w:after="0" w:line="268" w:lineRule="auto"/>
        <w:rPr>
          <w:rFonts w:ascii="Times New Roman" w:cs="Times New Roman" w:eastAsia="Times New Roman" w:hAnsi="Times New Roman"/>
          <w:sz w:val="19"/>
          <w:szCs w:val="19"/>
          <w:color w:val="000080"/>
        </w:rPr>
      </w:pPr>
      <w:r>
        <w:rPr>
          <w:rFonts w:ascii="Times New Roman" w:cs="Times New Roman" w:eastAsia="Times New Roman" w:hAnsi="Times New Roman"/>
          <w:sz w:val="19"/>
          <w:szCs w:val="19"/>
          <w:color w:val="auto"/>
        </w:rPr>
        <w:t>Carpenter SR, Cole JJ, Kitchell JF, Pace ML. 1998. Impact of dissolved organic carbon, phosphorus, and grazing on zooplankton biomass and production in experimental lakes. Limnol Oceanogr. 43(1):73</w:t>
      </w:r>
      <w:r>
        <w:rPr>
          <w:rFonts w:ascii="Arial" w:cs="Arial" w:eastAsia="Arial" w:hAnsi="Arial"/>
          <w:sz w:val="19"/>
          <w:szCs w:val="19"/>
          <w:color w:val="auto"/>
        </w:rPr>
        <w:t>–</w:t>
      </w:r>
      <w:r>
        <w:rPr>
          <w:rFonts w:ascii="Times New Roman" w:cs="Times New Roman" w:eastAsia="Times New Roman" w:hAnsi="Times New Roman"/>
          <w:sz w:val="19"/>
          <w:szCs w:val="19"/>
          <w:color w:val="auto"/>
        </w:rPr>
        <w:t>80. doi:</w:t>
      </w:r>
      <w:hyperlink r:id="rId81">
        <w:r>
          <w:rPr>
            <w:rFonts w:ascii="Times New Roman" w:cs="Times New Roman" w:eastAsia="Times New Roman" w:hAnsi="Times New Roman"/>
            <w:sz w:val="19"/>
            <w:szCs w:val="19"/>
            <w:color w:val="000080"/>
          </w:rPr>
          <w:t>10.4319/lo.1998.</w:t>
        </w:r>
      </w:hyperlink>
      <w:r>
        <w:rPr>
          <w:rFonts w:ascii="Times New Roman" w:cs="Times New Roman" w:eastAsia="Times New Roman" w:hAnsi="Times New Roman"/>
          <w:sz w:val="19"/>
          <w:szCs w:val="19"/>
          <w:color w:val="auto"/>
        </w:rPr>
        <w:t xml:space="preserve"> </w:t>
      </w:r>
      <w:hyperlink r:id="rId81">
        <w:r>
          <w:rPr>
            <w:rFonts w:ascii="Times New Roman" w:cs="Times New Roman" w:eastAsia="Times New Roman" w:hAnsi="Times New Roman"/>
            <w:sz w:val="19"/>
            <w:szCs w:val="19"/>
            <w:color w:val="000080"/>
          </w:rPr>
          <w:t>43.1.0073</w:t>
        </w:r>
      </w:hyperlink>
      <w:r>
        <w:rPr>
          <w:rFonts w:ascii="Times New Roman" w:cs="Times New Roman" w:eastAsia="Times New Roman" w:hAnsi="Times New Roman"/>
          <w:sz w:val="19"/>
          <w:szCs w:val="19"/>
          <w:color w:val="000000"/>
        </w:rPr>
        <w:t>.</w:t>
      </w:r>
    </w:p>
    <w:p>
      <w:pPr>
        <w:spacing w:after="0" w:line="6" w:lineRule="exact"/>
        <w:rPr>
          <w:sz w:val="20"/>
          <w:szCs w:val="20"/>
          <w:color w:val="auto"/>
        </w:rPr>
      </w:pPr>
    </w:p>
    <w:p>
      <w:pPr>
        <w:jc w:val="both"/>
        <w:ind w:hanging="199"/>
        <w:spacing w:after="0" w:line="268" w:lineRule="auto"/>
        <w:rPr>
          <w:sz w:val="20"/>
          <w:szCs w:val="20"/>
          <w:color w:val="auto"/>
        </w:rPr>
      </w:pPr>
      <w:r>
        <w:rPr>
          <w:rFonts w:ascii="Times New Roman" w:cs="Times New Roman" w:eastAsia="Times New Roman" w:hAnsi="Times New Roman"/>
          <w:sz w:val="19"/>
          <w:szCs w:val="19"/>
          <w:color w:val="auto"/>
        </w:rPr>
        <w:t>Carvalho LR, Sims PA, Battarbee RW, Cox EJ, Juggins S. 1995. Campylodiscus clypeus (Ehrenb.) Ehrenb. in inland saline Lakes In: Robertson AM, Hicks S, Akerlund A, Risberg J, Hackens T, editors. Landscapes and life: studies in honour of Uwe Miller. PACT. 50:471</w:t>
      </w:r>
      <w:r>
        <w:rPr>
          <w:rFonts w:ascii="Arial" w:cs="Arial" w:eastAsia="Arial" w:hAnsi="Arial"/>
          <w:sz w:val="19"/>
          <w:szCs w:val="19"/>
          <w:color w:val="auto"/>
        </w:rPr>
        <w:t>–</w:t>
      </w:r>
      <w:r>
        <w:rPr>
          <w:rFonts w:ascii="Times New Roman" w:cs="Times New Roman" w:eastAsia="Times New Roman" w:hAnsi="Times New Roman"/>
          <w:sz w:val="19"/>
          <w:szCs w:val="19"/>
          <w:color w:val="auto"/>
        </w:rPr>
        <w:t>484.</w:t>
      </w:r>
    </w:p>
    <w:p>
      <w:pPr>
        <w:spacing w:after="0" w:line="6" w:lineRule="exact"/>
        <w:rPr>
          <w:sz w:val="20"/>
          <w:szCs w:val="20"/>
          <w:color w:val="auto"/>
        </w:rPr>
      </w:pPr>
    </w:p>
    <w:p>
      <w:pPr>
        <w:jc w:val="both"/>
        <w:ind w:hanging="199"/>
        <w:spacing w:after="0" w:line="267" w:lineRule="auto"/>
        <w:rPr>
          <w:rFonts w:ascii="Times New Roman" w:cs="Times New Roman" w:eastAsia="Times New Roman" w:hAnsi="Times New Roman"/>
          <w:sz w:val="19"/>
          <w:szCs w:val="19"/>
          <w:color w:val="000080"/>
        </w:rPr>
      </w:pPr>
      <w:r>
        <w:rPr>
          <w:rFonts w:ascii="Times New Roman" w:cs="Times New Roman" w:eastAsia="Times New Roman" w:hAnsi="Times New Roman"/>
          <w:sz w:val="19"/>
          <w:szCs w:val="19"/>
          <w:color w:val="auto"/>
        </w:rPr>
        <w:t>Charalambidou I, Santamaria L, Langevoord O. 2003. Effect of ingestion by five avian dispersers on the retention time, retrieval and germination of Ruppia maritima seeds. Funct Ecol. 17(6):747</w:t>
      </w:r>
      <w:r>
        <w:rPr>
          <w:rFonts w:ascii="Arial" w:cs="Arial" w:eastAsia="Arial" w:hAnsi="Arial"/>
          <w:sz w:val="19"/>
          <w:szCs w:val="19"/>
          <w:color w:val="auto"/>
        </w:rPr>
        <w:t>–</w:t>
      </w:r>
      <w:r>
        <w:rPr>
          <w:rFonts w:ascii="Times New Roman" w:cs="Times New Roman" w:eastAsia="Times New Roman" w:hAnsi="Times New Roman"/>
          <w:sz w:val="19"/>
          <w:szCs w:val="19"/>
          <w:color w:val="auto"/>
        </w:rPr>
        <w:t>753. doi:</w:t>
      </w:r>
      <w:hyperlink r:id="rId82">
        <w:r>
          <w:rPr>
            <w:rFonts w:ascii="Times New Roman" w:cs="Times New Roman" w:eastAsia="Times New Roman" w:hAnsi="Times New Roman"/>
            <w:sz w:val="19"/>
            <w:szCs w:val="19"/>
            <w:color w:val="000080"/>
          </w:rPr>
          <w:t>10.1111/j.1365-2435.2003.</w:t>
        </w:r>
      </w:hyperlink>
      <w:r>
        <w:rPr>
          <w:rFonts w:ascii="Times New Roman" w:cs="Times New Roman" w:eastAsia="Times New Roman" w:hAnsi="Times New Roman"/>
          <w:sz w:val="19"/>
          <w:szCs w:val="19"/>
          <w:color w:val="auto"/>
        </w:rPr>
        <w:t xml:space="preserve"> </w:t>
      </w:r>
      <w:hyperlink r:id="rId82">
        <w:r>
          <w:rPr>
            <w:rFonts w:ascii="Times New Roman" w:cs="Times New Roman" w:eastAsia="Times New Roman" w:hAnsi="Times New Roman"/>
            <w:sz w:val="19"/>
            <w:szCs w:val="19"/>
            <w:color w:val="000080"/>
          </w:rPr>
          <w:t>00787.x</w:t>
        </w:r>
      </w:hyperlink>
      <w:r>
        <w:rPr>
          <w:rFonts w:ascii="Times New Roman" w:cs="Times New Roman" w:eastAsia="Times New Roman" w:hAnsi="Times New Roman"/>
          <w:sz w:val="19"/>
          <w:szCs w:val="19"/>
          <w:color w:val="000000"/>
        </w:rPr>
        <w:t>.</w:t>
      </w:r>
    </w:p>
    <w:p>
      <w:pPr>
        <w:spacing w:after="0" w:line="9" w:lineRule="exact"/>
        <w:rPr>
          <w:sz w:val="20"/>
          <w:szCs w:val="20"/>
          <w:color w:val="auto"/>
        </w:rPr>
      </w:pPr>
    </w:p>
    <w:p>
      <w:pPr>
        <w:jc w:val="both"/>
        <w:ind w:hanging="199"/>
        <w:spacing w:after="0" w:line="268" w:lineRule="auto"/>
        <w:rPr>
          <w:rFonts w:ascii="Times New Roman" w:cs="Times New Roman" w:eastAsia="Times New Roman" w:hAnsi="Times New Roman"/>
          <w:sz w:val="19"/>
          <w:szCs w:val="19"/>
          <w:color w:val="000080"/>
        </w:rPr>
      </w:pPr>
      <w:r>
        <w:rPr>
          <w:rFonts w:ascii="Times New Roman" w:cs="Times New Roman" w:eastAsia="Times New Roman" w:hAnsi="Times New Roman"/>
          <w:sz w:val="19"/>
          <w:szCs w:val="19"/>
          <w:color w:val="auto"/>
        </w:rPr>
        <w:t>Davidson TA, Bennion H, Reid M, Sayer CD, Whitmore TJ. 2018. Towards better integration of ecology in palaeo-ecology: from proxies to indicators, from inference to understanding. J Paleolimnol. 60(2):109</w:t>
      </w:r>
      <w:r>
        <w:rPr>
          <w:rFonts w:ascii="Arial" w:cs="Arial" w:eastAsia="Arial" w:hAnsi="Arial"/>
          <w:sz w:val="19"/>
          <w:szCs w:val="19"/>
          <w:color w:val="auto"/>
        </w:rPr>
        <w:t>–</w:t>
      </w:r>
      <w:r>
        <w:rPr>
          <w:rFonts w:ascii="Times New Roman" w:cs="Times New Roman" w:eastAsia="Times New Roman" w:hAnsi="Times New Roman"/>
          <w:sz w:val="19"/>
          <w:szCs w:val="19"/>
          <w:color w:val="auto"/>
        </w:rPr>
        <w:t>116. doi:</w:t>
      </w:r>
      <w:hyperlink r:id="rId83">
        <w:r>
          <w:rPr>
            <w:rFonts w:ascii="Times New Roman" w:cs="Times New Roman" w:eastAsia="Times New Roman" w:hAnsi="Times New Roman"/>
            <w:sz w:val="19"/>
            <w:szCs w:val="19"/>
            <w:color w:val="000080"/>
          </w:rPr>
          <w:t>10.1007/</w:t>
        </w:r>
      </w:hyperlink>
      <w:r>
        <w:rPr>
          <w:rFonts w:ascii="Times New Roman" w:cs="Times New Roman" w:eastAsia="Times New Roman" w:hAnsi="Times New Roman"/>
          <w:sz w:val="19"/>
          <w:szCs w:val="19"/>
          <w:color w:val="auto"/>
        </w:rPr>
        <w:t xml:space="preserve"> </w:t>
      </w:r>
      <w:hyperlink r:id="rId83">
        <w:r>
          <w:rPr>
            <w:rFonts w:ascii="Times New Roman" w:cs="Times New Roman" w:eastAsia="Times New Roman" w:hAnsi="Times New Roman"/>
            <w:sz w:val="19"/>
            <w:szCs w:val="19"/>
            <w:color w:val="000080"/>
          </w:rPr>
          <w:t>s10933-018-0032-1</w:t>
        </w:r>
      </w:hyperlink>
      <w:r>
        <w:rPr>
          <w:rFonts w:ascii="Times New Roman" w:cs="Times New Roman" w:eastAsia="Times New Roman" w:hAnsi="Times New Roman"/>
          <w:sz w:val="19"/>
          <w:szCs w:val="19"/>
          <w:color w:val="000000"/>
        </w:rPr>
        <w:t>.</w:t>
      </w:r>
    </w:p>
    <w:p>
      <w:pPr>
        <w:spacing w:after="0" w:line="20" w:lineRule="exact"/>
        <w:rPr>
          <w:sz w:val="20"/>
          <w:szCs w:val="20"/>
          <w:color w:val="auto"/>
        </w:rPr>
      </w:pPr>
      <w:r>
        <w:rPr>
          <w:sz w:val="20"/>
          <w:szCs w:val="20"/>
          <w:color w:val="auto"/>
        </w:rPr>
        <w:br w:type="column"/>
      </w:r>
    </w:p>
    <w:p>
      <w:pPr>
        <w:jc w:val="right"/>
        <w:spacing w:after="0"/>
        <w:rPr>
          <w:sz w:val="20"/>
          <w:szCs w:val="20"/>
          <w:color w:val="auto"/>
        </w:rPr>
      </w:pPr>
      <w:r>
        <w:rPr>
          <w:rFonts w:ascii="Arial" w:cs="Arial" w:eastAsia="Arial" w:hAnsi="Arial"/>
          <w:sz w:val="15"/>
          <w:szCs w:val="15"/>
          <w:color w:val="auto"/>
        </w:rPr>
        <w:t xml:space="preserve">LAKE AND RESERVOIR MANAGEMENT  </w:t>
      </w:r>
      <w:r>
        <w:rPr>
          <w:sz w:val="1"/>
          <w:szCs w:val="1"/>
          <w:color w:val="auto"/>
        </w:rPr>
        <w:drawing>
          <wp:inline distT="0" distB="0" distL="0" distR="0">
            <wp:extent cx="165100" cy="1651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84">
                      <a:extLst>
                        <a:ext uri="{28A0092B-C50C-407E-A947-70E740481C1C}"/>
                      </a:extLst>
                    </a:blip>
                    <a:srcRect/>
                    <a:stretch>
                      <a:fillRect/>
                    </a:stretch>
                  </pic:blipFill>
                  <pic:spPr bwMode="auto">
                    <a:xfrm>
                      <a:off x="0" y="0"/>
                      <a:ext cx="165100" cy="165100"/>
                    </a:xfrm>
                    <a:prstGeom prst="rect">
                      <a:avLst/>
                    </a:prstGeom>
                    <a:noFill/>
                    <a:ln>
                      <a:noFill/>
                    </a:ln>
                  </pic:spPr>
                </pic:pic>
              </a:graphicData>
            </a:graphic>
          </wp:inline>
        </w:drawing>
      </w:r>
      <w:r>
        <w:rPr>
          <w:rFonts w:ascii="Arial" w:cs="Arial" w:eastAsia="Arial" w:hAnsi="Arial"/>
          <w:sz w:val="15"/>
          <w:szCs w:val="15"/>
          <w:color w:val="auto"/>
        </w:rPr>
        <w:t xml:space="preserve">  23</w:t>
      </w:r>
    </w:p>
    <w:p>
      <w:pPr>
        <w:spacing w:after="0" w:line="278" w:lineRule="exact"/>
        <w:rPr>
          <w:sz w:val="20"/>
          <w:szCs w:val="20"/>
          <w:color w:val="auto"/>
        </w:rPr>
      </w:pPr>
    </w:p>
    <w:p>
      <w:pPr>
        <w:jc w:val="both"/>
        <w:ind w:left="200" w:hanging="200"/>
        <w:spacing w:after="0" w:line="261" w:lineRule="auto"/>
        <w:rPr>
          <w:sz w:val="20"/>
          <w:szCs w:val="20"/>
          <w:color w:val="auto"/>
        </w:rPr>
      </w:pPr>
      <w:r>
        <w:rPr>
          <w:rFonts w:ascii="Times New Roman" w:cs="Times New Roman" w:eastAsia="Times New Roman" w:hAnsi="Times New Roman"/>
          <w:sz w:val="19"/>
          <w:szCs w:val="19"/>
          <w:color w:val="auto"/>
        </w:rPr>
        <w:t>Davidson TA, Jeppesen E. 2013. The role of palaeolimnol-ogy in assessing eutrophication and its impact on lakes.</w:t>
      </w:r>
    </w:p>
    <w:p>
      <w:pPr>
        <w:spacing w:after="0" w:line="18" w:lineRule="exact"/>
        <w:rPr>
          <w:sz w:val="20"/>
          <w:szCs w:val="20"/>
          <w:color w:val="auto"/>
        </w:rPr>
      </w:pPr>
    </w:p>
    <w:p>
      <w:pPr>
        <w:ind w:left="200"/>
        <w:spacing w:after="0" w:line="260" w:lineRule="auto"/>
        <w:tabs>
          <w:tab w:leader="none" w:pos="401" w:val="left"/>
        </w:tabs>
        <w:numPr>
          <w:ilvl w:val="0"/>
          <w:numId w:val="4"/>
        </w:numPr>
        <w:rPr>
          <w:rFonts w:ascii="Times New Roman" w:cs="Times New Roman" w:eastAsia="Times New Roman" w:hAnsi="Times New Roman"/>
          <w:sz w:val="19"/>
          <w:szCs w:val="19"/>
          <w:color w:val="000080"/>
        </w:rPr>
      </w:pPr>
      <w:r>
        <w:rPr>
          <w:rFonts w:ascii="Times New Roman" w:cs="Times New Roman" w:eastAsia="Times New Roman" w:hAnsi="Times New Roman"/>
          <w:sz w:val="19"/>
          <w:szCs w:val="19"/>
          <w:color w:val="auto"/>
        </w:rPr>
        <w:t>Paleolimnol. 49(3):391</w:t>
      </w:r>
      <w:r>
        <w:rPr>
          <w:rFonts w:ascii="Arial" w:cs="Arial" w:eastAsia="Arial" w:hAnsi="Arial"/>
          <w:sz w:val="19"/>
          <w:szCs w:val="19"/>
          <w:color w:val="auto"/>
        </w:rPr>
        <w:t>–</w:t>
      </w:r>
      <w:r>
        <w:rPr>
          <w:rFonts w:ascii="Times New Roman" w:cs="Times New Roman" w:eastAsia="Times New Roman" w:hAnsi="Times New Roman"/>
          <w:sz w:val="19"/>
          <w:szCs w:val="19"/>
          <w:color w:val="auto"/>
        </w:rPr>
        <w:t>410. doi:</w:t>
      </w:r>
      <w:hyperlink r:id="rId85">
        <w:r>
          <w:rPr>
            <w:rFonts w:ascii="Times New Roman" w:cs="Times New Roman" w:eastAsia="Times New Roman" w:hAnsi="Times New Roman"/>
            <w:sz w:val="19"/>
            <w:szCs w:val="19"/>
            <w:color w:val="000080"/>
          </w:rPr>
          <w:t>10.1007/s10933-012-</w:t>
        </w:r>
      </w:hyperlink>
      <w:hyperlink r:id="rId85">
        <w:r>
          <w:rPr>
            <w:rFonts w:ascii="Times New Roman" w:cs="Times New Roman" w:eastAsia="Times New Roman" w:hAnsi="Times New Roman"/>
            <w:sz w:val="19"/>
            <w:szCs w:val="19"/>
            <w:color w:val="000080"/>
          </w:rPr>
          <w:t>9651-0</w:t>
        </w:r>
      </w:hyperlink>
      <w:r>
        <w:rPr>
          <w:rFonts w:ascii="Times New Roman" w:cs="Times New Roman" w:eastAsia="Times New Roman" w:hAnsi="Times New Roman"/>
          <w:sz w:val="19"/>
          <w:szCs w:val="19"/>
          <w:color w:val="000000"/>
        </w:rPr>
        <w:t>.</w:t>
      </w:r>
    </w:p>
    <w:p>
      <w:pPr>
        <w:spacing w:after="0" w:line="13" w:lineRule="exact"/>
        <w:rPr>
          <w:rFonts w:ascii="Times New Roman" w:cs="Times New Roman" w:eastAsia="Times New Roman" w:hAnsi="Times New Roman"/>
          <w:sz w:val="19"/>
          <w:szCs w:val="19"/>
          <w:color w:val="auto"/>
        </w:rPr>
      </w:pPr>
    </w:p>
    <w:p>
      <w:pPr>
        <w:jc w:val="both"/>
        <w:ind w:left="200" w:hanging="200"/>
        <w:spacing w:after="0" w:line="265" w:lineRule="auto"/>
        <w:rPr>
          <w:rFonts w:ascii="Times New Roman" w:cs="Times New Roman" w:eastAsia="Times New Roman" w:hAnsi="Times New Roman"/>
          <w:sz w:val="19"/>
          <w:szCs w:val="19"/>
          <w:color w:val="000080"/>
        </w:rPr>
      </w:pPr>
      <w:r>
        <w:rPr>
          <w:rFonts w:ascii="Times New Roman" w:cs="Times New Roman" w:eastAsia="Times New Roman" w:hAnsi="Times New Roman"/>
          <w:sz w:val="19"/>
          <w:szCs w:val="19"/>
          <w:color w:val="auto"/>
        </w:rPr>
        <w:t>Deevey ES. Jr. 1988. Estimation of downward leakage from Florida lakes. Limnol Oceanogr. 33(6):1308</w:t>
      </w:r>
      <w:r>
        <w:rPr>
          <w:rFonts w:ascii="Arial" w:cs="Arial" w:eastAsia="Arial" w:hAnsi="Arial"/>
          <w:sz w:val="19"/>
          <w:szCs w:val="19"/>
          <w:color w:val="auto"/>
        </w:rPr>
        <w:t>–</w:t>
      </w:r>
      <w:r>
        <w:rPr>
          <w:rFonts w:ascii="Times New Roman" w:cs="Times New Roman" w:eastAsia="Times New Roman" w:hAnsi="Times New Roman"/>
          <w:sz w:val="19"/>
          <w:szCs w:val="19"/>
          <w:color w:val="auto"/>
        </w:rPr>
        <w:t>1320. doi:</w:t>
      </w:r>
      <w:hyperlink r:id="rId86">
        <w:r>
          <w:rPr>
            <w:rFonts w:ascii="Times New Roman" w:cs="Times New Roman" w:eastAsia="Times New Roman" w:hAnsi="Times New Roman"/>
            <w:sz w:val="19"/>
            <w:szCs w:val="19"/>
            <w:color w:val="000080"/>
          </w:rPr>
          <w:t>10.</w:t>
        </w:r>
      </w:hyperlink>
      <w:r>
        <w:rPr>
          <w:rFonts w:ascii="Times New Roman" w:cs="Times New Roman" w:eastAsia="Times New Roman" w:hAnsi="Times New Roman"/>
          <w:sz w:val="19"/>
          <w:szCs w:val="19"/>
          <w:color w:val="auto"/>
        </w:rPr>
        <w:t xml:space="preserve"> </w:t>
      </w:r>
      <w:hyperlink r:id="rId86">
        <w:r>
          <w:rPr>
            <w:rFonts w:ascii="Times New Roman" w:cs="Times New Roman" w:eastAsia="Times New Roman" w:hAnsi="Times New Roman"/>
            <w:sz w:val="19"/>
            <w:szCs w:val="19"/>
            <w:color w:val="000080"/>
          </w:rPr>
          <w:t>4319/lo.1988.33.6.1308</w:t>
        </w:r>
      </w:hyperlink>
      <w:r>
        <w:rPr>
          <w:rFonts w:ascii="Times New Roman" w:cs="Times New Roman" w:eastAsia="Times New Roman" w:hAnsi="Times New Roman"/>
          <w:sz w:val="19"/>
          <w:szCs w:val="19"/>
          <w:color w:val="000000"/>
        </w:rPr>
        <w:t>.</w:t>
      </w:r>
    </w:p>
    <w:p>
      <w:pPr>
        <w:spacing w:after="0" w:line="9" w:lineRule="exact"/>
        <w:rPr>
          <w:sz w:val="20"/>
          <w:szCs w:val="20"/>
          <w:color w:val="auto"/>
        </w:rPr>
      </w:pPr>
    </w:p>
    <w:p>
      <w:pPr>
        <w:jc w:val="both"/>
        <w:ind w:left="200" w:hanging="200"/>
        <w:spacing w:after="0" w:line="261" w:lineRule="auto"/>
        <w:rPr>
          <w:rFonts w:ascii="Times New Roman" w:cs="Times New Roman" w:eastAsia="Times New Roman" w:hAnsi="Times New Roman"/>
          <w:sz w:val="19"/>
          <w:szCs w:val="19"/>
          <w:color w:val="auto"/>
        </w:rPr>
      </w:pPr>
      <w:r>
        <w:rPr>
          <w:rFonts w:ascii="Times New Roman" w:cs="Times New Roman" w:eastAsia="Times New Roman" w:hAnsi="Times New Roman"/>
          <w:sz w:val="19"/>
          <w:szCs w:val="19"/>
          <w:color w:val="auto"/>
        </w:rPr>
        <w:t>Diatoms</w:t>
      </w:r>
      <w:r>
        <w:rPr>
          <w:sz w:val="20"/>
          <w:szCs w:val="20"/>
          <w:color w:val="auto"/>
        </w:rPr>
        <w:t xml:space="preserve"> </w:t>
      </w:r>
      <w:r>
        <w:rPr>
          <w:rFonts w:ascii="Times New Roman" w:cs="Times New Roman" w:eastAsia="Times New Roman" w:hAnsi="Times New Roman"/>
          <w:sz w:val="19"/>
          <w:szCs w:val="19"/>
          <w:color w:val="auto"/>
        </w:rPr>
        <w:t xml:space="preserve">of North America. 2020. Diatoms of North America. </w:t>
      </w:r>
      <w:hyperlink r:id="rId87">
        <w:r>
          <w:rPr>
            <w:rFonts w:ascii="Times New Roman" w:cs="Times New Roman" w:eastAsia="Times New Roman" w:hAnsi="Times New Roman"/>
            <w:sz w:val="19"/>
            <w:szCs w:val="19"/>
            <w:color w:val="000080"/>
          </w:rPr>
          <w:t>https://diatoms.org/</w:t>
        </w:r>
      </w:hyperlink>
      <w:r>
        <w:rPr>
          <w:rFonts w:ascii="Times New Roman" w:cs="Times New Roman" w:eastAsia="Times New Roman" w:hAnsi="Times New Roman"/>
          <w:sz w:val="19"/>
          <w:szCs w:val="19"/>
          <w:color w:val="auto"/>
        </w:rPr>
        <w:t>.</w:t>
      </w:r>
    </w:p>
    <w:p>
      <w:pPr>
        <w:spacing w:after="0" w:line="11" w:lineRule="exact"/>
        <w:rPr>
          <w:sz w:val="20"/>
          <w:szCs w:val="20"/>
          <w:color w:val="auto"/>
        </w:rPr>
      </w:pPr>
    </w:p>
    <w:p>
      <w:pPr>
        <w:jc w:val="both"/>
        <w:ind w:left="200" w:hanging="200"/>
        <w:spacing w:after="0" w:line="271" w:lineRule="auto"/>
        <w:rPr>
          <w:rFonts w:ascii="Times New Roman" w:cs="Times New Roman" w:eastAsia="Times New Roman" w:hAnsi="Times New Roman"/>
          <w:sz w:val="19"/>
          <w:szCs w:val="19"/>
          <w:color w:val="000080"/>
        </w:rPr>
      </w:pPr>
      <w:r>
        <w:rPr>
          <w:rFonts w:ascii="Times New Roman" w:cs="Times New Roman" w:eastAsia="Times New Roman" w:hAnsi="Times New Roman"/>
          <w:sz w:val="19"/>
          <w:szCs w:val="19"/>
          <w:color w:val="auto"/>
        </w:rPr>
        <w:t>Dierberg</w:t>
      </w:r>
      <w:r>
        <w:rPr>
          <w:sz w:val="20"/>
          <w:szCs w:val="20"/>
          <w:color w:val="auto"/>
        </w:rPr>
        <w:t xml:space="preserve"> </w:t>
      </w:r>
      <w:r>
        <w:rPr>
          <w:rFonts w:ascii="Times New Roman" w:cs="Times New Roman" w:eastAsia="Times New Roman" w:hAnsi="Times New Roman"/>
          <w:sz w:val="19"/>
          <w:szCs w:val="19"/>
          <w:color w:val="auto"/>
        </w:rPr>
        <w:t>FE, Williams VP, Schneider WH. 1988. Evaluating water quality effects of lake management in Florida. Lake Reserv Manage. 4(2):101</w:t>
      </w:r>
      <w:r>
        <w:rPr>
          <w:rFonts w:ascii="Arial" w:cs="Arial" w:eastAsia="Arial" w:hAnsi="Arial"/>
          <w:sz w:val="19"/>
          <w:szCs w:val="19"/>
          <w:color w:val="auto"/>
        </w:rPr>
        <w:t>–</w:t>
      </w:r>
      <w:r>
        <w:rPr>
          <w:rFonts w:ascii="Times New Roman" w:cs="Times New Roman" w:eastAsia="Times New Roman" w:hAnsi="Times New Roman"/>
          <w:sz w:val="19"/>
          <w:szCs w:val="19"/>
          <w:color w:val="auto"/>
        </w:rPr>
        <w:t>111. doi:</w:t>
      </w:r>
      <w:hyperlink r:id="rId88">
        <w:r>
          <w:rPr>
            <w:rFonts w:ascii="Times New Roman" w:cs="Times New Roman" w:eastAsia="Times New Roman" w:hAnsi="Times New Roman"/>
            <w:sz w:val="19"/>
            <w:szCs w:val="19"/>
            <w:color w:val="000080"/>
          </w:rPr>
          <w:t>10.1080/</w:t>
        </w:r>
      </w:hyperlink>
      <w:r>
        <w:rPr>
          <w:rFonts w:ascii="Times New Roman" w:cs="Times New Roman" w:eastAsia="Times New Roman" w:hAnsi="Times New Roman"/>
          <w:sz w:val="19"/>
          <w:szCs w:val="19"/>
          <w:color w:val="auto"/>
        </w:rPr>
        <w:t xml:space="preserve"> </w:t>
      </w:r>
      <w:hyperlink r:id="rId88">
        <w:r>
          <w:rPr>
            <w:rFonts w:ascii="Times New Roman" w:cs="Times New Roman" w:eastAsia="Times New Roman" w:hAnsi="Times New Roman"/>
            <w:sz w:val="19"/>
            <w:szCs w:val="19"/>
            <w:color w:val="000080"/>
          </w:rPr>
          <w:t>07438148809354818</w:t>
        </w:r>
      </w:hyperlink>
      <w:r>
        <w:rPr>
          <w:rFonts w:ascii="Times New Roman" w:cs="Times New Roman" w:eastAsia="Times New Roman" w:hAnsi="Times New Roman"/>
          <w:sz w:val="19"/>
          <w:szCs w:val="19"/>
          <w:color w:val="000000"/>
        </w:rPr>
        <w:t>.</w:t>
      </w:r>
    </w:p>
    <w:p>
      <w:pPr>
        <w:spacing w:after="0" w:line="240" w:lineRule="exact"/>
        <w:rPr>
          <w:sz w:val="20"/>
          <w:szCs w:val="20"/>
          <w:color w:val="auto"/>
        </w:rPr>
      </w:pPr>
    </w:p>
    <w:p>
      <w:pPr>
        <w:jc w:val="both"/>
        <w:ind w:left="200" w:hanging="200"/>
        <w:spacing w:after="0" w:line="269" w:lineRule="auto"/>
        <w:rPr>
          <w:sz w:val="20"/>
          <w:szCs w:val="20"/>
          <w:color w:val="auto"/>
        </w:rPr>
      </w:pPr>
      <w:r>
        <w:rPr>
          <w:rFonts w:ascii="Times New Roman" w:cs="Times New Roman" w:eastAsia="Times New Roman" w:hAnsi="Times New Roman"/>
          <w:sz w:val="19"/>
          <w:szCs w:val="19"/>
          <w:color w:val="auto"/>
        </w:rPr>
        <w:t>Dressler RL, Hall DW, Perkins KD, Williams NH. 1987. Identification manual for wetland plant species of Florida: used by the Florida department of environmental protection in determining the landward extent of waters of the State Institute of Food and Agricultural Sciences. SP-35. Univ. of Florida, Gainesville, FL; 297p.</w:t>
      </w:r>
    </w:p>
    <w:p>
      <w:pPr>
        <w:spacing w:after="0" w:line="6" w:lineRule="exact"/>
        <w:rPr>
          <w:sz w:val="20"/>
          <w:szCs w:val="20"/>
          <w:color w:val="auto"/>
        </w:rPr>
      </w:pPr>
    </w:p>
    <w:p>
      <w:pPr>
        <w:jc w:val="both"/>
        <w:ind w:left="200" w:hanging="200"/>
        <w:spacing w:after="0" w:line="267" w:lineRule="auto"/>
        <w:rPr>
          <w:sz w:val="20"/>
          <w:szCs w:val="20"/>
          <w:color w:val="auto"/>
        </w:rPr>
      </w:pPr>
      <w:r>
        <w:rPr>
          <w:rFonts w:ascii="Times New Roman" w:cs="Times New Roman" w:eastAsia="Times New Roman" w:hAnsi="Times New Roman"/>
          <w:sz w:val="19"/>
          <w:szCs w:val="19"/>
          <w:color w:val="auto"/>
        </w:rPr>
        <w:t>Faegri K, Iversen J. 1989. Finding the grain: laboratory tech-nique. In: Faegri K, Kaland PE, Kryzwinski K, editors. Textbook of pollen analysis. 4th ed. Caldwell, NJ: The Blackburn Press; 328p.</w:t>
      </w:r>
    </w:p>
    <w:p>
      <w:pPr>
        <w:spacing w:after="0" w:line="9" w:lineRule="exact"/>
        <w:rPr>
          <w:sz w:val="20"/>
          <w:szCs w:val="20"/>
          <w:color w:val="auto"/>
        </w:rPr>
      </w:pPr>
    </w:p>
    <w:p>
      <w:pPr>
        <w:jc w:val="both"/>
        <w:ind w:left="200" w:hanging="200"/>
        <w:spacing w:after="0" w:line="265" w:lineRule="auto"/>
        <w:rPr>
          <w:sz w:val="20"/>
          <w:szCs w:val="20"/>
          <w:color w:val="auto"/>
        </w:rPr>
      </w:pPr>
      <w:r>
        <w:rPr>
          <w:rFonts w:ascii="Times New Roman" w:cs="Times New Roman" w:eastAsia="Times New Roman" w:hAnsi="Times New Roman"/>
          <w:sz w:val="19"/>
          <w:szCs w:val="19"/>
          <w:color w:val="auto"/>
        </w:rPr>
        <w:t>Fernald EA, Purdum ED. 1998. Water resources Atlas of Florida. Tallahassee, FL: Florida State University, Institute of Science and Public Affairs; 282p.</w:t>
      </w:r>
    </w:p>
    <w:p>
      <w:pPr>
        <w:spacing w:after="0" w:line="10" w:lineRule="exact"/>
        <w:rPr>
          <w:sz w:val="20"/>
          <w:szCs w:val="20"/>
          <w:color w:val="auto"/>
        </w:rPr>
      </w:pPr>
    </w:p>
    <w:p>
      <w:pPr>
        <w:jc w:val="both"/>
        <w:ind w:left="200" w:hanging="200"/>
        <w:spacing w:after="0" w:line="265" w:lineRule="auto"/>
        <w:rPr>
          <w:sz w:val="20"/>
          <w:szCs w:val="20"/>
          <w:color w:val="auto"/>
        </w:rPr>
      </w:pPr>
      <w:r>
        <w:rPr>
          <w:rFonts w:ascii="Times New Roman" w:cs="Times New Roman" w:eastAsia="Times New Roman" w:hAnsi="Times New Roman"/>
          <w:sz w:val="19"/>
          <w:szCs w:val="19"/>
          <w:color w:val="auto"/>
        </w:rPr>
        <w:t>Fisher MM, Brenner M, Reddy KR. 1992. A simple, inex-pensive piston corer for collecting undisturbed sediment/ water interface profiles. J Paleolimnnol. 7:157</w:t>
      </w:r>
      <w:r>
        <w:rPr>
          <w:rFonts w:ascii="Arial" w:cs="Arial" w:eastAsia="Arial" w:hAnsi="Arial"/>
          <w:sz w:val="19"/>
          <w:szCs w:val="19"/>
          <w:color w:val="auto"/>
        </w:rPr>
        <w:t>–</w:t>
      </w:r>
      <w:r>
        <w:rPr>
          <w:rFonts w:ascii="Times New Roman" w:cs="Times New Roman" w:eastAsia="Times New Roman" w:hAnsi="Times New Roman"/>
          <w:sz w:val="19"/>
          <w:szCs w:val="19"/>
          <w:color w:val="auto"/>
        </w:rPr>
        <w:t>161.</w:t>
      </w:r>
    </w:p>
    <w:p>
      <w:pPr>
        <w:spacing w:after="0" w:line="9" w:lineRule="exact"/>
        <w:rPr>
          <w:sz w:val="20"/>
          <w:szCs w:val="20"/>
          <w:color w:val="auto"/>
        </w:rPr>
      </w:pPr>
    </w:p>
    <w:p>
      <w:pPr>
        <w:jc w:val="both"/>
        <w:ind w:left="200" w:hanging="200"/>
        <w:spacing w:after="0" w:line="265" w:lineRule="auto"/>
        <w:rPr>
          <w:sz w:val="20"/>
          <w:szCs w:val="20"/>
          <w:color w:val="auto"/>
        </w:rPr>
      </w:pPr>
      <w:r>
        <w:rPr>
          <w:rFonts w:ascii="Times New Roman" w:cs="Times New Roman" w:eastAsia="Times New Roman" w:hAnsi="Times New Roman"/>
          <w:sz w:val="19"/>
          <w:szCs w:val="19"/>
          <w:color w:val="auto"/>
        </w:rPr>
        <w:t>Florida Department of Environmental Protection (Florida DEP). 2013. Implementation of Florida</w:t>
      </w:r>
      <w:r>
        <w:rPr>
          <w:rFonts w:ascii="Arial" w:cs="Arial" w:eastAsia="Arial" w:hAnsi="Arial"/>
          <w:sz w:val="19"/>
          <w:szCs w:val="19"/>
          <w:color w:val="auto"/>
        </w:rPr>
        <w:t>’</w:t>
      </w:r>
      <w:r>
        <w:rPr>
          <w:rFonts w:ascii="Times New Roman" w:cs="Times New Roman" w:eastAsia="Times New Roman" w:hAnsi="Times New Roman"/>
          <w:sz w:val="19"/>
          <w:szCs w:val="19"/>
          <w:color w:val="auto"/>
        </w:rPr>
        <w:t>s Numeric Nutrient Standards. Tallahassee: Florida DEP; 86p.</w:t>
      </w:r>
    </w:p>
    <w:p>
      <w:pPr>
        <w:spacing w:after="0" w:line="9" w:lineRule="exact"/>
        <w:rPr>
          <w:sz w:val="20"/>
          <w:szCs w:val="20"/>
          <w:color w:val="auto"/>
        </w:rPr>
      </w:pPr>
    </w:p>
    <w:p>
      <w:pPr>
        <w:jc w:val="both"/>
        <w:ind w:left="200" w:hanging="200"/>
        <w:spacing w:after="0" w:line="266" w:lineRule="auto"/>
        <w:rPr>
          <w:rFonts w:ascii="Times New Roman" w:cs="Times New Roman" w:eastAsia="Times New Roman" w:hAnsi="Times New Roman"/>
          <w:sz w:val="19"/>
          <w:szCs w:val="19"/>
          <w:color w:val="000080"/>
        </w:rPr>
      </w:pPr>
      <w:r>
        <w:rPr>
          <w:rFonts w:ascii="Times New Roman" w:cs="Times New Roman" w:eastAsia="Times New Roman" w:hAnsi="Times New Roman"/>
          <w:sz w:val="19"/>
          <w:szCs w:val="19"/>
          <w:color w:val="auto"/>
        </w:rPr>
        <w:t>Furtos NF. 1936. Fresh-water Ostracoda from Florida and North Carolina. Am Midl Nat. 17(2):491</w:t>
      </w:r>
      <w:r>
        <w:rPr>
          <w:rFonts w:ascii="Arial" w:cs="Arial" w:eastAsia="Arial" w:hAnsi="Arial"/>
          <w:sz w:val="19"/>
          <w:szCs w:val="19"/>
          <w:color w:val="auto"/>
        </w:rPr>
        <w:t>–</w:t>
      </w:r>
      <w:r>
        <w:rPr>
          <w:rFonts w:ascii="Times New Roman" w:cs="Times New Roman" w:eastAsia="Times New Roman" w:hAnsi="Times New Roman"/>
          <w:sz w:val="19"/>
          <w:szCs w:val="19"/>
          <w:color w:val="auto"/>
        </w:rPr>
        <w:t>522. doi:</w:t>
      </w:r>
      <w:hyperlink r:id="rId89">
        <w:r>
          <w:rPr>
            <w:rFonts w:ascii="Times New Roman" w:cs="Times New Roman" w:eastAsia="Times New Roman" w:hAnsi="Times New Roman"/>
            <w:sz w:val="19"/>
            <w:szCs w:val="19"/>
            <w:color w:val="000080"/>
          </w:rPr>
          <w:t>10.</w:t>
        </w:r>
      </w:hyperlink>
      <w:r>
        <w:rPr>
          <w:rFonts w:ascii="Times New Roman" w:cs="Times New Roman" w:eastAsia="Times New Roman" w:hAnsi="Times New Roman"/>
          <w:sz w:val="19"/>
          <w:szCs w:val="19"/>
          <w:color w:val="auto"/>
        </w:rPr>
        <w:t xml:space="preserve"> </w:t>
      </w:r>
      <w:hyperlink r:id="rId89">
        <w:r>
          <w:rPr>
            <w:rFonts w:ascii="Times New Roman" w:cs="Times New Roman" w:eastAsia="Times New Roman" w:hAnsi="Times New Roman"/>
            <w:sz w:val="19"/>
            <w:szCs w:val="19"/>
            <w:color w:val="000080"/>
          </w:rPr>
          <w:t>2307/2419975</w:t>
        </w:r>
      </w:hyperlink>
      <w:r>
        <w:rPr>
          <w:rFonts w:ascii="Times New Roman" w:cs="Times New Roman" w:eastAsia="Times New Roman" w:hAnsi="Times New Roman"/>
          <w:sz w:val="19"/>
          <w:szCs w:val="19"/>
          <w:color w:val="000000"/>
        </w:rPr>
        <w:t>.</w:t>
      </w:r>
    </w:p>
    <w:p>
      <w:pPr>
        <w:spacing w:after="0" w:line="6" w:lineRule="exact"/>
        <w:rPr>
          <w:sz w:val="20"/>
          <w:szCs w:val="20"/>
          <w:color w:val="auto"/>
        </w:rPr>
      </w:pPr>
    </w:p>
    <w:p>
      <w:pPr>
        <w:jc w:val="both"/>
        <w:ind w:left="200" w:hanging="200"/>
        <w:spacing w:after="0" w:line="241" w:lineRule="auto"/>
        <w:rPr>
          <w:rFonts w:ascii="Times New Roman" w:cs="Times New Roman" w:eastAsia="Times New Roman" w:hAnsi="Times New Roman"/>
          <w:sz w:val="19"/>
          <w:szCs w:val="19"/>
          <w:color w:val="auto"/>
        </w:rPr>
      </w:pPr>
      <w:r>
        <w:rPr>
          <w:rFonts w:ascii="Times New Roman" w:cs="Times New Roman" w:eastAsia="Times New Roman" w:hAnsi="Times New Roman"/>
          <w:sz w:val="19"/>
          <w:szCs w:val="19"/>
          <w:color w:val="auto"/>
        </w:rPr>
        <w:t>Gu BH, Alexander V. 1996. Stable carbon isotope evidence for atmospheric CO</w:t>
      </w:r>
      <w:r>
        <w:rPr>
          <w:rFonts w:ascii="Times New Roman" w:cs="Times New Roman" w:eastAsia="Times New Roman" w:hAnsi="Times New Roman"/>
          <w:sz w:val="25"/>
          <w:szCs w:val="25"/>
          <w:color w:val="auto"/>
          <w:vertAlign w:val="subscript"/>
        </w:rPr>
        <w:t>2</w:t>
      </w:r>
      <w:r>
        <w:rPr>
          <w:rFonts w:ascii="Times New Roman" w:cs="Times New Roman" w:eastAsia="Times New Roman" w:hAnsi="Times New Roman"/>
          <w:sz w:val="19"/>
          <w:szCs w:val="19"/>
          <w:color w:val="auto"/>
        </w:rPr>
        <w:t xml:space="preserve"> uptake by cyanobacterial surface scums in a eutrophic lake. Appl Environ Microb. 62(5): 1803</w:t>
      </w:r>
      <w:r>
        <w:rPr>
          <w:rFonts w:ascii="Arial" w:cs="Arial" w:eastAsia="Arial" w:hAnsi="Arial"/>
          <w:sz w:val="19"/>
          <w:szCs w:val="19"/>
          <w:color w:val="auto"/>
        </w:rPr>
        <w:t>–</w:t>
      </w:r>
      <w:r>
        <w:rPr>
          <w:rFonts w:ascii="Times New Roman" w:cs="Times New Roman" w:eastAsia="Times New Roman" w:hAnsi="Times New Roman"/>
          <w:sz w:val="19"/>
          <w:szCs w:val="19"/>
          <w:color w:val="auto"/>
        </w:rPr>
        <w:t>1804. doi:</w:t>
      </w:r>
      <w:hyperlink r:id="rId90">
        <w:r>
          <w:rPr>
            <w:rFonts w:ascii="Times New Roman" w:cs="Times New Roman" w:eastAsia="Times New Roman" w:hAnsi="Times New Roman"/>
            <w:sz w:val="19"/>
            <w:szCs w:val="19"/>
            <w:color w:val="000080"/>
          </w:rPr>
          <w:t>10.1128/AEM.62.5.1803-1804.1996</w:t>
        </w:r>
      </w:hyperlink>
      <w:r>
        <w:rPr>
          <w:rFonts w:ascii="Times New Roman" w:cs="Times New Roman" w:eastAsia="Times New Roman" w:hAnsi="Times New Roman"/>
          <w:sz w:val="19"/>
          <w:szCs w:val="19"/>
          <w:color w:val="auto"/>
        </w:rPr>
        <w:t>.</w:t>
      </w:r>
    </w:p>
    <w:p>
      <w:pPr>
        <w:spacing w:after="0" w:line="33" w:lineRule="exact"/>
        <w:rPr>
          <w:sz w:val="20"/>
          <w:szCs w:val="20"/>
          <w:color w:val="auto"/>
        </w:rPr>
      </w:pPr>
    </w:p>
    <w:p>
      <w:pPr>
        <w:jc w:val="both"/>
        <w:ind w:left="200" w:hanging="200"/>
        <w:spacing w:after="0" w:line="284" w:lineRule="auto"/>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Heiri O, Lotter AF, Lemcke G. 2001. Loss on ignition as a method for estimating organic and carbonate content in sediments: reproducibility and comparability of results. J Paleolimnnol. 25(1):101</w:t>
      </w:r>
      <w:r>
        <w:rPr>
          <w:rFonts w:ascii="Arial" w:cs="Arial" w:eastAsia="Arial" w:hAnsi="Arial"/>
          <w:sz w:val="18"/>
          <w:szCs w:val="18"/>
          <w:color w:val="auto"/>
        </w:rPr>
        <w:t>–</w:t>
      </w:r>
      <w:r>
        <w:rPr>
          <w:rFonts w:ascii="Times New Roman" w:cs="Times New Roman" w:eastAsia="Times New Roman" w:hAnsi="Times New Roman"/>
          <w:sz w:val="18"/>
          <w:szCs w:val="18"/>
          <w:color w:val="auto"/>
        </w:rPr>
        <w:t>110. doi:</w:t>
      </w:r>
      <w:hyperlink r:id="rId91">
        <w:r>
          <w:rPr>
            <w:rFonts w:ascii="Times New Roman" w:cs="Times New Roman" w:eastAsia="Times New Roman" w:hAnsi="Times New Roman"/>
            <w:sz w:val="18"/>
            <w:szCs w:val="18"/>
            <w:color w:val="000080"/>
          </w:rPr>
          <w:t>10.1023/A:1008119611481</w:t>
        </w:r>
      </w:hyperlink>
      <w:r>
        <w:rPr>
          <w:rFonts w:ascii="Times New Roman" w:cs="Times New Roman" w:eastAsia="Times New Roman" w:hAnsi="Times New Roman"/>
          <w:sz w:val="18"/>
          <w:szCs w:val="18"/>
          <w:color w:val="auto"/>
        </w:rPr>
        <w:t>.</w:t>
      </w:r>
    </w:p>
    <w:p>
      <w:pPr>
        <w:jc w:val="both"/>
        <w:ind w:left="200" w:hanging="200"/>
        <w:spacing w:after="0" w:line="266" w:lineRule="auto"/>
        <w:rPr>
          <w:rFonts w:ascii="Times New Roman" w:cs="Times New Roman" w:eastAsia="Times New Roman" w:hAnsi="Times New Roman"/>
          <w:sz w:val="19"/>
          <w:szCs w:val="19"/>
          <w:color w:val="auto"/>
        </w:rPr>
      </w:pPr>
      <w:r>
        <w:rPr>
          <w:rFonts w:ascii="Times New Roman" w:cs="Times New Roman" w:eastAsia="Times New Roman" w:hAnsi="Times New Roman"/>
          <w:sz w:val="19"/>
          <w:szCs w:val="19"/>
          <w:color w:val="auto"/>
        </w:rPr>
        <w:t>Holmes J. 1992. Non-marine ostracods as quaternary paleo-environmental indicators. Prog Phys Geogr. 16(4): 405</w:t>
      </w:r>
      <w:r>
        <w:rPr>
          <w:rFonts w:ascii="Arial" w:cs="Arial" w:eastAsia="Arial" w:hAnsi="Arial"/>
          <w:sz w:val="19"/>
          <w:szCs w:val="19"/>
          <w:color w:val="auto"/>
        </w:rPr>
        <w:t>–</w:t>
      </w:r>
      <w:r>
        <w:rPr>
          <w:rFonts w:ascii="Times New Roman" w:cs="Times New Roman" w:eastAsia="Times New Roman" w:hAnsi="Times New Roman"/>
          <w:sz w:val="19"/>
          <w:szCs w:val="19"/>
          <w:color w:val="auto"/>
        </w:rPr>
        <w:t>431. doi:</w:t>
      </w:r>
      <w:hyperlink r:id="rId92">
        <w:r>
          <w:rPr>
            <w:rFonts w:ascii="Times New Roman" w:cs="Times New Roman" w:eastAsia="Times New Roman" w:hAnsi="Times New Roman"/>
            <w:sz w:val="19"/>
            <w:szCs w:val="19"/>
            <w:color w:val="000080"/>
          </w:rPr>
          <w:t>10.1177/030913339201600402</w:t>
        </w:r>
      </w:hyperlink>
      <w:r>
        <w:rPr>
          <w:rFonts w:ascii="Times New Roman" w:cs="Times New Roman" w:eastAsia="Times New Roman" w:hAnsi="Times New Roman"/>
          <w:sz w:val="19"/>
          <w:szCs w:val="19"/>
          <w:color w:val="auto"/>
        </w:rPr>
        <w:t>.</w:t>
      </w:r>
    </w:p>
    <w:p>
      <w:pPr>
        <w:spacing w:after="0" w:line="6" w:lineRule="exact"/>
        <w:rPr>
          <w:sz w:val="20"/>
          <w:szCs w:val="20"/>
          <w:color w:val="auto"/>
        </w:rPr>
      </w:pPr>
    </w:p>
    <w:p>
      <w:pPr>
        <w:jc w:val="both"/>
        <w:ind w:left="200" w:hanging="200"/>
        <w:spacing w:after="0" w:line="268" w:lineRule="auto"/>
        <w:rPr>
          <w:rFonts w:ascii="Times New Roman" w:cs="Times New Roman" w:eastAsia="Times New Roman" w:hAnsi="Times New Roman"/>
          <w:sz w:val="19"/>
          <w:szCs w:val="19"/>
          <w:color w:val="000080"/>
        </w:rPr>
      </w:pPr>
      <w:r>
        <w:rPr>
          <w:rFonts w:ascii="Times New Roman" w:cs="Times New Roman" w:eastAsia="Times New Roman" w:hAnsi="Times New Roman"/>
          <w:sz w:val="19"/>
          <w:szCs w:val="19"/>
          <w:color w:val="auto"/>
        </w:rPr>
        <w:t>Hoyer MV, Horsburgh CA, Canfield DE, Jr., Bachmann RW. 2005. Lake level and trophic state variables among a population of shallow Florida lakes and within individual lakes. Can J Fish Aquat Sci. 62(12):2760</w:t>
      </w:r>
      <w:r>
        <w:rPr>
          <w:rFonts w:ascii="Arial" w:cs="Arial" w:eastAsia="Arial" w:hAnsi="Arial"/>
          <w:sz w:val="19"/>
          <w:szCs w:val="19"/>
          <w:color w:val="auto"/>
        </w:rPr>
        <w:t>–</w:t>
      </w:r>
      <w:r>
        <w:rPr>
          <w:rFonts w:ascii="Times New Roman" w:cs="Times New Roman" w:eastAsia="Times New Roman" w:hAnsi="Times New Roman"/>
          <w:sz w:val="19"/>
          <w:szCs w:val="19"/>
          <w:color w:val="auto"/>
        </w:rPr>
        <w:t>2769. doi:</w:t>
      </w:r>
      <w:hyperlink r:id="rId93">
        <w:r>
          <w:rPr>
            <w:rFonts w:ascii="Times New Roman" w:cs="Times New Roman" w:eastAsia="Times New Roman" w:hAnsi="Times New Roman"/>
            <w:sz w:val="19"/>
            <w:szCs w:val="19"/>
            <w:color w:val="000080"/>
          </w:rPr>
          <w:t>10.</w:t>
        </w:r>
      </w:hyperlink>
      <w:r>
        <w:rPr>
          <w:rFonts w:ascii="Times New Roman" w:cs="Times New Roman" w:eastAsia="Times New Roman" w:hAnsi="Times New Roman"/>
          <w:sz w:val="19"/>
          <w:szCs w:val="19"/>
          <w:color w:val="auto"/>
        </w:rPr>
        <w:t xml:space="preserve"> </w:t>
      </w:r>
      <w:hyperlink r:id="rId93">
        <w:r>
          <w:rPr>
            <w:rFonts w:ascii="Times New Roman" w:cs="Times New Roman" w:eastAsia="Times New Roman" w:hAnsi="Times New Roman"/>
            <w:sz w:val="19"/>
            <w:szCs w:val="19"/>
            <w:color w:val="000080"/>
          </w:rPr>
          <w:t>1139/f05-177</w:t>
        </w:r>
      </w:hyperlink>
      <w:r>
        <w:rPr>
          <w:rFonts w:ascii="Times New Roman" w:cs="Times New Roman" w:eastAsia="Times New Roman" w:hAnsi="Times New Roman"/>
          <w:sz w:val="19"/>
          <w:szCs w:val="19"/>
          <w:color w:val="000000"/>
        </w:rPr>
        <w:t>.</w:t>
      </w:r>
    </w:p>
    <w:p>
      <w:pPr>
        <w:spacing w:after="0" w:line="7" w:lineRule="exact"/>
        <w:rPr>
          <w:sz w:val="20"/>
          <w:szCs w:val="20"/>
          <w:color w:val="auto"/>
        </w:rPr>
      </w:pPr>
    </w:p>
    <w:p>
      <w:pPr>
        <w:jc w:val="both"/>
        <w:ind w:left="200" w:hanging="200"/>
        <w:spacing w:after="0" w:line="268" w:lineRule="auto"/>
        <w:rPr>
          <w:sz w:val="20"/>
          <w:szCs w:val="20"/>
          <w:color w:val="auto"/>
        </w:rPr>
      </w:pPr>
      <w:r>
        <w:rPr>
          <w:rFonts w:ascii="Times New Roman" w:cs="Times New Roman" w:eastAsia="Times New Roman" w:hAnsi="Times New Roman"/>
          <w:sz w:val="19"/>
          <w:szCs w:val="19"/>
          <w:color w:val="auto"/>
        </w:rPr>
        <w:t>Huber WC, Brezonik PL, Heany JP, Dickinson RE, Preston SD, Dwornik DS, DeMaio MA. 1982. A classification of Florida lakes. Final report to the Florida Department of Environmental Regulation, Report ENV-05-82-1. Tallahassee: Florida DEP; v. 1</w:t>
      </w:r>
      <w:r>
        <w:rPr>
          <w:rFonts w:ascii="Arial" w:cs="Arial" w:eastAsia="Arial" w:hAnsi="Arial"/>
          <w:sz w:val="19"/>
          <w:szCs w:val="19"/>
          <w:color w:val="auto"/>
        </w:rPr>
        <w:t>–</w:t>
      </w:r>
      <w:r>
        <w:rPr>
          <w:rFonts w:ascii="Times New Roman" w:cs="Times New Roman" w:eastAsia="Times New Roman" w:hAnsi="Times New Roman"/>
          <w:sz w:val="19"/>
          <w:szCs w:val="19"/>
          <w:color w:val="auto"/>
        </w:rPr>
        <w:t>2, 547p.</w:t>
      </w:r>
    </w:p>
    <w:p>
      <w:pPr>
        <w:sectPr>
          <w:pgSz w:w="12240" w:h="15840" w:orient="portrait"/>
          <w:cols w:equalWidth="0" w:num="2">
            <w:col w:w="4540" w:space="360"/>
            <w:col w:w="4740"/>
          </w:cols>
          <w:pgMar w:left="1400" w:top="458" w:right="1200" w:bottom="530" w:gutter="0" w:footer="0" w:header="0"/>
        </w:sectPr>
      </w:pPr>
    </w:p>
    <w:bookmarkStart w:id="24" w:name="page25"/>
    <w:bookmarkEnd w:id="24"/>
    <w:p>
      <w:pPr>
        <w:spacing w:after="0"/>
        <w:rPr>
          <w:sz w:val="20"/>
          <w:szCs w:val="20"/>
          <w:color w:val="auto"/>
        </w:rPr>
      </w:pPr>
      <w:r>
        <w:rPr>
          <w:rFonts w:ascii="Arial" w:cs="Arial" w:eastAsia="Arial" w:hAnsi="Arial"/>
          <w:sz w:val="15"/>
          <w:szCs w:val="15"/>
          <w:color w:val="auto"/>
        </w:rPr>
        <w:t xml:space="preserve">24  </w:t>
      </w:r>
      <w:r>
        <w:rPr>
          <w:sz w:val="1"/>
          <w:szCs w:val="1"/>
          <w:color w:val="auto"/>
        </w:rPr>
        <w:drawing>
          <wp:inline distT="0" distB="0" distL="0" distR="0">
            <wp:extent cx="165100" cy="1651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94">
                      <a:extLst>
                        <a:ext uri="{28A0092B-C50C-407E-A947-70E740481C1C}"/>
                      </a:extLst>
                    </a:blip>
                    <a:srcRect/>
                    <a:stretch>
                      <a:fillRect/>
                    </a:stretch>
                  </pic:blipFill>
                  <pic:spPr bwMode="auto">
                    <a:xfrm>
                      <a:off x="0" y="0"/>
                      <a:ext cx="165100" cy="165100"/>
                    </a:xfrm>
                    <a:prstGeom prst="rect">
                      <a:avLst/>
                    </a:prstGeom>
                    <a:noFill/>
                    <a:ln>
                      <a:noFill/>
                    </a:ln>
                  </pic:spPr>
                </pic:pic>
              </a:graphicData>
            </a:graphic>
          </wp:inline>
        </w:drawing>
      </w:r>
      <w:r>
        <w:rPr>
          <w:rFonts w:ascii="Arial" w:cs="Arial" w:eastAsia="Arial" w:hAnsi="Arial"/>
          <w:sz w:val="15"/>
          <w:szCs w:val="15"/>
          <w:color w:val="auto"/>
        </w:rPr>
        <w:t xml:space="preserve">  T. J. WHITMORE ET AL.</w:t>
      </w:r>
    </w:p>
    <w:p>
      <w:pPr>
        <w:spacing w:after="0" w:line="278" w:lineRule="exact"/>
        <w:rPr>
          <w:sz w:val="20"/>
          <w:szCs w:val="20"/>
          <w:color w:val="auto"/>
        </w:rPr>
      </w:pPr>
    </w:p>
    <w:p>
      <w:pPr>
        <w:jc w:val="both"/>
        <w:ind w:left="200" w:hanging="199"/>
        <w:spacing w:after="0" w:line="267" w:lineRule="auto"/>
        <w:rPr>
          <w:rFonts w:ascii="Times New Roman" w:cs="Times New Roman" w:eastAsia="Times New Roman" w:hAnsi="Times New Roman"/>
          <w:sz w:val="19"/>
          <w:szCs w:val="19"/>
          <w:color w:val="auto"/>
        </w:rPr>
      </w:pPr>
      <w:r>
        <w:rPr>
          <w:rFonts w:ascii="Times New Roman" w:cs="Times New Roman" w:eastAsia="Times New Roman" w:hAnsi="Times New Roman"/>
          <w:sz w:val="19"/>
          <w:szCs w:val="19"/>
          <w:color w:val="auto"/>
        </w:rPr>
        <w:t>James RT, O</w:t>
      </w:r>
      <w:r>
        <w:rPr>
          <w:rFonts w:ascii="Arial" w:cs="Arial" w:eastAsia="Arial" w:hAnsi="Arial"/>
          <w:sz w:val="19"/>
          <w:szCs w:val="19"/>
          <w:color w:val="auto"/>
        </w:rPr>
        <w:t>’</w:t>
      </w:r>
      <w:r>
        <w:rPr>
          <w:rFonts w:ascii="Times New Roman" w:cs="Times New Roman" w:eastAsia="Times New Roman" w:hAnsi="Times New Roman"/>
          <w:sz w:val="19"/>
          <w:szCs w:val="19"/>
          <w:color w:val="auto"/>
        </w:rPr>
        <w:t>Dell K, Smith VH. 1994. Water quality trends in Lake Tohopekaliga, Florida, USA: responses to water-shed management. J Am Water Resources Assoc. 30(3): 531</w:t>
      </w:r>
      <w:r>
        <w:rPr>
          <w:rFonts w:ascii="Arial" w:cs="Arial" w:eastAsia="Arial" w:hAnsi="Arial"/>
          <w:sz w:val="19"/>
          <w:szCs w:val="19"/>
          <w:color w:val="auto"/>
        </w:rPr>
        <w:t>–</w:t>
      </w:r>
      <w:r>
        <w:rPr>
          <w:rFonts w:ascii="Times New Roman" w:cs="Times New Roman" w:eastAsia="Times New Roman" w:hAnsi="Times New Roman"/>
          <w:sz w:val="19"/>
          <w:szCs w:val="19"/>
          <w:color w:val="auto"/>
        </w:rPr>
        <w:t>546. doi:</w:t>
      </w:r>
      <w:hyperlink r:id="rId95">
        <w:r>
          <w:rPr>
            <w:rFonts w:ascii="Times New Roman" w:cs="Times New Roman" w:eastAsia="Times New Roman" w:hAnsi="Times New Roman"/>
            <w:sz w:val="19"/>
            <w:szCs w:val="19"/>
            <w:color w:val="000080"/>
          </w:rPr>
          <w:t>10.1111/j.1752-1688.1994.tb03311.x</w:t>
        </w:r>
      </w:hyperlink>
      <w:r>
        <w:rPr>
          <w:rFonts w:ascii="Times New Roman" w:cs="Times New Roman" w:eastAsia="Times New Roman" w:hAnsi="Times New Roman"/>
          <w:sz w:val="19"/>
          <w:szCs w:val="19"/>
          <w:color w:val="auto"/>
        </w:rPr>
        <w:t>.</w:t>
      </w:r>
    </w:p>
    <w:p>
      <w:pPr>
        <w:spacing w:after="0" w:line="7" w:lineRule="exact"/>
        <w:rPr>
          <w:sz w:val="20"/>
          <w:szCs w:val="20"/>
          <w:color w:val="auto"/>
        </w:rPr>
      </w:pPr>
    </w:p>
    <w:p>
      <w:pPr>
        <w:jc w:val="both"/>
        <w:ind w:left="200" w:hanging="199"/>
        <w:spacing w:after="0" w:line="266" w:lineRule="auto"/>
        <w:rPr>
          <w:rFonts w:ascii="Times New Roman" w:cs="Times New Roman" w:eastAsia="Times New Roman" w:hAnsi="Times New Roman"/>
          <w:sz w:val="19"/>
          <w:szCs w:val="19"/>
          <w:color w:val="000080"/>
        </w:rPr>
      </w:pPr>
      <w:r>
        <w:rPr>
          <w:rFonts w:ascii="Times New Roman" w:cs="Times New Roman" w:eastAsia="Times New Roman" w:hAnsi="Times New Roman"/>
          <w:sz w:val="19"/>
          <w:szCs w:val="19"/>
          <w:color w:val="auto"/>
        </w:rPr>
        <w:t xml:space="preserve">Juggins S. 2012. Rioja: analysis of quaternary science data, R package version (0.8-7). </w:t>
      </w:r>
      <w:hyperlink r:id="rId96">
        <w:r>
          <w:rPr>
            <w:rFonts w:ascii="Times New Roman" w:cs="Times New Roman" w:eastAsia="Times New Roman" w:hAnsi="Times New Roman"/>
            <w:sz w:val="19"/>
            <w:szCs w:val="19"/>
            <w:color w:val="000080"/>
          </w:rPr>
          <w:t>http://cran.r-project.org/package=</w:t>
        </w:r>
      </w:hyperlink>
      <w:r>
        <w:rPr>
          <w:rFonts w:ascii="Times New Roman" w:cs="Times New Roman" w:eastAsia="Times New Roman" w:hAnsi="Times New Roman"/>
          <w:sz w:val="19"/>
          <w:szCs w:val="19"/>
          <w:color w:val="auto"/>
        </w:rPr>
        <w:t xml:space="preserve"> </w:t>
      </w:r>
      <w:hyperlink r:id="rId96">
        <w:r>
          <w:rPr>
            <w:rFonts w:ascii="Times New Roman" w:cs="Times New Roman" w:eastAsia="Times New Roman" w:hAnsi="Times New Roman"/>
            <w:sz w:val="19"/>
            <w:szCs w:val="19"/>
            <w:color w:val="000080"/>
          </w:rPr>
          <w:t>rioja</w:t>
        </w:r>
      </w:hyperlink>
      <w:r>
        <w:rPr>
          <w:rFonts w:ascii="Times New Roman" w:cs="Times New Roman" w:eastAsia="Times New Roman" w:hAnsi="Times New Roman"/>
          <w:sz w:val="19"/>
          <w:szCs w:val="19"/>
          <w:color w:val="000000"/>
        </w:rPr>
        <w:t>.</w:t>
      </w:r>
    </w:p>
    <w:p>
      <w:pPr>
        <w:spacing w:after="0" w:line="8" w:lineRule="exact"/>
        <w:rPr>
          <w:sz w:val="20"/>
          <w:szCs w:val="20"/>
          <w:color w:val="auto"/>
        </w:rPr>
      </w:pPr>
    </w:p>
    <w:p>
      <w:pPr>
        <w:jc w:val="both"/>
        <w:ind w:left="200" w:hanging="199"/>
        <w:spacing w:after="0" w:line="266" w:lineRule="auto"/>
        <w:rPr>
          <w:sz w:val="20"/>
          <w:szCs w:val="20"/>
          <w:color w:val="auto"/>
        </w:rPr>
      </w:pPr>
      <w:r>
        <w:rPr>
          <w:rFonts w:ascii="Times New Roman" w:cs="Times New Roman" w:eastAsia="Times New Roman" w:hAnsi="Times New Roman"/>
          <w:sz w:val="19"/>
          <w:szCs w:val="19"/>
          <w:color w:val="auto"/>
        </w:rPr>
        <w:t>Kantrud HA. 1991. Wigeongrass (Ruppia maritima): a lit-erature review. Fish and Wildlife Research, Series 10. Washington, DC: U.S. Fish and Wildlife Service; 58p.</w:t>
      </w:r>
    </w:p>
    <w:p>
      <w:pPr>
        <w:spacing w:after="0" w:line="237" w:lineRule="auto"/>
        <w:rPr>
          <w:sz w:val="20"/>
          <w:szCs w:val="20"/>
          <w:color w:val="auto"/>
        </w:rPr>
      </w:pPr>
      <w:r>
        <w:rPr>
          <w:rFonts w:ascii="Times New Roman" w:cs="Times New Roman" w:eastAsia="Times New Roman" w:hAnsi="Times New Roman"/>
          <w:sz w:val="19"/>
          <w:szCs w:val="19"/>
          <w:color w:val="auto"/>
        </w:rPr>
        <w:t>Karlsson J, Bystrom P, Ask J, Ask P, Persson L, Jansson M.</w:t>
      </w:r>
    </w:p>
    <w:p>
      <w:pPr>
        <w:spacing w:after="0" w:line="29" w:lineRule="exact"/>
        <w:rPr>
          <w:sz w:val="20"/>
          <w:szCs w:val="20"/>
          <w:color w:val="auto"/>
        </w:rPr>
      </w:pPr>
    </w:p>
    <w:p>
      <w:pPr>
        <w:ind w:left="200"/>
        <w:spacing w:after="0"/>
        <w:rPr>
          <w:sz w:val="20"/>
          <w:szCs w:val="20"/>
          <w:color w:val="auto"/>
        </w:rPr>
      </w:pPr>
      <w:r>
        <w:rPr>
          <w:rFonts w:ascii="Times New Roman" w:cs="Times New Roman" w:eastAsia="Times New Roman" w:hAnsi="Times New Roman"/>
          <w:sz w:val="19"/>
          <w:szCs w:val="19"/>
          <w:color w:val="auto"/>
        </w:rPr>
        <w:t>2009. Light limitation of nutrient-poor lake ecosystems.</w:t>
      </w:r>
    </w:p>
    <w:p>
      <w:pPr>
        <w:spacing w:after="0" w:line="38" w:lineRule="exact"/>
        <w:rPr>
          <w:sz w:val="20"/>
          <w:szCs w:val="20"/>
          <w:color w:val="auto"/>
        </w:rPr>
      </w:pPr>
    </w:p>
    <w:p>
      <w:pPr>
        <w:ind w:left="200"/>
        <w:spacing w:after="0"/>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Nature Lett. 460(7254):506</w:t>
      </w:r>
      <w:r>
        <w:rPr>
          <w:rFonts w:ascii="Arial" w:cs="Arial" w:eastAsia="Arial" w:hAnsi="Arial"/>
          <w:sz w:val="18"/>
          <w:szCs w:val="18"/>
          <w:color w:val="auto"/>
        </w:rPr>
        <w:t>–</w:t>
      </w:r>
      <w:r>
        <w:rPr>
          <w:rFonts w:ascii="Times New Roman" w:cs="Times New Roman" w:eastAsia="Times New Roman" w:hAnsi="Times New Roman"/>
          <w:sz w:val="18"/>
          <w:szCs w:val="18"/>
          <w:color w:val="auto"/>
        </w:rPr>
        <w:t>510. doi:</w:t>
      </w:r>
      <w:hyperlink r:id="rId97">
        <w:r>
          <w:rPr>
            <w:rFonts w:ascii="Times New Roman" w:cs="Times New Roman" w:eastAsia="Times New Roman" w:hAnsi="Times New Roman"/>
            <w:sz w:val="18"/>
            <w:szCs w:val="18"/>
            <w:color w:val="000080"/>
          </w:rPr>
          <w:t>10.1038/nature08179</w:t>
        </w:r>
      </w:hyperlink>
      <w:r>
        <w:rPr>
          <w:rFonts w:ascii="Times New Roman" w:cs="Times New Roman" w:eastAsia="Times New Roman" w:hAnsi="Times New Roman"/>
          <w:sz w:val="18"/>
          <w:szCs w:val="18"/>
          <w:color w:val="auto"/>
        </w:rPr>
        <w:t>.</w:t>
      </w:r>
    </w:p>
    <w:p>
      <w:pPr>
        <w:spacing w:after="0" w:line="33" w:lineRule="exact"/>
        <w:rPr>
          <w:sz w:val="20"/>
          <w:szCs w:val="20"/>
          <w:color w:val="auto"/>
        </w:rPr>
      </w:pPr>
    </w:p>
    <w:p>
      <w:pPr>
        <w:jc w:val="both"/>
        <w:ind w:left="200" w:hanging="199"/>
        <w:spacing w:after="0" w:line="268" w:lineRule="auto"/>
        <w:rPr>
          <w:rFonts w:ascii="Times New Roman" w:cs="Times New Roman" w:eastAsia="Times New Roman" w:hAnsi="Times New Roman"/>
          <w:sz w:val="19"/>
          <w:szCs w:val="19"/>
          <w:color w:val="auto"/>
        </w:rPr>
      </w:pPr>
      <w:r>
        <w:rPr>
          <w:rFonts w:ascii="Times New Roman" w:cs="Times New Roman" w:eastAsia="Times New Roman" w:hAnsi="Times New Roman"/>
          <w:sz w:val="19"/>
          <w:szCs w:val="19"/>
          <w:color w:val="auto"/>
        </w:rPr>
        <w:t>Kenney WF, Whitmore TJ, Buck DG, Brenner M, Curtis JH, Di JJ, Kenney PL, Schelske CL. 2014. Whole-basin, mass-balance approach for identifying critical phos-phorus-loading thresholds in shallow lakes. J Paleolimnol. 51(4):515</w:t>
      </w:r>
      <w:r>
        <w:rPr>
          <w:rFonts w:ascii="Arial" w:cs="Arial" w:eastAsia="Arial" w:hAnsi="Arial"/>
          <w:sz w:val="19"/>
          <w:szCs w:val="19"/>
          <w:color w:val="auto"/>
        </w:rPr>
        <w:t>–</w:t>
      </w:r>
      <w:r>
        <w:rPr>
          <w:rFonts w:ascii="Times New Roman" w:cs="Times New Roman" w:eastAsia="Times New Roman" w:hAnsi="Times New Roman"/>
          <w:sz w:val="19"/>
          <w:szCs w:val="19"/>
          <w:color w:val="auto"/>
        </w:rPr>
        <w:t>528. doi:</w:t>
      </w:r>
      <w:hyperlink r:id="rId98">
        <w:r>
          <w:rPr>
            <w:rFonts w:ascii="Times New Roman" w:cs="Times New Roman" w:eastAsia="Times New Roman" w:hAnsi="Times New Roman"/>
            <w:sz w:val="19"/>
            <w:szCs w:val="19"/>
            <w:color w:val="000080"/>
          </w:rPr>
          <w:t>10.1007/s10933-014-9771-9</w:t>
        </w:r>
      </w:hyperlink>
      <w:r>
        <w:rPr>
          <w:rFonts w:ascii="Times New Roman" w:cs="Times New Roman" w:eastAsia="Times New Roman" w:hAnsi="Times New Roman"/>
          <w:sz w:val="19"/>
          <w:szCs w:val="19"/>
          <w:color w:val="auto"/>
        </w:rPr>
        <w:t>.</w:t>
      </w:r>
    </w:p>
    <w:p>
      <w:pPr>
        <w:spacing w:after="0" w:line="7" w:lineRule="exact"/>
        <w:rPr>
          <w:sz w:val="20"/>
          <w:szCs w:val="20"/>
          <w:color w:val="auto"/>
        </w:rPr>
      </w:pPr>
    </w:p>
    <w:p>
      <w:pPr>
        <w:jc w:val="both"/>
        <w:ind w:left="200" w:hanging="199"/>
        <w:spacing w:after="0" w:line="267" w:lineRule="auto"/>
        <w:rPr>
          <w:sz w:val="20"/>
          <w:szCs w:val="20"/>
          <w:color w:val="auto"/>
        </w:rPr>
      </w:pPr>
      <w:r>
        <w:rPr>
          <w:rFonts w:ascii="Times New Roman" w:cs="Times New Roman" w:eastAsia="Times New Roman" w:hAnsi="Times New Roman"/>
          <w:sz w:val="19"/>
          <w:szCs w:val="19"/>
          <w:color w:val="auto"/>
        </w:rPr>
        <w:t>Keyser D. 1977. Ecology and zoogeography of recent brack-ish-water Ostracoda (Crustacea) from South-West Florida. In Proc. Sixth International Ostracod Symposium, Saalfelden; p. 207</w:t>
      </w:r>
      <w:r>
        <w:rPr>
          <w:rFonts w:ascii="Arial" w:cs="Arial" w:eastAsia="Arial" w:hAnsi="Arial"/>
          <w:sz w:val="19"/>
          <w:szCs w:val="19"/>
          <w:color w:val="auto"/>
        </w:rPr>
        <w:t>–</w:t>
      </w:r>
      <w:r>
        <w:rPr>
          <w:rFonts w:ascii="Times New Roman" w:cs="Times New Roman" w:eastAsia="Times New Roman" w:hAnsi="Times New Roman"/>
          <w:sz w:val="19"/>
          <w:szCs w:val="19"/>
          <w:color w:val="auto"/>
        </w:rPr>
        <w:t>222.</w:t>
      </w:r>
    </w:p>
    <w:p>
      <w:pPr>
        <w:spacing w:after="0" w:line="8" w:lineRule="exact"/>
        <w:rPr>
          <w:sz w:val="20"/>
          <w:szCs w:val="20"/>
          <w:color w:val="auto"/>
        </w:rPr>
      </w:pPr>
    </w:p>
    <w:p>
      <w:pPr>
        <w:jc w:val="both"/>
        <w:ind w:left="200" w:hanging="199"/>
        <w:spacing w:after="0" w:line="283" w:lineRule="auto"/>
        <w:rPr>
          <w:sz w:val="20"/>
          <w:szCs w:val="20"/>
          <w:color w:val="auto"/>
        </w:rPr>
      </w:pPr>
      <w:r>
        <w:rPr>
          <w:rFonts w:ascii="Times New Roman" w:cs="Times New Roman" w:eastAsia="Times New Roman" w:hAnsi="Times New Roman"/>
          <w:sz w:val="18"/>
          <w:szCs w:val="18"/>
          <w:color w:val="auto"/>
        </w:rPr>
        <w:t>Krammer K, Lange-Bertalot H. 1986</w:t>
      </w:r>
      <w:r>
        <w:rPr>
          <w:rFonts w:ascii="Arial" w:cs="Arial" w:eastAsia="Arial" w:hAnsi="Arial"/>
          <w:sz w:val="18"/>
          <w:szCs w:val="18"/>
          <w:color w:val="auto"/>
        </w:rPr>
        <w:t>–</w:t>
      </w:r>
      <w:r>
        <w:rPr>
          <w:rFonts w:ascii="Times New Roman" w:cs="Times New Roman" w:eastAsia="Times New Roman" w:hAnsi="Times New Roman"/>
          <w:sz w:val="18"/>
          <w:szCs w:val="18"/>
          <w:color w:val="auto"/>
        </w:rPr>
        <w:t>1991. Bacillariophyceae Teil 1-4. In: Pascher A, editor. Susswasserflora von Mitteleuropa. Jena: Gustav Fischer Verlag.</w:t>
      </w:r>
    </w:p>
    <w:p>
      <w:pPr>
        <w:spacing w:after="0" w:line="2" w:lineRule="exact"/>
        <w:rPr>
          <w:sz w:val="20"/>
          <w:szCs w:val="20"/>
          <w:color w:val="auto"/>
        </w:rPr>
      </w:pPr>
    </w:p>
    <w:p>
      <w:pPr>
        <w:jc w:val="both"/>
        <w:ind w:left="200" w:hanging="199"/>
        <w:spacing w:after="0" w:line="258" w:lineRule="auto"/>
        <w:rPr>
          <w:rFonts w:ascii="Times New Roman" w:cs="Times New Roman" w:eastAsia="Times New Roman" w:hAnsi="Times New Roman"/>
          <w:sz w:val="19"/>
          <w:szCs w:val="19"/>
          <w:color w:val="auto"/>
        </w:rPr>
      </w:pPr>
      <w:r>
        <w:rPr>
          <w:rFonts w:ascii="Times New Roman" w:cs="Times New Roman" w:eastAsia="Times New Roman" w:hAnsi="Times New Roman"/>
          <w:sz w:val="19"/>
          <w:szCs w:val="19"/>
          <w:color w:val="auto"/>
        </w:rPr>
        <w:t>Larocque-Tobler I. 2016. Editorial: Using paleolimnology for management and restoration of lakes. Front Ecol Evol. 4:103. doi:</w:t>
      </w:r>
      <w:hyperlink r:id="rId99">
        <w:r>
          <w:rPr>
            <w:rFonts w:ascii="Times New Roman" w:cs="Times New Roman" w:eastAsia="Times New Roman" w:hAnsi="Times New Roman"/>
            <w:sz w:val="19"/>
            <w:szCs w:val="19"/>
            <w:color w:val="000080"/>
          </w:rPr>
          <w:t>10.3389/fevo.2016.00103</w:t>
        </w:r>
      </w:hyperlink>
      <w:r>
        <w:rPr>
          <w:rFonts w:ascii="Times New Roman" w:cs="Times New Roman" w:eastAsia="Times New Roman" w:hAnsi="Times New Roman"/>
          <w:sz w:val="19"/>
          <w:szCs w:val="19"/>
          <w:color w:val="auto"/>
        </w:rPr>
        <w:t>.</w:t>
      </w:r>
    </w:p>
    <w:tbl>
      <w:tblPr>
        <w:tblLayout w:type="fixed"/>
        <w:tblInd w:w="0" w:type="dxa"/>
        <w:tblCellMar>
          <w:top w:w="0" w:type="dxa"/>
          <w:left w:w="0" w:type="dxa"/>
          <w:bottom w:w="0" w:type="dxa"/>
          <w:right w:w="0" w:type="dxa"/>
        </w:tblCellMar>
      </w:tblPr>
      <w:tr>
        <w:trPr>
          <w:trHeight w:val="149"/>
        </w:trPr>
        <w:tc>
          <w:tcPr>
            <w:tcW w:w="2520" w:type="dxa"/>
            <w:vAlign w:val="bottom"/>
            <w:vMerge w:val="restart"/>
          </w:tcPr>
          <w:p>
            <w:pPr>
              <w:spacing w:after="0"/>
              <w:rPr>
                <w:sz w:val="20"/>
                <w:szCs w:val="20"/>
                <w:color w:val="auto"/>
              </w:rPr>
            </w:pPr>
            <w:r>
              <w:rPr>
                <w:rFonts w:ascii="Times New Roman" w:cs="Times New Roman" w:eastAsia="Times New Roman" w:hAnsi="Times New Roman"/>
                <w:sz w:val="19"/>
                <w:szCs w:val="19"/>
                <w:color w:val="auto"/>
              </w:rPr>
              <w:t>Levi EE, Bezirci G, C¸akıroglu</w:t>
            </w:r>
          </w:p>
        </w:tc>
        <w:tc>
          <w:tcPr>
            <w:tcW w:w="2220" w:type="dxa"/>
            <w:vAlign w:val="bottom"/>
          </w:tcPr>
          <w:p>
            <w:pPr>
              <w:jc w:val="right"/>
              <w:ind w:right="1898"/>
              <w:spacing w:after="0" w:line="150" w:lineRule="exact"/>
              <w:rPr>
                <w:sz w:val="20"/>
                <w:szCs w:val="20"/>
                <w:color w:val="auto"/>
              </w:rPr>
            </w:pPr>
            <w:r>
              <w:rPr>
                <w:rFonts w:ascii="Arial" w:cs="Arial" w:eastAsia="Arial" w:hAnsi="Arial"/>
                <w:sz w:val="17"/>
                <w:szCs w:val="17"/>
                <w:color w:val="auto"/>
              </w:rPr>
              <w:t>_</w:t>
            </w:r>
          </w:p>
        </w:tc>
        <w:tc>
          <w:tcPr>
            <w:tcW w:w="0" w:type="dxa"/>
            <w:vAlign w:val="bottom"/>
          </w:tcPr>
          <w:p>
            <w:pPr>
              <w:spacing w:after="0"/>
              <w:rPr>
                <w:sz w:val="1"/>
                <w:szCs w:val="1"/>
                <w:color w:val="auto"/>
              </w:rPr>
            </w:pPr>
          </w:p>
        </w:tc>
      </w:tr>
      <w:tr>
        <w:trPr>
          <w:trHeight w:val="142"/>
        </w:trPr>
        <w:tc>
          <w:tcPr>
            <w:tcW w:w="2520" w:type="dxa"/>
            <w:vAlign w:val="bottom"/>
            <w:vMerge w:val="continue"/>
          </w:tcPr>
          <w:p>
            <w:pPr>
              <w:spacing w:after="0"/>
              <w:rPr>
                <w:sz w:val="12"/>
                <w:szCs w:val="12"/>
                <w:color w:val="auto"/>
              </w:rPr>
            </w:pPr>
          </w:p>
        </w:tc>
        <w:tc>
          <w:tcPr>
            <w:tcW w:w="2220" w:type="dxa"/>
            <w:vAlign w:val="bottom"/>
          </w:tcPr>
          <w:p>
            <w:pPr>
              <w:jc w:val="right"/>
              <w:spacing w:after="0" w:line="142" w:lineRule="exact"/>
              <w:rPr>
                <w:sz w:val="20"/>
                <w:szCs w:val="20"/>
                <w:color w:val="auto"/>
              </w:rPr>
            </w:pPr>
            <w:r>
              <w:rPr>
                <w:rFonts w:ascii="Times New Roman" w:cs="Times New Roman" w:eastAsia="Times New Roman" w:hAnsi="Times New Roman"/>
                <w:sz w:val="16"/>
                <w:szCs w:val="16"/>
                <w:color w:val="auto"/>
              </w:rPr>
              <w:t>AI, Turner S, Bennion H,</w:t>
            </w:r>
          </w:p>
        </w:tc>
        <w:tc>
          <w:tcPr>
            <w:tcW w:w="0" w:type="dxa"/>
            <w:vAlign w:val="bottom"/>
          </w:tcPr>
          <w:p>
            <w:pPr>
              <w:spacing w:after="0"/>
              <w:rPr>
                <w:sz w:val="1"/>
                <w:szCs w:val="1"/>
                <w:color w:val="auto"/>
              </w:rPr>
            </w:pPr>
          </w:p>
        </w:tc>
      </w:tr>
    </w:tbl>
    <w:p>
      <w:pPr>
        <w:jc w:val="both"/>
        <w:ind w:left="200"/>
        <w:spacing w:after="0" w:line="279" w:lineRule="auto"/>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Kernan M, Jeppesen E, Beklioglu M. 2016. Multi-proxy palaeoecological responses to water-level fluctuations in three shallow Turkish lakes. Palaeogeogr Palaeoclimatol Palaeoecol. 449:553</w:t>
      </w:r>
      <w:r>
        <w:rPr>
          <w:rFonts w:ascii="Arial" w:cs="Arial" w:eastAsia="Arial" w:hAnsi="Arial"/>
          <w:sz w:val="18"/>
          <w:szCs w:val="18"/>
          <w:color w:val="auto"/>
        </w:rPr>
        <w:t>–</w:t>
      </w:r>
      <w:r>
        <w:rPr>
          <w:rFonts w:ascii="Times New Roman" w:cs="Times New Roman" w:eastAsia="Times New Roman" w:hAnsi="Times New Roman"/>
          <w:sz w:val="18"/>
          <w:szCs w:val="18"/>
          <w:color w:val="auto"/>
        </w:rPr>
        <w:t>566. doi:</w:t>
      </w:r>
      <w:hyperlink r:id="rId100">
        <w:r>
          <w:rPr>
            <w:rFonts w:ascii="Times New Roman" w:cs="Times New Roman" w:eastAsia="Times New Roman" w:hAnsi="Times New Roman"/>
            <w:sz w:val="18"/>
            <w:szCs w:val="18"/>
            <w:color w:val="000080"/>
          </w:rPr>
          <w:t>10.1016/j.palaeo.2016.02.052</w:t>
        </w:r>
      </w:hyperlink>
      <w:r>
        <w:rPr>
          <w:rFonts w:ascii="Times New Roman" w:cs="Times New Roman" w:eastAsia="Times New Roman" w:hAnsi="Times New Roman"/>
          <w:sz w:val="18"/>
          <w:szCs w:val="18"/>
          <w:color w:val="auto"/>
        </w:rPr>
        <w:t>.</w:t>
      </w:r>
    </w:p>
    <w:p>
      <w:pPr>
        <w:spacing w:after="0" w:line="3" w:lineRule="exact"/>
        <w:rPr>
          <w:sz w:val="20"/>
          <w:szCs w:val="20"/>
          <w:color w:val="auto"/>
        </w:rPr>
      </w:pPr>
    </w:p>
    <w:p>
      <w:pPr>
        <w:jc w:val="both"/>
        <w:ind w:left="200" w:hanging="199"/>
        <w:spacing w:after="0" w:line="268" w:lineRule="auto"/>
        <w:rPr>
          <w:rFonts w:ascii="Times New Roman" w:cs="Times New Roman" w:eastAsia="Times New Roman" w:hAnsi="Times New Roman"/>
          <w:sz w:val="19"/>
          <w:szCs w:val="19"/>
          <w:color w:val="auto"/>
        </w:rPr>
      </w:pPr>
      <w:r>
        <w:rPr>
          <w:rFonts w:ascii="Times New Roman" w:cs="Times New Roman" w:eastAsia="Times New Roman" w:hAnsi="Times New Roman"/>
          <w:sz w:val="19"/>
          <w:szCs w:val="19"/>
          <w:color w:val="auto"/>
        </w:rPr>
        <w:t>Matsuda JT, Lansac-Toha FA, Martens K, Velho LFM, Mormul RP, Higuti J. 2015. Association of body size and behavior of freshwater ostracods (Crustacea, Ostracoda) with aquatic macrophytes. Aquat Ecol. 49(3):321</w:t>
      </w:r>
      <w:r>
        <w:rPr>
          <w:rFonts w:ascii="Arial" w:cs="Arial" w:eastAsia="Arial" w:hAnsi="Arial"/>
          <w:sz w:val="19"/>
          <w:szCs w:val="19"/>
          <w:color w:val="auto"/>
        </w:rPr>
        <w:t>–</w:t>
      </w:r>
      <w:r>
        <w:rPr>
          <w:rFonts w:ascii="Times New Roman" w:cs="Times New Roman" w:eastAsia="Times New Roman" w:hAnsi="Times New Roman"/>
          <w:sz w:val="19"/>
          <w:szCs w:val="19"/>
          <w:color w:val="auto"/>
        </w:rPr>
        <w:t>331. doi:</w:t>
      </w:r>
      <w:hyperlink r:id="rId101">
        <w:r>
          <w:rPr>
            <w:rFonts w:ascii="Times New Roman" w:cs="Times New Roman" w:eastAsia="Times New Roman" w:hAnsi="Times New Roman"/>
            <w:sz w:val="19"/>
            <w:szCs w:val="19"/>
            <w:color w:val="000080"/>
          </w:rPr>
          <w:t>10.1007/s10452-015-9527-2</w:t>
        </w:r>
      </w:hyperlink>
      <w:r>
        <w:rPr>
          <w:rFonts w:ascii="Times New Roman" w:cs="Times New Roman" w:eastAsia="Times New Roman" w:hAnsi="Times New Roman"/>
          <w:sz w:val="19"/>
          <w:szCs w:val="19"/>
          <w:color w:val="auto"/>
        </w:rPr>
        <w:t>.</w:t>
      </w:r>
    </w:p>
    <w:p>
      <w:pPr>
        <w:spacing w:after="0" w:line="7" w:lineRule="exact"/>
        <w:rPr>
          <w:sz w:val="20"/>
          <w:szCs w:val="20"/>
          <w:color w:val="auto"/>
        </w:rPr>
      </w:pPr>
    </w:p>
    <w:p>
      <w:pPr>
        <w:jc w:val="both"/>
        <w:ind w:left="200" w:hanging="199"/>
        <w:spacing w:after="0" w:line="266" w:lineRule="auto"/>
        <w:rPr>
          <w:rFonts w:ascii="Times New Roman" w:cs="Times New Roman" w:eastAsia="Times New Roman" w:hAnsi="Times New Roman"/>
          <w:sz w:val="19"/>
          <w:szCs w:val="19"/>
          <w:color w:val="000080"/>
        </w:rPr>
      </w:pPr>
      <w:r>
        <w:rPr>
          <w:rFonts w:ascii="Times New Roman" w:cs="Times New Roman" w:eastAsia="Times New Roman" w:hAnsi="Times New Roman"/>
          <w:sz w:val="19"/>
          <w:szCs w:val="19"/>
          <w:color w:val="auto"/>
        </w:rPr>
        <w:t>McGowan S, Britton G, Haworth E, Moss B. 1999. Ancient blue-green blooms. Limnol Oceanogr. 44(2):436</w:t>
      </w:r>
      <w:r>
        <w:rPr>
          <w:rFonts w:ascii="Arial" w:cs="Arial" w:eastAsia="Arial" w:hAnsi="Arial"/>
          <w:sz w:val="19"/>
          <w:szCs w:val="19"/>
          <w:color w:val="auto"/>
        </w:rPr>
        <w:t>–</w:t>
      </w:r>
      <w:r>
        <w:rPr>
          <w:rFonts w:ascii="Times New Roman" w:cs="Times New Roman" w:eastAsia="Times New Roman" w:hAnsi="Times New Roman"/>
          <w:sz w:val="19"/>
          <w:szCs w:val="19"/>
          <w:color w:val="auto"/>
        </w:rPr>
        <w:t xml:space="preserve">439. doi: </w:t>
      </w:r>
      <w:hyperlink r:id="rId102">
        <w:r>
          <w:rPr>
            <w:rFonts w:ascii="Times New Roman" w:cs="Times New Roman" w:eastAsia="Times New Roman" w:hAnsi="Times New Roman"/>
            <w:sz w:val="19"/>
            <w:szCs w:val="19"/>
            <w:color w:val="000080"/>
          </w:rPr>
          <w:t>10.4319/lo.1999.44.2.0436</w:t>
        </w:r>
      </w:hyperlink>
      <w:r>
        <w:rPr>
          <w:rFonts w:ascii="Times New Roman" w:cs="Times New Roman" w:eastAsia="Times New Roman" w:hAnsi="Times New Roman"/>
          <w:sz w:val="19"/>
          <w:szCs w:val="19"/>
          <w:color w:val="000000"/>
        </w:rPr>
        <w:t>.</w:t>
      </w:r>
    </w:p>
    <w:p>
      <w:pPr>
        <w:spacing w:after="0" w:line="6" w:lineRule="exact"/>
        <w:rPr>
          <w:sz w:val="20"/>
          <w:szCs w:val="20"/>
          <w:color w:val="auto"/>
        </w:rPr>
      </w:pPr>
    </w:p>
    <w:p>
      <w:pPr>
        <w:jc w:val="both"/>
        <w:ind w:left="200" w:hanging="199"/>
        <w:spacing w:after="0" w:line="258" w:lineRule="auto"/>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Nagid EJ, Canfield DE, Jr., Hoyer MV. 2001. Wind-induced increases in trophic state characteristics of a large (27 km</w:t>
      </w:r>
      <w:r>
        <w:rPr>
          <w:rFonts w:ascii="Times New Roman" w:cs="Times New Roman" w:eastAsia="Times New Roman" w:hAnsi="Times New Roman"/>
          <w:sz w:val="24"/>
          <w:szCs w:val="24"/>
          <w:color w:val="auto"/>
          <w:vertAlign w:val="superscript"/>
        </w:rPr>
        <w:t>2</w:t>
      </w:r>
      <w:r>
        <w:rPr>
          <w:rFonts w:ascii="Times New Roman" w:cs="Times New Roman" w:eastAsia="Times New Roman" w:hAnsi="Times New Roman"/>
          <w:sz w:val="18"/>
          <w:szCs w:val="18"/>
          <w:color w:val="auto"/>
        </w:rPr>
        <w:t>), shallow (1.5 m mean depth) Florida Lake. Hydrobiologia. 455(1/3):97</w:t>
      </w:r>
      <w:r>
        <w:rPr>
          <w:rFonts w:ascii="Arial" w:cs="Arial" w:eastAsia="Arial" w:hAnsi="Arial"/>
          <w:sz w:val="18"/>
          <w:szCs w:val="18"/>
          <w:color w:val="auto"/>
        </w:rPr>
        <w:t>–</w:t>
      </w:r>
      <w:r>
        <w:rPr>
          <w:rFonts w:ascii="Times New Roman" w:cs="Times New Roman" w:eastAsia="Times New Roman" w:hAnsi="Times New Roman"/>
          <w:sz w:val="18"/>
          <w:szCs w:val="18"/>
          <w:color w:val="auto"/>
        </w:rPr>
        <w:t>110. doi:</w:t>
      </w:r>
      <w:hyperlink r:id="rId103">
        <w:r>
          <w:rPr>
            <w:rFonts w:ascii="Times New Roman" w:cs="Times New Roman" w:eastAsia="Times New Roman" w:hAnsi="Times New Roman"/>
            <w:sz w:val="18"/>
            <w:szCs w:val="18"/>
            <w:color w:val="000080"/>
          </w:rPr>
          <w:t>10.1023/A:1011913200302</w:t>
        </w:r>
      </w:hyperlink>
      <w:r>
        <w:rPr>
          <w:rFonts w:ascii="Times New Roman" w:cs="Times New Roman" w:eastAsia="Times New Roman" w:hAnsi="Times New Roman"/>
          <w:sz w:val="18"/>
          <w:szCs w:val="18"/>
          <w:color w:val="auto"/>
        </w:rPr>
        <w:t>.</w:t>
      </w:r>
    </w:p>
    <w:p>
      <w:pPr>
        <w:spacing w:after="0" w:line="17" w:lineRule="exact"/>
        <w:rPr>
          <w:sz w:val="20"/>
          <w:szCs w:val="20"/>
          <w:color w:val="auto"/>
        </w:rPr>
      </w:pPr>
    </w:p>
    <w:p>
      <w:pPr>
        <w:jc w:val="both"/>
        <w:ind w:left="200" w:hanging="199"/>
        <w:spacing w:after="0" w:line="284" w:lineRule="auto"/>
        <w:rPr>
          <w:rFonts w:ascii="Times New Roman" w:cs="Times New Roman" w:eastAsia="Times New Roman" w:hAnsi="Times New Roman"/>
          <w:sz w:val="18"/>
          <w:szCs w:val="18"/>
          <w:color w:val="000080"/>
        </w:rPr>
      </w:pPr>
      <w:r>
        <w:rPr>
          <w:rFonts w:ascii="Times New Roman" w:cs="Times New Roman" w:eastAsia="Times New Roman" w:hAnsi="Times New Roman"/>
          <w:sz w:val="19"/>
          <w:szCs w:val="19"/>
          <w:color w:val="auto"/>
        </w:rPr>
        <w:t>Osceola</w:t>
      </w:r>
      <w:r>
        <w:rPr>
          <w:sz w:val="20"/>
          <w:szCs w:val="20"/>
          <w:color w:val="auto"/>
        </w:rPr>
        <w:t xml:space="preserve"> </w:t>
      </w:r>
      <w:r>
        <w:rPr>
          <w:rFonts w:ascii="Times New Roman" w:cs="Times New Roman" w:eastAsia="Times New Roman" w:hAnsi="Times New Roman"/>
          <w:sz w:val="18"/>
          <w:szCs w:val="18"/>
          <w:color w:val="auto"/>
        </w:rPr>
        <w:t xml:space="preserve">County Community Development Department. 2015. Osceola County Lakes Management Plan. 70p. </w:t>
      </w:r>
      <w:hyperlink r:id="rId104">
        <w:r>
          <w:rPr>
            <w:rFonts w:ascii="Times New Roman" w:cs="Times New Roman" w:eastAsia="Times New Roman" w:hAnsi="Times New Roman"/>
            <w:sz w:val="18"/>
            <w:szCs w:val="18"/>
            <w:color w:val="000080"/>
          </w:rPr>
          <w:t>https://www.osceola.org/core/fileparse.php/2731/urlt/092415_</w:t>
        </w:r>
      </w:hyperlink>
      <w:r>
        <w:rPr>
          <w:rFonts w:ascii="Times New Roman" w:cs="Times New Roman" w:eastAsia="Times New Roman" w:hAnsi="Times New Roman"/>
          <w:sz w:val="18"/>
          <w:szCs w:val="18"/>
          <w:color w:val="000080"/>
        </w:rPr>
        <w:t xml:space="preserve"> </w:t>
      </w:r>
      <w:hyperlink r:id="rId104">
        <w:r>
          <w:rPr>
            <w:rFonts w:ascii="Times New Roman" w:cs="Times New Roman" w:eastAsia="Times New Roman" w:hAnsi="Times New Roman"/>
            <w:sz w:val="18"/>
            <w:szCs w:val="18"/>
            <w:color w:val="000080"/>
          </w:rPr>
          <w:t>LakesManagementPlan.pdf</w:t>
        </w:r>
      </w:hyperlink>
      <w:r>
        <w:rPr>
          <w:rFonts w:ascii="Times New Roman" w:cs="Times New Roman" w:eastAsia="Times New Roman" w:hAnsi="Times New Roman"/>
          <w:sz w:val="18"/>
          <w:szCs w:val="18"/>
          <w:color w:val="000000"/>
        </w:rPr>
        <w:t>.</w:t>
      </w:r>
    </w:p>
    <w:p>
      <w:pPr>
        <w:spacing w:after="0" w:line="1" w:lineRule="exact"/>
        <w:rPr>
          <w:sz w:val="20"/>
          <w:szCs w:val="20"/>
          <w:color w:val="auto"/>
        </w:rPr>
      </w:pPr>
    </w:p>
    <w:p>
      <w:pPr>
        <w:jc w:val="both"/>
        <w:ind w:left="200" w:hanging="199"/>
        <w:spacing w:after="0" w:line="265" w:lineRule="auto"/>
        <w:rPr>
          <w:sz w:val="20"/>
          <w:szCs w:val="20"/>
          <w:color w:val="auto"/>
        </w:rPr>
      </w:pPr>
      <w:r>
        <w:rPr>
          <w:rFonts w:ascii="Times New Roman" w:cs="Times New Roman" w:eastAsia="Times New Roman" w:hAnsi="Times New Roman"/>
          <w:sz w:val="19"/>
          <w:szCs w:val="19"/>
          <w:color w:val="auto"/>
        </w:rPr>
        <w:t>Otto JS. 1985. Florida</w:t>
      </w:r>
      <w:r>
        <w:rPr>
          <w:rFonts w:ascii="Arial" w:cs="Arial" w:eastAsia="Arial" w:hAnsi="Arial"/>
          <w:sz w:val="19"/>
          <w:szCs w:val="19"/>
          <w:color w:val="auto"/>
        </w:rPr>
        <w:t>’</w:t>
      </w:r>
      <w:r>
        <w:rPr>
          <w:rFonts w:ascii="Times New Roman" w:cs="Times New Roman" w:eastAsia="Times New Roman" w:hAnsi="Times New Roman"/>
          <w:sz w:val="19"/>
          <w:szCs w:val="19"/>
          <w:color w:val="auto"/>
        </w:rPr>
        <w:t>s cattle-ranching frontier: Manatee and Brevard counties (1860). Florida Histor Quart. 64(1): 48</w:t>
      </w:r>
      <w:r>
        <w:rPr>
          <w:rFonts w:ascii="Arial" w:cs="Arial" w:eastAsia="Arial" w:hAnsi="Arial"/>
          <w:sz w:val="19"/>
          <w:szCs w:val="19"/>
          <w:color w:val="auto"/>
        </w:rPr>
        <w:t>–</w:t>
      </w:r>
      <w:r>
        <w:rPr>
          <w:rFonts w:ascii="Times New Roman" w:cs="Times New Roman" w:eastAsia="Times New Roman" w:hAnsi="Times New Roman"/>
          <w:sz w:val="19"/>
          <w:szCs w:val="19"/>
          <w:color w:val="auto"/>
        </w:rPr>
        <w:t>61.</w:t>
      </w:r>
    </w:p>
    <w:p>
      <w:pPr>
        <w:spacing w:after="0" w:line="8" w:lineRule="exact"/>
        <w:rPr>
          <w:sz w:val="20"/>
          <w:szCs w:val="20"/>
          <w:color w:val="auto"/>
        </w:rPr>
      </w:pPr>
    </w:p>
    <w:p>
      <w:pPr>
        <w:jc w:val="center"/>
        <w:spacing w:after="0" w:line="264" w:lineRule="auto"/>
        <w:rPr>
          <w:sz w:val="20"/>
          <w:szCs w:val="20"/>
          <w:color w:val="auto"/>
        </w:rPr>
      </w:pPr>
      <w:r>
        <w:rPr>
          <w:rFonts w:ascii="Times New Roman" w:cs="Times New Roman" w:eastAsia="Times New Roman" w:hAnsi="Times New Roman"/>
          <w:sz w:val="19"/>
          <w:szCs w:val="19"/>
          <w:color w:val="auto"/>
        </w:rPr>
        <w:t>Patrick P, Reimer  CW. 1966</w:t>
      </w:r>
      <w:r>
        <w:rPr>
          <w:rFonts w:ascii="Arial" w:cs="Arial" w:eastAsia="Arial" w:hAnsi="Arial"/>
          <w:sz w:val="19"/>
          <w:szCs w:val="19"/>
          <w:color w:val="auto"/>
        </w:rPr>
        <w:t>–</w:t>
      </w:r>
      <w:r>
        <w:rPr>
          <w:rFonts w:ascii="Times New Roman" w:cs="Times New Roman" w:eastAsia="Times New Roman" w:hAnsi="Times New Roman"/>
          <w:sz w:val="19"/>
          <w:szCs w:val="19"/>
          <w:color w:val="auto"/>
        </w:rPr>
        <w:t>1977.  The diatoms of  the United States. Monogr Phil Acad Sci. 1</w:t>
      </w:r>
      <w:r>
        <w:rPr>
          <w:rFonts w:ascii="Arial" w:cs="Arial" w:eastAsia="Arial" w:hAnsi="Arial"/>
          <w:sz w:val="19"/>
          <w:szCs w:val="19"/>
          <w:color w:val="auto"/>
        </w:rPr>
        <w:t>–</w:t>
      </w:r>
      <w:r>
        <w:rPr>
          <w:rFonts w:ascii="Times New Roman" w:cs="Times New Roman" w:eastAsia="Times New Roman" w:hAnsi="Times New Roman"/>
          <w:sz w:val="19"/>
          <w:szCs w:val="19"/>
          <w:color w:val="auto"/>
        </w:rPr>
        <w:t>2(13):Part 1, v. Perez L, Lorenschat J, Brenner M, Scharf B, Schwalb A. 2010.   Extant   freshwater   ostracodes   (Crustacea:</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350" w:lineRule="exact"/>
        <w:rPr>
          <w:sz w:val="20"/>
          <w:szCs w:val="20"/>
          <w:color w:val="auto"/>
        </w:rPr>
      </w:pPr>
    </w:p>
    <w:p>
      <w:pPr>
        <w:spacing w:after="0" w:line="260" w:lineRule="auto"/>
        <w:rPr>
          <w:sz w:val="20"/>
          <w:szCs w:val="20"/>
          <w:color w:val="auto"/>
        </w:rPr>
      </w:pPr>
      <w:r>
        <w:rPr>
          <w:rFonts w:ascii="Times New Roman" w:cs="Times New Roman" w:eastAsia="Times New Roman" w:hAnsi="Times New Roman"/>
          <w:sz w:val="19"/>
          <w:szCs w:val="19"/>
          <w:color w:val="auto"/>
        </w:rPr>
        <w:t>Ostracoda) from Lago Peten Itza, Guatemala. Rev Biol Trop. 58(3):871</w:t>
      </w:r>
      <w:r>
        <w:rPr>
          <w:rFonts w:ascii="Arial" w:cs="Arial" w:eastAsia="Arial" w:hAnsi="Arial"/>
          <w:sz w:val="19"/>
          <w:szCs w:val="19"/>
          <w:color w:val="auto"/>
        </w:rPr>
        <w:t>–</w:t>
      </w:r>
      <w:r>
        <w:rPr>
          <w:rFonts w:ascii="Times New Roman" w:cs="Times New Roman" w:eastAsia="Times New Roman" w:hAnsi="Times New Roman"/>
          <w:sz w:val="19"/>
          <w:szCs w:val="19"/>
          <w:color w:val="auto"/>
        </w:rPr>
        <w:t>895.</w:t>
      </w:r>
    </w:p>
    <w:p>
      <w:pPr>
        <w:spacing w:after="0" w:line="12" w:lineRule="exact"/>
        <w:rPr>
          <w:sz w:val="20"/>
          <w:szCs w:val="20"/>
          <w:color w:val="auto"/>
        </w:rPr>
      </w:pPr>
    </w:p>
    <w:p>
      <w:pPr>
        <w:jc w:val="both"/>
        <w:ind w:hanging="200"/>
        <w:spacing w:after="0" w:line="265" w:lineRule="auto"/>
        <w:rPr>
          <w:rFonts w:ascii="Times New Roman" w:cs="Times New Roman" w:eastAsia="Times New Roman" w:hAnsi="Times New Roman"/>
          <w:sz w:val="19"/>
          <w:szCs w:val="19"/>
          <w:color w:val="auto"/>
        </w:rPr>
      </w:pPr>
      <w:r>
        <w:rPr>
          <w:rFonts w:ascii="Times New Roman" w:cs="Times New Roman" w:eastAsia="Times New Roman" w:hAnsi="Times New Roman"/>
          <w:sz w:val="19"/>
          <w:szCs w:val="19"/>
          <w:color w:val="auto"/>
        </w:rPr>
        <w:t xml:space="preserve">Polk County Water Atlas. 2019. Lake Kissimmee (Osceola), Lake East Tohopekaliga (Osceola), Lake Tohopekaliga (Osceola). </w:t>
      </w:r>
      <w:hyperlink r:id="rId105">
        <w:r>
          <w:rPr>
            <w:rFonts w:ascii="Times New Roman" w:cs="Times New Roman" w:eastAsia="Times New Roman" w:hAnsi="Times New Roman"/>
            <w:sz w:val="19"/>
            <w:szCs w:val="19"/>
            <w:color w:val="000080"/>
          </w:rPr>
          <w:t>https://polk.wateratlas.usf.edu/</w:t>
        </w:r>
      </w:hyperlink>
      <w:r>
        <w:rPr>
          <w:rFonts w:ascii="Times New Roman" w:cs="Times New Roman" w:eastAsia="Times New Roman" w:hAnsi="Times New Roman"/>
          <w:sz w:val="19"/>
          <w:szCs w:val="19"/>
          <w:color w:val="auto"/>
        </w:rPr>
        <w:t>.</w:t>
      </w:r>
    </w:p>
    <w:p>
      <w:pPr>
        <w:spacing w:after="0" w:line="10" w:lineRule="exact"/>
        <w:rPr>
          <w:sz w:val="20"/>
          <w:szCs w:val="20"/>
          <w:color w:val="auto"/>
        </w:rPr>
      </w:pPr>
    </w:p>
    <w:p>
      <w:pPr>
        <w:jc w:val="both"/>
        <w:ind w:hanging="200"/>
        <w:spacing w:after="0" w:line="267" w:lineRule="auto"/>
        <w:rPr>
          <w:rFonts w:ascii="Times New Roman" w:cs="Times New Roman" w:eastAsia="Times New Roman" w:hAnsi="Times New Roman"/>
          <w:sz w:val="19"/>
          <w:szCs w:val="19"/>
          <w:color w:val="000080"/>
        </w:rPr>
      </w:pPr>
      <w:r>
        <w:rPr>
          <w:rFonts w:ascii="Times New Roman" w:cs="Times New Roman" w:eastAsia="Times New Roman" w:hAnsi="Times New Roman"/>
          <w:sz w:val="19"/>
          <w:szCs w:val="19"/>
          <w:color w:val="auto"/>
        </w:rPr>
        <w:t>Poulickova</w:t>
      </w:r>
      <w:r>
        <w:rPr>
          <w:sz w:val="20"/>
          <w:szCs w:val="20"/>
          <w:color w:val="auto"/>
        </w:rPr>
        <w:t xml:space="preserve"> </w:t>
      </w:r>
      <w:r>
        <w:rPr>
          <w:rFonts w:ascii="Times New Roman" w:cs="Times New Roman" w:eastAsia="Times New Roman" w:hAnsi="Times New Roman"/>
          <w:sz w:val="19"/>
          <w:szCs w:val="19"/>
          <w:color w:val="auto"/>
        </w:rPr>
        <w:t>A, Jahn R. 2007. Campylodiscus clypeus (Ehrenberg) Ehrenberg ex Kutzing: typification, morph-ology, and distribution. Diatom Res. 22 (1):135</w:t>
      </w:r>
      <w:r>
        <w:rPr>
          <w:rFonts w:ascii="Arial" w:cs="Arial" w:eastAsia="Arial" w:hAnsi="Arial"/>
          <w:sz w:val="19"/>
          <w:szCs w:val="19"/>
          <w:color w:val="auto"/>
        </w:rPr>
        <w:t>–</w:t>
      </w:r>
      <w:r>
        <w:rPr>
          <w:rFonts w:ascii="Times New Roman" w:cs="Times New Roman" w:eastAsia="Times New Roman" w:hAnsi="Times New Roman"/>
          <w:sz w:val="19"/>
          <w:szCs w:val="19"/>
          <w:color w:val="auto"/>
        </w:rPr>
        <w:t xml:space="preserve">146. doi: </w:t>
      </w:r>
      <w:hyperlink r:id="rId106">
        <w:r>
          <w:rPr>
            <w:rFonts w:ascii="Times New Roman" w:cs="Times New Roman" w:eastAsia="Times New Roman" w:hAnsi="Times New Roman"/>
            <w:sz w:val="19"/>
            <w:szCs w:val="19"/>
            <w:color w:val="000080"/>
          </w:rPr>
          <w:t>10.1080/0269249X.2007.9705701</w:t>
        </w:r>
      </w:hyperlink>
      <w:r>
        <w:rPr>
          <w:rFonts w:ascii="Times New Roman" w:cs="Times New Roman" w:eastAsia="Times New Roman" w:hAnsi="Times New Roman"/>
          <w:sz w:val="19"/>
          <w:szCs w:val="19"/>
          <w:color w:val="000000"/>
        </w:rPr>
        <w:t>.</w:t>
      </w:r>
    </w:p>
    <w:p>
      <w:pPr>
        <w:spacing w:after="0" w:line="8" w:lineRule="exact"/>
        <w:rPr>
          <w:sz w:val="20"/>
          <w:szCs w:val="20"/>
          <w:color w:val="auto"/>
        </w:rPr>
      </w:pPr>
    </w:p>
    <w:p>
      <w:pPr>
        <w:jc w:val="both"/>
        <w:ind w:hanging="200"/>
        <w:spacing w:after="0" w:line="265" w:lineRule="auto"/>
        <w:rPr>
          <w:rFonts w:ascii="Times New Roman" w:cs="Times New Roman" w:eastAsia="Times New Roman" w:hAnsi="Times New Roman"/>
          <w:sz w:val="19"/>
          <w:szCs w:val="19"/>
          <w:color w:val="auto"/>
        </w:rPr>
      </w:pPr>
      <w:r>
        <w:rPr>
          <w:rFonts w:ascii="Times New Roman" w:cs="Times New Roman" w:eastAsia="Times New Roman" w:hAnsi="Times New Roman"/>
          <w:sz w:val="19"/>
          <w:szCs w:val="19"/>
          <w:color w:val="auto"/>
        </w:rPr>
        <w:t xml:space="preserve">R Core Team. 2014. R: A language and environment for statistical computing. Vienna, Austria: R Foundation for Statistical Computing. </w:t>
      </w:r>
      <w:hyperlink r:id="rId107">
        <w:r>
          <w:rPr>
            <w:rFonts w:ascii="Times New Roman" w:cs="Times New Roman" w:eastAsia="Times New Roman" w:hAnsi="Times New Roman"/>
            <w:sz w:val="19"/>
            <w:szCs w:val="19"/>
            <w:color w:val="000080"/>
          </w:rPr>
          <w:t>http://www.R-project.org/</w:t>
        </w:r>
      </w:hyperlink>
      <w:r>
        <w:rPr>
          <w:rFonts w:ascii="Times New Roman" w:cs="Times New Roman" w:eastAsia="Times New Roman" w:hAnsi="Times New Roman"/>
          <w:sz w:val="19"/>
          <w:szCs w:val="19"/>
          <w:color w:val="auto"/>
        </w:rPr>
        <w:t>.</w:t>
      </w:r>
    </w:p>
    <w:p>
      <w:pPr>
        <w:spacing w:after="0" w:line="9" w:lineRule="exact"/>
        <w:rPr>
          <w:sz w:val="20"/>
          <w:szCs w:val="20"/>
          <w:color w:val="auto"/>
        </w:rPr>
      </w:pPr>
    </w:p>
    <w:p>
      <w:pPr>
        <w:jc w:val="both"/>
        <w:ind w:hanging="200"/>
        <w:spacing w:after="0" w:line="267" w:lineRule="auto"/>
        <w:rPr>
          <w:rFonts w:ascii="Times New Roman" w:cs="Times New Roman" w:eastAsia="Times New Roman" w:hAnsi="Times New Roman"/>
          <w:sz w:val="19"/>
          <w:szCs w:val="19"/>
          <w:color w:val="000080"/>
        </w:rPr>
      </w:pPr>
      <w:r>
        <w:rPr>
          <w:rFonts w:ascii="Times New Roman" w:cs="Times New Roman" w:eastAsia="Times New Roman" w:hAnsi="Times New Roman"/>
          <w:sz w:val="19"/>
          <w:szCs w:val="19"/>
          <w:color w:val="auto"/>
        </w:rPr>
        <w:t>Reavie ED. 2019. Paleolimnology supports aquatic manage-ment by providing early warnings of stressor impacts. Lake Reserv Manage. 1</w:t>
      </w:r>
      <w:r>
        <w:rPr>
          <w:rFonts w:ascii="Arial" w:cs="Arial" w:eastAsia="Arial" w:hAnsi="Arial"/>
          <w:sz w:val="19"/>
          <w:szCs w:val="19"/>
          <w:color w:val="auto"/>
        </w:rPr>
        <w:t>–</w:t>
      </w:r>
      <w:r>
        <w:rPr>
          <w:rFonts w:ascii="Times New Roman" w:cs="Times New Roman" w:eastAsia="Times New Roman" w:hAnsi="Times New Roman"/>
          <w:sz w:val="19"/>
          <w:szCs w:val="19"/>
          <w:color w:val="auto"/>
        </w:rPr>
        <w:t>8. doi:</w:t>
      </w:r>
      <w:hyperlink r:id="rId108">
        <w:r>
          <w:rPr>
            <w:rFonts w:ascii="Times New Roman" w:cs="Times New Roman" w:eastAsia="Times New Roman" w:hAnsi="Times New Roman"/>
            <w:sz w:val="19"/>
            <w:szCs w:val="19"/>
            <w:color w:val="000080"/>
          </w:rPr>
          <w:t>10.1080/10402381.2019.</w:t>
        </w:r>
      </w:hyperlink>
      <w:r>
        <w:rPr>
          <w:rFonts w:ascii="Times New Roman" w:cs="Times New Roman" w:eastAsia="Times New Roman" w:hAnsi="Times New Roman"/>
          <w:sz w:val="19"/>
          <w:szCs w:val="19"/>
          <w:color w:val="auto"/>
        </w:rPr>
        <w:t xml:space="preserve"> </w:t>
      </w:r>
      <w:hyperlink r:id="rId108">
        <w:r>
          <w:rPr>
            <w:rFonts w:ascii="Times New Roman" w:cs="Times New Roman" w:eastAsia="Times New Roman" w:hAnsi="Times New Roman"/>
            <w:sz w:val="19"/>
            <w:szCs w:val="19"/>
            <w:color w:val="000080"/>
          </w:rPr>
          <w:t>1645249</w:t>
        </w:r>
      </w:hyperlink>
      <w:r>
        <w:rPr>
          <w:rFonts w:ascii="Times New Roman" w:cs="Times New Roman" w:eastAsia="Times New Roman" w:hAnsi="Times New Roman"/>
          <w:sz w:val="19"/>
          <w:szCs w:val="19"/>
          <w:color w:val="000000"/>
        </w:rPr>
        <w:t>.</w:t>
      </w:r>
    </w:p>
    <w:p>
      <w:pPr>
        <w:spacing w:after="0" w:line="8" w:lineRule="exact"/>
        <w:rPr>
          <w:sz w:val="20"/>
          <w:szCs w:val="20"/>
          <w:color w:val="auto"/>
        </w:rPr>
      </w:pPr>
    </w:p>
    <w:p>
      <w:pPr>
        <w:jc w:val="both"/>
        <w:ind w:hanging="200"/>
        <w:spacing w:after="0" w:line="268" w:lineRule="auto"/>
        <w:rPr>
          <w:rFonts w:ascii="Times New Roman" w:cs="Times New Roman" w:eastAsia="Times New Roman" w:hAnsi="Times New Roman"/>
          <w:sz w:val="19"/>
          <w:szCs w:val="19"/>
          <w:color w:val="000080"/>
        </w:rPr>
      </w:pPr>
      <w:r>
        <w:rPr>
          <w:rFonts w:ascii="Times New Roman" w:cs="Times New Roman" w:eastAsia="Times New Roman" w:hAnsi="Times New Roman"/>
          <w:sz w:val="19"/>
          <w:szCs w:val="19"/>
          <w:color w:val="auto"/>
        </w:rPr>
        <w:t>Riedinger-Whitmore MA, Whitmore TJ, Smoak J, Brenner M, Moore AM, Curtis J, Schelske CL. 2005. Cyanobacterial proliferation is a recent response to eutrophication in many Florida lakes: a paleolimnological assessment. Lake Reserv Manage. 21(4):423</w:t>
      </w:r>
      <w:r>
        <w:rPr>
          <w:rFonts w:ascii="Arial" w:cs="Arial" w:eastAsia="Arial" w:hAnsi="Arial"/>
          <w:sz w:val="19"/>
          <w:szCs w:val="19"/>
          <w:color w:val="auto"/>
        </w:rPr>
        <w:t>–</w:t>
      </w:r>
      <w:r>
        <w:rPr>
          <w:rFonts w:ascii="Times New Roman" w:cs="Times New Roman" w:eastAsia="Times New Roman" w:hAnsi="Times New Roman"/>
          <w:sz w:val="19"/>
          <w:szCs w:val="19"/>
          <w:color w:val="auto"/>
        </w:rPr>
        <w:t>435. doi:</w:t>
      </w:r>
      <w:hyperlink r:id="rId109">
        <w:r>
          <w:rPr>
            <w:rFonts w:ascii="Times New Roman" w:cs="Times New Roman" w:eastAsia="Times New Roman" w:hAnsi="Times New Roman"/>
            <w:sz w:val="19"/>
            <w:szCs w:val="19"/>
            <w:color w:val="000080"/>
          </w:rPr>
          <w:t>10.</w:t>
        </w:r>
      </w:hyperlink>
      <w:r>
        <w:rPr>
          <w:rFonts w:ascii="Times New Roman" w:cs="Times New Roman" w:eastAsia="Times New Roman" w:hAnsi="Times New Roman"/>
          <w:sz w:val="19"/>
          <w:szCs w:val="19"/>
          <w:color w:val="auto"/>
        </w:rPr>
        <w:t xml:space="preserve"> </w:t>
      </w:r>
      <w:hyperlink r:id="rId109">
        <w:r>
          <w:rPr>
            <w:rFonts w:ascii="Times New Roman" w:cs="Times New Roman" w:eastAsia="Times New Roman" w:hAnsi="Times New Roman"/>
            <w:sz w:val="19"/>
            <w:szCs w:val="19"/>
            <w:color w:val="000080"/>
          </w:rPr>
          <w:t>1080/07438140509354447</w:t>
        </w:r>
      </w:hyperlink>
      <w:r>
        <w:rPr>
          <w:rFonts w:ascii="Times New Roman" w:cs="Times New Roman" w:eastAsia="Times New Roman" w:hAnsi="Times New Roman"/>
          <w:sz w:val="19"/>
          <w:szCs w:val="19"/>
          <w:color w:val="000000"/>
        </w:rPr>
        <w:t>.</w:t>
      </w:r>
    </w:p>
    <w:p>
      <w:pPr>
        <w:spacing w:after="0" w:line="9" w:lineRule="exact"/>
        <w:rPr>
          <w:sz w:val="20"/>
          <w:szCs w:val="20"/>
          <w:color w:val="auto"/>
        </w:rPr>
      </w:pPr>
    </w:p>
    <w:p>
      <w:pPr>
        <w:jc w:val="both"/>
        <w:ind w:hanging="200"/>
        <w:spacing w:after="0" w:line="261" w:lineRule="auto"/>
        <w:rPr>
          <w:rFonts w:ascii="Times New Roman" w:cs="Times New Roman" w:eastAsia="Times New Roman" w:hAnsi="Times New Roman"/>
          <w:sz w:val="19"/>
          <w:szCs w:val="19"/>
          <w:color w:val="auto"/>
        </w:rPr>
      </w:pPr>
      <w:r>
        <w:rPr>
          <w:rFonts w:ascii="Times New Roman" w:cs="Times New Roman" w:eastAsia="Times New Roman" w:hAnsi="Times New Roman"/>
          <w:sz w:val="19"/>
          <w:szCs w:val="19"/>
          <w:color w:val="auto"/>
        </w:rPr>
        <w:t>Rosen BH, Davis TW, Gobler CJ, Kramer BJ, Loftin KA. 2017. Cyanobacteria of the 2016 Lake Okeechobee water-way harmful algal bloom. U.S. Geological Survey Open-File Report 2017</w:t>
      </w:r>
      <w:r>
        <w:rPr>
          <w:rFonts w:ascii="Arial" w:cs="Arial" w:eastAsia="Arial" w:hAnsi="Arial"/>
          <w:sz w:val="19"/>
          <w:szCs w:val="19"/>
          <w:color w:val="auto"/>
        </w:rPr>
        <w:t>–</w:t>
      </w:r>
      <w:r>
        <w:rPr>
          <w:rFonts w:ascii="Times New Roman" w:cs="Times New Roman" w:eastAsia="Times New Roman" w:hAnsi="Times New Roman"/>
          <w:sz w:val="19"/>
          <w:szCs w:val="19"/>
          <w:color w:val="auto"/>
        </w:rPr>
        <w:t xml:space="preserve">1054; 34p. </w:t>
      </w:r>
      <w:hyperlink r:id="rId110">
        <w:r>
          <w:rPr>
            <w:rFonts w:ascii="Times New Roman" w:cs="Times New Roman" w:eastAsia="Times New Roman" w:hAnsi="Times New Roman"/>
            <w:sz w:val="19"/>
            <w:szCs w:val="19"/>
            <w:color w:val="000080"/>
          </w:rPr>
          <w:t>10.3133/ofr20171054</w:t>
        </w:r>
      </w:hyperlink>
      <w:r>
        <w:rPr>
          <w:rFonts w:ascii="Times New Roman" w:cs="Times New Roman" w:eastAsia="Times New Roman" w:hAnsi="Times New Roman"/>
          <w:sz w:val="19"/>
          <w:szCs w:val="19"/>
          <w:color w:val="auto"/>
        </w:rPr>
        <w:t>.</w:t>
      </w:r>
    </w:p>
    <w:p>
      <w:pPr>
        <w:spacing w:after="0" w:line="2" w:lineRule="exact"/>
        <w:rPr>
          <w:sz w:val="20"/>
          <w:szCs w:val="20"/>
          <w:color w:val="auto"/>
        </w:rPr>
      </w:pPr>
    </w:p>
    <w:p>
      <w:pPr>
        <w:jc w:val="both"/>
        <w:ind w:hanging="200"/>
        <w:spacing w:after="0" w:line="275" w:lineRule="auto"/>
        <w:rPr>
          <w:rFonts w:ascii="Times New Roman" w:cs="Times New Roman" w:eastAsia="Times New Roman" w:hAnsi="Times New Roman"/>
          <w:sz w:val="19"/>
          <w:szCs w:val="19"/>
          <w:color w:val="000080"/>
        </w:rPr>
      </w:pPr>
      <w:r>
        <w:rPr>
          <w:rFonts w:ascii="Times New Roman" w:cs="Times New Roman" w:eastAsia="Times New Roman" w:hAnsi="Times New Roman"/>
          <w:sz w:val="19"/>
          <w:szCs w:val="19"/>
          <w:color w:val="auto"/>
        </w:rPr>
        <w:t>Ruiz F, Abad M, Bodergat AM, Carbonel P, Rodrıguez-Lazaro J, Gonzalez-Regalado ML, Toscano A, Garcıa EX, Prenda J. 2013. Freshwater ostracods as environmental tracers. Int J Environ Sci Technol. 10(5):1115</w:t>
      </w:r>
      <w:r>
        <w:rPr>
          <w:rFonts w:ascii="Arial" w:cs="Arial" w:eastAsia="Arial" w:hAnsi="Arial"/>
          <w:sz w:val="19"/>
          <w:szCs w:val="19"/>
          <w:color w:val="auto"/>
        </w:rPr>
        <w:t>–</w:t>
      </w:r>
      <w:r>
        <w:rPr>
          <w:rFonts w:ascii="Times New Roman" w:cs="Times New Roman" w:eastAsia="Times New Roman" w:hAnsi="Times New Roman"/>
          <w:sz w:val="19"/>
          <w:szCs w:val="19"/>
          <w:color w:val="auto"/>
        </w:rPr>
        <w:t xml:space="preserve">1128. doi: </w:t>
      </w:r>
      <w:hyperlink r:id="rId111">
        <w:r>
          <w:rPr>
            <w:rFonts w:ascii="Times New Roman" w:cs="Times New Roman" w:eastAsia="Times New Roman" w:hAnsi="Times New Roman"/>
            <w:sz w:val="19"/>
            <w:szCs w:val="19"/>
            <w:color w:val="000080"/>
          </w:rPr>
          <w:t>10.1007/s13762-013-0249-5</w:t>
        </w:r>
      </w:hyperlink>
      <w:r>
        <w:rPr>
          <w:rFonts w:ascii="Times New Roman" w:cs="Times New Roman" w:eastAsia="Times New Roman" w:hAnsi="Times New Roman"/>
          <w:sz w:val="19"/>
          <w:szCs w:val="19"/>
          <w:color w:val="000000"/>
        </w:rPr>
        <w:t>.</w:t>
      </w:r>
    </w:p>
    <w:p>
      <w:pPr>
        <w:spacing w:after="0" w:line="1" w:lineRule="exact"/>
        <w:rPr>
          <w:sz w:val="20"/>
          <w:szCs w:val="20"/>
          <w:color w:val="auto"/>
        </w:rPr>
      </w:pPr>
    </w:p>
    <w:p>
      <w:pPr>
        <w:jc w:val="both"/>
        <w:ind w:hanging="200"/>
        <w:spacing w:after="0" w:line="268" w:lineRule="auto"/>
        <w:rPr>
          <w:rFonts w:ascii="Times New Roman" w:cs="Times New Roman" w:eastAsia="Times New Roman" w:hAnsi="Times New Roman"/>
          <w:sz w:val="19"/>
          <w:szCs w:val="19"/>
          <w:color w:val="000080"/>
        </w:rPr>
      </w:pPr>
      <w:r>
        <w:rPr>
          <w:rFonts w:ascii="Times New Roman" w:cs="Times New Roman" w:eastAsia="Times New Roman" w:hAnsi="Times New Roman"/>
          <w:sz w:val="19"/>
          <w:szCs w:val="19"/>
          <w:color w:val="auto"/>
        </w:rPr>
        <w:t>Sayer CD, Burgess A, Kari K, Davidson TA, Peglar S, Yang HD, Rose N. 2010a. Long-term dynamics of submerged macrophytes and algae in a small and shallow, eutrophic lake: implications for the stability of macrophyte-domin-ance. Freshwater Biol. 55(3):565</w:t>
      </w:r>
      <w:r>
        <w:rPr>
          <w:rFonts w:ascii="Arial" w:cs="Arial" w:eastAsia="Arial" w:hAnsi="Arial"/>
          <w:sz w:val="19"/>
          <w:szCs w:val="19"/>
          <w:color w:val="auto"/>
        </w:rPr>
        <w:t>–</w:t>
      </w:r>
      <w:r>
        <w:rPr>
          <w:rFonts w:ascii="Times New Roman" w:cs="Times New Roman" w:eastAsia="Times New Roman" w:hAnsi="Times New Roman"/>
          <w:sz w:val="19"/>
          <w:szCs w:val="19"/>
          <w:color w:val="auto"/>
        </w:rPr>
        <w:t>583. doi:</w:t>
      </w:r>
      <w:hyperlink r:id="rId112">
        <w:r>
          <w:rPr>
            <w:rFonts w:ascii="Times New Roman" w:cs="Times New Roman" w:eastAsia="Times New Roman" w:hAnsi="Times New Roman"/>
            <w:sz w:val="19"/>
            <w:szCs w:val="19"/>
            <w:color w:val="000080"/>
          </w:rPr>
          <w:t>10.1111/j.1365-</w:t>
        </w:r>
      </w:hyperlink>
      <w:hyperlink r:id="rId112">
        <w:r>
          <w:rPr>
            <w:rFonts w:ascii="Times New Roman" w:cs="Times New Roman" w:eastAsia="Times New Roman" w:hAnsi="Times New Roman"/>
            <w:sz w:val="19"/>
            <w:szCs w:val="19"/>
            <w:color w:val="000080"/>
          </w:rPr>
          <w:t>2427.2009.02353.x</w:t>
        </w:r>
      </w:hyperlink>
      <w:r>
        <w:rPr>
          <w:rFonts w:ascii="Times New Roman" w:cs="Times New Roman" w:eastAsia="Times New Roman" w:hAnsi="Times New Roman"/>
          <w:sz w:val="19"/>
          <w:szCs w:val="19"/>
          <w:color w:val="000000"/>
        </w:rPr>
        <w:t>.</w:t>
      </w:r>
    </w:p>
    <w:p>
      <w:pPr>
        <w:spacing w:after="0" w:line="9" w:lineRule="exact"/>
        <w:rPr>
          <w:sz w:val="20"/>
          <w:szCs w:val="20"/>
          <w:color w:val="auto"/>
        </w:rPr>
      </w:pPr>
    </w:p>
    <w:p>
      <w:pPr>
        <w:jc w:val="both"/>
        <w:ind w:hanging="200"/>
        <w:spacing w:after="0" w:line="268" w:lineRule="auto"/>
        <w:rPr>
          <w:rFonts w:ascii="Times New Roman" w:cs="Times New Roman" w:eastAsia="Times New Roman" w:hAnsi="Times New Roman"/>
          <w:sz w:val="19"/>
          <w:szCs w:val="19"/>
          <w:color w:val="000080"/>
        </w:rPr>
      </w:pPr>
      <w:r>
        <w:rPr>
          <w:rFonts w:ascii="Times New Roman" w:cs="Times New Roman" w:eastAsia="Times New Roman" w:hAnsi="Times New Roman"/>
          <w:sz w:val="19"/>
          <w:szCs w:val="19"/>
          <w:color w:val="auto"/>
        </w:rPr>
        <w:t>Sayer CD, Davidson TA, Jones JI. 2010b. Seasonal dynamics of macrophytes and phytoplankton in shallow lakes: a eutrophication-driven pathway from plants to plankton? Freshwater Biol. 55(3):500</w:t>
      </w:r>
      <w:r>
        <w:rPr>
          <w:rFonts w:ascii="Arial" w:cs="Arial" w:eastAsia="Arial" w:hAnsi="Arial"/>
          <w:sz w:val="19"/>
          <w:szCs w:val="19"/>
          <w:color w:val="auto"/>
        </w:rPr>
        <w:t>–</w:t>
      </w:r>
      <w:r>
        <w:rPr>
          <w:rFonts w:ascii="Times New Roman" w:cs="Times New Roman" w:eastAsia="Times New Roman" w:hAnsi="Times New Roman"/>
          <w:sz w:val="19"/>
          <w:szCs w:val="19"/>
          <w:color w:val="auto"/>
        </w:rPr>
        <w:t>513. doi:</w:t>
      </w:r>
      <w:hyperlink r:id="rId113">
        <w:r>
          <w:rPr>
            <w:rFonts w:ascii="Times New Roman" w:cs="Times New Roman" w:eastAsia="Times New Roman" w:hAnsi="Times New Roman"/>
            <w:sz w:val="19"/>
            <w:szCs w:val="19"/>
            <w:color w:val="000080"/>
          </w:rPr>
          <w:t>10.1111/j.1365-2427.</w:t>
        </w:r>
      </w:hyperlink>
      <w:r>
        <w:rPr>
          <w:rFonts w:ascii="Times New Roman" w:cs="Times New Roman" w:eastAsia="Times New Roman" w:hAnsi="Times New Roman"/>
          <w:sz w:val="19"/>
          <w:szCs w:val="19"/>
          <w:color w:val="auto"/>
        </w:rPr>
        <w:t xml:space="preserve"> </w:t>
      </w:r>
      <w:hyperlink r:id="rId113">
        <w:r>
          <w:rPr>
            <w:rFonts w:ascii="Times New Roman" w:cs="Times New Roman" w:eastAsia="Times New Roman" w:hAnsi="Times New Roman"/>
            <w:sz w:val="19"/>
            <w:szCs w:val="19"/>
            <w:color w:val="000080"/>
          </w:rPr>
          <w:t>2009.02365.x</w:t>
        </w:r>
      </w:hyperlink>
      <w:r>
        <w:rPr>
          <w:rFonts w:ascii="Times New Roman" w:cs="Times New Roman" w:eastAsia="Times New Roman" w:hAnsi="Times New Roman"/>
          <w:sz w:val="19"/>
          <w:szCs w:val="19"/>
          <w:color w:val="000000"/>
        </w:rPr>
        <w:t>.</w:t>
      </w:r>
    </w:p>
    <w:p>
      <w:pPr>
        <w:spacing w:after="0" w:line="6" w:lineRule="exact"/>
        <w:rPr>
          <w:sz w:val="20"/>
          <w:szCs w:val="20"/>
          <w:color w:val="auto"/>
        </w:rPr>
      </w:pPr>
    </w:p>
    <w:p>
      <w:pPr>
        <w:jc w:val="both"/>
        <w:ind w:hanging="200"/>
        <w:spacing w:after="0" w:line="241" w:lineRule="auto"/>
        <w:rPr>
          <w:rFonts w:ascii="Times New Roman" w:cs="Times New Roman" w:eastAsia="Times New Roman" w:hAnsi="Times New Roman"/>
          <w:sz w:val="19"/>
          <w:szCs w:val="19"/>
          <w:color w:val="000080"/>
        </w:rPr>
      </w:pPr>
      <w:r>
        <w:rPr>
          <w:rFonts w:ascii="Times New Roman" w:cs="Times New Roman" w:eastAsia="Times New Roman" w:hAnsi="Times New Roman"/>
          <w:sz w:val="19"/>
          <w:szCs w:val="19"/>
          <w:color w:val="auto"/>
        </w:rPr>
        <w:t xml:space="preserve">Schelske CL, Peplow A, Brenner M, Spencer CN. 1994. Low-background gamma counting: applications for </w:t>
      </w:r>
      <w:r>
        <w:rPr>
          <w:rFonts w:ascii="Times New Roman" w:cs="Times New Roman" w:eastAsia="Times New Roman" w:hAnsi="Times New Roman"/>
          <w:sz w:val="25"/>
          <w:szCs w:val="25"/>
          <w:color w:val="auto"/>
          <w:vertAlign w:val="superscript"/>
        </w:rPr>
        <w:t>210</w:t>
      </w:r>
      <w:r>
        <w:rPr>
          <w:rFonts w:ascii="Times New Roman" w:cs="Times New Roman" w:eastAsia="Times New Roman" w:hAnsi="Times New Roman"/>
          <w:sz w:val="19"/>
          <w:szCs w:val="19"/>
          <w:color w:val="auto"/>
        </w:rPr>
        <w:t>Pb dating of sediments. J Paleolimnol. 10(2):115</w:t>
      </w:r>
      <w:r>
        <w:rPr>
          <w:rFonts w:ascii="Arial" w:cs="Arial" w:eastAsia="Arial" w:hAnsi="Arial"/>
          <w:sz w:val="19"/>
          <w:szCs w:val="19"/>
          <w:color w:val="auto"/>
        </w:rPr>
        <w:t>–</w:t>
      </w:r>
      <w:r>
        <w:rPr>
          <w:rFonts w:ascii="Times New Roman" w:cs="Times New Roman" w:eastAsia="Times New Roman" w:hAnsi="Times New Roman"/>
          <w:sz w:val="19"/>
          <w:szCs w:val="19"/>
          <w:color w:val="auto"/>
        </w:rPr>
        <w:t>128. doi:</w:t>
      </w:r>
      <w:hyperlink r:id="rId114">
        <w:r>
          <w:rPr>
            <w:rFonts w:ascii="Times New Roman" w:cs="Times New Roman" w:eastAsia="Times New Roman" w:hAnsi="Times New Roman"/>
            <w:sz w:val="19"/>
            <w:szCs w:val="19"/>
            <w:color w:val="000080"/>
          </w:rPr>
          <w:t>10.</w:t>
        </w:r>
      </w:hyperlink>
      <w:r>
        <w:rPr>
          <w:rFonts w:ascii="Times New Roman" w:cs="Times New Roman" w:eastAsia="Times New Roman" w:hAnsi="Times New Roman"/>
          <w:sz w:val="19"/>
          <w:szCs w:val="19"/>
          <w:color w:val="auto"/>
        </w:rPr>
        <w:t xml:space="preserve"> </w:t>
      </w:r>
      <w:hyperlink r:id="rId114">
        <w:r>
          <w:rPr>
            <w:rFonts w:ascii="Times New Roman" w:cs="Times New Roman" w:eastAsia="Times New Roman" w:hAnsi="Times New Roman"/>
            <w:sz w:val="19"/>
            <w:szCs w:val="19"/>
            <w:color w:val="000080"/>
          </w:rPr>
          <w:t>1007/BF00682508</w:t>
        </w:r>
      </w:hyperlink>
      <w:r>
        <w:rPr>
          <w:rFonts w:ascii="Times New Roman" w:cs="Times New Roman" w:eastAsia="Times New Roman" w:hAnsi="Times New Roman"/>
          <w:sz w:val="19"/>
          <w:szCs w:val="19"/>
          <w:color w:val="000000"/>
        </w:rPr>
        <w:t>.</w:t>
      </w:r>
    </w:p>
    <w:p>
      <w:pPr>
        <w:spacing w:after="0" w:line="32" w:lineRule="exact"/>
        <w:rPr>
          <w:sz w:val="20"/>
          <w:szCs w:val="20"/>
          <w:color w:val="auto"/>
        </w:rPr>
      </w:pPr>
    </w:p>
    <w:p>
      <w:pPr>
        <w:jc w:val="both"/>
        <w:ind w:hanging="200"/>
        <w:spacing w:after="0" w:line="268" w:lineRule="auto"/>
        <w:rPr>
          <w:rFonts w:ascii="Times New Roman" w:cs="Times New Roman" w:eastAsia="Times New Roman" w:hAnsi="Times New Roman"/>
          <w:sz w:val="19"/>
          <w:szCs w:val="19"/>
          <w:color w:val="auto"/>
        </w:rPr>
      </w:pPr>
      <w:r>
        <w:rPr>
          <w:rFonts w:ascii="Times New Roman" w:cs="Times New Roman" w:eastAsia="Times New Roman" w:hAnsi="Times New Roman"/>
          <w:sz w:val="19"/>
          <w:szCs w:val="19"/>
          <w:color w:val="auto"/>
        </w:rPr>
        <w:t>Simmatis B, Nelligan C, Ruhland</w:t>
      </w:r>
      <w:r>
        <w:rPr>
          <w:rFonts w:ascii="Arial" w:cs="Arial" w:eastAsia="Arial" w:hAnsi="Arial"/>
          <w:sz w:val="19"/>
          <w:szCs w:val="19"/>
          <w:color w:val="auto"/>
        </w:rPr>
        <w:t>€</w:t>
      </w:r>
      <w:r>
        <w:rPr>
          <w:rFonts w:ascii="Times New Roman" w:cs="Times New Roman" w:eastAsia="Times New Roman" w:hAnsi="Times New Roman"/>
          <w:sz w:val="19"/>
          <w:szCs w:val="19"/>
          <w:color w:val="auto"/>
        </w:rPr>
        <w:t xml:space="preserve"> KM, Jeziorski A, Castro V, Paterson AM, Smol JP. 2020. Tracking 200 years of water quality in Muskrat Lake, a eutrophic lake trout lake in Ontario (Canada) with cyanobacterial blooms. Lake Reserv Manage. doi:</w:t>
      </w:r>
      <w:hyperlink r:id="rId115">
        <w:r>
          <w:rPr>
            <w:rFonts w:ascii="Times New Roman" w:cs="Times New Roman" w:eastAsia="Times New Roman" w:hAnsi="Times New Roman"/>
            <w:sz w:val="19"/>
            <w:szCs w:val="19"/>
            <w:color w:val="000080"/>
          </w:rPr>
          <w:t>10.1080/10402381.2020.1755749</w:t>
        </w:r>
      </w:hyperlink>
      <w:r>
        <w:rPr>
          <w:rFonts w:ascii="Times New Roman" w:cs="Times New Roman" w:eastAsia="Times New Roman" w:hAnsi="Times New Roman"/>
          <w:sz w:val="19"/>
          <w:szCs w:val="19"/>
          <w:color w:val="auto"/>
        </w:rPr>
        <w:t>.</w:t>
      </w:r>
    </w:p>
    <w:p>
      <w:pPr>
        <w:spacing w:after="0" w:line="7" w:lineRule="exact"/>
        <w:rPr>
          <w:sz w:val="20"/>
          <w:szCs w:val="20"/>
          <w:color w:val="auto"/>
        </w:rPr>
      </w:pPr>
    </w:p>
    <w:p>
      <w:pPr>
        <w:jc w:val="both"/>
        <w:ind w:hanging="200"/>
        <w:spacing w:after="0" w:line="265" w:lineRule="auto"/>
        <w:rPr>
          <w:rFonts w:ascii="Times New Roman" w:cs="Times New Roman" w:eastAsia="Times New Roman" w:hAnsi="Times New Roman"/>
          <w:sz w:val="19"/>
          <w:szCs w:val="19"/>
          <w:color w:val="auto"/>
        </w:rPr>
      </w:pPr>
      <w:r>
        <w:rPr>
          <w:rFonts w:ascii="Times New Roman" w:cs="Times New Roman" w:eastAsia="Times New Roman" w:hAnsi="Times New Roman"/>
          <w:sz w:val="19"/>
          <w:szCs w:val="19"/>
          <w:color w:val="auto"/>
        </w:rPr>
        <w:t>Smol JP. 1992. Paleolimnology: an important tool for effect-ive ecosystem management. J Aquat Ecosyst Stress Recov. 1(1):49</w:t>
      </w:r>
      <w:r>
        <w:rPr>
          <w:rFonts w:ascii="Arial" w:cs="Arial" w:eastAsia="Arial" w:hAnsi="Arial"/>
          <w:sz w:val="19"/>
          <w:szCs w:val="19"/>
          <w:color w:val="auto"/>
        </w:rPr>
        <w:t>–</w:t>
      </w:r>
      <w:r>
        <w:rPr>
          <w:rFonts w:ascii="Times New Roman" w:cs="Times New Roman" w:eastAsia="Times New Roman" w:hAnsi="Times New Roman"/>
          <w:sz w:val="19"/>
          <w:szCs w:val="19"/>
          <w:color w:val="auto"/>
        </w:rPr>
        <w:t>58. doi:</w:t>
      </w:r>
      <w:hyperlink r:id="rId116">
        <w:r>
          <w:rPr>
            <w:rFonts w:ascii="Times New Roman" w:cs="Times New Roman" w:eastAsia="Times New Roman" w:hAnsi="Times New Roman"/>
            <w:sz w:val="19"/>
            <w:szCs w:val="19"/>
            <w:color w:val="000080"/>
          </w:rPr>
          <w:t>10.1080/07438149709354309</w:t>
        </w:r>
      </w:hyperlink>
      <w:r>
        <w:rPr>
          <w:rFonts w:ascii="Times New Roman" w:cs="Times New Roman" w:eastAsia="Times New Roman" w:hAnsi="Times New Roman"/>
          <w:sz w:val="19"/>
          <w:szCs w:val="19"/>
          <w:color w:val="auto"/>
        </w:rPr>
        <w:t>.</w:t>
      </w:r>
    </w:p>
    <w:p>
      <w:pPr>
        <w:spacing w:after="0" w:line="8" w:lineRule="exact"/>
        <w:rPr>
          <w:sz w:val="20"/>
          <w:szCs w:val="20"/>
          <w:color w:val="auto"/>
        </w:rPr>
      </w:pPr>
    </w:p>
    <w:p>
      <w:pPr>
        <w:jc w:val="both"/>
        <w:ind w:hanging="200"/>
        <w:spacing w:after="0" w:line="261" w:lineRule="auto"/>
        <w:rPr>
          <w:rFonts w:ascii="Times New Roman" w:cs="Times New Roman" w:eastAsia="Times New Roman" w:hAnsi="Times New Roman"/>
          <w:sz w:val="19"/>
          <w:szCs w:val="19"/>
          <w:color w:val="auto"/>
        </w:rPr>
      </w:pPr>
      <w:r>
        <w:rPr>
          <w:rFonts w:ascii="Times New Roman" w:cs="Times New Roman" w:eastAsia="Times New Roman" w:hAnsi="Times New Roman"/>
          <w:sz w:val="19"/>
          <w:szCs w:val="19"/>
          <w:color w:val="auto"/>
        </w:rPr>
        <w:t xml:space="preserve">South Florida Water Management District. 2005. Kissimmee Watershed Basemap. </w:t>
      </w:r>
      <w:hyperlink r:id="rId117">
        <w:r>
          <w:rPr>
            <w:rFonts w:ascii="Times New Roman" w:cs="Times New Roman" w:eastAsia="Times New Roman" w:hAnsi="Times New Roman"/>
            <w:sz w:val="19"/>
            <w:szCs w:val="19"/>
            <w:color w:val="000080"/>
          </w:rPr>
          <w:t>https://www.sfwmd.gov/sites/default/</w:t>
        </w:r>
      </w:hyperlink>
    </w:p>
    <w:p>
      <w:pPr>
        <w:sectPr>
          <w:pgSz w:w="12240" w:h="15840" w:orient="portrait"/>
          <w:cols w:equalWidth="0" w:num="2">
            <w:col w:w="4740" w:space="560"/>
            <w:col w:w="4540"/>
          </w:cols>
          <w:pgMar w:left="1200" w:top="458" w:right="1200" w:bottom="536" w:gutter="0" w:footer="0" w:header="0"/>
        </w:sectPr>
      </w:pPr>
    </w:p>
    <w:bookmarkStart w:id="25" w:name="page26"/>
    <w:bookmarkEnd w:id="25"/>
    <w:p>
      <w:pPr>
        <w:spacing w:after="0" w:line="200" w:lineRule="exact"/>
        <w:rPr>
          <w:sz w:val="20"/>
          <w:szCs w:val="20"/>
          <w:color w:val="auto"/>
        </w:rPr>
      </w:pPr>
    </w:p>
    <w:p>
      <w:pPr>
        <w:spacing w:after="0" w:line="363" w:lineRule="exact"/>
        <w:rPr>
          <w:sz w:val="20"/>
          <w:szCs w:val="20"/>
          <w:color w:val="auto"/>
        </w:rPr>
      </w:pPr>
    </w:p>
    <w:p>
      <w:pPr>
        <w:spacing w:after="0"/>
        <w:rPr>
          <w:rFonts w:ascii="Times New Roman" w:cs="Times New Roman" w:eastAsia="Times New Roman" w:hAnsi="Times New Roman"/>
          <w:sz w:val="18"/>
          <w:szCs w:val="18"/>
          <w:color w:val="000080"/>
        </w:rPr>
      </w:pPr>
      <w:hyperlink r:id="rId117">
        <w:r>
          <w:rPr>
            <w:rFonts w:ascii="Times New Roman" w:cs="Times New Roman" w:eastAsia="Times New Roman" w:hAnsi="Times New Roman"/>
            <w:sz w:val="18"/>
            <w:szCs w:val="18"/>
            <w:color w:val="000080"/>
          </w:rPr>
          <w:t>files/documents/kissimmee_watershed_basemap2005_25x33.</w:t>
        </w:r>
      </w:hyperlink>
    </w:p>
    <w:p>
      <w:pPr>
        <w:spacing w:after="0" w:line="24" w:lineRule="exact"/>
        <w:rPr>
          <w:sz w:val="20"/>
          <w:szCs w:val="20"/>
          <w:color w:val="auto"/>
        </w:rPr>
      </w:pPr>
    </w:p>
    <w:p>
      <w:pPr>
        <w:spacing w:after="0"/>
        <w:rPr>
          <w:rFonts w:ascii="Times New Roman" w:cs="Times New Roman" w:eastAsia="Times New Roman" w:hAnsi="Times New Roman"/>
          <w:sz w:val="19"/>
          <w:szCs w:val="19"/>
          <w:color w:val="000080"/>
        </w:rPr>
      </w:pPr>
      <w:hyperlink r:id="rId117">
        <w:r>
          <w:rPr>
            <w:rFonts w:ascii="Times New Roman" w:cs="Times New Roman" w:eastAsia="Times New Roman" w:hAnsi="Times New Roman"/>
            <w:sz w:val="19"/>
            <w:szCs w:val="19"/>
            <w:color w:val="000080"/>
          </w:rPr>
          <w:t>pdf</w:t>
        </w:r>
      </w:hyperlink>
      <w:r>
        <w:rPr>
          <w:rFonts w:ascii="Times New Roman" w:cs="Times New Roman" w:eastAsia="Times New Roman" w:hAnsi="Times New Roman"/>
          <w:sz w:val="19"/>
          <w:szCs w:val="19"/>
          <w:color w:val="000000"/>
        </w:rPr>
        <w:t>.</w:t>
      </w:r>
    </w:p>
    <w:p>
      <w:pPr>
        <w:spacing w:after="0" w:line="30" w:lineRule="exact"/>
        <w:rPr>
          <w:sz w:val="20"/>
          <w:szCs w:val="20"/>
          <w:color w:val="auto"/>
        </w:rPr>
      </w:pPr>
    </w:p>
    <w:p>
      <w:pPr>
        <w:jc w:val="both"/>
        <w:ind w:hanging="199"/>
        <w:spacing w:after="0" w:line="260" w:lineRule="auto"/>
        <w:rPr>
          <w:sz w:val="20"/>
          <w:szCs w:val="20"/>
          <w:color w:val="auto"/>
        </w:rPr>
      </w:pPr>
      <w:r>
        <w:rPr>
          <w:rFonts w:ascii="Times New Roman" w:cs="Times New Roman" w:eastAsia="Times New Roman" w:hAnsi="Times New Roman"/>
          <w:sz w:val="19"/>
          <w:szCs w:val="19"/>
          <w:color w:val="auto"/>
        </w:rPr>
        <w:t>South Florida Water Management District. 2014. Kissimmee chain of lakes management area ten-year general manage-ment plan (2014 through 2024). Land Stewardship Section. South Florida Water Management District; 120p.</w:t>
      </w:r>
    </w:p>
    <w:p>
      <w:pPr>
        <w:spacing w:after="0" w:line="14" w:lineRule="exact"/>
        <w:rPr>
          <w:sz w:val="20"/>
          <w:szCs w:val="20"/>
          <w:color w:val="auto"/>
        </w:rPr>
      </w:pPr>
    </w:p>
    <w:p>
      <w:pPr>
        <w:jc w:val="both"/>
        <w:ind w:hanging="199"/>
        <w:spacing w:after="0" w:line="264" w:lineRule="auto"/>
        <w:rPr>
          <w:rFonts w:ascii="Times New Roman" w:cs="Times New Roman" w:eastAsia="Times New Roman" w:hAnsi="Times New Roman"/>
          <w:sz w:val="19"/>
          <w:szCs w:val="19"/>
          <w:color w:val="000080"/>
        </w:rPr>
      </w:pPr>
      <w:r>
        <w:rPr>
          <w:rFonts w:ascii="Times New Roman" w:cs="Times New Roman" w:eastAsia="Times New Roman" w:hAnsi="Times New Roman"/>
          <w:sz w:val="19"/>
          <w:szCs w:val="19"/>
          <w:color w:val="auto"/>
        </w:rPr>
        <w:t>South</w:t>
      </w:r>
      <w:r>
        <w:rPr>
          <w:sz w:val="20"/>
          <w:szCs w:val="20"/>
          <w:color w:val="auto"/>
        </w:rPr>
        <w:t xml:space="preserve"> </w:t>
      </w:r>
      <w:r>
        <w:rPr>
          <w:rFonts w:ascii="Times New Roman" w:cs="Times New Roman" w:eastAsia="Times New Roman" w:hAnsi="Times New Roman"/>
          <w:sz w:val="19"/>
          <w:szCs w:val="19"/>
          <w:color w:val="auto"/>
        </w:rPr>
        <w:t xml:space="preserve">Florida Water Management District. 2019. Kissimmeee River. </w:t>
      </w:r>
      <w:hyperlink r:id="rId118">
        <w:r>
          <w:rPr>
            <w:rFonts w:ascii="Times New Roman" w:cs="Times New Roman" w:eastAsia="Times New Roman" w:hAnsi="Times New Roman"/>
            <w:sz w:val="19"/>
            <w:szCs w:val="19"/>
            <w:color w:val="000080"/>
          </w:rPr>
          <w:t>https://www.sfwmd.gov/our-work/kis-</w:t>
        </w:r>
      </w:hyperlink>
      <w:hyperlink r:id="rId118">
        <w:r>
          <w:rPr>
            <w:rFonts w:ascii="Times New Roman" w:cs="Times New Roman" w:eastAsia="Times New Roman" w:hAnsi="Times New Roman"/>
            <w:sz w:val="19"/>
            <w:szCs w:val="19"/>
            <w:color w:val="000080"/>
          </w:rPr>
          <w:t>simmee-river</w:t>
        </w:r>
      </w:hyperlink>
      <w:r>
        <w:rPr>
          <w:rFonts w:ascii="Times New Roman" w:cs="Times New Roman" w:eastAsia="Times New Roman" w:hAnsi="Times New Roman"/>
          <w:sz w:val="19"/>
          <w:szCs w:val="19"/>
          <w:color w:val="000000"/>
        </w:rPr>
        <w:t>.</w:t>
      </w:r>
    </w:p>
    <w:p>
      <w:pPr>
        <w:spacing w:after="0" w:line="239" w:lineRule="exact"/>
        <w:rPr>
          <w:sz w:val="20"/>
          <w:szCs w:val="20"/>
          <w:color w:val="auto"/>
        </w:rPr>
      </w:pPr>
    </w:p>
    <w:p>
      <w:pPr>
        <w:jc w:val="both"/>
        <w:ind w:hanging="199"/>
        <w:spacing w:after="0" w:line="257" w:lineRule="auto"/>
        <w:rPr>
          <w:rFonts w:ascii="Times New Roman" w:cs="Times New Roman" w:eastAsia="Times New Roman" w:hAnsi="Times New Roman"/>
          <w:sz w:val="19"/>
          <w:szCs w:val="19"/>
          <w:color w:val="000080"/>
        </w:rPr>
      </w:pPr>
      <w:r>
        <w:rPr>
          <w:rFonts w:ascii="Times New Roman" w:cs="Times New Roman" w:eastAsia="Times New Roman" w:hAnsi="Times New Roman"/>
          <w:sz w:val="19"/>
          <w:szCs w:val="19"/>
          <w:color w:val="auto"/>
        </w:rPr>
        <w:t>Swain EB. 1985. Measurement and interpretation of sedi-mentary pigments. Freshwater Biol. 15(1):53</w:t>
      </w:r>
      <w:r>
        <w:rPr>
          <w:rFonts w:ascii="Arial" w:cs="Arial" w:eastAsia="Arial" w:hAnsi="Arial"/>
          <w:sz w:val="19"/>
          <w:szCs w:val="19"/>
          <w:color w:val="auto"/>
        </w:rPr>
        <w:t>–</w:t>
      </w:r>
      <w:r>
        <w:rPr>
          <w:rFonts w:ascii="Times New Roman" w:cs="Times New Roman" w:eastAsia="Times New Roman" w:hAnsi="Times New Roman"/>
          <w:sz w:val="19"/>
          <w:szCs w:val="19"/>
          <w:color w:val="auto"/>
        </w:rPr>
        <w:t>75. doi:</w:t>
      </w:r>
      <w:hyperlink r:id="rId119">
        <w:r>
          <w:rPr>
            <w:rFonts w:ascii="Times New Roman" w:cs="Times New Roman" w:eastAsia="Times New Roman" w:hAnsi="Times New Roman"/>
            <w:sz w:val="19"/>
            <w:szCs w:val="19"/>
            <w:color w:val="000080"/>
          </w:rPr>
          <w:t>10.</w:t>
        </w:r>
      </w:hyperlink>
      <w:r>
        <w:rPr>
          <w:rFonts w:ascii="Times New Roman" w:cs="Times New Roman" w:eastAsia="Times New Roman" w:hAnsi="Times New Roman"/>
          <w:sz w:val="19"/>
          <w:szCs w:val="19"/>
          <w:color w:val="auto"/>
        </w:rPr>
        <w:t xml:space="preserve"> </w:t>
      </w:r>
      <w:hyperlink r:id="rId119">
        <w:r>
          <w:rPr>
            <w:rFonts w:ascii="Times New Roman" w:cs="Times New Roman" w:eastAsia="Times New Roman" w:hAnsi="Times New Roman"/>
            <w:sz w:val="19"/>
            <w:szCs w:val="19"/>
            <w:color w:val="000080"/>
          </w:rPr>
          <w:t>1111/j.1365-2427.1985.tb00696.x</w:t>
        </w:r>
      </w:hyperlink>
      <w:r>
        <w:rPr>
          <w:rFonts w:ascii="Times New Roman" w:cs="Times New Roman" w:eastAsia="Times New Roman" w:hAnsi="Times New Roman"/>
          <w:sz w:val="19"/>
          <w:szCs w:val="19"/>
          <w:color w:val="000000"/>
        </w:rPr>
        <w:t>.</w:t>
      </w:r>
    </w:p>
    <w:p>
      <w:pPr>
        <w:spacing w:after="0" w:line="17" w:lineRule="exact"/>
        <w:rPr>
          <w:sz w:val="20"/>
          <w:szCs w:val="20"/>
          <w:color w:val="auto"/>
        </w:rPr>
      </w:pPr>
    </w:p>
    <w:p>
      <w:pPr>
        <w:jc w:val="both"/>
        <w:ind w:hanging="199"/>
        <w:spacing w:after="0" w:line="253" w:lineRule="auto"/>
        <w:rPr>
          <w:sz w:val="20"/>
          <w:szCs w:val="20"/>
          <w:color w:val="auto"/>
        </w:rPr>
      </w:pPr>
      <w:r>
        <w:rPr>
          <w:rFonts w:ascii="Times New Roman" w:cs="Times New Roman" w:eastAsia="Times New Roman" w:hAnsi="Times New Roman"/>
          <w:sz w:val="19"/>
          <w:szCs w:val="19"/>
          <w:color w:val="auto"/>
        </w:rPr>
        <w:t>Teeter JW. 1980. Ostracoda of the Lake Flirt Formation (Pleistocene) of Southern Florida. Micropaleontology. 26</w:t>
      </w:r>
    </w:p>
    <w:p>
      <w:pPr>
        <w:spacing w:after="0" w:line="9" w:lineRule="exact"/>
        <w:rPr>
          <w:sz w:val="20"/>
          <w:szCs w:val="20"/>
          <w:color w:val="auto"/>
        </w:rPr>
      </w:pPr>
    </w:p>
    <w:p>
      <w:pPr>
        <w:spacing w:after="0"/>
        <w:rPr>
          <w:rFonts w:ascii="Times New Roman" w:cs="Times New Roman" w:eastAsia="Times New Roman" w:hAnsi="Times New Roman"/>
          <w:sz w:val="19"/>
          <w:szCs w:val="19"/>
          <w:color w:val="auto"/>
        </w:rPr>
      </w:pPr>
      <w:r>
        <w:rPr>
          <w:rFonts w:ascii="Times New Roman" w:cs="Times New Roman" w:eastAsia="Times New Roman" w:hAnsi="Times New Roman"/>
          <w:sz w:val="19"/>
          <w:szCs w:val="19"/>
          <w:color w:val="auto"/>
        </w:rPr>
        <w:t>(4):337</w:t>
      </w:r>
      <w:r>
        <w:rPr>
          <w:rFonts w:ascii="Arial" w:cs="Arial" w:eastAsia="Arial" w:hAnsi="Arial"/>
          <w:sz w:val="19"/>
          <w:szCs w:val="19"/>
          <w:color w:val="auto"/>
        </w:rPr>
        <w:t>–</w:t>
      </w:r>
      <w:r>
        <w:rPr>
          <w:rFonts w:ascii="Times New Roman" w:cs="Times New Roman" w:eastAsia="Times New Roman" w:hAnsi="Times New Roman"/>
          <w:sz w:val="19"/>
          <w:szCs w:val="19"/>
          <w:color w:val="auto"/>
        </w:rPr>
        <w:t>355. doi:</w:t>
      </w:r>
      <w:hyperlink r:id="rId120">
        <w:r>
          <w:rPr>
            <w:rFonts w:ascii="Times New Roman" w:cs="Times New Roman" w:eastAsia="Times New Roman" w:hAnsi="Times New Roman"/>
            <w:sz w:val="19"/>
            <w:szCs w:val="19"/>
            <w:color w:val="000080"/>
          </w:rPr>
          <w:t>10.2307/1485349</w:t>
        </w:r>
      </w:hyperlink>
      <w:r>
        <w:rPr>
          <w:rFonts w:ascii="Times New Roman" w:cs="Times New Roman" w:eastAsia="Times New Roman" w:hAnsi="Times New Roman"/>
          <w:sz w:val="19"/>
          <w:szCs w:val="19"/>
          <w:color w:val="auto"/>
        </w:rPr>
        <w:t>.</w:t>
      </w:r>
    </w:p>
    <w:p>
      <w:pPr>
        <w:spacing w:after="0" w:line="31" w:lineRule="exact"/>
        <w:rPr>
          <w:sz w:val="20"/>
          <w:szCs w:val="20"/>
          <w:color w:val="auto"/>
        </w:rPr>
      </w:pPr>
    </w:p>
    <w:p>
      <w:pPr>
        <w:jc w:val="both"/>
        <w:ind w:hanging="199"/>
        <w:spacing w:after="0" w:line="258" w:lineRule="auto"/>
        <w:rPr>
          <w:sz w:val="20"/>
          <w:szCs w:val="20"/>
          <w:color w:val="auto"/>
        </w:rPr>
      </w:pPr>
      <w:r>
        <w:rPr>
          <w:rFonts w:ascii="Times New Roman" w:cs="Times New Roman" w:eastAsia="Times New Roman" w:hAnsi="Times New Roman"/>
          <w:sz w:val="19"/>
          <w:szCs w:val="19"/>
          <w:color w:val="auto"/>
        </w:rPr>
        <w:t>The Atlantic and Gulf Coast Canal and Okeechobee Land Company. 1885. Report of Engineer and Superintendent. 37 p.</w:t>
      </w:r>
    </w:p>
    <w:p>
      <w:pPr>
        <w:spacing w:after="0" w:line="15" w:lineRule="exact"/>
        <w:rPr>
          <w:sz w:val="20"/>
          <w:szCs w:val="20"/>
          <w:color w:val="auto"/>
        </w:rPr>
      </w:pPr>
    </w:p>
    <w:p>
      <w:pPr>
        <w:ind w:hanging="199"/>
        <w:spacing w:after="0" w:line="260" w:lineRule="auto"/>
        <w:rPr>
          <w:rFonts w:ascii="Times New Roman" w:cs="Times New Roman" w:eastAsia="Times New Roman" w:hAnsi="Times New Roman"/>
          <w:sz w:val="19"/>
          <w:szCs w:val="19"/>
          <w:color w:val="000080"/>
        </w:rPr>
      </w:pPr>
      <w:r>
        <w:rPr>
          <w:rFonts w:ascii="Times New Roman" w:cs="Times New Roman" w:eastAsia="Times New Roman" w:hAnsi="Times New Roman"/>
          <w:sz w:val="19"/>
          <w:szCs w:val="19"/>
          <w:color w:val="auto"/>
        </w:rPr>
        <w:t xml:space="preserve">University of Florida Center for Aquatic and Invasive Plants (UF/IFAS). 2019. Bathymetric maps. </w:t>
      </w:r>
      <w:hyperlink r:id="rId121">
        <w:r>
          <w:rPr>
            <w:rFonts w:ascii="Times New Roman" w:cs="Times New Roman" w:eastAsia="Times New Roman" w:hAnsi="Times New Roman"/>
            <w:sz w:val="19"/>
            <w:szCs w:val="19"/>
            <w:color w:val="000080"/>
          </w:rPr>
          <w:t>http://plants.ifas.ufl.</w:t>
        </w:r>
      </w:hyperlink>
      <w:r>
        <w:rPr>
          <w:rFonts w:ascii="Times New Roman" w:cs="Times New Roman" w:eastAsia="Times New Roman" w:hAnsi="Times New Roman"/>
          <w:sz w:val="19"/>
          <w:szCs w:val="19"/>
          <w:color w:val="auto"/>
        </w:rPr>
        <w:t xml:space="preserve"> </w:t>
      </w:r>
      <w:hyperlink r:id="rId121">
        <w:r>
          <w:rPr>
            <w:rFonts w:ascii="Times New Roman" w:cs="Times New Roman" w:eastAsia="Times New Roman" w:hAnsi="Times New Roman"/>
            <w:sz w:val="19"/>
            <w:szCs w:val="19"/>
            <w:color w:val="000080"/>
          </w:rPr>
          <w:t>edu/manage/overview-of-florida-waters/public-waters/</w:t>
        </w:r>
      </w:hyperlink>
      <w:r>
        <w:rPr>
          <w:rFonts w:ascii="Times New Roman" w:cs="Times New Roman" w:eastAsia="Times New Roman" w:hAnsi="Times New Roman"/>
          <w:sz w:val="19"/>
          <w:szCs w:val="19"/>
          <w:color w:val="000080"/>
        </w:rPr>
        <w:t xml:space="preserve"> </w:t>
      </w:r>
      <w:hyperlink r:id="rId121">
        <w:r>
          <w:rPr>
            <w:rFonts w:ascii="Times New Roman" w:cs="Times New Roman" w:eastAsia="Times New Roman" w:hAnsi="Times New Roman"/>
            <w:sz w:val="19"/>
            <w:szCs w:val="19"/>
            <w:color w:val="000080"/>
          </w:rPr>
          <w:t>bathymetric-maps/</w:t>
        </w:r>
      </w:hyperlink>
      <w:r>
        <w:rPr>
          <w:rFonts w:ascii="Times New Roman" w:cs="Times New Roman" w:eastAsia="Times New Roman" w:hAnsi="Times New Roman"/>
          <w:sz w:val="19"/>
          <w:szCs w:val="19"/>
          <w:color w:val="000000"/>
        </w:rPr>
        <w:t>.</w:t>
      </w:r>
    </w:p>
    <w:p>
      <w:pPr>
        <w:spacing w:after="0" w:line="14" w:lineRule="exact"/>
        <w:rPr>
          <w:rFonts w:ascii="Times New Roman" w:cs="Times New Roman" w:eastAsia="Times New Roman" w:hAnsi="Times New Roman"/>
          <w:sz w:val="19"/>
          <w:szCs w:val="19"/>
          <w:color w:val="auto"/>
        </w:rPr>
      </w:pPr>
    </w:p>
    <w:p>
      <w:pPr>
        <w:jc w:val="both"/>
        <w:ind w:hanging="199"/>
        <w:spacing w:after="0" w:line="260" w:lineRule="auto"/>
        <w:rPr>
          <w:sz w:val="20"/>
          <w:szCs w:val="20"/>
          <w:color w:val="auto"/>
        </w:rPr>
      </w:pPr>
      <w:r>
        <w:rPr>
          <w:rFonts w:ascii="Times New Roman" w:cs="Times New Roman" w:eastAsia="Times New Roman" w:hAnsi="Times New Roman"/>
          <w:sz w:val="19"/>
          <w:szCs w:val="19"/>
          <w:color w:val="auto"/>
        </w:rPr>
        <w:t>US Army Corps of Engineers. 1996. Kissimmee River, Florida, revitalization project: integrated project modifica-tion report and supplement to the final environmental impact statement. Jacksonville District: South Atlantic Division; 362p.</w:t>
      </w:r>
    </w:p>
    <w:p>
      <w:pPr>
        <w:spacing w:after="0" w:line="16" w:lineRule="exact"/>
        <w:rPr>
          <w:rFonts w:ascii="Times New Roman" w:cs="Times New Roman" w:eastAsia="Times New Roman" w:hAnsi="Times New Roman"/>
          <w:sz w:val="19"/>
          <w:szCs w:val="19"/>
          <w:color w:val="auto"/>
        </w:rPr>
      </w:pPr>
    </w:p>
    <w:p>
      <w:pPr>
        <w:jc w:val="both"/>
        <w:ind w:hanging="199"/>
        <w:spacing w:after="0" w:line="259" w:lineRule="auto"/>
        <w:rPr>
          <w:rFonts w:ascii="Times New Roman" w:cs="Times New Roman" w:eastAsia="Times New Roman" w:hAnsi="Times New Roman"/>
          <w:sz w:val="19"/>
          <w:szCs w:val="19"/>
          <w:color w:val="000080"/>
        </w:rPr>
      </w:pPr>
      <w:r>
        <w:rPr>
          <w:rFonts w:ascii="Times New Roman" w:cs="Times New Roman" w:eastAsia="Times New Roman" w:hAnsi="Times New Roman"/>
          <w:sz w:val="19"/>
          <w:szCs w:val="19"/>
          <w:color w:val="auto"/>
        </w:rPr>
        <w:t>Van der Werff A. 1953. A new method of concentrating and cleaning diatoms and other organisms. Int Ver Theor Angew Limnol Verh. 12(1):276</w:t>
      </w:r>
      <w:r>
        <w:rPr>
          <w:rFonts w:ascii="Arial" w:cs="Arial" w:eastAsia="Arial" w:hAnsi="Arial"/>
          <w:sz w:val="19"/>
          <w:szCs w:val="19"/>
          <w:color w:val="auto"/>
        </w:rPr>
        <w:t>–</w:t>
      </w:r>
      <w:r>
        <w:rPr>
          <w:rFonts w:ascii="Times New Roman" w:cs="Times New Roman" w:eastAsia="Times New Roman" w:hAnsi="Times New Roman"/>
          <w:sz w:val="19"/>
          <w:szCs w:val="19"/>
          <w:color w:val="auto"/>
        </w:rPr>
        <w:t>277. doi:</w:t>
      </w:r>
      <w:hyperlink r:id="rId122">
        <w:r>
          <w:rPr>
            <w:rFonts w:ascii="Times New Roman" w:cs="Times New Roman" w:eastAsia="Times New Roman" w:hAnsi="Times New Roman"/>
            <w:sz w:val="19"/>
            <w:szCs w:val="19"/>
            <w:color w:val="000080"/>
          </w:rPr>
          <w:t>10.1080/</w:t>
        </w:r>
      </w:hyperlink>
      <w:r>
        <w:rPr>
          <w:rFonts w:ascii="Times New Roman" w:cs="Times New Roman" w:eastAsia="Times New Roman" w:hAnsi="Times New Roman"/>
          <w:sz w:val="19"/>
          <w:szCs w:val="19"/>
          <w:color w:val="auto"/>
        </w:rPr>
        <w:t xml:space="preserve"> </w:t>
      </w:r>
      <w:hyperlink r:id="rId122">
        <w:r>
          <w:rPr>
            <w:rFonts w:ascii="Times New Roman" w:cs="Times New Roman" w:eastAsia="Times New Roman" w:hAnsi="Times New Roman"/>
            <w:sz w:val="19"/>
            <w:szCs w:val="19"/>
            <w:color w:val="000080"/>
          </w:rPr>
          <w:t>03680770.1950.11895297</w:t>
        </w:r>
      </w:hyperlink>
      <w:r>
        <w:rPr>
          <w:rFonts w:ascii="Times New Roman" w:cs="Times New Roman" w:eastAsia="Times New Roman" w:hAnsi="Times New Roman"/>
          <w:sz w:val="19"/>
          <w:szCs w:val="19"/>
          <w:color w:val="000000"/>
        </w:rPr>
        <w:t>.</w:t>
      </w:r>
    </w:p>
    <w:p>
      <w:pPr>
        <w:spacing w:after="0" w:line="16" w:lineRule="exact"/>
        <w:rPr>
          <w:sz w:val="20"/>
          <w:szCs w:val="20"/>
          <w:color w:val="auto"/>
        </w:rPr>
      </w:pPr>
    </w:p>
    <w:p>
      <w:pPr>
        <w:jc w:val="both"/>
        <w:ind w:hanging="199"/>
        <w:spacing w:after="0" w:line="258" w:lineRule="auto"/>
        <w:rPr>
          <w:sz w:val="20"/>
          <w:szCs w:val="20"/>
          <w:color w:val="auto"/>
        </w:rPr>
      </w:pPr>
      <w:r>
        <w:rPr>
          <w:rFonts w:ascii="Times New Roman" w:cs="Times New Roman" w:eastAsia="Times New Roman" w:hAnsi="Times New Roman"/>
          <w:sz w:val="19"/>
          <w:szCs w:val="19"/>
          <w:color w:val="auto"/>
        </w:rPr>
        <w:t>Wang Y, Hsieh YP, Landing WM, Choi YH, Salters V, Campbell D. 2002. Chemical and carbon isotopic evi-dence for the source and fate of dissolved organic matter</w:t>
      </w:r>
    </w:p>
    <w:p>
      <w:pPr>
        <w:spacing w:after="0" w:line="20" w:lineRule="exact"/>
        <w:rPr>
          <w:sz w:val="20"/>
          <w:szCs w:val="20"/>
          <w:color w:val="auto"/>
        </w:rPr>
      </w:pPr>
      <w:r>
        <w:rPr>
          <w:sz w:val="20"/>
          <w:szCs w:val="20"/>
          <w:color w:val="auto"/>
        </w:rPr>
        <w:br w:type="column"/>
      </w:r>
    </w:p>
    <w:p>
      <w:pPr>
        <w:ind w:left="1540"/>
        <w:spacing w:after="0"/>
        <w:rPr>
          <w:sz w:val="20"/>
          <w:szCs w:val="20"/>
          <w:color w:val="auto"/>
        </w:rPr>
      </w:pPr>
      <w:r>
        <w:rPr>
          <w:rFonts w:ascii="Arial" w:cs="Arial" w:eastAsia="Arial" w:hAnsi="Arial"/>
          <w:sz w:val="12"/>
          <w:szCs w:val="12"/>
          <w:color w:val="auto"/>
        </w:rPr>
        <w:t xml:space="preserve">LAKE AND RESERVOIR MANAGEMENT  </w:t>
      </w:r>
      <w:r>
        <w:rPr>
          <w:sz w:val="1"/>
          <w:szCs w:val="1"/>
          <w:color w:val="auto"/>
        </w:rPr>
        <w:drawing>
          <wp:inline distT="0" distB="0" distL="0" distR="0">
            <wp:extent cx="165100" cy="1651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23">
                      <a:extLst>
                        <a:ext uri="{28A0092B-C50C-407E-A947-70E740481C1C}"/>
                      </a:extLst>
                    </a:blip>
                    <a:srcRect/>
                    <a:stretch>
                      <a:fillRect/>
                    </a:stretch>
                  </pic:blipFill>
                  <pic:spPr bwMode="auto">
                    <a:xfrm>
                      <a:off x="0" y="0"/>
                      <a:ext cx="165100" cy="165100"/>
                    </a:xfrm>
                    <a:prstGeom prst="rect">
                      <a:avLst/>
                    </a:prstGeom>
                    <a:noFill/>
                    <a:ln>
                      <a:noFill/>
                    </a:ln>
                  </pic:spPr>
                </pic:pic>
              </a:graphicData>
            </a:graphic>
          </wp:inline>
        </w:drawing>
      </w:r>
      <w:r>
        <w:rPr>
          <w:rFonts w:ascii="Arial" w:cs="Arial" w:eastAsia="Arial" w:hAnsi="Arial"/>
          <w:sz w:val="12"/>
          <w:szCs w:val="12"/>
          <w:color w:val="auto"/>
        </w:rPr>
        <w:t xml:space="preserve">  25</w:t>
      </w:r>
    </w:p>
    <w:p>
      <w:pPr>
        <w:spacing w:after="0" w:line="269" w:lineRule="exact"/>
        <w:rPr>
          <w:sz w:val="20"/>
          <w:szCs w:val="20"/>
          <w:color w:val="auto"/>
        </w:rPr>
      </w:pPr>
    </w:p>
    <w:p>
      <w:pPr>
        <w:spacing w:after="0"/>
        <w:tabs>
          <w:tab w:leader="none" w:pos="300" w:val="left"/>
          <w:tab w:leader="none" w:pos="700" w:val="left"/>
          <w:tab w:leader="none" w:pos="1560" w:val="left"/>
          <w:tab w:leader="none" w:pos="2580" w:val="left"/>
          <w:tab w:leader="none" w:pos="4080" w:val="left"/>
        </w:tabs>
        <w:rPr>
          <w:sz w:val="20"/>
          <w:szCs w:val="20"/>
          <w:color w:val="auto"/>
        </w:rPr>
      </w:pPr>
      <w:r>
        <w:rPr>
          <w:rFonts w:ascii="Times New Roman" w:cs="Times New Roman" w:eastAsia="Times New Roman" w:hAnsi="Times New Roman"/>
          <w:sz w:val="19"/>
          <w:szCs w:val="19"/>
          <w:color w:val="auto"/>
        </w:rPr>
        <w:t>in</w:t>
        <w:tab/>
        <w:t>the</w:t>
        <w:tab/>
        <w:t>northern</w:t>
        <w:tab/>
        <w:t>Everglades.</w:t>
        <w:tab/>
        <w:t>Biogeochemistry.</w:t>
      </w:r>
      <w:r>
        <w:rPr>
          <w:sz w:val="20"/>
          <w:szCs w:val="20"/>
          <w:color w:val="auto"/>
        </w:rPr>
        <w:tab/>
      </w:r>
      <w:r>
        <w:rPr>
          <w:rFonts w:ascii="Times New Roman" w:cs="Times New Roman" w:eastAsia="Times New Roman" w:hAnsi="Times New Roman"/>
          <w:sz w:val="18"/>
          <w:szCs w:val="18"/>
          <w:color w:val="auto"/>
        </w:rPr>
        <w:t>61(3):</w:t>
      </w:r>
    </w:p>
    <w:p>
      <w:pPr>
        <w:spacing w:after="0" w:line="21" w:lineRule="exact"/>
        <w:rPr>
          <w:sz w:val="20"/>
          <w:szCs w:val="20"/>
          <w:color w:val="auto"/>
        </w:rPr>
      </w:pPr>
    </w:p>
    <w:p>
      <w:pPr>
        <w:spacing w:after="0"/>
        <w:rPr>
          <w:rFonts w:ascii="Times New Roman" w:cs="Times New Roman" w:eastAsia="Times New Roman" w:hAnsi="Times New Roman"/>
          <w:sz w:val="19"/>
          <w:szCs w:val="19"/>
          <w:color w:val="auto"/>
        </w:rPr>
      </w:pPr>
      <w:r>
        <w:rPr>
          <w:rFonts w:ascii="Times New Roman" w:cs="Times New Roman" w:eastAsia="Times New Roman" w:hAnsi="Times New Roman"/>
          <w:sz w:val="19"/>
          <w:szCs w:val="19"/>
          <w:color w:val="auto"/>
        </w:rPr>
        <w:t>269</w:t>
      </w:r>
      <w:r>
        <w:rPr>
          <w:rFonts w:ascii="Arial" w:cs="Arial" w:eastAsia="Arial" w:hAnsi="Arial"/>
          <w:sz w:val="19"/>
          <w:szCs w:val="19"/>
          <w:color w:val="auto"/>
        </w:rPr>
        <w:t>–</w:t>
      </w:r>
      <w:r>
        <w:rPr>
          <w:rFonts w:ascii="Times New Roman" w:cs="Times New Roman" w:eastAsia="Times New Roman" w:hAnsi="Times New Roman"/>
          <w:sz w:val="19"/>
          <w:szCs w:val="19"/>
          <w:color w:val="auto"/>
        </w:rPr>
        <w:t>289. doi:</w:t>
      </w:r>
      <w:hyperlink r:id="rId124">
        <w:r>
          <w:rPr>
            <w:rFonts w:ascii="Times New Roman" w:cs="Times New Roman" w:eastAsia="Times New Roman" w:hAnsi="Times New Roman"/>
            <w:sz w:val="19"/>
            <w:szCs w:val="19"/>
            <w:color w:val="000080"/>
          </w:rPr>
          <w:t>10.1023/A:1020282717732</w:t>
        </w:r>
      </w:hyperlink>
      <w:r>
        <w:rPr>
          <w:rFonts w:ascii="Times New Roman" w:cs="Times New Roman" w:eastAsia="Times New Roman" w:hAnsi="Times New Roman"/>
          <w:sz w:val="19"/>
          <w:szCs w:val="19"/>
          <w:color w:val="auto"/>
        </w:rPr>
        <w:t>.</w:t>
      </w:r>
    </w:p>
    <w:p>
      <w:pPr>
        <w:spacing w:after="0" w:line="30" w:lineRule="exact"/>
        <w:rPr>
          <w:sz w:val="20"/>
          <w:szCs w:val="20"/>
          <w:color w:val="auto"/>
        </w:rPr>
      </w:pPr>
    </w:p>
    <w:p>
      <w:pPr>
        <w:jc w:val="both"/>
        <w:ind w:hanging="200"/>
        <w:spacing w:after="0" w:line="259" w:lineRule="auto"/>
        <w:rPr>
          <w:rFonts w:ascii="Times New Roman" w:cs="Times New Roman" w:eastAsia="Times New Roman" w:hAnsi="Times New Roman"/>
          <w:sz w:val="19"/>
          <w:szCs w:val="19"/>
          <w:color w:val="auto"/>
        </w:rPr>
      </w:pPr>
      <w:r>
        <w:rPr>
          <w:rFonts w:ascii="Times New Roman" w:cs="Times New Roman" w:eastAsia="Times New Roman" w:hAnsi="Times New Roman"/>
          <w:sz w:val="19"/>
          <w:szCs w:val="19"/>
          <w:color w:val="auto"/>
        </w:rPr>
        <w:t>Whitmore TJ, Brenner M, Schelske CL. 1996. Highly vari-able sediment distribution: a case for sediment mapping surveys in paleolimnological studies. J Paleolimnol. 15(3): 207</w:t>
      </w:r>
      <w:r>
        <w:rPr>
          <w:rFonts w:ascii="Arial" w:cs="Arial" w:eastAsia="Arial" w:hAnsi="Arial"/>
          <w:sz w:val="19"/>
          <w:szCs w:val="19"/>
          <w:color w:val="auto"/>
        </w:rPr>
        <w:t>–</w:t>
      </w:r>
      <w:r>
        <w:rPr>
          <w:rFonts w:ascii="Times New Roman" w:cs="Times New Roman" w:eastAsia="Times New Roman" w:hAnsi="Times New Roman"/>
          <w:sz w:val="19"/>
          <w:szCs w:val="19"/>
          <w:color w:val="auto"/>
        </w:rPr>
        <w:t>221. doi:</w:t>
      </w:r>
      <w:hyperlink r:id="rId125">
        <w:r>
          <w:rPr>
            <w:rFonts w:ascii="Times New Roman" w:cs="Times New Roman" w:eastAsia="Times New Roman" w:hAnsi="Times New Roman"/>
            <w:sz w:val="19"/>
            <w:szCs w:val="19"/>
            <w:color w:val="000080"/>
          </w:rPr>
          <w:t>10.1007/BF00213041</w:t>
        </w:r>
      </w:hyperlink>
      <w:r>
        <w:rPr>
          <w:rFonts w:ascii="Times New Roman" w:cs="Times New Roman" w:eastAsia="Times New Roman" w:hAnsi="Times New Roman"/>
          <w:sz w:val="19"/>
          <w:szCs w:val="19"/>
          <w:color w:val="auto"/>
        </w:rPr>
        <w:t>.</w:t>
      </w:r>
    </w:p>
    <w:p>
      <w:pPr>
        <w:spacing w:after="0" w:line="16" w:lineRule="exact"/>
        <w:rPr>
          <w:sz w:val="20"/>
          <w:szCs w:val="20"/>
          <w:color w:val="auto"/>
        </w:rPr>
      </w:pPr>
    </w:p>
    <w:p>
      <w:pPr>
        <w:jc w:val="both"/>
        <w:ind w:hanging="200"/>
        <w:spacing w:after="0" w:line="261" w:lineRule="auto"/>
        <w:rPr>
          <w:rFonts w:ascii="Times New Roman" w:cs="Times New Roman" w:eastAsia="Times New Roman" w:hAnsi="Times New Roman"/>
          <w:sz w:val="19"/>
          <w:szCs w:val="19"/>
          <w:color w:val="000080"/>
        </w:rPr>
      </w:pPr>
      <w:r>
        <w:rPr>
          <w:rFonts w:ascii="Times New Roman" w:cs="Times New Roman" w:eastAsia="Times New Roman" w:hAnsi="Times New Roman"/>
          <w:sz w:val="19"/>
          <w:szCs w:val="19"/>
          <w:color w:val="auto"/>
        </w:rPr>
        <w:t>Whitmore</w:t>
      </w:r>
      <w:r>
        <w:rPr>
          <w:sz w:val="20"/>
          <w:szCs w:val="20"/>
          <w:color w:val="auto"/>
        </w:rPr>
        <w:t xml:space="preserve"> </w:t>
      </w:r>
      <w:r>
        <w:rPr>
          <w:rFonts w:ascii="Times New Roman" w:cs="Times New Roman" w:eastAsia="Times New Roman" w:hAnsi="Times New Roman"/>
          <w:sz w:val="19"/>
          <w:szCs w:val="19"/>
          <w:color w:val="auto"/>
        </w:rPr>
        <w:t>TJ, Lauterman FM, Smith KE, Riedinger-Whitmore MA. 2015. Limnetic total P transfer functions for lake-management applications: considerations for their design and use. Front Ecol Evol. 3:107. doi:</w:t>
      </w:r>
      <w:hyperlink r:id="rId126">
        <w:r>
          <w:rPr>
            <w:rFonts w:ascii="Times New Roman" w:cs="Times New Roman" w:eastAsia="Times New Roman" w:hAnsi="Times New Roman"/>
            <w:sz w:val="19"/>
            <w:szCs w:val="19"/>
            <w:color w:val="000080"/>
          </w:rPr>
          <w:t>10.3389/</w:t>
        </w:r>
      </w:hyperlink>
      <w:r>
        <w:rPr>
          <w:rFonts w:ascii="Times New Roman" w:cs="Times New Roman" w:eastAsia="Times New Roman" w:hAnsi="Times New Roman"/>
          <w:sz w:val="19"/>
          <w:szCs w:val="19"/>
          <w:color w:val="auto"/>
        </w:rPr>
        <w:t xml:space="preserve"> </w:t>
      </w:r>
      <w:hyperlink r:id="rId126">
        <w:r>
          <w:rPr>
            <w:rFonts w:ascii="Times New Roman" w:cs="Times New Roman" w:eastAsia="Times New Roman" w:hAnsi="Times New Roman"/>
            <w:sz w:val="19"/>
            <w:szCs w:val="19"/>
            <w:color w:val="000080"/>
          </w:rPr>
          <w:t>fevo.2015.00107</w:t>
        </w:r>
      </w:hyperlink>
      <w:r>
        <w:rPr>
          <w:rFonts w:ascii="Times New Roman" w:cs="Times New Roman" w:eastAsia="Times New Roman" w:hAnsi="Times New Roman"/>
          <w:sz w:val="19"/>
          <w:szCs w:val="19"/>
          <w:color w:val="000000"/>
        </w:rPr>
        <w:t>.</w:t>
      </w:r>
    </w:p>
    <w:p>
      <w:pPr>
        <w:spacing w:after="0" w:line="12" w:lineRule="exact"/>
        <w:rPr>
          <w:sz w:val="20"/>
          <w:szCs w:val="20"/>
          <w:color w:val="auto"/>
        </w:rPr>
      </w:pPr>
    </w:p>
    <w:p>
      <w:pPr>
        <w:jc w:val="both"/>
        <w:ind w:hanging="200"/>
        <w:spacing w:after="0" w:line="261" w:lineRule="auto"/>
        <w:rPr>
          <w:rFonts w:ascii="Times New Roman" w:cs="Times New Roman" w:eastAsia="Times New Roman" w:hAnsi="Times New Roman"/>
          <w:sz w:val="19"/>
          <w:szCs w:val="19"/>
          <w:color w:val="auto"/>
        </w:rPr>
      </w:pPr>
      <w:r>
        <w:rPr>
          <w:rFonts w:ascii="Times New Roman" w:cs="Times New Roman" w:eastAsia="Times New Roman" w:hAnsi="Times New Roman"/>
          <w:sz w:val="19"/>
          <w:szCs w:val="19"/>
          <w:color w:val="auto"/>
        </w:rPr>
        <w:t>Whitmore TJ, Riedinger-Whitmore MA, Lauterman FM, Curtis JH. 2018. Cyanobacterial influence on diatom com-munity lifeform dynamics in subtropical lakes of Florida USA. In: Bennion H, Whitmore TJ, Davidson TA, Sayer CD (eds.). Putting the ecology into palaeo. J Paleolimnol. 60(2):223</w:t>
      </w:r>
      <w:r>
        <w:rPr>
          <w:rFonts w:ascii="Arial" w:cs="Arial" w:eastAsia="Arial" w:hAnsi="Arial"/>
          <w:sz w:val="19"/>
          <w:szCs w:val="19"/>
          <w:color w:val="auto"/>
        </w:rPr>
        <w:t>–</w:t>
      </w:r>
      <w:r>
        <w:rPr>
          <w:rFonts w:ascii="Times New Roman" w:cs="Times New Roman" w:eastAsia="Times New Roman" w:hAnsi="Times New Roman"/>
          <w:sz w:val="19"/>
          <w:szCs w:val="19"/>
          <w:color w:val="auto"/>
        </w:rPr>
        <w:t>246. doi:</w:t>
      </w:r>
      <w:hyperlink r:id="rId127">
        <w:r>
          <w:rPr>
            <w:rFonts w:ascii="Times New Roman" w:cs="Times New Roman" w:eastAsia="Times New Roman" w:hAnsi="Times New Roman"/>
            <w:sz w:val="19"/>
            <w:szCs w:val="19"/>
            <w:color w:val="000080"/>
          </w:rPr>
          <w:t>10.1007/s10933-018-0018-z</w:t>
        </w:r>
      </w:hyperlink>
      <w:r>
        <w:rPr>
          <w:rFonts w:ascii="Times New Roman" w:cs="Times New Roman" w:eastAsia="Times New Roman" w:hAnsi="Times New Roman"/>
          <w:sz w:val="19"/>
          <w:szCs w:val="19"/>
          <w:color w:val="auto"/>
        </w:rPr>
        <w:t>.</w:t>
      </w:r>
    </w:p>
    <w:p>
      <w:pPr>
        <w:spacing w:after="0" w:line="13" w:lineRule="exact"/>
        <w:rPr>
          <w:sz w:val="20"/>
          <w:szCs w:val="20"/>
          <w:color w:val="auto"/>
        </w:rPr>
      </w:pPr>
    </w:p>
    <w:p>
      <w:pPr>
        <w:jc w:val="both"/>
        <w:ind w:hanging="200"/>
        <w:spacing w:after="0" w:line="259" w:lineRule="auto"/>
        <w:rPr>
          <w:rFonts w:ascii="Times New Roman" w:cs="Times New Roman" w:eastAsia="Times New Roman" w:hAnsi="Times New Roman"/>
          <w:sz w:val="19"/>
          <w:szCs w:val="19"/>
          <w:color w:val="000080"/>
        </w:rPr>
      </w:pPr>
      <w:r>
        <w:rPr>
          <w:rFonts w:ascii="Times New Roman" w:cs="Times New Roman" w:eastAsia="Times New Roman" w:hAnsi="Times New Roman"/>
          <w:sz w:val="19"/>
          <w:szCs w:val="19"/>
          <w:color w:val="auto"/>
        </w:rPr>
        <w:t>Willard DA, Bernhardt CE, Weimer L, Cooper SR, Gamez D, Jensen J. 2004. Atlas of pollen and spores of the Florida Everglades. Palynology. 28(1):175</w:t>
      </w:r>
      <w:r>
        <w:rPr>
          <w:rFonts w:ascii="Arial" w:cs="Arial" w:eastAsia="Arial" w:hAnsi="Arial"/>
          <w:sz w:val="19"/>
          <w:szCs w:val="19"/>
          <w:color w:val="auto"/>
        </w:rPr>
        <w:t>–</w:t>
      </w:r>
      <w:r>
        <w:rPr>
          <w:rFonts w:ascii="Times New Roman" w:cs="Times New Roman" w:eastAsia="Times New Roman" w:hAnsi="Times New Roman"/>
          <w:sz w:val="19"/>
          <w:szCs w:val="19"/>
          <w:color w:val="auto"/>
        </w:rPr>
        <w:t>227. doi:</w:t>
      </w:r>
      <w:hyperlink r:id="rId128">
        <w:r>
          <w:rPr>
            <w:rFonts w:ascii="Times New Roman" w:cs="Times New Roman" w:eastAsia="Times New Roman" w:hAnsi="Times New Roman"/>
            <w:sz w:val="19"/>
            <w:szCs w:val="19"/>
            <w:color w:val="000080"/>
          </w:rPr>
          <w:t>10.</w:t>
        </w:r>
      </w:hyperlink>
      <w:r>
        <w:rPr>
          <w:rFonts w:ascii="Times New Roman" w:cs="Times New Roman" w:eastAsia="Times New Roman" w:hAnsi="Times New Roman"/>
          <w:sz w:val="19"/>
          <w:szCs w:val="19"/>
          <w:color w:val="auto"/>
        </w:rPr>
        <w:t xml:space="preserve"> </w:t>
      </w:r>
      <w:hyperlink r:id="rId128">
        <w:r>
          <w:rPr>
            <w:rFonts w:ascii="Times New Roman" w:cs="Times New Roman" w:eastAsia="Times New Roman" w:hAnsi="Times New Roman"/>
            <w:sz w:val="19"/>
            <w:szCs w:val="19"/>
            <w:color w:val="000080"/>
          </w:rPr>
          <w:t>2113/28.1.175</w:t>
        </w:r>
      </w:hyperlink>
      <w:r>
        <w:rPr>
          <w:rFonts w:ascii="Times New Roman" w:cs="Times New Roman" w:eastAsia="Times New Roman" w:hAnsi="Times New Roman"/>
          <w:sz w:val="19"/>
          <w:szCs w:val="19"/>
          <w:color w:val="000000"/>
        </w:rPr>
        <w:t>.</w:t>
      </w:r>
    </w:p>
    <w:p>
      <w:pPr>
        <w:spacing w:after="0" w:line="16" w:lineRule="exact"/>
        <w:rPr>
          <w:sz w:val="20"/>
          <w:szCs w:val="20"/>
          <w:color w:val="auto"/>
        </w:rPr>
      </w:pPr>
    </w:p>
    <w:p>
      <w:pPr>
        <w:jc w:val="both"/>
        <w:ind w:hanging="200"/>
        <w:spacing w:after="0" w:line="259" w:lineRule="auto"/>
        <w:rPr>
          <w:rFonts w:ascii="Times New Roman" w:cs="Times New Roman" w:eastAsia="Times New Roman" w:hAnsi="Times New Roman"/>
          <w:sz w:val="19"/>
          <w:szCs w:val="19"/>
          <w:color w:val="000080"/>
        </w:rPr>
      </w:pPr>
      <w:r>
        <w:rPr>
          <w:rFonts w:ascii="Times New Roman" w:cs="Times New Roman" w:eastAsia="Times New Roman" w:hAnsi="Times New Roman"/>
          <w:sz w:val="19"/>
          <w:szCs w:val="19"/>
          <w:color w:val="auto"/>
        </w:rPr>
        <w:t>Williams VP. 2001. Effects of point source removal on lake water quality: a case history of Lake Tohopekaliga, Florida. Lake Reserv Manage. 17(4):315</w:t>
      </w:r>
      <w:r>
        <w:rPr>
          <w:rFonts w:ascii="Arial" w:cs="Arial" w:eastAsia="Arial" w:hAnsi="Arial"/>
          <w:sz w:val="19"/>
          <w:szCs w:val="19"/>
          <w:color w:val="auto"/>
        </w:rPr>
        <w:t>–</w:t>
      </w:r>
      <w:r>
        <w:rPr>
          <w:rFonts w:ascii="Times New Roman" w:cs="Times New Roman" w:eastAsia="Times New Roman" w:hAnsi="Times New Roman"/>
          <w:sz w:val="19"/>
          <w:szCs w:val="19"/>
          <w:color w:val="auto"/>
        </w:rPr>
        <w:t>329. doi:</w:t>
      </w:r>
      <w:hyperlink r:id="rId129">
        <w:r>
          <w:rPr>
            <w:rFonts w:ascii="Times New Roman" w:cs="Times New Roman" w:eastAsia="Times New Roman" w:hAnsi="Times New Roman"/>
            <w:sz w:val="19"/>
            <w:szCs w:val="19"/>
            <w:color w:val="000080"/>
          </w:rPr>
          <w:t>10.1080/</w:t>
        </w:r>
      </w:hyperlink>
      <w:r>
        <w:rPr>
          <w:rFonts w:ascii="Times New Roman" w:cs="Times New Roman" w:eastAsia="Times New Roman" w:hAnsi="Times New Roman"/>
          <w:sz w:val="19"/>
          <w:szCs w:val="19"/>
          <w:color w:val="auto"/>
        </w:rPr>
        <w:t xml:space="preserve"> </w:t>
      </w:r>
      <w:hyperlink r:id="rId129">
        <w:r>
          <w:rPr>
            <w:rFonts w:ascii="Times New Roman" w:cs="Times New Roman" w:eastAsia="Times New Roman" w:hAnsi="Times New Roman"/>
            <w:sz w:val="19"/>
            <w:szCs w:val="19"/>
            <w:color w:val="000080"/>
          </w:rPr>
          <w:t>07438140109354138</w:t>
        </w:r>
      </w:hyperlink>
      <w:r>
        <w:rPr>
          <w:rFonts w:ascii="Times New Roman" w:cs="Times New Roman" w:eastAsia="Times New Roman" w:hAnsi="Times New Roman"/>
          <w:sz w:val="19"/>
          <w:szCs w:val="19"/>
          <w:color w:val="000000"/>
        </w:rPr>
        <w:t>.</w:t>
      </w:r>
    </w:p>
    <w:p>
      <w:pPr>
        <w:spacing w:after="0" w:line="16" w:lineRule="exact"/>
        <w:rPr>
          <w:sz w:val="20"/>
          <w:szCs w:val="20"/>
          <w:color w:val="auto"/>
        </w:rPr>
      </w:pPr>
    </w:p>
    <w:p>
      <w:pPr>
        <w:jc w:val="both"/>
        <w:ind w:hanging="200"/>
        <w:spacing w:after="0" w:line="260" w:lineRule="auto"/>
        <w:rPr>
          <w:rFonts w:ascii="Times New Roman" w:cs="Times New Roman" w:eastAsia="Times New Roman" w:hAnsi="Times New Roman"/>
          <w:sz w:val="19"/>
          <w:szCs w:val="19"/>
          <w:color w:val="000080"/>
        </w:rPr>
      </w:pPr>
      <w:r>
        <w:rPr>
          <w:rFonts w:ascii="Times New Roman" w:cs="Times New Roman" w:eastAsia="Times New Roman" w:hAnsi="Times New Roman"/>
          <w:sz w:val="19"/>
          <w:szCs w:val="19"/>
          <w:color w:val="auto"/>
        </w:rPr>
        <w:t>Williamson CE, Morris DP, Pace ML, Olson OG. 1999. Dissolved organic carbon and nutrients as regulators of lake ecosystems: resurrection of a more integrated para-digm. Limnol Oceanogr. 44(3 Part 2):795</w:t>
      </w:r>
      <w:r>
        <w:rPr>
          <w:rFonts w:ascii="Arial" w:cs="Arial" w:eastAsia="Arial" w:hAnsi="Arial"/>
          <w:sz w:val="19"/>
          <w:szCs w:val="19"/>
          <w:color w:val="auto"/>
        </w:rPr>
        <w:t>–</w:t>
      </w:r>
      <w:r>
        <w:rPr>
          <w:rFonts w:ascii="Times New Roman" w:cs="Times New Roman" w:eastAsia="Times New Roman" w:hAnsi="Times New Roman"/>
          <w:sz w:val="19"/>
          <w:szCs w:val="19"/>
          <w:color w:val="auto"/>
        </w:rPr>
        <w:t>803. doi:</w:t>
      </w:r>
      <w:hyperlink r:id="rId130">
        <w:r>
          <w:rPr>
            <w:rFonts w:ascii="Times New Roman" w:cs="Times New Roman" w:eastAsia="Times New Roman" w:hAnsi="Times New Roman"/>
            <w:sz w:val="19"/>
            <w:szCs w:val="19"/>
            <w:color w:val="000080"/>
          </w:rPr>
          <w:t>10.</w:t>
        </w:r>
      </w:hyperlink>
      <w:r>
        <w:rPr>
          <w:rFonts w:ascii="Times New Roman" w:cs="Times New Roman" w:eastAsia="Times New Roman" w:hAnsi="Times New Roman"/>
          <w:sz w:val="19"/>
          <w:szCs w:val="19"/>
          <w:color w:val="auto"/>
        </w:rPr>
        <w:t xml:space="preserve"> </w:t>
      </w:r>
      <w:hyperlink r:id="rId130">
        <w:r>
          <w:rPr>
            <w:rFonts w:ascii="Times New Roman" w:cs="Times New Roman" w:eastAsia="Times New Roman" w:hAnsi="Times New Roman"/>
            <w:sz w:val="19"/>
            <w:szCs w:val="19"/>
            <w:color w:val="000080"/>
          </w:rPr>
          <w:t>4319/lo.1999.44.3_part_2.0795</w:t>
        </w:r>
      </w:hyperlink>
      <w:r>
        <w:rPr>
          <w:rFonts w:ascii="Times New Roman" w:cs="Times New Roman" w:eastAsia="Times New Roman" w:hAnsi="Times New Roman"/>
          <w:sz w:val="19"/>
          <w:szCs w:val="19"/>
          <w:color w:val="000000"/>
        </w:rPr>
        <w:t>.</w:t>
      </w:r>
    </w:p>
    <w:p>
      <w:pPr>
        <w:spacing w:after="0" w:line="15" w:lineRule="exact"/>
        <w:rPr>
          <w:sz w:val="20"/>
          <w:szCs w:val="20"/>
          <w:color w:val="auto"/>
        </w:rPr>
      </w:pPr>
    </w:p>
    <w:p>
      <w:pPr>
        <w:jc w:val="both"/>
        <w:ind w:hanging="200"/>
        <w:spacing w:after="0" w:line="260" w:lineRule="auto"/>
        <w:rPr>
          <w:sz w:val="20"/>
          <w:szCs w:val="20"/>
          <w:color w:val="auto"/>
        </w:rPr>
      </w:pPr>
      <w:r>
        <w:rPr>
          <w:rFonts w:ascii="Times New Roman" w:cs="Times New Roman" w:eastAsia="Times New Roman" w:hAnsi="Times New Roman"/>
          <w:sz w:val="19"/>
          <w:szCs w:val="19"/>
          <w:color w:val="auto"/>
        </w:rPr>
        <w:t>Zieman JC. 1982. The ecology of the seagrasses of south Florida: a community profile. FWS/OBS-82/25. Washington, DC: U.S. Fish and Wildlife Service, Office of Biological Services; 123 p.</w:t>
      </w:r>
    </w:p>
    <w:sectPr>
      <w:pgSz w:w="12240" w:h="15840" w:orient="portrait"/>
      <w:cols w:equalWidth="0" w:num="2">
        <w:col w:w="4540" w:space="560"/>
        <w:col w:w="4540"/>
      </w:cols>
      <w:pgMar w:left="1400" w:top="464" w:right="1200" w:bottom="1440" w:gutter="0" w:footer="0" w:header="0"/>
    </w:sectPr>
  </w:body>
</w:document>
</file>

<file path=word/fontTable.xml><?xml version="1.0" encoding="utf-8"?>
<w:font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auto"/>
    <w:pitch w:val="fixed"/>
    <w:sig w:usb0="E0002EFF" w:usb1="C0007843" w:usb2="00000009" w:usb3="00000000" w:csb0="400001FF" w:csb1="FFFF0000"/>
  </w:font>
  <w:font w:name="Arial Unicode MS">
    <w:panose1 w:val="020B0604020202020204"/>
    <w:charset w:val="00"/>
    <w:family w:val="swiss"/>
    <w:pitch w:val="variable"/>
    <w:sig w:usb0="FFFFFFFF" w:usb1="E9FFFFFF" w:usb2="0000003F" w:usb3="00000000" w:csb0="603F01FF" w:csb1="FFFF0000"/>
  </w:font>
  <w:font w:name="Arial">
    <w:panose1 w:val="020B0604020202020204"/>
    <w:charset w:val="00"/>
    <w:family w:val="swiss"/>
    <w:pitch w:val="variable"/>
    <w:sig w:usb0="E0002EFF" w:usb1="C0007843" w:usb2="00000009" w:usb3="00000000" w:csb0="400001FF" w:csb1="FFFF0000"/>
  </w:font>
</w:fonts>
</file>

<file path=word/numbering.xml><?xml version="1.0" encoding="utf-8"?>
<w:numbering xmlns:w="http://schemas.openxmlformats.org/wordprocessingml/2006/main">
  <w:abstractNum w:abstractNumId="0">
    <w:nsid w:val="74B0DC51"/>
    <w:multiLevelType w:val="hybridMultilevel"/>
    <w:lvl w:ilvl="0">
      <w:lvlJc w:val="left"/>
      <w:lvlText w:val=" "/>
      <w:numFmt w:val="bullet"/>
      <w:start w:val="1"/>
    </w:lvl>
  </w:abstractNum>
  <w:abstractNum w:abstractNumId="1">
    <w:nsid w:val="19495CFF"/>
    <w:multiLevelType w:val="hybridMultilevel"/>
    <w:lvl w:ilvl="0">
      <w:lvlJc w:val="left"/>
      <w:lvlText w:val="%1"/>
      <w:numFmt w:val="upperLetter"/>
      <w:start w:val="35"/>
    </w:lvl>
  </w:abstractNum>
  <w:abstractNum w:abstractNumId="2">
    <w:nsid w:val="2AE8944A"/>
    <w:multiLevelType w:val="hybridMultilevel"/>
    <w:lvl w:ilvl="0">
      <w:lvlJc w:val="left"/>
      <w:lvlText w:val="%1"/>
      <w:numFmt w:val="lowerLetter"/>
      <w:start w:val="7"/>
    </w:lvl>
  </w:abstractNum>
  <w:abstractNum w:abstractNumId="3">
    <w:nsid w:val="625558EC"/>
    <w:multiLevelType w:val="hybridMultilevel"/>
    <w:lvl w:ilvl="0">
      <w:lvlJc w:val="left"/>
      <w:lvlText w:val="%1"/>
      <w:numFmt w:val="upperLetter"/>
      <w:start w:val="10"/>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w:docDefaults>
    <w:rPrDefault>
      <w:rPr>
        <w:rFonts w:eastAsiaTheme="minorEastAsia"/>
        <w:sz w:val="22"/>
        <w:szCs w:val="22"/>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Layout w:type="fixed"/>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 Id="rId7" Type="http://schemas.openxmlformats.org/officeDocument/2006/relationships/numbering" Target="numbering.xml"/><Relationship Id="rId8" Type="http://schemas.openxmlformats.org/officeDocument/2006/relationships/image" Target="media/image1.jpeg"/><Relationship Id="rId9" Type="http://schemas.openxmlformats.org/officeDocument/2006/relationships/image" Target="media/image2.jpeg"/><Relationship Id="rId11" Type="http://schemas.openxmlformats.org/officeDocument/2006/relationships/image" Target="media/image3.png"/><Relationship Id="rId14" Type="http://schemas.openxmlformats.org/officeDocument/2006/relationships/image" Target="media/image4.jpeg"/><Relationship Id="rId15" Type="http://schemas.openxmlformats.org/officeDocument/2006/relationships/image" Target="media/image5.jpeg"/><Relationship Id="rId17" Type="http://schemas.openxmlformats.org/officeDocument/2006/relationships/image" Target="media/image6.jpeg"/><Relationship Id="rId18" Type="http://schemas.openxmlformats.org/officeDocument/2006/relationships/image" Target="media/image7.png"/><Relationship Id="rId19" Type="http://schemas.openxmlformats.org/officeDocument/2006/relationships/image" Target="media/image8.jpeg"/><Relationship Id="rId21" Type="http://schemas.openxmlformats.org/officeDocument/2006/relationships/image" Target="media/image9.jpeg"/><Relationship Id="rId22" Type="http://schemas.openxmlformats.org/officeDocument/2006/relationships/image" Target="media/image10.png"/><Relationship Id="rId23" Type="http://schemas.openxmlformats.org/officeDocument/2006/relationships/image" Target="media/image11.jpeg"/><Relationship Id="rId25" Type="http://schemas.openxmlformats.org/officeDocument/2006/relationships/image" Target="media/image12.jpe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5.jpeg"/><Relationship Id="rId29" Type="http://schemas.openxmlformats.org/officeDocument/2006/relationships/image" Target="media/image16.png"/><Relationship Id="rId30" Type="http://schemas.openxmlformats.org/officeDocument/2006/relationships/image" Target="media/image17.jpeg"/><Relationship Id="rId32" Type="http://schemas.openxmlformats.org/officeDocument/2006/relationships/image" Target="media/image18.jpeg"/><Relationship Id="rId33" Type="http://schemas.openxmlformats.org/officeDocument/2006/relationships/image" Target="media/image19.png"/><Relationship Id="rId35" Type="http://schemas.openxmlformats.org/officeDocument/2006/relationships/image" Target="media/image20.png"/><Relationship Id="rId36" Type="http://schemas.openxmlformats.org/officeDocument/2006/relationships/image" Target="media/image21.png"/><Relationship Id="rId37" Type="http://schemas.openxmlformats.org/officeDocument/2006/relationships/image" Target="media/image22.png"/><Relationship Id="rId38" Type="http://schemas.openxmlformats.org/officeDocument/2006/relationships/image" Target="media/image23.png"/><Relationship Id="rId39" Type="http://schemas.openxmlformats.org/officeDocument/2006/relationships/image" Target="media/image24.png"/><Relationship Id="rId40" Type="http://schemas.openxmlformats.org/officeDocument/2006/relationships/image" Target="media/image25.png"/><Relationship Id="rId41" Type="http://schemas.openxmlformats.org/officeDocument/2006/relationships/image" Target="media/image26.jpeg"/><Relationship Id="rId42" Type="http://schemas.openxmlformats.org/officeDocument/2006/relationships/image" Target="media/image27.png"/><Relationship Id="rId43" Type="http://schemas.openxmlformats.org/officeDocument/2006/relationships/image" Target="media/image28.png"/><Relationship Id="rId44" Type="http://schemas.openxmlformats.org/officeDocument/2006/relationships/image" Target="media/image29.png"/><Relationship Id="rId45" Type="http://schemas.openxmlformats.org/officeDocument/2006/relationships/image" Target="media/image30.png"/><Relationship Id="rId46" Type="http://schemas.openxmlformats.org/officeDocument/2006/relationships/image" Target="media/image31.png"/><Relationship Id="rId47" Type="http://schemas.openxmlformats.org/officeDocument/2006/relationships/image" Target="media/image32.png"/><Relationship Id="rId48" Type="http://schemas.openxmlformats.org/officeDocument/2006/relationships/image" Target="media/image33.jpeg"/><Relationship Id="rId49" Type="http://schemas.openxmlformats.org/officeDocument/2006/relationships/image" Target="media/image34.png"/><Relationship Id="rId50" Type="http://schemas.openxmlformats.org/officeDocument/2006/relationships/image" Target="media/image35.jpeg"/><Relationship Id="rId51" Type="http://schemas.openxmlformats.org/officeDocument/2006/relationships/image" Target="media/image36.png"/><Relationship Id="rId52" Type="http://schemas.openxmlformats.org/officeDocument/2006/relationships/image" Target="media/image37.jpeg"/><Relationship Id="rId53" Type="http://schemas.openxmlformats.org/officeDocument/2006/relationships/image" Target="media/image38.png"/><Relationship Id="rId54" Type="http://schemas.openxmlformats.org/officeDocument/2006/relationships/image" Target="media/image39.jpeg"/><Relationship Id="rId55" Type="http://schemas.openxmlformats.org/officeDocument/2006/relationships/image" Target="media/image40.png"/><Relationship Id="rId56" Type="http://schemas.openxmlformats.org/officeDocument/2006/relationships/image" Target="media/image41.png"/><Relationship Id="rId57" Type="http://schemas.openxmlformats.org/officeDocument/2006/relationships/image" Target="media/image42.jpeg"/><Relationship Id="rId58" Type="http://schemas.openxmlformats.org/officeDocument/2006/relationships/image" Target="media/image43.png"/><Relationship Id="rId59" Type="http://schemas.openxmlformats.org/officeDocument/2006/relationships/image" Target="media/image44.jpeg"/><Relationship Id="rId60" Type="http://schemas.openxmlformats.org/officeDocument/2006/relationships/image" Target="media/image45.png"/><Relationship Id="rId61" Type="http://schemas.openxmlformats.org/officeDocument/2006/relationships/image" Target="media/image46.jpeg"/><Relationship Id="rId62" Type="http://schemas.openxmlformats.org/officeDocument/2006/relationships/image" Target="media/image47.png"/><Relationship Id="rId63" Type="http://schemas.openxmlformats.org/officeDocument/2006/relationships/image" Target="media/image48.jpeg"/><Relationship Id="rId64" Type="http://schemas.openxmlformats.org/officeDocument/2006/relationships/image" Target="media/image49.png"/><Relationship Id="rId65" Type="http://schemas.openxmlformats.org/officeDocument/2006/relationships/image" Target="media/image50.png"/><Relationship Id="rId66" Type="http://schemas.openxmlformats.org/officeDocument/2006/relationships/image" Target="media/image51.png"/><Relationship Id="rId67" Type="http://schemas.openxmlformats.org/officeDocument/2006/relationships/image" Target="media/image52.png"/><Relationship Id="rId68" Type="http://schemas.openxmlformats.org/officeDocument/2006/relationships/image" Target="media/image53.png"/><Relationship Id="rId84" Type="http://schemas.openxmlformats.org/officeDocument/2006/relationships/image" Target="media/image54.png"/><Relationship Id="rId94" Type="http://schemas.openxmlformats.org/officeDocument/2006/relationships/image" Target="media/image55.png"/><Relationship Id="rId123" Type="http://schemas.openxmlformats.org/officeDocument/2006/relationships/image" Target="media/image56.png"/><Relationship Id="rId10" Type="http://schemas.openxmlformats.org/officeDocument/2006/relationships/hyperlink" Target="https://www.tandfonline.com/loi/ulrm20" TargetMode="External"/><Relationship Id="rId12" Type="http://schemas.openxmlformats.org/officeDocument/2006/relationships/hyperlink" Target="https://www.tandfonline.com/action/showCitFormats?doi=10.1080/10402381.2020.1785064" TargetMode="External"/><Relationship Id="rId13" Type="http://schemas.openxmlformats.org/officeDocument/2006/relationships/hyperlink" Target="https://doi.org/10.1080/10402381.2020.1785064" TargetMode="External"/><Relationship Id="rId16" Type="http://schemas.openxmlformats.org/officeDocument/2006/relationships/hyperlink" Target="https://www.tandfonline.com/doi/suppl/10.1080/10402381.2020.1785064" TargetMode="External"/><Relationship Id="rId20" Type="http://schemas.openxmlformats.org/officeDocument/2006/relationships/hyperlink" Target="https://www.tandfonline.com/action/authorSubmission?journalCode=ulrm20&amp;show=instructions" TargetMode="External"/><Relationship Id="rId24" Type="http://schemas.openxmlformats.org/officeDocument/2006/relationships/hyperlink" Target="https://www.tandfonline.com/doi/mlt/10.1080/10402381.2020.1785064" TargetMode="External"/><Relationship Id="rId31" Type="http://schemas.openxmlformats.org/officeDocument/2006/relationships/hyperlink" Target="http://crossmark.crossref.org/dialog/?doi=10.1080/10402381.2020.1785064&amp;domain=pdf&amp;date_stamp=2020-07-21" TargetMode="External"/><Relationship Id="rId34" Type="http://schemas.openxmlformats.org/officeDocument/2006/relationships/hyperlink" Target="https://www.tandfonline.com/action/journalInformation?journalCode=ulrm20" TargetMode="External"/><Relationship Id="rId69" Type="http://schemas.openxmlformats.org/officeDocument/2006/relationships/hyperlink" Target="https://doi.org/10.1007/BF00026640" TargetMode="External"/><Relationship Id="rId70" Type="http://schemas.openxmlformats.org/officeDocument/2006/relationships/hyperlink" Target="https://doi.org/10.1007/BF00028424" TargetMode="External"/><Relationship Id="rId71" Type="http://schemas.openxmlformats.org/officeDocument/2006/relationships/hyperlink" Target="https://doi.org/10.1016/0168-583X(92)95328-O" TargetMode="External"/><Relationship Id="rId72" Type="http://schemas.openxmlformats.org/officeDocument/2006/relationships/hyperlink" Target="https://doi.org/10.1007/s10933-010-9423-7" TargetMode="External"/><Relationship Id="rId73" Type="http://schemas.openxmlformats.org/officeDocument/2006/relationships/hyperlink" Target="https://doi.org/10.1111/j.1469-8137.1996.tb04521.x" TargetMode="External"/><Relationship Id="rId74" Type="http://schemas.openxmlformats.org/officeDocument/2006/relationships/hyperlink" Target="https://doi.org/10.1007/s10933-010-9419-3" TargetMode="External"/><Relationship Id="rId75" Type="http://schemas.openxmlformats.org/officeDocument/2006/relationships/hyperlink" Target="https://doi.org/10.1007/s10933-017-9941-7" TargetMode="External"/><Relationship Id="rId76" Type="http://schemas.openxmlformats.org/officeDocument/2006/relationships/hyperlink" Target="https://doi.org/10.1111/j.1365-2427.1992.tb00557.x" TargetMode="External"/><Relationship Id="rId77" Type="http://schemas.openxmlformats.org/officeDocument/2006/relationships/hyperlink" Target="https://doi.org/10.1007/s10933-005-7881-0" TargetMode="External"/><Relationship Id="rId78" Type="http://schemas.openxmlformats.org/officeDocument/2006/relationships/hyperlink" Target="https://doi.org/10.1023/A:1008078222806" TargetMode="External"/><Relationship Id="rId79" Type="http://schemas.openxmlformats.org/officeDocument/2006/relationships/hyperlink" Target="https://doi.org/10.1080/07438149309354272" TargetMode="External"/><Relationship Id="rId80" Type="http://schemas.openxmlformats.org/officeDocument/2006/relationships/hyperlink" Target="https://doi.org/10.1046/j.1365-2427.2001.00684.x" TargetMode="External"/><Relationship Id="rId81" Type="http://schemas.openxmlformats.org/officeDocument/2006/relationships/hyperlink" Target="https://doi.org/10.4319/lo.1998.43.1.0073" TargetMode="External"/><Relationship Id="rId82" Type="http://schemas.openxmlformats.org/officeDocument/2006/relationships/hyperlink" Target="https://doi.org/10.1111/j.1365-2435.2003.00787.x" TargetMode="External"/><Relationship Id="rId83" Type="http://schemas.openxmlformats.org/officeDocument/2006/relationships/hyperlink" Target="https://doi.org/10.1007/s10933-018-0032-1" TargetMode="External"/><Relationship Id="rId85" Type="http://schemas.openxmlformats.org/officeDocument/2006/relationships/hyperlink" Target="https://doi.org/10.1007/s10933-012-9651-0" TargetMode="External"/><Relationship Id="rId86" Type="http://schemas.openxmlformats.org/officeDocument/2006/relationships/hyperlink" Target="https://doi.org/10.4319/lo.1988.33.6.1308" TargetMode="External"/><Relationship Id="rId87" Type="http://schemas.openxmlformats.org/officeDocument/2006/relationships/hyperlink" Target="https://diatoms.org/" TargetMode="External"/><Relationship Id="rId88" Type="http://schemas.openxmlformats.org/officeDocument/2006/relationships/hyperlink" Target="https://doi.org/10.1080/07438148809354818" TargetMode="External"/><Relationship Id="rId89" Type="http://schemas.openxmlformats.org/officeDocument/2006/relationships/hyperlink" Target="https://doi.org/10.2307/2419975" TargetMode="External"/><Relationship Id="rId90" Type="http://schemas.openxmlformats.org/officeDocument/2006/relationships/hyperlink" Target="https://doi.org/10.1128/AEM.62.5.1803-1804.1996" TargetMode="External"/><Relationship Id="rId91" Type="http://schemas.openxmlformats.org/officeDocument/2006/relationships/hyperlink" Target="https://doi.org/10.1023/A:1008119611481" TargetMode="External"/><Relationship Id="rId92" Type="http://schemas.openxmlformats.org/officeDocument/2006/relationships/hyperlink" Target="https://doi.org/10.1177/030913339201600402" TargetMode="External"/><Relationship Id="rId93" Type="http://schemas.openxmlformats.org/officeDocument/2006/relationships/hyperlink" Target="https://doi.org/10.1139/f05-177" TargetMode="External"/><Relationship Id="rId95" Type="http://schemas.openxmlformats.org/officeDocument/2006/relationships/hyperlink" Target="https://doi.org/10.1111/j.1752-1688.1994.tb03311.x" TargetMode="External"/><Relationship Id="rId96" Type="http://schemas.openxmlformats.org/officeDocument/2006/relationships/hyperlink" Target="http://cran.r-project.org/package=rioja" TargetMode="External"/><Relationship Id="rId97" Type="http://schemas.openxmlformats.org/officeDocument/2006/relationships/hyperlink" Target="https://doi.org/10.1038/nature08179" TargetMode="External"/><Relationship Id="rId98" Type="http://schemas.openxmlformats.org/officeDocument/2006/relationships/hyperlink" Target="https://doi.org/10.1007/s10933-014-9771-9" TargetMode="External"/><Relationship Id="rId99" Type="http://schemas.openxmlformats.org/officeDocument/2006/relationships/hyperlink" Target="https://doi.org/10.3389/fevo.2016.00103" TargetMode="External"/><Relationship Id="rId100" Type="http://schemas.openxmlformats.org/officeDocument/2006/relationships/hyperlink" Target="https://doi.org/10.1016/j.palaeo.2016.02.052" TargetMode="External"/><Relationship Id="rId101" Type="http://schemas.openxmlformats.org/officeDocument/2006/relationships/hyperlink" Target="https://doi.org/10.1007/s10452-015-9527-2" TargetMode="External"/><Relationship Id="rId102" Type="http://schemas.openxmlformats.org/officeDocument/2006/relationships/hyperlink" Target="https://doi.org/10.4319/lo.1999.44.2.0436" TargetMode="External"/><Relationship Id="rId103" Type="http://schemas.openxmlformats.org/officeDocument/2006/relationships/hyperlink" Target="https://doi.org/10.1023/A:1011913200302" TargetMode="External"/><Relationship Id="rId104" Type="http://schemas.openxmlformats.org/officeDocument/2006/relationships/hyperlink" Target="https://www.osceola.org/core/fileparse.php/2731/urlt/092415_LakesManagementPlan.pdf" TargetMode="External"/><Relationship Id="rId105" Type="http://schemas.openxmlformats.org/officeDocument/2006/relationships/hyperlink" Target="https://polk.wateratlas.usf.edu/" TargetMode="External"/><Relationship Id="rId106" Type="http://schemas.openxmlformats.org/officeDocument/2006/relationships/hyperlink" Target="https://doi.org/10.1080/0269249X.2007.9705701" TargetMode="External"/><Relationship Id="rId107" Type="http://schemas.openxmlformats.org/officeDocument/2006/relationships/hyperlink" Target="http://www.R-project.org/" TargetMode="External"/><Relationship Id="rId108" Type="http://schemas.openxmlformats.org/officeDocument/2006/relationships/hyperlink" Target="https://doi.org/10.1080/10402381.2019.1645249" TargetMode="External"/><Relationship Id="rId109" Type="http://schemas.openxmlformats.org/officeDocument/2006/relationships/hyperlink" Target="https://doi.org/10.1080/07438140509354447" TargetMode="External"/><Relationship Id="rId110" Type="http://schemas.openxmlformats.org/officeDocument/2006/relationships/hyperlink" Target="https://doi.org/10.3133/ofr20171054" TargetMode="External"/><Relationship Id="rId111" Type="http://schemas.openxmlformats.org/officeDocument/2006/relationships/hyperlink" Target="https://doi.org/10.1007/s13762-013-0249-5" TargetMode="External"/><Relationship Id="rId112" Type="http://schemas.openxmlformats.org/officeDocument/2006/relationships/hyperlink" Target="https://doi.org/10.1111/j.1365-2427.2009.02353.x" TargetMode="External"/><Relationship Id="rId113" Type="http://schemas.openxmlformats.org/officeDocument/2006/relationships/hyperlink" Target="https://doi.org/10.1111/j.1365-2427.2009.02365.x" TargetMode="External"/><Relationship Id="rId114" Type="http://schemas.openxmlformats.org/officeDocument/2006/relationships/hyperlink" Target="https://doi.org/10.1007/BF00682508" TargetMode="External"/><Relationship Id="rId115" Type="http://schemas.openxmlformats.org/officeDocument/2006/relationships/hyperlink" Target="https://doi.org/10.1080/10402381.2020.1755749" TargetMode="External"/><Relationship Id="rId116" Type="http://schemas.openxmlformats.org/officeDocument/2006/relationships/hyperlink" Target="https://doi.org/10.1080/07438149709354309" TargetMode="External"/><Relationship Id="rId117" Type="http://schemas.openxmlformats.org/officeDocument/2006/relationships/hyperlink" Target="https://www.sfwmd.gov/sites/default/files/documents/kissimmee_watershed_basemap2005_25x33.pdf" TargetMode="External"/><Relationship Id="rId118" Type="http://schemas.openxmlformats.org/officeDocument/2006/relationships/hyperlink" Target="https://www.sfwmd.gov/our-work/kissimmee-river" TargetMode="External"/><Relationship Id="rId119" Type="http://schemas.openxmlformats.org/officeDocument/2006/relationships/hyperlink" Target="https://doi.org/10.1111/j.1365-2427.1985.tb00696.x" TargetMode="External"/><Relationship Id="rId120" Type="http://schemas.openxmlformats.org/officeDocument/2006/relationships/hyperlink" Target="https://doi.org/10.2307/1485349" TargetMode="External"/><Relationship Id="rId121" Type="http://schemas.openxmlformats.org/officeDocument/2006/relationships/hyperlink" Target="http://plants.ifas.ufl.edu/manage/overview-of-florida-waters/public-waters/bathymetric-maps/" TargetMode="External"/><Relationship Id="rId122" Type="http://schemas.openxmlformats.org/officeDocument/2006/relationships/hyperlink" Target="https://doi.org/10.1080/03680770.1950.11895297" TargetMode="External"/><Relationship Id="rId124" Type="http://schemas.openxmlformats.org/officeDocument/2006/relationships/hyperlink" Target="https://doi.org/10.1023/A:1020282717732" TargetMode="External"/><Relationship Id="rId125" Type="http://schemas.openxmlformats.org/officeDocument/2006/relationships/hyperlink" Target="https://doi.org/10.1007/BF00213041" TargetMode="External"/><Relationship Id="rId126" Type="http://schemas.openxmlformats.org/officeDocument/2006/relationships/hyperlink" Target="https://doi.org/10.3389/fevo.2015.00107" TargetMode="External"/><Relationship Id="rId127" Type="http://schemas.openxmlformats.org/officeDocument/2006/relationships/hyperlink" Target="https://doi.org/10.1007/s10933-018-0018-z" TargetMode="External"/><Relationship Id="rId128" Type="http://schemas.openxmlformats.org/officeDocument/2006/relationships/hyperlink" Target="https://doi.org/10.2113/28.1.175" TargetMode="External"/><Relationship Id="rId129" Type="http://schemas.openxmlformats.org/officeDocument/2006/relationships/hyperlink" Target="https://doi.org/10.1080/07438140109354138" TargetMode="External"/><Relationship Id="rId130" Type="http://schemas.openxmlformats.org/officeDocument/2006/relationships/hyperlink" Target="https://doi.org/10.4319/lo.1999.44.3_part_2.0795" TargetMode="External"/></Relationships>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cp:revision>
  <dcterms:created xsi:type="dcterms:W3CDTF">2020-09-15T04:03:04Z</dcterms:created>
  <dcterms:modified xsi:type="dcterms:W3CDTF">2020-09-15T04:03:04Z</dcterms:modified>
</cp:coreProperties>
</file>