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7"/>
          <w:szCs w:val="17"/>
          <w:color w:val="131413"/>
        </w:rPr>
        <w:t>Biologia</w:t>
      </w:r>
    </w:p>
    <w:p>
      <w:pPr>
        <w:spacing w:after="0" w:line="34" w:lineRule="exact"/>
        <w:rPr>
          <w:sz w:val="24"/>
          <w:szCs w:val="24"/>
          <w:color w:val="auto"/>
        </w:rPr>
      </w:pPr>
    </w:p>
    <w:p>
      <w:pPr>
        <w:spacing w:after="0"/>
        <w:rPr>
          <w:sz w:val="20"/>
          <w:szCs w:val="20"/>
          <w:color w:val="auto"/>
        </w:rPr>
      </w:pPr>
      <w:r>
        <w:rPr>
          <w:rFonts w:ascii="Arial" w:cs="Arial" w:eastAsia="Arial" w:hAnsi="Arial"/>
          <w:sz w:val="17"/>
          <w:szCs w:val="17"/>
          <w:color w:val="auto"/>
        </w:rPr>
        <w:t>https://doi.org/10.2478/s11756-020-00567-y</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-12065</wp:posOffset>
            </wp:positionH>
            <wp:positionV relativeFrom="paragraph">
              <wp:posOffset>67945</wp:posOffset>
            </wp:positionV>
            <wp:extent cx="6283325" cy="7962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283325" cy="796290"/>
                    </a:xfrm>
                    <a:prstGeom prst="rect">
                      <a:avLst/>
                    </a:prstGeom>
                    <a:noFill/>
                  </pic:spPr>
                </pic:pic>
              </a:graphicData>
            </a:graphic>
          </wp:anchor>
        </w:drawing>
      </w:r>
    </w:p>
    <w:p>
      <w:pPr>
        <w:spacing w:after="0" w:line="196" w:lineRule="exact"/>
        <w:rPr>
          <w:sz w:val="24"/>
          <w:szCs w:val="24"/>
          <w:color w:val="auto"/>
        </w:rPr>
      </w:pPr>
    </w:p>
    <w:p>
      <w:pPr>
        <w:ind w:left="120"/>
        <w:spacing w:after="0"/>
        <w:rPr>
          <w:sz w:val="20"/>
          <w:szCs w:val="20"/>
          <w:color w:val="auto"/>
        </w:rPr>
      </w:pPr>
      <w:r>
        <w:rPr>
          <w:rFonts w:ascii="Arial" w:cs="Arial" w:eastAsia="Arial" w:hAnsi="Arial"/>
          <w:sz w:val="19"/>
          <w:szCs w:val="19"/>
          <w:color w:val="131413"/>
        </w:rPr>
        <w:t>ORIGINAL ARTICLE</w:t>
      </w:r>
    </w:p>
    <w:p>
      <w:pPr>
        <w:spacing w:after="0" w:line="200" w:lineRule="exact"/>
        <w:rPr>
          <w:sz w:val="24"/>
          <w:szCs w:val="24"/>
          <w:color w:val="auto"/>
        </w:rPr>
      </w:pPr>
    </w:p>
    <w:p>
      <w:pPr>
        <w:spacing w:after="0" w:line="200" w:lineRule="exact"/>
        <w:rPr>
          <w:sz w:val="24"/>
          <w:szCs w:val="24"/>
          <w:color w:val="auto"/>
        </w:rPr>
      </w:pPr>
    </w:p>
    <w:p>
      <w:pPr>
        <w:spacing w:after="0" w:line="270" w:lineRule="exact"/>
        <w:rPr>
          <w:sz w:val="24"/>
          <w:szCs w:val="24"/>
          <w:color w:val="auto"/>
        </w:rPr>
      </w:pPr>
    </w:p>
    <w:p>
      <w:pPr>
        <w:ind w:right="1640"/>
        <w:spacing w:after="0" w:line="242" w:lineRule="auto"/>
        <w:rPr>
          <w:sz w:val="20"/>
          <w:szCs w:val="20"/>
          <w:color w:val="auto"/>
        </w:rPr>
      </w:pPr>
      <w:r>
        <w:rPr>
          <w:rFonts w:ascii="Arial" w:cs="Arial" w:eastAsia="Arial" w:hAnsi="Arial"/>
          <w:sz w:val="31"/>
          <w:szCs w:val="31"/>
          <w:color w:val="131413"/>
        </w:rPr>
        <w:t>Transcriptional analyses of the effects of Catharanthus roseus L. medicinal plant extracts on some markers related to obesity and inflammation in 3T3-L1 mouse cell lines</w:t>
      </w:r>
    </w:p>
    <w:p>
      <w:pPr>
        <w:spacing w:after="0" w:line="289" w:lineRule="exact"/>
        <w:rPr>
          <w:sz w:val="24"/>
          <w:szCs w:val="24"/>
          <w:color w:val="auto"/>
        </w:rPr>
      </w:pPr>
    </w:p>
    <w:p>
      <w:pPr>
        <w:spacing w:after="0"/>
        <w:rPr>
          <w:sz w:val="20"/>
          <w:szCs w:val="20"/>
          <w:color w:val="auto"/>
        </w:rPr>
      </w:pPr>
      <w:r>
        <w:rPr>
          <w:rFonts w:ascii="Arial" w:cs="Arial" w:eastAsia="Arial" w:hAnsi="Arial"/>
          <w:sz w:val="20"/>
          <w:szCs w:val="20"/>
          <w:color w:val="131413"/>
        </w:rPr>
        <w:t>Gülben Uytan</w:t>
      </w:r>
      <w:r>
        <w:rPr>
          <w:rFonts w:ascii="Arial" w:cs="Arial" w:eastAsia="Arial" w:hAnsi="Arial"/>
          <w:sz w:val="26"/>
          <w:szCs w:val="26"/>
          <w:color w:val="131413"/>
          <w:vertAlign w:val="superscript"/>
        </w:rPr>
        <w:t>1</w:t>
      </w:r>
      <w:r>
        <w:rPr>
          <w:rFonts w:ascii="Arial" w:cs="Arial" w:eastAsia="Arial" w:hAnsi="Arial"/>
          <w:sz w:val="20"/>
          <w:szCs w:val="20"/>
          <w:color w:val="131413"/>
        </w:rPr>
        <w:t xml:space="preserve"> </w:t>
      </w:r>
      <w:r>
        <w:rPr>
          <w:rFonts w:ascii="Arial" w:cs="Arial" w:eastAsia="Arial" w:hAnsi="Arial"/>
          <w:sz w:val="15"/>
          <w:szCs w:val="15"/>
          <w:color w:val="131413"/>
        </w:rPr>
        <w:t>&amp;</w:t>
      </w:r>
      <w:r>
        <w:rPr>
          <w:rFonts w:ascii="Arial" w:cs="Arial" w:eastAsia="Arial" w:hAnsi="Arial"/>
          <w:sz w:val="20"/>
          <w:szCs w:val="20"/>
          <w:color w:val="131413"/>
        </w:rPr>
        <w:t xml:space="preserve"> Hilal Bü</w:t>
      </w:r>
      <w:r>
        <w:rPr>
          <w:rFonts w:ascii="Arial" w:cs="Arial" w:eastAsia="Arial" w:hAnsi="Arial"/>
          <w:sz w:val="20"/>
          <w:szCs w:val="20"/>
          <w:color w:val="131413"/>
        </w:rPr>
        <w:t>ş</w:t>
      </w:r>
      <w:r>
        <w:rPr>
          <w:rFonts w:ascii="Arial" w:cs="Arial" w:eastAsia="Arial" w:hAnsi="Arial"/>
          <w:sz w:val="20"/>
          <w:szCs w:val="20"/>
          <w:color w:val="131413"/>
        </w:rPr>
        <w:t>ra Tokgöz</w:t>
      </w:r>
      <w:r>
        <w:rPr>
          <w:rFonts w:ascii="Arial" w:cs="Arial" w:eastAsia="Arial" w:hAnsi="Arial"/>
          <w:sz w:val="26"/>
          <w:szCs w:val="26"/>
          <w:color w:val="131413"/>
          <w:vertAlign w:val="superscript"/>
        </w:rPr>
        <w:t>1</w:t>
      </w:r>
      <w:r>
        <w:rPr>
          <w:rFonts w:ascii="Arial" w:cs="Arial" w:eastAsia="Arial" w:hAnsi="Arial"/>
          <w:sz w:val="20"/>
          <w:szCs w:val="20"/>
          <w:color w:val="131413"/>
        </w:rPr>
        <w:t xml:space="preserve"> </w:t>
      </w:r>
      <w:r>
        <w:rPr>
          <w:rFonts w:ascii="Arial" w:cs="Arial" w:eastAsia="Arial" w:hAnsi="Arial"/>
          <w:sz w:val="15"/>
          <w:szCs w:val="15"/>
          <w:color w:val="131413"/>
        </w:rPr>
        <w:t>&amp;</w:t>
      </w:r>
      <w:r>
        <w:rPr>
          <w:rFonts w:ascii="Arial" w:cs="Arial" w:eastAsia="Arial" w:hAnsi="Arial"/>
          <w:sz w:val="20"/>
          <w:szCs w:val="20"/>
          <w:color w:val="131413"/>
        </w:rPr>
        <w:t xml:space="preserve"> Re</w:t>
      </w:r>
      <w:r>
        <w:rPr>
          <w:rFonts w:ascii="Arial" w:cs="Arial" w:eastAsia="Arial" w:hAnsi="Arial"/>
          <w:sz w:val="20"/>
          <w:szCs w:val="20"/>
          <w:color w:val="131413"/>
        </w:rPr>
        <w:t>ş</w:t>
      </w:r>
      <w:r>
        <w:rPr>
          <w:rFonts w:ascii="Arial" w:cs="Arial" w:eastAsia="Arial" w:hAnsi="Arial"/>
          <w:sz w:val="20"/>
          <w:szCs w:val="20"/>
          <w:color w:val="131413"/>
        </w:rPr>
        <w:t>at Ünal</w:t>
      </w:r>
      <w:r>
        <w:rPr>
          <w:rFonts w:ascii="Arial" w:cs="Arial" w:eastAsia="Arial" w:hAnsi="Arial"/>
          <w:sz w:val="26"/>
          <w:szCs w:val="26"/>
          <w:color w:val="131413"/>
          <w:vertAlign w:val="superscript"/>
        </w:rPr>
        <w:t>1</w:t>
      </w:r>
      <w:r>
        <w:rPr>
          <w:rFonts w:ascii="Arial" w:cs="Arial" w:eastAsia="Arial" w:hAnsi="Arial"/>
          <w:sz w:val="20"/>
          <w:szCs w:val="20"/>
          <w:color w:val="131413"/>
        </w:rPr>
        <w:t xml:space="preserve"> </w:t>
      </w:r>
      <w:r>
        <w:rPr>
          <w:rFonts w:ascii="Arial" w:cs="Arial" w:eastAsia="Arial" w:hAnsi="Arial"/>
          <w:sz w:val="15"/>
          <w:szCs w:val="15"/>
          <w:color w:val="131413"/>
        </w:rPr>
        <w:t>&amp;</w:t>
      </w:r>
      <w:r>
        <w:rPr>
          <w:rFonts w:ascii="Arial" w:cs="Arial" w:eastAsia="Arial" w:hAnsi="Arial"/>
          <w:sz w:val="20"/>
          <w:szCs w:val="20"/>
          <w:color w:val="131413"/>
        </w:rPr>
        <w:t xml:space="preserve"> Filiz Altan</w:t>
      </w:r>
      <w:r>
        <w:rPr>
          <w:rFonts w:ascii="Arial" w:cs="Arial" w:eastAsia="Arial" w:hAnsi="Arial"/>
          <w:sz w:val="26"/>
          <w:szCs w:val="26"/>
          <w:color w:val="131413"/>
          <w:vertAlign w:val="superscript"/>
        </w:rPr>
        <w:t xml:space="preserve">1 </w:t>
      </w:r>
      <w:r>
        <w:rPr>
          <w:sz w:val="1"/>
          <w:szCs w:val="1"/>
          <w:color w:val="auto"/>
        </w:rPr>
        <w:drawing>
          <wp:inline distT="0" distB="0" distL="0" distR="0">
            <wp:extent cx="111760" cy="11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11760" cy="111760"/>
                    </a:xfrm>
                    <a:prstGeom prst="rect">
                      <a:avLst/>
                    </a:prstGeom>
                    <a:noFill/>
                    <a:ln>
                      <a:noFill/>
                    </a:ln>
                  </pic:spPr>
                </pic:pic>
              </a:graphicData>
            </a:graphic>
          </wp:inline>
        </w:drawing>
      </w:r>
    </w:p>
    <w:p>
      <w:pPr>
        <w:spacing w:after="0" w:line="349" w:lineRule="exact"/>
        <w:rPr>
          <w:sz w:val="24"/>
          <w:szCs w:val="24"/>
          <w:color w:val="auto"/>
        </w:rPr>
      </w:pPr>
    </w:p>
    <w:p>
      <w:pPr>
        <w:spacing w:after="0"/>
        <w:rPr>
          <w:sz w:val="20"/>
          <w:szCs w:val="20"/>
          <w:color w:val="auto"/>
        </w:rPr>
      </w:pPr>
      <w:r>
        <w:rPr>
          <w:rFonts w:ascii="Arial" w:cs="Arial" w:eastAsia="Arial" w:hAnsi="Arial"/>
          <w:sz w:val="17"/>
          <w:szCs w:val="17"/>
          <w:color w:val="131413"/>
        </w:rPr>
        <w:t>Received: 8 March 2020 / Accepted: 9 July 2020</w:t>
      </w:r>
    </w:p>
    <w:p>
      <w:pPr>
        <w:spacing w:after="0" w:line="4" w:lineRule="exact"/>
        <w:rPr>
          <w:sz w:val="24"/>
          <w:szCs w:val="24"/>
          <w:color w:val="auto"/>
        </w:rPr>
      </w:pPr>
    </w:p>
    <w:p>
      <w:pPr>
        <w:ind w:left="220" w:hanging="220"/>
        <w:spacing w:after="0"/>
        <w:tabs>
          <w:tab w:leader="none" w:pos="220" w:val="left"/>
        </w:tabs>
        <w:numPr>
          <w:ilvl w:val="0"/>
          <w:numId w:val="1"/>
        </w:numPr>
        <w:rPr>
          <w:rFonts w:ascii="Arial" w:cs="Arial" w:eastAsia="Arial" w:hAnsi="Arial"/>
          <w:sz w:val="17"/>
          <w:szCs w:val="17"/>
          <w:color w:val="131413"/>
        </w:rPr>
      </w:pPr>
      <w:r>
        <w:rPr>
          <w:rFonts w:ascii="Arial" w:cs="Arial" w:eastAsia="Arial" w:hAnsi="Arial"/>
          <w:sz w:val="17"/>
          <w:szCs w:val="17"/>
          <w:color w:val="131413"/>
        </w:rPr>
        <w:t>Institute of Molecular Biology, Slovak Academy of Sciences 2020</w:t>
      </w:r>
    </w:p>
    <w:p>
      <w:pPr>
        <w:spacing w:after="0" w:line="264" w:lineRule="exact"/>
        <w:rPr>
          <w:sz w:val="24"/>
          <w:szCs w:val="24"/>
          <w:color w:val="auto"/>
        </w:rPr>
      </w:pPr>
    </w:p>
    <w:p>
      <w:pPr>
        <w:spacing w:after="0"/>
        <w:rPr>
          <w:sz w:val="20"/>
          <w:szCs w:val="20"/>
          <w:color w:val="auto"/>
        </w:rPr>
      </w:pPr>
      <w:r>
        <w:rPr>
          <w:rFonts w:ascii="Arial" w:cs="Arial" w:eastAsia="Arial" w:hAnsi="Arial"/>
          <w:sz w:val="20"/>
          <w:szCs w:val="20"/>
          <w:color w:val="131413"/>
        </w:rPr>
        <w:t>Abstract</w:t>
      </w:r>
    </w:p>
    <w:p>
      <w:pPr>
        <w:spacing w:after="0" w:line="13" w:lineRule="exact"/>
        <w:rPr>
          <w:sz w:val="24"/>
          <w:szCs w:val="24"/>
          <w:color w:val="auto"/>
        </w:rPr>
      </w:pPr>
    </w:p>
    <w:p>
      <w:pPr>
        <w:spacing w:after="0"/>
        <w:rPr>
          <w:sz w:val="20"/>
          <w:szCs w:val="20"/>
          <w:color w:val="auto"/>
        </w:rPr>
      </w:pPr>
      <w:r>
        <w:rPr>
          <w:rFonts w:ascii="Arial" w:cs="Arial" w:eastAsia="Arial" w:hAnsi="Arial"/>
          <w:sz w:val="18"/>
          <w:szCs w:val="18"/>
          <w:color w:val="131413"/>
        </w:rPr>
        <w:t xml:space="preserve">Catharanthus roseus </w:t>
      </w:r>
      <w:r>
        <w:rPr>
          <w:rFonts w:ascii="Times New Roman" w:cs="Times New Roman" w:eastAsia="Times New Roman" w:hAnsi="Times New Roman"/>
          <w:sz w:val="18"/>
          <w:szCs w:val="18"/>
          <w:color w:val="131413"/>
        </w:rPr>
        <w:t>L.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is one of the medicinal plants used to treat diabetes. In this study, 3T3-L1 preadipocyte cell</w:t>
      </w:r>
    </w:p>
    <w:p>
      <w:pPr>
        <w:spacing w:after="0" w:line="56" w:lineRule="exact"/>
        <w:rPr>
          <w:sz w:val="24"/>
          <w:szCs w:val="24"/>
          <w:color w:val="auto"/>
        </w:rPr>
      </w:pPr>
    </w:p>
    <w:p>
      <w:pPr>
        <w:jc w:val="both"/>
        <w:spacing w:after="0" w:line="269" w:lineRule="auto"/>
        <w:rPr>
          <w:sz w:val="20"/>
          <w:szCs w:val="20"/>
          <w:color w:val="auto"/>
        </w:rPr>
      </w:pPr>
      <w:r>
        <w:rPr>
          <w:rFonts w:ascii="Times New Roman" w:cs="Times New Roman" w:eastAsia="Times New Roman" w:hAnsi="Times New Roman"/>
          <w:sz w:val="19"/>
          <w:szCs w:val="19"/>
          <w:color w:val="131413"/>
        </w:rPr>
        <w:t xml:space="preserve">lines which are fully differentiated into adipocytes were utilized and these were treated with extracts derived from above ground part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The effect of these extracts on obesity and inflammation markers in cells was examined at the transcriptional</w:t>
      </w:r>
    </w:p>
    <w:p>
      <w:pPr>
        <w:spacing w:after="0" w:line="7" w:lineRule="exact"/>
        <w:rPr>
          <w:sz w:val="24"/>
          <w:szCs w:val="24"/>
          <w:color w:val="auto"/>
        </w:rPr>
      </w:pPr>
    </w:p>
    <w:p>
      <w:pPr>
        <w:jc w:val="both"/>
        <w:spacing w:after="0" w:line="271" w:lineRule="auto"/>
        <w:rPr>
          <w:sz w:val="20"/>
          <w:szCs w:val="20"/>
          <w:color w:val="auto"/>
        </w:rPr>
      </w:pPr>
      <w:r>
        <w:rPr>
          <w:rFonts w:ascii="Times New Roman" w:cs="Times New Roman" w:eastAsia="Times New Roman" w:hAnsi="Times New Roman"/>
          <w:sz w:val="19"/>
          <w:szCs w:val="19"/>
          <w:color w:val="131413"/>
        </w:rPr>
        <w:t xml:space="preserve">level. Adipocyte lipid contents were measured by Oil Red O staining. Analyses, including changes related to adiposity and inflammation, were evaluated by measuring the relative mRNA expression levels of the genes of interest by the Real Time Reverse Transcription-Polymerase Chain Reaction (RT-PCR) method. The appropriate dose and durations for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were</w:t>
      </w:r>
    </w:p>
    <w:p>
      <w:pPr>
        <w:spacing w:after="0" w:line="4" w:lineRule="exact"/>
        <w:rPr>
          <w:sz w:val="24"/>
          <w:szCs w:val="24"/>
          <w:color w:val="auto"/>
        </w:rPr>
      </w:pPr>
    </w:p>
    <w:p>
      <w:pPr>
        <w:jc w:val="both"/>
        <w:spacing w:after="0" w:line="271" w:lineRule="auto"/>
        <w:rPr>
          <w:sz w:val="20"/>
          <w:szCs w:val="20"/>
          <w:color w:val="auto"/>
        </w:rPr>
      </w:pPr>
      <w:r>
        <w:rPr>
          <w:rFonts w:ascii="Times New Roman" w:cs="Times New Roman" w:eastAsia="Times New Roman" w:hAnsi="Times New Roman"/>
          <w:sz w:val="19"/>
          <w:szCs w:val="19"/>
          <w:color w:val="131413"/>
        </w:rPr>
        <w:t xml:space="preserve">determined to be 12.5 </w:t>
      </w:r>
      <w:r>
        <w:rPr>
          <w:rFonts w:ascii="Arial" w:cs="Arial" w:eastAsia="Arial" w:hAnsi="Arial"/>
          <w:sz w:val="19"/>
          <w:szCs w:val="19"/>
          <w:color w:val="131413"/>
        </w:rPr>
        <w:t>μ</w:t>
      </w:r>
      <w:r>
        <w:rPr>
          <w:rFonts w:ascii="Times New Roman" w:cs="Times New Roman" w:eastAsia="Times New Roman" w:hAnsi="Times New Roman"/>
          <w:sz w:val="19"/>
          <w:szCs w:val="19"/>
          <w:color w:val="131413"/>
        </w:rPr>
        <w:t xml:space="preserve">g/mL and 24- and 48 h respectively. The expression of the inflammation marker Interleukin-6 (Il-6) was decreased when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extract was administered to fully differentiated 3T3-L1 cells according to the determined dose and</w:t>
      </w:r>
    </w:p>
    <w:p>
      <w:pPr>
        <w:spacing w:after="0" w:line="5" w:lineRule="exact"/>
        <w:rPr>
          <w:sz w:val="24"/>
          <w:szCs w:val="24"/>
          <w:color w:val="auto"/>
        </w:rPr>
      </w:pPr>
    </w:p>
    <w:p>
      <w:pPr>
        <w:jc w:val="both"/>
        <w:spacing w:after="0" w:line="253" w:lineRule="auto"/>
        <w:rPr>
          <w:sz w:val="20"/>
          <w:szCs w:val="20"/>
          <w:color w:val="auto"/>
        </w:rPr>
      </w:pPr>
      <w:r>
        <w:rPr>
          <w:rFonts w:ascii="Times New Roman" w:cs="Times New Roman" w:eastAsia="Times New Roman" w:hAnsi="Times New Roman"/>
          <w:sz w:val="20"/>
          <w:szCs w:val="20"/>
          <w:color w:val="131413"/>
        </w:rPr>
        <w:t>durations. Lipoprotein lipase (Lpl) and Fatty acid synthase (Fasn) gene expressions in fully differentiated cells decreased compared to the control after 24 h however, this effect was not observed after 48 h. Collagen V, has also been shown to be affected by treatment of fully differentiated 3T3-L1 cells with plant extracts in both 24- and 48-h periods.</w:t>
      </w:r>
    </w:p>
    <w:p>
      <w:pPr>
        <w:spacing w:after="0" w:line="255" w:lineRule="exact"/>
        <w:rPr>
          <w:sz w:val="24"/>
          <w:szCs w:val="24"/>
          <w:color w:val="auto"/>
        </w:rPr>
      </w:pPr>
    </w:p>
    <w:p>
      <w:pPr>
        <w:spacing w:after="0"/>
        <w:rPr>
          <w:sz w:val="20"/>
          <w:szCs w:val="20"/>
          <w:color w:val="auto"/>
        </w:rPr>
      </w:pPr>
      <w:r>
        <w:rPr>
          <w:rFonts w:ascii="Arial" w:cs="Arial" w:eastAsia="Arial" w:hAnsi="Arial"/>
          <w:sz w:val="20"/>
          <w:szCs w:val="20"/>
          <w:color w:val="131413"/>
        </w:rPr>
        <w:t>Keywords Catharanthus roseus</w:t>
      </w:r>
      <w:r>
        <w:rPr>
          <w:rFonts w:ascii="Times New Roman" w:cs="Times New Roman" w:eastAsia="Times New Roman" w:hAnsi="Times New Roman"/>
          <w:sz w:val="20"/>
          <w:szCs w:val="20"/>
          <w:color w:val="131413"/>
        </w:rPr>
        <w:t>-diabetes-inflammation-medicinal plants-obesity</w:t>
      </w:r>
    </w:p>
    <w:p>
      <w:pPr>
        <w:spacing w:after="0" w:line="200" w:lineRule="exact"/>
        <w:rPr>
          <w:sz w:val="24"/>
          <w:szCs w:val="24"/>
          <w:color w:val="auto"/>
        </w:rPr>
      </w:pPr>
    </w:p>
    <w:p>
      <w:pPr>
        <w:spacing w:after="0" w:line="317" w:lineRule="exact"/>
        <w:rPr>
          <w:sz w:val="24"/>
          <w:szCs w:val="24"/>
          <w:color w:val="auto"/>
        </w:rPr>
      </w:pPr>
    </w:p>
    <w:tbl>
      <w:tblPr>
        <w:tblLayout w:type="fixed"/>
        <w:tblInd w:w="0" w:type="dxa"/>
        <w:tblCellMar>
          <w:top w:w="0" w:type="dxa"/>
          <w:left w:w="0" w:type="dxa"/>
          <w:bottom w:w="0" w:type="dxa"/>
          <w:right w:w="0" w:type="dxa"/>
        </w:tblCellMar>
      </w:tblPr>
      <w:tr>
        <w:trPr>
          <w:trHeight w:val="236"/>
        </w:trPr>
        <w:tc>
          <w:tcPr>
            <w:tcW w:w="1200" w:type="dxa"/>
            <w:vAlign w:val="bottom"/>
          </w:tcPr>
          <w:p>
            <w:pPr>
              <w:spacing w:after="0"/>
              <w:rPr>
                <w:sz w:val="20"/>
                <w:szCs w:val="20"/>
                <w:color w:val="auto"/>
              </w:rPr>
            </w:pPr>
            <w:r>
              <w:rPr>
                <w:rFonts w:ascii="Arial" w:cs="Arial" w:eastAsia="Arial" w:hAnsi="Arial"/>
                <w:sz w:val="20"/>
                <w:szCs w:val="20"/>
                <w:color w:val="131413"/>
                <w:w w:val="97"/>
              </w:rPr>
              <w:t>Abbreviations</w:t>
            </w:r>
          </w:p>
        </w:tc>
        <w:tc>
          <w:tcPr>
            <w:tcW w:w="3400" w:type="dxa"/>
            <w:vAlign w:val="bottom"/>
          </w:tcPr>
          <w:p>
            <w:pPr>
              <w:spacing w:after="0"/>
              <w:rPr>
                <w:sz w:val="20"/>
                <w:szCs w:val="20"/>
                <w:color w:val="auto"/>
              </w:rPr>
            </w:pP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ColV</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Collagen V</w:t>
            </w:r>
          </w:p>
        </w:tc>
      </w:tr>
      <w:tr>
        <w:trPr>
          <w:trHeight w:val="243"/>
        </w:trPr>
        <w:tc>
          <w:tcPr>
            <w:tcW w:w="1200" w:type="dxa"/>
            <w:vAlign w:val="bottom"/>
          </w:tcPr>
          <w:p>
            <w:pPr>
              <w:spacing w:after="0"/>
              <w:rPr>
                <w:sz w:val="20"/>
                <w:szCs w:val="20"/>
                <w:color w:val="auto"/>
              </w:rPr>
            </w:pPr>
            <w:r>
              <w:rPr>
                <w:rFonts w:ascii="Arial" w:cs="Arial" w:eastAsia="Arial" w:hAnsi="Arial"/>
                <w:sz w:val="20"/>
                <w:szCs w:val="20"/>
                <w:color w:val="131413"/>
              </w:rPr>
              <w:t>C.roseus</w:t>
            </w:r>
          </w:p>
        </w:tc>
        <w:tc>
          <w:tcPr>
            <w:tcW w:w="3400" w:type="dxa"/>
            <w:vAlign w:val="bottom"/>
          </w:tcPr>
          <w:p>
            <w:pPr>
              <w:ind w:left="100"/>
              <w:spacing w:after="0"/>
              <w:rPr>
                <w:sz w:val="20"/>
                <w:szCs w:val="20"/>
                <w:color w:val="auto"/>
              </w:rPr>
            </w:pPr>
            <w:r>
              <w:rPr>
                <w:rFonts w:ascii="Arial" w:cs="Arial" w:eastAsia="Arial" w:hAnsi="Arial"/>
                <w:sz w:val="20"/>
                <w:szCs w:val="20"/>
                <w:color w:val="131413"/>
              </w:rPr>
              <w:t xml:space="preserve">Catharanthus roseus </w:t>
            </w:r>
            <w:r>
              <w:rPr>
                <w:rFonts w:ascii="Times New Roman" w:cs="Times New Roman" w:eastAsia="Times New Roman" w:hAnsi="Times New Roman"/>
                <w:sz w:val="20"/>
                <w:szCs w:val="20"/>
                <w:color w:val="131413"/>
              </w:rPr>
              <w:t>L</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18S</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18S ribosomal RNA</w:t>
            </w:r>
          </w:p>
        </w:tc>
      </w:tr>
      <w:tr>
        <w:trPr>
          <w:trHeight w:val="248"/>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MCP</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Monocyte chemoattractant protein</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Pln1</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Perilipin</w:t>
            </w:r>
          </w:p>
        </w:tc>
      </w:tr>
      <w:tr>
        <w:trPr>
          <w:trHeight w:val="249"/>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CLS</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Crown like structures</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NCBI</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w w:val="96"/>
              </w:rPr>
              <w:t>National Center for Biotechnology</w:t>
            </w:r>
          </w:p>
        </w:tc>
      </w:tr>
      <w:tr>
        <w:trPr>
          <w:trHeight w:val="251"/>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IL-1</w:t>
            </w:r>
            <w:r>
              <w:rPr>
                <w:rFonts w:ascii="Arial" w:cs="Arial" w:eastAsia="Arial" w:hAnsi="Arial"/>
                <w:sz w:val="20"/>
                <w:szCs w:val="20"/>
                <w:color w:val="131413"/>
              </w:rPr>
              <w:t>β</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Interleukin-1</w:t>
            </w:r>
            <w:r>
              <w:rPr>
                <w:rFonts w:ascii="Arial" w:cs="Arial" w:eastAsia="Arial" w:hAnsi="Arial"/>
                <w:sz w:val="20"/>
                <w:szCs w:val="20"/>
                <w:color w:val="131413"/>
              </w:rPr>
              <w:t>β</w:t>
            </w:r>
          </w:p>
        </w:tc>
        <w:tc>
          <w:tcPr>
            <w:tcW w:w="1500" w:type="dxa"/>
            <w:vAlign w:val="bottom"/>
          </w:tcPr>
          <w:p>
            <w:pPr>
              <w:spacing w:after="0"/>
              <w:rPr>
                <w:sz w:val="21"/>
                <w:szCs w:val="21"/>
                <w:color w:val="auto"/>
              </w:rPr>
            </w:pP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Information</w:t>
            </w:r>
          </w:p>
        </w:tc>
      </w:tr>
      <w:tr>
        <w:trPr>
          <w:trHeight w:val="246"/>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Il-6/IL-6</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Interleukin-6</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Fabp 4</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Fatty acid-binding protein 4</w:t>
            </w:r>
          </w:p>
        </w:tc>
      </w:tr>
      <w:tr>
        <w:trPr>
          <w:trHeight w:val="251"/>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Tnf-</w:t>
            </w:r>
            <w:r>
              <w:rPr>
                <w:rFonts w:ascii="Arial" w:cs="Arial" w:eastAsia="Arial" w:hAnsi="Arial"/>
                <w:sz w:val="20"/>
                <w:szCs w:val="20"/>
                <w:color w:val="131413"/>
              </w:rPr>
              <w:t>α</w:t>
            </w:r>
            <w:r>
              <w:rPr>
                <w:rFonts w:ascii="Times New Roman" w:cs="Times New Roman" w:eastAsia="Times New Roman" w:hAnsi="Times New Roman"/>
                <w:sz w:val="20"/>
                <w:szCs w:val="20"/>
                <w:color w:val="131413"/>
              </w:rPr>
              <w:t>/TNF-</w:t>
            </w:r>
            <w:r>
              <w:rPr>
                <w:rFonts w:ascii="Arial" w:cs="Arial" w:eastAsia="Arial" w:hAnsi="Arial"/>
                <w:sz w:val="20"/>
                <w:szCs w:val="20"/>
                <w:color w:val="131413"/>
              </w:rPr>
              <w:t>α</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 xml:space="preserve">Tumor necrosis factor </w:t>
            </w:r>
            <w:r>
              <w:rPr>
                <w:rFonts w:ascii="Arial" w:cs="Arial" w:eastAsia="Arial" w:hAnsi="Arial"/>
                <w:sz w:val="20"/>
                <w:szCs w:val="20"/>
                <w:color w:val="131413"/>
              </w:rPr>
              <w:t>α</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SD</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Standard deviation</w:t>
            </w:r>
          </w:p>
        </w:tc>
      </w:tr>
      <w:tr>
        <w:trPr>
          <w:trHeight w:val="247"/>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Lpl</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Lipoprotein lipase</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Atgl</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Adipose triglyceride lipase</w:t>
            </w:r>
          </w:p>
        </w:tc>
      </w:tr>
      <w:tr>
        <w:trPr>
          <w:trHeight w:val="248"/>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LPS</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Lipopolysaccharide</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ns</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Not significant</w:t>
            </w:r>
          </w:p>
        </w:tc>
      </w:tr>
      <w:tr>
        <w:trPr>
          <w:trHeight w:val="249"/>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Fasn</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Fatty acid synthase</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Glut 4</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Glucose transporter type 4</w:t>
            </w:r>
          </w:p>
        </w:tc>
      </w:tr>
      <w:tr>
        <w:trPr>
          <w:trHeight w:val="249"/>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TIAs</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Terpenoid indole alkaloids</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ECM</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Extracellular matrix</w:t>
            </w:r>
          </w:p>
        </w:tc>
      </w:tr>
      <w:tr>
        <w:trPr>
          <w:trHeight w:val="248"/>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WHO</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World Health Organization</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VLDL</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Very low-density lipoprotein</w:t>
            </w:r>
          </w:p>
        </w:tc>
      </w:tr>
      <w:tr>
        <w:trPr>
          <w:trHeight w:val="249"/>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ATCC</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American type culture collection</w:t>
            </w:r>
          </w:p>
        </w:tc>
        <w:tc>
          <w:tcPr>
            <w:tcW w:w="1500" w:type="dxa"/>
            <w:vAlign w:val="bottom"/>
          </w:tcPr>
          <w:p>
            <w:pPr>
              <w:ind w:left="500"/>
              <w:spacing w:after="0"/>
              <w:rPr>
                <w:sz w:val="20"/>
                <w:szCs w:val="20"/>
                <w:color w:val="auto"/>
              </w:rPr>
            </w:pPr>
            <w:r>
              <w:rPr>
                <w:rFonts w:ascii="Times New Roman" w:cs="Times New Roman" w:eastAsia="Times New Roman" w:hAnsi="Times New Roman"/>
                <w:sz w:val="20"/>
                <w:szCs w:val="20"/>
                <w:color w:val="131413"/>
              </w:rPr>
              <w:t>RT-PCR</w:t>
            </w: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Reverse transcription-polymerase</w:t>
            </w:r>
          </w:p>
        </w:tc>
      </w:tr>
      <w:tr>
        <w:trPr>
          <w:trHeight w:val="249"/>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IBMX</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3-isobutyl-1-methylxanthine</w:t>
            </w:r>
          </w:p>
        </w:tc>
        <w:tc>
          <w:tcPr>
            <w:tcW w:w="1500" w:type="dxa"/>
            <w:vAlign w:val="bottom"/>
          </w:tcPr>
          <w:p>
            <w:pPr>
              <w:spacing w:after="0"/>
              <w:rPr>
                <w:sz w:val="21"/>
                <w:szCs w:val="21"/>
                <w:color w:val="auto"/>
              </w:rPr>
            </w:pPr>
          </w:p>
        </w:tc>
        <w:tc>
          <w:tcPr>
            <w:tcW w:w="3020" w:type="dxa"/>
            <w:vAlign w:val="bottom"/>
          </w:tcPr>
          <w:p>
            <w:pPr>
              <w:ind w:left="300"/>
              <w:spacing w:after="0"/>
              <w:rPr>
                <w:sz w:val="20"/>
                <w:szCs w:val="20"/>
                <w:color w:val="auto"/>
              </w:rPr>
            </w:pPr>
            <w:r>
              <w:rPr>
                <w:rFonts w:ascii="Times New Roman" w:cs="Times New Roman" w:eastAsia="Times New Roman" w:hAnsi="Times New Roman"/>
                <w:sz w:val="20"/>
                <w:szCs w:val="20"/>
                <w:color w:val="131413"/>
              </w:rPr>
              <w:t>chain reaction</w:t>
            </w:r>
          </w:p>
        </w:tc>
      </w:tr>
      <w:tr>
        <w:trPr>
          <w:trHeight w:val="248"/>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DMEM</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Dulbecco</w:t>
            </w:r>
            <w:r>
              <w:rPr>
                <w:rFonts w:ascii="Arial" w:cs="Arial" w:eastAsia="Arial" w:hAnsi="Arial"/>
                <w:sz w:val="20"/>
                <w:szCs w:val="20"/>
                <w:color w:val="131413"/>
              </w:rPr>
              <w:t>’</w:t>
            </w:r>
            <w:r>
              <w:rPr>
                <w:rFonts w:ascii="Times New Roman" w:cs="Times New Roman" w:eastAsia="Times New Roman" w:hAnsi="Times New Roman"/>
                <w:sz w:val="20"/>
                <w:szCs w:val="20"/>
                <w:color w:val="131413"/>
              </w:rPr>
              <w:t>s modified eagle medium</w:t>
            </w:r>
          </w:p>
        </w:tc>
        <w:tc>
          <w:tcPr>
            <w:tcW w:w="1500" w:type="dxa"/>
            <w:vAlign w:val="bottom"/>
          </w:tcPr>
          <w:p>
            <w:pPr>
              <w:spacing w:after="0"/>
              <w:rPr>
                <w:sz w:val="21"/>
                <w:szCs w:val="21"/>
                <w:color w:val="auto"/>
              </w:rPr>
            </w:pPr>
          </w:p>
        </w:tc>
        <w:tc>
          <w:tcPr>
            <w:tcW w:w="3020" w:type="dxa"/>
            <w:vAlign w:val="bottom"/>
          </w:tcPr>
          <w:p>
            <w:pPr>
              <w:spacing w:after="0"/>
              <w:rPr>
                <w:sz w:val="21"/>
                <w:szCs w:val="21"/>
                <w:color w:val="auto"/>
              </w:rPr>
            </w:pPr>
          </w:p>
        </w:tc>
      </w:tr>
      <w:tr>
        <w:trPr>
          <w:trHeight w:val="249"/>
        </w:trPr>
        <w:tc>
          <w:tcPr>
            <w:tcW w:w="1200" w:type="dxa"/>
            <w:vAlign w:val="bottom"/>
          </w:tcPr>
          <w:p>
            <w:pPr>
              <w:spacing w:after="0"/>
              <w:rPr>
                <w:sz w:val="20"/>
                <w:szCs w:val="20"/>
                <w:color w:val="auto"/>
              </w:rPr>
            </w:pPr>
            <w:r>
              <w:rPr>
                <w:rFonts w:ascii="Times New Roman" w:cs="Times New Roman" w:eastAsia="Times New Roman" w:hAnsi="Times New Roman"/>
                <w:sz w:val="20"/>
                <w:szCs w:val="20"/>
                <w:color w:val="131413"/>
              </w:rPr>
              <w:t>SGBS</w:t>
            </w:r>
          </w:p>
        </w:tc>
        <w:tc>
          <w:tcPr>
            <w:tcW w:w="3400" w:type="dxa"/>
            <w:vAlign w:val="bottom"/>
          </w:tcPr>
          <w:p>
            <w:pPr>
              <w:ind w:left="100"/>
              <w:spacing w:after="0"/>
              <w:rPr>
                <w:sz w:val="20"/>
                <w:szCs w:val="20"/>
                <w:color w:val="auto"/>
              </w:rPr>
            </w:pPr>
            <w:r>
              <w:rPr>
                <w:rFonts w:ascii="Times New Roman" w:cs="Times New Roman" w:eastAsia="Times New Roman" w:hAnsi="Times New Roman"/>
                <w:sz w:val="20"/>
                <w:szCs w:val="20"/>
                <w:color w:val="131413"/>
              </w:rPr>
              <w:t>Simpson Golabi Behmel Syndrome</w:t>
            </w:r>
          </w:p>
        </w:tc>
        <w:tc>
          <w:tcPr>
            <w:tcW w:w="1500" w:type="dxa"/>
            <w:vAlign w:val="bottom"/>
          </w:tcPr>
          <w:p>
            <w:pPr>
              <w:spacing w:after="0"/>
              <w:rPr>
                <w:sz w:val="21"/>
                <w:szCs w:val="21"/>
                <w:color w:val="auto"/>
              </w:rPr>
            </w:pPr>
          </w:p>
        </w:tc>
        <w:tc>
          <w:tcPr>
            <w:tcW w:w="3020" w:type="dxa"/>
            <w:vAlign w:val="bottom"/>
          </w:tcPr>
          <w:p>
            <w:pPr>
              <w:spacing w:after="0"/>
              <w:rPr>
                <w:sz w:val="21"/>
                <w:szCs w:val="21"/>
                <w:color w:val="auto"/>
              </w:rPr>
            </w:pPr>
          </w:p>
        </w:tc>
      </w:tr>
    </w:tbl>
    <w:p>
      <w:pPr>
        <w:spacing w:after="0" w:line="26" w:lineRule="exact"/>
        <w:rPr>
          <w:sz w:val="24"/>
          <w:szCs w:val="24"/>
          <w:color w:val="auto"/>
        </w:rPr>
      </w:pPr>
    </w:p>
    <w:p>
      <w:pPr>
        <w:sectPr>
          <w:pgSz w:w="11900" w:h="15817" w:orient="portrait"/>
          <w:cols w:equalWidth="0" w:num="1">
            <w:col w:w="9860"/>
          </w:cols>
          <w:pgMar w:left="1020" w:top="640" w:right="1026" w:bottom="905" w:gutter="0" w:footer="0" w:header="0"/>
        </w:sectPr>
      </w:pPr>
    </w:p>
    <w:p>
      <w:pPr>
        <w:spacing w:after="0" w:line="200" w:lineRule="exact"/>
        <w:rPr>
          <w:sz w:val="24"/>
          <w:szCs w:val="24"/>
          <w:color w:val="auto"/>
        </w:rPr>
      </w:pPr>
    </w:p>
    <w:p>
      <w:pPr>
        <w:spacing w:after="0" w:line="258" w:lineRule="exact"/>
        <w:rPr>
          <w:sz w:val="24"/>
          <w:szCs w:val="24"/>
          <w:color w:val="auto"/>
        </w:rPr>
      </w:pPr>
    </w:p>
    <w:p>
      <w:pPr>
        <w:ind w:left="320" w:right="3340" w:hanging="320"/>
        <w:spacing w:after="0" w:line="258" w:lineRule="auto"/>
        <w:tabs>
          <w:tab w:leader="none" w:pos="320" w:val="left"/>
        </w:tabs>
        <w:numPr>
          <w:ilvl w:val="0"/>
          <w:numId w:val="2"/>
        </w:numPr>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Filiz Altan </w:t>
      </w:r>
      <w:hyperlink r:id="rId10">
        <w:r>
          <w:rPr>
            <w:rFonts w:ascii="Times New Roman" w:cs="Times New Roman" w:eastAsia="Times New Roman" w:hAnsi="Times New Roman"/>
            <w:sz w:val="16"/>
            <w:szCs w:val="16"/>
            <w:color w:val="131413"/>
          </w:rPr>
          <w:t>afiliz@mu.edu.tr</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-420370</wp:posOffset>
                </wp:positionV>
                <wp:extent cx="303022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0220" cy="4763"/>
                        </a:xfrm>
                        <a:prstGeom prst="line">
                          <a:avLst/>
                        </a:prstGeom>
                        <a:solidFill>
                          <a:srgbClr val="FFFFFF"/>
                        </a:solidFill>
                        <a:ln w="19176">
                          <a:solidFill>
                            <a:srgbClr val="131413"/>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3.0999pt" to="238.6pt,-33.0999pt" o:allowincell="f" strokecolor="#131413" strokeweight="1.509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-420370</wp:posOffset>
                </wp:positionV>
                <wp:extent cx="1206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6476">
                          <a:solidFill>
                            <a:srgbClr val="131413"/>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3.0999pt" to="0.5pt,-33.0999pt" o:allowincell="f" strokecolor="#131413" strokeweight="0.5099pt"/>
            </w:pict>
          </mc:Fallback>
        </mc:AlternateContent>
      </w:r>
    </w:p>
    <w:p>
      <w:pPr>
        <w:spacing w:after="0" w:line="231" w:lineRule="exact"/>
        <w:rPr>
          <w:sz w:val="24"/>
          <w:szCs w:val="24"/>
          <w:color w:val="auto"/>
        </w:rPr>
      </w:pPr>
    </w:p>
    <w:p>
      <w:pPr>
        <w:ind w:left="280" w:hanging="280"/>
        <w:spacing w:after="0" w:line="210" w:lineRule="auto"/>
        <w:tabs>
          <w:tab w:leader="none" w:pos="280" w:val="left"/>
        </w:tabs>
        <w:numPr>
          <w:ilvl w:val="0"/>
          <w:numId w:val="3"/>
        </w:numPr>
        <w:rPr>
          <w:rFonts w:ascii="Times New Roman" w:cs="Times New Roman" w:eastAsia="Times New Roman" w:hAnsi="Times New Roman"/>
          <w:sz w:val="22"/>
          <w:szCs w:val="22"/>
          <w:color w:val="131413"/>
          <w:vertAlign w:val="superscript"/>
        </w:rPr>
      </w:pPr>
      <w:r>
        <w:rPr>
          <w:rFonts w:ascii="Times New Roman" w:cs="Times New Roman" w:eastAsia="Times New Roman" w:hAnsi="Times New Roman"/>
          <w:sz w:val="16"/>
          <w:szCs w:val="16"/>
          <w:color w:val="131413"/>
        </w:rPr>
        <w:t>Department of Molecular Biology and Genetics, Faculty of Science, Muğla Sıtkı Koçman University, 48000, Kötekli, Muğla, Turkey</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318770</wp:posOffset>
            </wp:positionV>
            <wp:extent cx="1676400" cy="136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1676400" cy="13652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rPr>
          <w:sz w:val="20"/>
          <w:szCs w:val="20"/>
          <w:color w:val="auto"/>
        </w:rPr>
      </w:pPr>
      <w:r>
        <w:rPr>
          <w:rFonts w:ascii="Arial" w:cs="Arial" w:eastAsia="Arial" w:hAnsi="Arial"/>
          <w:sz w:val="24"/>
          <w:szCs w:val="24"/>
          <w:color w:val="131413"/>
        </w:rPr>
        <w:t>Introduction</w:t>
      </w:r>
    </w:p>
    <w:p>
      <w:pPr>
        <w:spacing w:after="0" w:line="265" w:lineRule="exact"/>
        <w:rPr>
          <w:sz w:val="24"/>
          <w:szCs w:val="24"/>
          <w:color w:val="auto"/>
        </w:rPr>
      </w:pPr>
    </w:p>
    <w:p>
      <w:pPr>
        <w:jc w:val="both"/>
        <w:spacing w:after="0" w:line="27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Obesity is an overexpansion of adipose tissue stores resulting from chronic calorie consumption that exceeds an individual</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s energy needs (Hardy et al. </w:t>
      </w:r>
      <w:hyperlink w:anchor="page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Obesity has reached epi-demic proportions all over the world today because of its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2526030</wp:posOffset>
            </wp:positionH>
            <wp:positionV relativeFrom="paragraph">
              <wp:posOffset>234315</wp:posOffset>
            </wp:positionV>
            <wp:extent cx="483870" cy="1384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60"/>
          </w:cols>
          <w:pgMar w:left="1020" w:top="640" w:right="1026" w:bottom="905" w:gutter="0" w:footer="0" w:header="0"/>
          <w:type w:val="continuous"/>
        </w:sectPr>
      </w:pPr>
    </w:p>
    <w:bookmarkStart w:id="1" w:name="page2"/>
    <w:bookmarkEnd w:id="1"/>
    <w:p>
      <w:pPr>
        <w:ind w:left="9360"/>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41275</wp:posOffset>
                </wp:positionV>
                <wp:extent cx="0" cy="2603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25pt" to="0pt,5.3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54610</wp:posOffset>
                </wp:positionV>
                <wp:extent cx="62763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3pt" to="493.75pt,4.3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41275</wp:posOffset>
                </wp:positionV>
                <wp:extent cx="0" cy="2603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25pt" to="493.25pt,5.3pt" o:allowincell="f" strokecolor="#131413" strokeweight="1pt"/>
            </w:pict>
          </mc:Fallback>
        </mc:AlternateContent>
      </w:r>
    </w:p>
    <w:p>
      <w:pPr>
        <w:sectPr>
          <w:pgSz w:w="11900" w:h="15817" w:orient="portrait"/>
          <w:cols w:equalWidth="0" w:num="1">
            <w:col w:w="9860"/>
          </w:cols>
          <w:pgMar w:left="1020" w:top="649" w:right="1026" w:bottom="896" w:gutter="0" w:footer="0" w:header="0"/>
        </w:sectPr>
      </w:pPr>
    </w:p>
    <w:p>
      <w:pPr>
        <w:spacing w:after="0" w:line="342" w:lineRule="exact"/>
        <w:rPr>
          <w:sz w:val="20"/>
          <w:szCs w:val="20"/>
          <w:color w:val="auto"/>
        </w:rPr>
      </w:pPr>
    </w:p>
    <w:p>
      <w:pPr>
        <w:jc w:val="both"/>
        <w:spacing w:after="0" w:line="273"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association with many diseases (Goossens et al. </w:t>
      </w:r>
      <w:hyperlink w:anchor="page9">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In 2014, more than 600 million adults worldwide (13% of the total adult population) were classified as obese and it has been reported that the global obesity prevalence increased by about 2% every 10 years (Abarca-Gómez et al. </w:t>
      </w:r>
      <w:hyperlink w:anchor="page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xml:space="preserve">; Pineda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According to World Health Organization (WHO), con-trary to what is known, obesity is not only limited to industri-alized societies, over 115 million people in developing coun-tries are estimated to suffer from obesity related problems. The prevalence of obesity has increased threefold in the last two decades in Europe, and the obesity prevalence is estimated to be 23% (Uerlich et al. </w:t>
      </w:r>
      <w:hyperlink w:anchor="page9">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xml:space="preserve">; Pineda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In the United States, 68.5% of the adult population has overweight or obe-sity problems (Bray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Although there are not any publications about the distribution of obesity mediated inflam-mation worldwide to our knowledge, it is well established that there is a tight relation between obesity and inflammation. There are reports showing that obesity is associated with chronic systemic inflammation and that there are components of signaling pathways involved in inflammatory responses which is conditioned by the innate immune system activation in adipose tissue and promotes an increase in the production and release of pro-inflammatory cytokines in response that contribute to the triggering of the systemic acute-phase re-sponse which is characterized by elevation of acute-phase protein levels (Olefsky </w:t>
      </w:r>
      <w:hyperlink w:anchor="page9">
        <w:r>
          <w:rPr>
            <w:rFonts w:ascii="Times New Roman" w:cs="Times New Roman" w:eastAsia="Times New Roman" w:hAnsi="Times New Roman"/>
            <w:sz w:val="19"/>
            <w:szCs w:val="19"/>
            <w:color w:val="0000FF"/>
          </w:rPr>
          <w:t>2009</w:t>
        </w:r>
      </w:hyperlink>
      <w:r>
        <w:rPr>
          <w:rFonts w:ascii="Times New Roman" w:cs="Times New Roman" w:eastAsia="Times New Roman" w:hAnsi="Times New Roman"/>
          <w:sz w:val="19"/>
          <w:szCs w:val="19"/>
          <w:color w:val="131413"/>
        </w:rPr>
        <w:t xml:space="preserve">; Rodríguez-Hernández et al. </w:t>
      </w:r>
      <w:hyperlink w:anchor="page9">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So, it therefore is probable that distribution of obesity</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mediated inflammation correlates positively with that of obesity.</w:t>
      </w:r>
    </w:p>
    <w:p>
      <w:pPr>
        <w:spacing w:after="0" w:line="16" w:lineRule="exact"/>
        <w:rPr>
          <w:rFonts w:ascii="Times New Roman" w:cs="Times New Roman" w:eastAsia="Times New Roman" w:hAnsi="Times New Roman"/>
          <w:sz w:val="19"/>
          <w:szCs w:val="19"/>
          <w:color w:val="131413"/>
        </w:rPr>
      </w:pPr>
    </w:p>
    <w:p>
      <w:pPr>
        <w:jc w:val="both"/>
        <w:ind w:firstLine="227"/>
        <w:spacing w:after="0" w:line="289"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Increased obesity rates have emerged as a major health prob-lem and cause economic burden in all countries (Engin </w:t>
      </w:r>
      <w:hyperlink w:anchor="page9">
        <w:r>
          <w:rPr>
            <w:rFonts w:ascii="Times New Roman" w:cs="Times New Roman" w:eastAsia="Times New Roman" w:hAnsi="Times New Roman"/>
            <w:sz w:val="18"/>
            <w:szCs w:val="18"/>
            <w:color w:val="0000FF"/>
          </w:rPr>
          <w:t>2017</w:t>
        </w:r>
      </w:hyperlink>
      <w:r>
        <w:rPr>
          <w:rFonts w:ascii="Times New Roman" w:cs="Times New Roman" w:eastAsia="Times New Roman" w:hAnsi="Times New Roman"/>
          <w:sz w:val="18"/>
          <w:szCs w:val="18"/>
          <w:color w:val="131413"/>
        </w:rPr>
        <w:t xml:space="preserve">). Although there are behavioral approaches and pharmacological treatments for obesity, it is not possible to say that they are very effective in healing. Although it is effective in reducing body weight, associated comorbidities and improving quality of life, bariatric surgery is associated with many complications (Qasim et al. </w:t>
      </w:r>
      <w:hyperlink w:anchor="page9">
        <w:r>
          <w:rPr>
            <w:rFonts w:ascii="Times New Roman" w:cs="Times New Roman" w:eastAsia="Times New Roman" w:hAnsi="Times New Roman"/>
            <w:sz w:val="18"/>
            <w:szCs w:val="18"/>
            <w:color w:val="0000FF"/>
          </w:rPr>
          <w:t>2018</w:t>
        </w:r>
      </w:hyperlink>
      <w:r>
        <w:rPr>
          <w:rFonts w:ascii="Times New Roman" w:cs="Times New Roman" w:eastAsia="Times New Roman" w:hAnsi="Times New Roman"/>
          <w:sz w:val="18"/>
          <w:szCs w:val="18"/>
          <w:color w:val="131413"/>
        </w:rPr>
        <w:t xml:space="preserve">). It has been reported by previous studies that obe-sity is characterized as a state of systemic chronic low inflam-mation (Park et al. </w:t>
      </w:r>
      <w:hyperlink w:anchor="page9">
        <w:r>
          <w:rPr>
            <w:rFonts w:ascii="Times New Roman" w:cs="Times New Roman" w:eastAsia="Times New Roman" w:hAnsi="Times New Roman"/>
            <w:sz w:val="18"/>
            <w:szCs w:val="18"/>
            <w:color w:val="0000FF"/>
          </w:rPr>
          <w:t>2005</w:t>
        </w:r>
      </w:hyperlink>
      <w:r>
        <w:rPr>
          <w:rFonts w:ascii="Times New Roman" w:cs="Times New Roman" w:eastAsia="Times New Roman" w:hAnsi="Times New Roman"/>
          <w:sz w:val="18"/>
          <w:szCs w:val="18"/>
          <w:color w:val="131413"/>
        </w:rPr>
        <w:t xml:space="preserve">; Goossens et al. </w:t>
      </w:r>
      <w:hyperlink w:anchor="page9">
        <w:r>
          <w:rPr>
            <w:rFonts w:ascii="Times New Roman" w:cs="Times New Roman" w:eastAsia="Times New Roman" w:hAnsi="Times New Roman"/>
            <w:sz w:val="18"/>
            <w:szCs w:val="18"/>
            <w:color w:val="0000FF"/>
          </w:rPr>
          <w:t>2011</w:t>
        </w:r>
      </w:hyperlink>
      <w:r>
        <w:rPr>
          <w:rFonts w:ascii="Times New Roman" w:cs="Times New Roman" w:eastAsia="Times New Roman" w:hAnsi="Times New Roman"/>
          <w:sz w:val="18"/>
          <w:szCs w:val="18"/>
          <w:color w:val="131413"/>
        </w:rPr>
        <w:t xml:space="preserve">; Liu et al. </w:t>
      </w:r>
      <w:hyperlink w:anchor="page9">
        <w:r>
          <w:rPr>
            <w:rFonts w:ascii="Times New Roman" w:cs="Times New Roman" w:eastAsia="Times New Roman" w:hAnsi="Times New Roman"/>
            <w:sz w:val="18"/>
            <w:szCs w:val="18"/>
            <w:color w:val="0000FF"/>
          </w:rPr>
          <w:t>2016</w:t>
        </w:r>
      </w:hyperlink>
      <w:r>
        <w:rPr>
          <w:rFonts w:ascii="Times New Roman" w:cs="Times New Roman" w:eastAsia="Times New Roman" w:hAnsi="Times New Roman"/>
          <w:sz w:val="18"/>
          <w:szCs w:val="18"/>
          <w:color w:val="131413"/>
        </w:rPr>
        <w:t xml:space="preserve">). In response to excessive intake of nutrients and energy, meta-bolic signals and inflammatory responses damaging homeosta-sis are initiated by the cells (Gregor and Hotamisligil </w:t>
      </w:r>
      <w:hyperlink w:anchor="page9">
        <w:r>
          <w:rPr>
            <w:rFonts w:ascii="Times New Roman" w:cs="Times New Roman" w:eastAsia="Times New Roman" w:hAnsi="Times New Roman"/>
            <w:sz w:val="18"/>
            <w:szCs w:val="18"/>
            <w:color w:val="0000FF"/>
          </w:rPr>
          <w:t>2011</w:t>
        </w:r>
      </w:hyperlink>
      <w:r>
        <w:rPr>
          <w:rFonts w:ascii="Times New Roman" w:cs="Times New Roman" w:eastAsia="Times New Roman" w:hAnsi="Times New Roman"/>
          <w:sz w:val="18"/>
          <w:szCs w:val="18"/>
          <w:color w:val="131413"/>
        </w:rPr>
        <w:t xml:space="preserve">). The secretion of pro-inflammatory cytokines by both adipo-cytes and adipose tissue macrophages contributes to the devel-opment of insulin resistance and atherosclerosis (Zieger et al. </w:t>
      </w:r>
      <w:hyperlink w:anchor="page9">
        <w:r>
          <w:rPr>
            <w:rFonts w:ascii="Times New Roman" w:cs="Times New Roman" w:eastAsia="Times New Roman" w:hAnsi="Times New Roman"/>
            <w:sz w:val="18"/>
            <w:szCs w:val="18"/>
            <w:color w:val="0000FF"/>
          </w:rPr>
          <w:t>2018</w:t>
        </w:r>
      </w:hyperlink>
      <w:r>
        <w:rPr>
          <w:rFonts w:ascii="Times New Roman" w:cs="Times New Roman" w:eastAsia="Times New Roman" w:hAnsi="Times New Roman"/>
          <w:sz w:val="18"/>
          <w:szCs w:val="18"/>
          <w:color w:val="131413"/>
        </w:rPr>
        <w:t>). 3T3-L1 preadipocyte cell line that is derived from</w:t>
      </w:r>
      <w:r>
        <w:rPr>
          <w:rFonts w:ascii="Times New Roman" w:cs="Times New Roman" w:eastAsia="Times New Roman" w:hAnsi="Times New Roman"/>
          <w:sz w:val="18"/>
          <w:szCs w:val="18"/>
          <w:color w:val="0000FF"/>
        </w:rPr>
        <w:t xml:space="preserve"> </w:t>
      </w:r>
      <w:r>
        <w:rPr>
          <w:rFonts w:ascii="Times New Roman" w:cs="Times New Roman" w:eastAsia="Times New Roman" w:hAnsi="Times New Roman"/>
          <w:sz w:val="18"/>
          <w:szCs w:val="18"/>
          <w:color w:val="131413"/>
        </w:rPr>
        <w:t xml:space="preserve">mouse cells and has the capability to differentiate into an adipocyte-like phenotype under appropriate conditions is orig-inally of fibroblast cell type and has therefore a fibroblast-like morphology (Green and Kehinde </w:t>
      </w:r>
      <w:hyperlink w:anchor="page9">
        <w:r>
          <w:rPr>
            <w:rFonts w:ascii="Times New Roman" w:cs="Times New Roman" w:eastAsia="Times New Roman" w:hAnsi="Times New Roman"/>
            <w:sz w:val="18"/>
            <w:szCs w:val="18"/>
            <w:color w:val="0000FF"/>
          </w:rPr>
          <w:t>1975</w:t>
        </w:r>
      </w:hyperlink>
      <w:r>
        <w:rPr>
          <w:rFonts w:ascii="Times New Roman" w:cs="Times New Roman" w:eastAsia="Times New Roman" w:hAnsi="Times New Roman"/>
          <w:sz w:val="18"/>
          <w:szCs w:val="18"/>
          <w:color w:val="131413"/>
        </w:rPr>
        <w:t>). The number of articles published on adipogenesis and the biochemistry of adipocytes where these cell lines were utilized reached a significant value. Although 3T3-L1 cells have the potential to convert from</w:t>
      </w:r>
    </w:p>
    <w:p>
      <w:pPr>
        <w:spacing w:after="0" w:line="20" w:lineRule="exact"/>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drawing>
          <wp:anchor simplePos="0" relativeHeight="251657728" behindDoc="1" locked="0" layoutInCell="0" allowOverlap="1">
            <wp:simplePos x="0" y="0"/>
            <wp:positionH relativeFrom="column">
              <wp:posOffset>0</wp:posOffset>
            </wp:positionH>
            <wp:positionV relativeFrom="paragraph">
              <wp:posOffset>228600</wp:posOffset>
            </wp:positionV>
            <wp:extent cx="483870" cy="1384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br w:type="column"/>
      </w:r>
    </w:p>
    <w:p>
      <w:pPr>
        <w:spacing w:after="0" w:line="321" w:lineRule="exact"/>
        <w:rPr>
          <w:rFonts w:ascii="Times New Roman" w:cs="Times New Roman" w:eastAsia="Times New Roman" w:hAnsi="Times New Roman"/>
          <w:sz w:val="18"/>
          <w:szCs w:val="18"/>
          <w:color w:val="131413"/>
        </w:rPr>
      </w:pPr>
    </w:p>
    <w:p>
      <w:pPr>
        <w:jc w:val="both"/>
        <w:spacing w:after="0" w:line="289"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fibroblastic phenotype to adipocytes, this alteration does not occur under normal circumstances, if necessary stimulating agents are required. Only in the presence of the agents insulin, dexamethasone and 3-isobutyl-1-methylxanthine (IBMX) at certain concentrations, fibroblast-like morphology having 3T3-L1 preadipocyte cells convert to fully differentiated adipo-cyte cells. There are reports about the protocols of how to effectively differentiate 3T3-L1 cells to adipocytes which indi-cates that the differentiantion of 3T3-L1 cells to adipocytes requires an optimal conversion condition (Zebisch et al. </w:t>
      </w:r>
      <w:hyperlink w:anchor="page9">
        <w:r>
          <w:rPr>
            <w:rFonts w:ascii="Times New Roman" w:cs="Times New Roman" w:eastAsia="Times New Roman" w:hAnsi="Times New Roman"/>
            <w:sz w:val="18"/>
            <w:szCs w:val="18"/>
            <w:color w:val="0000FF"/>
          </w:rPr>
          <w:t>2012</w:t>
        </w:r>
      </w:hyperlink>
      <w:r>
        <w:rPr>
          <w:rFonts w:ascii="Times New Roman" w:cs="Times New Roman" w:eastAsia="Times New Roman" w:hAnsi="Times New Roman"/>
          <w:sz w:val="18"/>
          <w:szCs w:val="18"/>
          <w:color w:val="131413"/>
        </w:rPr>
        <w:t>). Once 3T3-L1 preadipocyte cells are stimulated to dif-ferentiate into adipocytes, adipogenesis is triggered and this in turn leads to the secretion of adipocytokines. Adipocytokine secretion plays a crucial role in the generation of an inflamma-tory microenvironment. In a study where human preadipocyte Simpson Golabi Behmel Syndrome (SGBS) cells were con-verted to differentiated SGBS cells, it was shown that the in-crease in adipogenesis correlated positively with an accumula-tion of inflammatory marker s such as Monocyt e chemoattractant protein (MCP), (IL-1</w:t>
      </w:r>
      <w:r>
        <w:rPr>
          <w:rFonts w:ascii="Arial" w:cs="Arial" w:eastAsia="Arial" w:hAnsi="Arial"/>
          <w:sz w:val="18"/>
          <w:szCs w:val="18"/>
          <w:color w:val="131413"/>
        </w:rPr>
        <w:t>β</w:t>
      </w:r>
      <w:r>
        <w:rPr>
          <w:rFonts w:ascii="Times New Roman" w:cs="Times New Roman" w:eastAsia="Times New Roman" w:hAnsi="Times New Roman"/>
          <w:sz w:val="18"/>
          <w:szCs w:val="18"/>
          <w:color w:val="131413"/>
        </w:rPr>
        <w:t>) and IL-6 in the super-natant of differentiated SGBS cells. There are also a significant number of reports showing that adipocytes are secreting pro-inflammatory components such as IL-6 and TNF-</w:t>
      </w:r>
      <w:r>
        <w:rPr>
          <w:rFonts w:ascii="Arial" w:cs="Arial" w:eastAsia="Arial" w:hAnsi="Arial"/>
          <w:sz w:val="18"/>
          <w:szCs w:val="18"/>
          <w:color w:val="131413"/>
        </w:rPr>
        <w:t>α</w:t>
      </w:r>
      <w:r>
        <w:rPr>
          <w:rFonts w:ascii="Times New Roman" w:cs="Times New Roman" w:eastAsia="Times New Roman" w:hAnsi="Times New Roman"/>
          <w:sz w:val="18"/>
          <w:szCs w:val="18"/>
          <w:color w:val="131413"/>
        </w:rPr>
        <w:t xml:space="preserve"> (Smitka and Marešová </w:t>
      </w:r>
      <w:hyperlink w:anchor="page9">
        <w:r>
          <w:rPr>
            <w:rFonts w:ascii="Times New Roman" w:cs="Times New Roman" w:eastAsia="Times New Roman" w:hAnsi="Times New Roman"/>
            <w:sz w:val="18"/>
            <w:szCs w:val="18"/>
            <w:color w:val="0000FF"/>
          </w:rPr>
          <w:t>2015</w:t>
        </w:r>
      </w:hyperlink>
      <w:r>
        <w:rPr>
          <w:rFonts w:ascii="Times New Roman" w:cs="Times New Roman" w:eastAsia="Times New Roman" w:hAnsi="Times New Roman"/>
          <w:sz w:val="18"/>
          <w:szCs w:val="18"/>
          <w:color w:val="131413"/>
        </w:rPr>
        <w:t xml:space="preserve">; Nickel et al. </w:t>
      </w:r>
      <w:hyperlink w:anchor="page9">
        <w:r>
          <w:rPr>
            <w:rFonts w:ascii="Times New Roman" w:cs="Times New Roman" w:eastAsia="Times New Roman" w:hAnsi="Times New Roman"/>
            <w:sz w:val="18"/>
            <w:szCs w:val="18"/>
            <w:color w:val="0000FF"/>
          </w:rPr>
          <w:t>2018</w:t>
        </w:r>
      </w:hyperlink>
      <w:r>
        <w:rPr>
          <w:rFonts w:ascii="Times New Roman" w:cs="Times New Roman" w:eastAsia="Times New Roman" w:hAnsi="Times New Roman"/>
          <w:sz w:val="18"/>
          <w:szCs w:val="18"/>
          <w:color w:val="131413"/>
        </w:rPr>
        <w:t xml:space="preserve">; Fuggetta et al. </w:t>
      </w:r>
      <w:hyperlink w:anchor="page9">
        <w:r>
          <w:rPr>
            <w:rFonts w:ascii="Times New Roman" w:cs="Times New Roman" w:eastAsia="Times New Roman" w:hAnsi="Times New Roman"/>
            <w:sz w:val="18"/>
            <w:szCs w:val="18"/>
            <w:color w:val="0000FF"/>
          </w:rPr>
          <w:t>2019</w:t>
        </w:r>
      </w:hyperlink>
      <w:r>
        <w:rPr>
          <w:rFonts w:ascii="Times New Roman" w:cs="Times New Roman" w:eastAsia="Times New Roman" w:hAnsi="Times New Roman"/>
          <w:sz w:val="18"/>
          <w:szCs w:val="18"/>
          <w:color w:val="131413"/>
        </w:rPr>
        <w:t>). Based on these information we hypothesised that the creation of an inflammatory microenvironment without making use of additional treatments with agents such as (LPS) and TNF-</w:t>
      </w:r>
      <w:r>
        <w:rPr>
          <w:rFonts w:ascii="Arial" w:cs="Arial" w:eastAsia="Arial" w:hAnsi="Arial"/>
          <w:sz w:val="18"/>
          <w:szCs w:val="18"/>
          <w:color w:val="131413"/>
        </w:rPr>
        <w:t>α</w:t>
      </w:r>
      <w:r>
        <w:rPr>
          <w:rFonts w:ascii="Times New Roman" w:cs="Times New Roman" w:eastAsia="Times New Roman" w:hAnsi="Times New Roman"/>
          <w:sz w:val="18"/>
          <w:szCs w:val="18"/>
          <w:color w:val="131413"/>
        </w:rPr>
        <w:t xml:space="preserve"> by solely due to the conversion of preadipocyte 3T3-L1 cells to adipocytes would be sufficient to result in an enrichment of pro-inflammatory markers and this would mimic an in vitro chronic inflammation state to a mild chronic inflammation of an adipose tissue in vivo.</w:t>
      </w:r>
    </w:p>
    <w:p>
      <w:pPr>
        <w:spacing w:after="0" w:line="226" w:lineRule="exact"/>
        <w:rPr>
          <w:rFonts w:ascii="Times New Roman" w:cs="Times New Roman" w:eastAsia="Times New Roman" w:hAnsi="Times New Roman"/>
          <w:sz w:val="18"/>
          <w:szCs w:val="18"/>
          <w:color w:val="131413"/>
        </w:rPr>
      </w:pPr>
    </w:p>
    <w:p>
      <w:pPr>
        <w:jc w:val="both"/>
        <w:ind w:firstLine="227"/>
        <w:spacing w:after="0" w:line="275" w:lineRule="auto"/>
        <w:rPr>
          <w:rFonts w:ascii="Times New Roman" w:cs="Times New Roman" w:eastAsia="Times New Roman" w:hAnsi="Times New Roman"/>
          <w:sz w:val="19"/>
          <w:szCs w:val="19"/>
          <w:color w:val="131413"/>
        </w:rPr>
      </w:pPr>
      <w:r>
        <w:rPr>
          <w:rFonts w:ascii="Arial" w:cs="Arial" w:eastAsia="Arial" w:hAnsi="Arial"/>
          <w:sz w:val="19"/>
          <w:szCs w:val="19"/>
          <w:color w:val="131413"/>
        </w:rPr>
        <w:t xml:space="preserve">C. roseus </w:t>
      </w:r>
      <w:r>
        <w:rPr>
          <w:rFonts w:ascii="Times New Roman" w:cs="Times New Roman" w:eastAsia="Times New Roman" w:hAnsi="Times New Roman"/>
          <w:sz w:val="19"/>
          <w:szCs w:val="19"/>
          <w:color w:val="131413"/>
        </w:rPr>
        <w:t>is a perennial plant belonging to the family of</w:t>
      </w:r>
      <w:r>
        <w:rPr>
          <w:rFonts w:ascii="Arial" w:cs="Arial" w:eastAsia="Arial" w:hAnsi="Arial"/>
          <w:sz w:val="19"/>
          <w:szCs w:val="19"/>
          <w:color w:val="131413"/>
        </w:rPr>
        <w:t xml:space="preserve"> </w:t>
      </w:r>
      <w:r>
        <w:rPr>
          <w:rFonts w:ascii="Times New Roman" w:cs="Times New Roman" w:eastAsia="Times New Roman" w:hAnsi="Times New Roman"/>
          <w:sz w:val="19"/>
          <w:szCs w:val="19"/>
          <w:color w:val="131413"/>
        </w:rPr>
        <w:t xml:space="preserve">Apocynaceae (Espejel-Nava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It is widely distrib-uted throughout the world due to its high ability to survive in various habitats and its use as ornamental plant (Al-Shaqha et al. </w:t>
      </w:r>
      <w:hyperlink w:anchor="page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It produces more than 130 different terpenoid indole alkaloids (TIAs), some of which exhibit strong and important pharmacological activities (Almagro et al. </w:t>
      </w:r>
      <w:hyperlink w:anchor="page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We in one of our previous studies have investigated the alka-</w:t>
      </w:r>
    </w:p>
    <w:p>
      <w:pPr>
        <w:spacing w:after="0" w:line="2" w:lineRule="exact"/>
        <w:rPr>
          <w:rFonts w:ascii="Times New Roman" w:cs="Times New Roman" w:eastAsia="Times New Roman" w:hAnsi="Times New Roman"/>
          <w:sz w:val="19"/>
          <w:szCs w:val="19"/>
          <w:color w:val="131413"/>
        </w:rPr>
      </w:pPr>
    </w:p>
    <w:p>
      <w:pPr>
        <w:jc w:val="both"/>
        <w:spacing w:after="0" w:line="270" w:lineRule="auto"/>
        <w:rPr>
          <w:rFonts w:ascii="Arial" w:cs="Arial" w:eastAsia="Arial" w:hAnsi="Arial"/>
          <w:sz w:val="19"/>
          <w:szCs w:val="19"/>
          <w:color w:val="131413"/>
        </w:rPr>
      </w:pPr>
      <w:r>
        <w:rPr>
          <w:rFonts w:ascii="Times New Roman" w:cs="Times New Roman" w:eastAsia="Times New Roman" w:hAnsi="Times New Roman"/>
          <w:sz w:val="19"/>
          <w:szCs w:val="19"/>
          <w:color w:val="131413"/>
        </w:rPr>
        <w:t xml:space="preserve">loids of this plant in callus and multiple shoots obtained from </w:t>
      </w:r>
      <w:r>
        <w:rPr>
          <w:rFonts w:ascii="Arial" w:cs="Arial" w:eastAsia="Arial" w:hAnsi="Arial"/>
          <w:sz w:val="19"/>
          <w:szCs w:val="19"/>
          <w:color w:val="131413"/>
        </w:rPr>
        <w:t xml:space="preserve">C. roseus </w:t>
      </w:r>
      <w:r>
        <w:rPr>
          <w:rFonts w:ascii="Times New Roman" w:cs="Times New Roman" w:eastAsia="Times New Roman" w:hAnsi="Times New Roman"/>
          <w:sz w:val="19"/>
          <w:szCs w:val="19"/>
          <w:color w:val="131413"/>
        </w:rPr>
        <w:t>(Altan and Duru</w:t>
      </w:r>
      <w:r>
        <w:rPr>
          <w:rFonts w:ascii="Arial" w:cs="Arial" w:eastAsia="Arial" w:hAnsi="Arial"/>
          <w:sz w:val="19"/>
          <w:szCs w:val="19"/>
          <w:color w:val="131413"/>
        </w:rPr>
        <w:t xml:space="preserve"> </w:t>
      </w:r>
      <w:hyperlink w:anchor="page9">
        <w:r>
          <w:rPr>
            <w:rFonts w:ascii="Times New Roman" w:cs="Times New Roman" w:eastAsia="Times New Roman" w:hAnsi="Times New Roman"/>
            <w:sz w:val="19"/>
            <w:szCs w:val="19"/>
            <w:color w:val="0000FF"/>
          </w:rPr>
          <w:t>2017</w:t>
        </w:r>
      </w:hyperlink>
      <w:r>
        <w:rPr>
          <w:rFonts w:ascii="Times New Roman" w:cs="Times New Roman" w:eastAsia="Times New Roman" w:hAnsi="Times New Roman"/>
          <w:sz w:val="19"/>
          <w:szCs w:val="19"/>
          <w:color w:val="131413"/>
        </w:rPr>
        <w:t>). It is used in traditional</w:t>
      </w:r>
    </w:p>
    <w:p>
      <w:pPr>
        <w:spacing w:after="0" w:line="5" w:lineRule="exact"/>
        <w:rPr>
          <w:rFonts w:ascii="Times New Roman" w:cs="Times New Roman" w:eastAsia="Times New Roman" w:hAnsi="Times New Roman"/>
          <w:sz w:val="19"/>
          <w:szCs w:val="19"/>
          <w:color w:val="131413"/>
        </w:rPr>
      </w:pPr>
    </w:p>
    <w:p>
      <w:pPr>
        <w:jc w:val="both"/>
        <w:spacing w:after="0" w:line="27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practice for the treatment of diabetes in many countries such as Malaysia, India, China, South Africa and Mexico. Studies to investigate oral hypoglycemic effects have led to the dis-covery of the first clinically used natural anticancer agents vinblastine and vincristine (Tiong et al. </w:t>
      </w:r>
      <w:hyperlink w:anchor="page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Extract of </w:t>
      </w:r>
      <w:r>
        <w:rPr>
          <w:rFonts w:ascii="Arial" w:cs="Arial" w:eastAsia="Arial" w:hAnsi="Arial"/>
          <w:sz w:val="19"/>
          <w:szCs w:val="19"/>
          <w:color w:val="131413"/>
        </w:rPr>
        <w:t xml:space="preserve">C. roseus </w:t>
      </w:r>
      <w:r>
        <w:rPr>
          <w:rFonts w:ascii="Times New Roman" w:cs="Times New Roman" w:eastAsia="Times New Roman" w:hAnsi="Times New Roman"/>
          <w:sz w:val="19"/>
          <w:szCs w:val="19"/>
          <w:color w:val="131413"/>
        </w:rPr>
        <w:t>flower dissolved in ethanol has been reported to</w:t>
      </w:r>
      <w:r>
        <w:rPr>
          <w:rFonts w:ascii="Arial" w:cs="Arial" w:eastAsia="Arial" w:hAnsi="Arial"/>
          <w:sz w:val="19"/>
          <w:szCs w:val="19"/>
          <w:color w:val="131413"/>
        </w:rPr>
        <w:t xml:space="preserve"> </w:t>
      </w:r>
      <w:r>
        <w:rPr>
          <w:rFonts w:ascii="Times New Roman" w:cs="Times New Roman" w:eastAsia="Times New Roman" w:hAnsi="Times New Roman"/>
          <w:sz w:val="19"/>
          <w:szCs w:val="19"/>
          <w:color w:val="131413"/>
        </w:rPr>
        <w:t xml:space="preserve">have wound healing activity (Nayak and Pereira </w:t>
      </w:r>
      <w:hyperlink w:anchor="page9">
        <w:r>
          <w:rPr>
            <w:rFonts w:ascii="Times New Roman" w:cs="Times New Roman" w:eastAsia="Times New Roman" w:hAnsi="Times New Roman"/>
            <w:sz w:val="19"/>
            <w:szCs w:val="19"/>
            <w:color w:val="0000FF"/>
          </w:rPr>
          <w:t>2006</w:t>
        </w:r>
      </w:hyperlink>
      <w:r>
        <w:rPr>
          <w:rFonts w:ascii="Times New Roman" w:cs="Times New Roman" w:eastAsia="Times New Roman" w:hAnsi="Times New Roman"/>
          <w:sz w:val="19"/>
          <w:szCs w:val="19"/>
          <w:color w:val="131413"/>
        </w:rPr>
        <w:t xml:space="preserve">). There are also studies showing the hypolipidemic and anti-inflammatory activity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(Patel et al. </w:t>
      </w:r>
      <w:hyperlink w:anchor="page9">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Rasineni et al. </w:t>
      </w:r>
      <w:hyperlink w:anchor="page9">
        <w:r>
          <w:rPr>
            <w:rFonts w:ascii="Times New Roman" w:cs="Times New Roman" w:eastAsia="Times New Roman" w:hAnsi="Times New Roman"/>
            <w:sz w:val="19"/>
            <w:szCs w:val="19"/>
            <w:color w:val="0000FF"/>
          </w:rPr>
          <w:t>2013</w:t>
        </w:r>
      </w:hyperlink>
      <w:r>
        <w:rPr>
          <w:rFonts w:ascii="Times New Roman" w:cs="Times New Roman" w:eastAsia="Times New Roman" w:hAnsi="Times New Roman"/>
          <w:sz w:val="19"/>
          <w:szCs w:val="19"/>
          <w:color w:val="131413"/>
        </w:rPr>
        <w:t xml:space="preserve">; Wahjuni et al. </w:t>
      </w:r>
      <w:hyperlink w:anchor="page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xml:space="preserve">; Rajabi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Based on these observations, the ability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to inhibit</w:t>
      </w:r>
    </w:p>
    <w:p>
      <w:pPr>
        <w:sectPr>
          <w:pgSz w:w="11900" w:h="15817" w:orient="portrait"/>
          <w:cols w:equalWidth="0" w:num="2">
            <w:col w:w="4760" w:space="340"/>
            <w:col w:w="4760"/>
          </w:cols>
          <w:pgMar w:left="1020" w:top="649" w:right="1026" w:bottom="896" w:gutter="0" w:footer="0" w:header="0"/>
          <w:type w:val="continuous"/>
        </w:sectPr>
      </w:pPr>
    </w:p>
    <w:bookmarkStart w:id="2" w:name="page3"/>
    <w:bookmarkEnd w:id="2"/>
    <w:p>
      <w:pPr>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54610</wp:posOffset>
                </wp:positionV>
                <wp:extent cx="627634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3pt" to="493.75pt,4.3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41275</wp:posOffset>
                </wp:positionV>
                <wp:extent cx="0" cy="26035"/>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25pt" to="0pt,5.3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41275</wp:posOffset>
                </wp:positionV>
                <wp:extent cx="0" cy="26035"/>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25pt" to="493.25pt,5.3pt" o:allowincell="f" strokecolor="#131413" strokeweight="1pt"/>
            </w:pict>
          </mc:Fallback>
        </mc:AlternateContent>
      </w:r>
    </w:p>
    <w:p>
      <w:pPr>
        <w:sectPr>
          <w:pgSz w:w="11900" w:h="15817" w:orient="portrait"/>
          <w:cols w:equalWidth="0" w:num="1">
            <w:col w:w="9860"/>
          </w:cols>
          <w:pgMar w:left="1020" w:top="649" w:right="1026" w:bottom="906" w:gutter="0" w:footer="0" w:header="0"/>
        </w:sectPr>
      </w:pPr>
    </w:p>
    <w:p>
      <w:pPr>
        <w:spacing w:after="0" w:line="342"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0"/>
          <w:szCs w:val="20"/>
          <w:color w:val="131413"/>
        </w:rPr>
        <w:t>inflammation and adipogenesis in 3T3-L1 cells was investi-gated. The results support the view that the plant may be a potential alternative treatment for obesity and associated inflammation.</w:t>
      </w: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4"/>
          <w:szCs w:val="24"/>
          <w:color w:val="131413"/>
        </w:rPr>
        <w:t>Materials and methods</w:t>
      </w:r>
    </w:p>
    <w:p>
      <w:pPr>
        <w:spacing w:after="0" w:line="241" w:lineRule="exact"/>
        <w:rPr>
          <w:sz w:val="20"/>
          <w:szCs w:val="20"/>
          <w:color w:val="auto"/>
        </w:rPr>
      </w:pPr>
    </w:p>
    <w:p>
      <w:pPr>
        <w:spacing w:after="0"/>
        <w:rPr>
          <w:sz w:val="20"/>
          <w:szCs w:val="20"/>
          <w:color w:val="auto"/>
        </w:rPr>
      </w:pPr>
      <w:r>
        <w:rPr>
          <w:rFonts w:ascii="Arial" w:cs="Arial" w:eastAsia="Arial" w:hAnsi="Arial"/>
          <w:sz w:val="22"/>
          <w:szCs w:val="22"/>
          <w:color w:val="131413"/>
        </w:rPr>
        <w:t>Plant material</w:t>
      </w:r>
    </w:p>
    <w:p>
      <w:pPr>
        <w:spacing w:after="0" w:line="255" w:lineRule="exact"/>
        <w:rPr>
          <w:sz w:val="20"/>
          <w:szCs w:val="20"/>
          <w:color w:val="auto"/>
        </w:rPr>
      </w:pPr>
    </w:p>
    <w:p>
      <w:pPr>
        <w:jc w:val="both"/>
        <w:spacing w:after="0" w:line="260"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The </w:t>
      </w:r>
      <w:r>
        <w:rPr>
          <w:rFonts w:ascii="Arial" w:cs="Arial" w:eastAsia="Arial" w:hAnsi="Arial"/>
          <w:sz w:val="20"/>
          <w:szCs w:val="20"/>
          <w:color w:val="131413"/>
        </w:rPr>
        <w:t>C. roseus</w:t>
      </w:r>
      <w:r>
        <w:rPr>
          <w:rFonts w:ascii="Times New Roman" w:cs="Times New Roman" w:eastAsia="Times New Roman" w:hAnsi="Times New Roman"/>
          <w:sz w:val="20"/>
          <w:szCs w:val="20"/>
          <w:color w:val="131413"/>
        </w:rPr>
        <w:t xml:space="preserve"> plant to be used for the study was obtained commercially from a wholesaler in Köyceğiz/Muğla. The plants were dried for 5 weeks in a cool and moisture-free environment. The above-ground parts of the dried plants were ground to a powder. The plant powder was incubated in ab-solute ethanol for 48 h at room temperature (Shanmugaraju and Bhakyaraj </w:t>
      </w:r>
      <w:hyperlink w:anchor="page9">
        <w:r>
          <w:rPr>
            <w:rFonts w:ascii="Times New Roman" w:cs="Times New Roman" w:eastAsia="Times New Roman" w:hAnsi="Times New Roman"/>
            <w:sz w:val="20"/>
            <w:szCs w:val="20"/>
            <w:color w:val="0000FF"/>
          </w:rPr>
          <w:t>2016</w:t>
        </w:r>
      </w:hyperlink>
      <w:r>
        <w:rPr>
          <w:rFonts w:ascii="Times New Roman" w:cs="Times New Roman" w:eastAsia="Times New Roman" w:hAnsi="Times New Roman"/>
          <w:sz w:val="20"/>
          <w:szCs w:val="20"/>
          <w:color w:val="131413"/>
        </w:rPr>
        <w:t xml:space="preserve">). After the extract was filtered, the sol-vent was removed by evaporation. The stock solutions were dissolved in ethanol to a final concentration of 20 mg/mL and stored at </w:t>
      </w:r>
      <w:r>
        <w:rPr>
          <w:rFonts w:ascii="Arial" w:cs="Arial" w:eastAsia="Arial" w:hAnsi="Arial"/>
          <w:sz w:val="20"/>
          <w:szCs w:val="20"/>
          <w:color w:val="131413"/>
        </w:rPr>
        <w:t>−</w:t>
      </w:r>
      <w:r>
        <w:rPr>
          <w:rFonts w:ascii="Times New Roman" w:cs="Times New Roman" w:eastAsia="Times New Roman" w:hAnsi="Times New Roman"/>
          <w:sz w:val="20"/>
          <w:szCs w:val="20"/>
          <w:color w:val="131413"/>
        </w:rPr>
        <w:t>20 °C until use.</w:t>
      </w:r>
    </w:p>
    <w:p>
      <w:pPr>
        <w:spacing w:after="0" w:line="237" w:lineRule="exact"/>
        <w:rPr>
          <w:sz w:val="20"/>
          <w:szCs w:val="20"/>
          <w:color w:val="auto"/>
        </w:rPr>
      </w:pPr>
    </w:p>
    <w:p>
      <w:pPr>
        <w:spacing w:after="0"/>
        <w:rPr>
          <w:sz w:val="20"/>
          <w:szCs w:val="20"/>
          <w:color w:val="auto"/>
        </w:rPr>
      </w:pPr>
      <w:r>
        <w:rPr>
          <w:rFonts w:ascii="Arial" w:cs="Arial" w:eastAsia="Arial" w:hAnsi="Arial"/>
          <w:sz w:val="22"/>
          <w:szCs w:val="22"/>
          <w:color w:val="131413"/>
        </w:rPr>
        <w:t>Cell culture and differentiation</w:t>
      </w:r>
    </w:p>
    <w:p>
      <w:pPr>
        <w:spacing w:after="0" w:line="269"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3T3-L1 mouse cell lines were purchased from the American Type Culture Collection (ATCC). Cells were maintained in Dulbecco</w:t>
      </w:r>
      <w:r>
        <w:rPr>
          <w:rFonts w:ascii="Arial" w:cs="Arial" w:eastAsia="Arial" w:hAnsi="Arial"/>
          <w:sz w:val="19"/>
          <w:szCs w:val="19"/>
          <w:color w:val="131413"/>
        </w:rPr>
        <w:t>’</w:t>
      </w:r>
      <w:r>
        <w:rPr>
          <w:rFonts w:ascii="Times New Roman" w:cs="Times New Roman" w:eastAsia="Times New Roman" w:hAnsi="Times New Roman"/>
          <w:sz w:val="19"/>
          <w:szCs w:val="19"/>
          <w:color w:val="131413"/>
        </w:rPr>
        <w:t>s modified eagle medium (DMEM) (Capricorn, Cat. no. DMEM-HA) supplemented to 10% with newborn calf serum (Capricorn, Cat. no. DMEM-HA), 1% penicillin/ streptomycin (Multicell, Cat. no. 450</w:t>
      </w:r>
      <w:r>
        <w:rPr>
          <w:rFonts w:ascii="Arial" w:cs="Arial" w:eastAsia="Arial" w:hAnsi="Arial"/>
          <w:sz w:val="19"/>
          <w:szCs w:val="19"/>
          <w:color w:val="131413"/>
        </w:rPr>
        <w:t>–</w:t>
      </w:r>
      <w:r>
        <w:rPr>
          <w:rFonts w:ascii="Times New Roman" w:cs="Times New Roman" w:eastAsia="Times New Roman" w:hAnsi="Times New Roman"/>
          <w:sz w:val="19"/>
          <w:szCs w:val="19"/>
          <w:color w:val="131413"/>
        </w:rPr>
        <w:t>201-EL). For experi-ments the cells were grown to a confluence of 70% and stim-ulated to differentiate in predifferentiation medium containing</w:t>
      </w:r>
    </w:p>
    <w:p>
      <w:pPr>
        <w:jc w:val="both"/>
        <w:spacing w:after="0" w:line="246" w:lineRule="auto"/>
        <w:tabs>
          <w:tab w:leader="none" w:pos="185" w:val="left"/>
        </w:tabs>
        <w:numPr>
          <w:ilvl w:val="0"/>
          <w:numId w:val="4"/>
        </w:numPr>
        <w:rPr>
          <w:rFonts w:ascii="Times New Roman" w:cs="Times New Roman" w:eastAsia="Times New Roman" w:hAnsi="Times New Roman"/>
          <w:sz w:val="20"/>
          <w:szCs w:val="20"/>
          <w:color w:val="131413"/>
        </w:rPr>
      </w:pPr>
      <w:r>
        <w:rPr>
          <w:rFonts w:ascii="Arial" w:cs="Arial" w:eastAsia="Arial" w:hAnsi="Arial"/>
          <w:sz w:val="20"/>
          <w:szCs w:val="20"/>
          <w:color w:val="131413"/>
        </w:rPr>
        <w:t>μ</w:t>
      </w:r>
      <w:r>
        <w:rPr>
          <w:rFonts w:ascii="Times New Roman" w:cs="Times New Roman" w:eastAsia="Times New Roman" w:hAnsi="Times New Roman"/>
          <w:sz w:val="20"/>
          <w:szCs w:val="20"/>
          <w:color w:val="131413"/>
        </w:rPr>
        <w:t>M dexamethasone (Sigma, BCBV5460), 0.5</w:t>
      </w:r>
      <w:r>
        <w:rPr>
          <w:rFonts w:ascii="Arial" w:cs="Arial" w:eastAsia="Arial" w:hAnsi="Arial"/>
          <w:sz w:val="20"/>
          <w:szCs w:val="20"/>
          <w:color w:val="131413"/>
        </w:rPr>
        <w:t xml:space="preserve"> μ</w:t>
      </w:r>
      <w:r>
        <w:rPr>
          <w:rFonts w:ascii="Times New Roman" w:cs="Times New Roman" w:eastAsia="Times New Roman" w:hAnsi="Times New Roman"/>
          <w:sz w:val="20"/>
          <w:szCs w:val="20"/>
          <w:color w:val="131413"/>
        </w:rPr>
        <w:t>M 3-isobutyl-1-methylxanthine (IBMX) (Sigma,STBF6061V),</w:t>
      </w:r>
    </w:p>
    <w:p>
      <w:pPr>
        <w:spacing w:after="0" w:line="25" w:lineRule="exact"/>
        <w:rPr>
          <w:rFonts w:ascii="Times New Roman" w:cs="Times New Roman" w:eastAsia="Times New Roman" w:hAnsi="Times New Roman"/>
          <w:sz w:val="20"/>
          <w:szCs w:val="20"/>
          <w:color w:val="131413"/>
        </w:rPr>
      </w:pPr>
    </w:p>
    <w:p>
      <w:pPr>
        <w:jc w:val="both"/>
        <w:spacing w:after="0" w:line="271" w:lineRule="auto"/>
        <w:tabs>
          <w:tab w:leader="none" w:pos="161" w:val="left"/>
        </w:tabs>
        <w:numPr>
          <w:ilvl w:val="0"/>
          <w:numId w:val="5"/>
        </w:numPr>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0 </w:t>
      </w:r>
      <w:r>
        <w:rPr>
          <w:rFonts w:ascii="Arial" w:cs="Arial" w:eastAsia="Arial" w:hAnsi="Arial"/>
          <w:sz w:val="19"/>
          <w:szCs w:val="19"/>
          <w:color w:val="131413"/>
        </w:rPr>
        <w:t>μ</w:t>
      </w:r>
      <w:r>
        <w:rPr>
          <w:rFonts w:ascii="Times New Roman" w:cs="Times New Roman" w:eastAsia="Times New Roman" w:hAnsi="Times New Roman"/>
          <w:sz w:val="19"/>
          <w:szCs w:val="19"/>
          <w:color w:val="131413"/>
        </w:rPr>
        <w:t xml:space="preserve">g/mL insulin (Sigma, SLBV1793) (Zebisch et al. </w:t>
      </w:r>
      <w:hyperlink w:anchor="page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The predifferentiation medium then was replaced after</w:t>
      </w:r>
    </w:p>
    <w:p>
      <w:pPr>
        <w:spacing w:after="0" w:line="5" w:lineRule="exact"/>
        <w:rPr>
          <w:rFonts w:ascii="Times New Roman" w:cs="Times New Roman" w:eastAsia="Times New Roman" w:hAnsi="Times New Roman"/>
          <w:sz w:val="19"/>
          <w:szCs w:val="19"/>
          <w:color w:val="0000FF"/>
        </w:rPr>
      </w:pPr>
    </w:p>
    <w:p>
      <w:pPr>
        <w:jc w:val="both"/>
        <w:spacing w:after="0" w:line="252" w:lineRule="auto"/>
        <w:tabs>
          <w:tab w:leader="none" w:pos="253" w:val="left"/>
        </w:tabs>
        <w:numPr>
          <w:ilvl w:val="0"/>
          <w:numId w:val="6"/>
        </w:numPr>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h with differentiation medium in DMEM containing 10% fetal bovine serum and 1% penicillin/streptomycin, 1.0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g/ mL insulin (Sigma, SLBV1793) for 7</w:t>
      </w:r>
      <w:r>
        <w:rPr>
          <w:rFonts w:ascii="Arial" w:cs="Arial" w:eastAsia="Arial" w:hAnsi="Arial"/>
          <w:sz w:val="20"/>
          <w:szCs w:val="20"/>
          <w:color w:val="131413"/>
        </w:rPr>
        <w:t>–</w:t>
      </w:r>
      <w:r>
        <w:rPr>
          <w:rFonts w:ascii="Times New Roman" w:cs="Times New Roman" w:eastAsia="Times New Roman" w:hAnsi="Times New Roman"/>
          <w:sz w:val="20"/>
          <w:szCs w:val="20"/>
          <w:color w:val="131413"/>
        </w:rPr>
        <w:t>10 days.</w:t>
      </w:r>
    </w:p>
    <w:p>
      <w:pPr>
        <w:spacing w:after="0" w:line="252" w:lineRule="exact"/>
        <w:rPr>
          <w:sz w:val="20"/>
          <w:szCs w:val="20"/>
          <w:color w:val="auto"/>
        </w:rPr>
      </w:pPr>
    </w:p>
    <w:p>
      <w:pPr>
        <w:spacing w:after="0" w:line="235" w:lineRule="auto"/>
        <w:rPr>
          <w:sz w:val="20"/>
          <w:szCs w:val="20"/>
          <w:color w:val="auto"/>
        </w:rPr>
      </w:pPr>
      <w:r>
        <w:rPr>
          <w:rFonts w:ascii="Arial" w:cs="Arial" w:eastAsia="Arial" w:hAnsi="Arial"/>
          <w:sz w:val="22"/>
          <w:szCs w:val="22"/>
          <w:color w:val="131413"/>
        </w:rPr>
        <w:t>Evaluation of changes in morphology and viability of cells</w:t>
      </w:r>
    </w:p>
    <w:p>
      <w:pPr>
        <w:spacing w:after="0" w:line="268"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131413"/>
        </w:rPr>
        <w:t>The cells were placed onto petri dishes and incubated within a</w:t>
      </w:r>
    </w:p>
    <w:p>
      <w:pPr>
        <w:spacing w:after="0" w:line="3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131413"/>
        </w:rPr>
        <w:t xml:space="preserve">media containing 12.5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 xml:space="preserve">g/mL, 25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 xml:space="preserve">g/mL and 50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 xml:space="preserve">g/mL </w:t>
      </w:r>
      <w:r>
        <w:rPr>
          <w:rFonts w:ascii="Arial" w:cs="Arial" w:eastAsia="Arial" w:hAnsi="Arial"/>
          <w:sz w:val="20"/>
          <w:szCs w:val="20"/>
          <w:color w:val="131413"/>
        </w:rPr>
        <w:t xml:space="preserve">C. roseus </w:t>
      </w:r>
      <w:r>
        <w:rPr>
          <w:rFonts w:ascii="Times New Roman" w:cs="Times New Roman" w:eastAsia="Times New Roman" w:hAnsi="Times New Roman"/>
          <w:sz w:val="20"/>
          <w:szCs w:val="20"/>
          <w:color w:val="131413"/>
        </w:rPr>
        <w:t>extracts for 24-, 48- and 72 h (van de Venter et al.</w:t>
      </w:r>
    </w:p>
    <w:p>
      <w:pPr>
        <w:spacing w:after="0" w:line="27" w:lineRule="exact"/>
        <w:rPr>
          <w:sz w:val="20"/>
          <w:szCs w:val="20"/>
          <w:color w:val="auto"/>
        </w:rPr>
      </w:pPr>
    </w:p>
    <w:p>
      <w:pPr>
        <w:spacing w:after="0" w:line="246" w:lineRule="auto"/>
        <w:rPr>
          <w:rFonts w:ascii="Times New Roman" w:cs="Times New Roman" w:eastAsia="Times New Roman" w:hAnsi="Times New Roman"/>
          <w:sz w:val="20"/>
          <w:szCs w:val="20"/>
          <w:color w:val="0000FF"/>
        </w:rPr>
      </w:pPr>
      <w:hyperlink w:anchor="page9">
        <w:r>
          <w:rPr>
            <w:rFonts w:ascii="Times New Roman" w:cs="Times New Roman" w:eastAsia="Times New Roman" w:hAnsi="Times New Roman"/>
            <w:sz w:val="20"/>
            <w:szCs w:val="20"/>
            <w:color w:val="0000FF"/>
          </w:rPr>
          <w:t>2008</w:t>
        </w:r>
      </w:hyperlink>
      <w:r>
        <w:rPr>
          <w:rFonts w:ascii="Times New Roman" w:cs="Times New Roman" w:eastAsia="Times New Roman" w:hAnsi="Times New Roman"/>
          <w:sz w:val="20"/>
          <w:szCs w:val="20"/>
          <w:color w:val="131413"/>
        </w:rPr>
        <w:t>). The adherence and morphology of the cells on petri</w:t>
      </w:r>
      <w:r>
        <w:rPr>
          <w:rFonts w:ascii="Times New Roman" w:cs="Times New Roman" w:eastAsia="Times New Roman" w:hAnsi="Times New Roman"/>
          <w:sz w:val="20"/>
          <w:szCs w:val="20"/>
          <w:color w:val="0000FF"/>
        </w:rPr>
        <w:t xml:space="preserve"> </w:t>
      </w:r>
      <w:r>
        <w:rPr>
          <w:rFonts w:ascii="Times New Roman" w:cs="Times New Roman" w:eastAsia="Times New Roman" w:hAnsi="Times New Roman"/>
          <w:sz w:val="20"/>
          <w:szCs w:val="20"/>
          <w:color w:val="131413"/>
        </w:rPr>
        <w:t>dishes were evaluated using light microscopy.</w:t>
      </w:r>
    </w:p>
    <w:p>
      <w:pPr>
        <w:spacing w:after="0" w:line="251" w:lineRule="exact"/>
        <w:rPr>
          <w:sz w:val="20"/>
          <w:szCs w:val="20"/>
          <w:color w:val="auto"/>
        </w:rPr>
      </w:pPr>
    </w:p>
    <w:p>
      <w:pPr>
        <w:spacing w:after="0"/>
        <w:rPr>
          <w:sz w:val="20"/>
          <w:szCs w:val="20"/>
          <w:color w:val="auto"/>
        </w:rPr>
      </w:pPr>
      <w:r>
        <w:rPr>
          <w:rFonts w:ascii="Arial" w:cs="Arial" w:eastAsia="Arial" w:hAnsi="Arial"/>
          <w:sz w:val="22"/>
          <w:szCs w:val="22"/>
          <w:color w:val="131413"/>
        </w:rPr>
        <w:t>Staining of the 3T3-L1 cells with oil red O dye</w:t>
      </w:r>
    </w:p>
    <w:p>
      <w:pPr>
        <w:spacing w:after="0" w:line="20" w:lineRule="exact"/>
        <w:rPr>
          <w:sz w:val="20"/>
          <w:szCs w:val="20"/>
          <w:color w:val="auto"/>
        </w:rPr>
      </w:pPr>
      <w:r>
        <w:rPr>
          <w:sz w:val="20"/>
          <w:szCs w:val="20"/>
          <w:color w:val="auto"/>
        </w:rPr>
        <w:br w:type="column"/>
      </w:r>
    </w:p>
    <w:p>
      <w:pPr>
        <w:spacing w:after="0" w:line="322"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Staining kit. The procedures that adipocytes went through can be summarized so that they were initially fixed at room tem-perature for 20 min in 3.7% formaldehyde followed by rinsing them with distilled water and staining them for 2 h at room temperature. The dye was extracted for 30 min in 0.5 mL of dye extraction solution. The procedure ended by the aspiration of the dye and rinsing of the plates that after with distilled water. Removal of the dye was performed using 0.5 mL of dye extraction buffer for 30 min.</w:t>
      </w:r>
    </w:p>
    <w:p>
      <w:pPr>
        <w:spacing w:after="0" w:line="235" w:lineRule="exact"/>
        <w:rPr>
          <w:sz w:val="20"/>
          <w:szCs w:val="20"/>
          <w:color w:val="auto"/>
        </w:rPr>
      </w:pPr>
    </w:p>
    <w:p>
      <w:pPr>
        <w:ind w:right="360"/>
        <w:spacing w:after="0" w:line="304" w:lineRule="auto"/>
        <w:rPr>
          <w:sz w:val="20"/>
          <w:szCs w:val="20"/>
          <w:color w:val="auto"/>
        </w:rPr>
      </w:pPr>
      <w:r>
        <w:rPr>
          <w:rFonts w:ascii="Arial" w:cs="Arial" w:eastAsia="Arial" w:hAnsi="Arial"/>
          <w:sz w:val="19"/>
          <w:szCs w:val="19"/>
          <w:color w:val="131413"/>
        </w:rPr>
        <w:t>Total RNA isolation and real time reverse transcription-polymerase chain reaction (RT-PCR)</w:t>
      </w:r>
    </w:p>
    <w:p>
      <w:pPr>
        <w:spacing w:after="0" w:line="212"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Total RNA from adipocyte cells was extracted using a RiboEx</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(Cat. No.301</w:t>
      </w:r>
      <w:r>
        <w:rPr>
          <w:rFonts w:ascii="Arial" w:cs="Arial" w:eastAsia="Arial" w:hAnsi="Arial"/>
          <w:sz w:val="19"/>
          <w:szCs w:val="19"/>
          <w:color w:val="131413"/>
        </w:rPr>
        <w:t>–</w:t>
      </w:r>
      <w:r>
        <w:rPr>
          <w:rFonts w:ascii="Times New Roman" w:cs="Times New Roman" w:eastAsia="Times New Roman" w:hAnsi="Times New Roman"/>
          <w:sz w:val="19"/>
          <w:szCs w:val="19"/>
          <w:color w:val="131413"/>
        </w:rPr>
        <w:t>001) total RNA isolation solution from GeneAll (Cat. No.301</w:t>
      </w:r>
      <w:r>
        <w:rPr>
          <w:rFonts w:ascii="Arial" w:cs="Arial" w:eastAsia="Arial" w:hAnsi="Arial"/>
          <w:sz w:val="19"/>
          <w:szCs w:val="19"/>
          <w:color w:val="131413"/>
        </w:rPr>
        <w:t>–</w:t>
      </w:r>
      <w:r>
        <w:rPr>
          <w:rFonts w:ascii="Times New Roman" w:cs="Times New Roman" w:eastAsia="Times New Roman" w:hAnsi="Times New Roman"/>
          <w:sz w:val="19"/>
          <w:szCs w:val="19"/>
          <w:color w:val="131413"/>
        </w:rPr>
        <w:t>902). Ultraviolet light spectro-photometry followed by formaldehyde- agarose gel electro-phoresis was used to determine the quality and quantity of the isolated RNA. Five hundred nanograms of total RNA was reverse transcribed using oligo-dT primers with EasyScript Plus cDNA synthesis kit from ABM Alfagen (Cat. No. G236). The amplification of reverse transcribed RNA was achieved with the use of Ampliqon RealQ Plus 2 × Master Mix Green in the presence of 0.3 mM gene-specific forward and reverse primers by a thermocycling on a Roche Light Cycler 96 Real Time PCR machine for 45 cycles. The tem-peratures and durations for denaturation, annealing and exten-sion were 95 °C for 30 s; 55</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58 °C for 30 s and 72 °C for 30 s, respectively. The normalization of the differences in individ-ual samples was done by the use of amplified 18S expression as a standard control. The description of the mouse Lipoprotein lipase (Lpl), Fatty acid synthase (Fasn), Collagen V (ColV), Interleukin-6 (Il-6) and 18S ribosomal RNA (18S) primer sequences are given below in Table </w:t>
      </w:r>
      <w:hyperlink w:anchor="page9">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 xml:space="preserve">. All expression data for mouse Lpl, Fasn, ColV and Il-6 were interpreted by relating them to 18S RNA. Pooled cDNA of the samples being assayed were used to generate standard curves. This enables the accurate comparison of samples within each assay but do not necessarily enable accurate comparison of samples between different assays represented as arbitrary units. The analyses of all samples were done in duplicates; DNA contamination was eliminated by designing primers spanning an intron. The primers were designed based on the information of the sequences of the genes of interest using The National Center for Biotechnology Information (NCBI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as a source. The information about the primer sequences used for Real Time PCR and the accession numbers of the genes analyzed are shown in Table </w:t>
      </w:r>
      <w:hyperlink w:anchor="page9">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w:t>
      </w:r>
    </w:p>
    <w:p>
      <w:pPr>
        <w:spacing w:after="0" w:line="241" w:lineRule="exact"/>
        <w:rPr>
          <w:rFonts w:ascii="Times New Roman" w:cs="Times New Roman" w:eastAsia="Times New Roman" w:hAnsi="Times New Roman"/>
          <w:sz w:val="19"/>
          <w:szCs w:val="19"/>
          <w:color w:val="131413"/>
        </w:rPr>
      </w:pPr>
    </w:p>
    <w:p>
      <w:pPr>
        <w:spacing w:after="0"/>
        <w:rPr>
          <w:sz w:val="20"/>
          <w:szCs w:val="20"/>
          <w:color w:val="auto"/>
        </w:rPr>
      </w:pPr>
      <w:r>
        <w:rPr>
          <w:rFonts w:ascii="Arial" w:cs="Arial" w:eastAsia="Arial" w:hAnsi="Arial"/>
          <w:sz w:val="22"/>
          <w:szCs w:val="22"/>
          <w:color w:val="131413"/>
        </w:rPr>
        <w:t>Statistical analysis</w:t>
      </w:r>
    </w:p>
    <w:p>
      <w:pPr>
        <w:spacing w:after="0" w:line="21" w:lineRule="exact"/>
        <w:rPr>
          <w:rFonts w:ascii="Times New Roman" w:cs="Times New Roman" w:eastAsia="Times New Roman" w:hAnsi="Times New Roman"/>
          <w:sz w:val="19"/>
          <w:szCs w:val="19"/>
          <w:color w:val="131413"/>
        </w:rPr>
      </w:pPr>
    </w:p>
    <w:p>
      <w:pPr>
        <w:sectPr>
          <w:pgSz w:w="11900" w:h="15817" w:orient="portrait"/>
          <w:cols w:equalWidth="0" w:num="2">
            <w:col w:w="4760" w:space="340"/>
            <w:col w:w="4760"/>
          </w:cols>
          <w:pgMar w:left="1020" w:top="649" w:right="1026" w:bottom="906" w:gutter="0" w:footer="0" w:header="0"/>
          <w:type w:val="continuous"/>
        </w:sectPr>
      </w:pPr>
    </w:p>
    <w:p>
      <w:pPr>
        <w:jc w:val="both"/>
        <w:spacing w:after="0" w:line="271" w:lineRule="auto"/>
        <w:rPr>
          <w:sz w:val="20"/>
          <w:szCs w:val="20"/>
          <w:color w:val="auto"/>
        </w:rPr>
      </w:pPr>
      <w:r>
        <w:rPr>
          <w:rFonts w:ascii="Times New Roman" w:cs="Times New Roman" w:eastAsia="Times New Roman" w:hAnsi="Times New Roman"/>
          <w:sz w:val="19"/>
          <w:szCs w:val="19"/>
          <w:color w:val="131413"/>
        </w:rPr>
        <w:t>The differentiation of 3T3-L1 adipocytes was done as de-scribed previously. Oil Red O staining was done according to manufacturer</w:t>
      </w:r>
      <w:r>
        <w:rPr>
          <w:rFonts w:ascii="Arial" w:cs="Arial" w:eastAsia="Arial" w:hAnsi="Arial"/>
          <w:sz w:val="19"/>
          <w:szCs w:val="19"/>
          <w:color w:val="131413"/>
        </w:rPr>
        <w:t>’</w:t>
      </w:r>
      <w:r>
        <w:rPr>
          <w:rFonts w:ascii="Times New Roman" w:cs="Times New Roman" w:eastAsia="Times New Roman" w:hAnsi="Times New Roman"/>
          <w:sz w:val="19"/>
          <w:szCs w:val="19"/>
          <w:color w:val="131413"/>
        </w:rPr>
        <w:t>s instructions using the Biovision Oil Red O</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228" w:lineRule="exact"/>
        <w:rPr>
          <w:rFonts w:ascii="Times New Roman" w:cs="Times New Roman" w:eastAsia="Times New Roman" w:hAnsi="Times New Roman"/>
          <w:sz w:val="19"/>
          <w:szCs w:val="19"/>
          <w:color w:val="131413"/>
        </w:rPr>
      </w:pPr>
    </w:p>
    <w:p>
      <w:pPr>
        <w:spacing w:after="0" w:line="246" w:lineRule="auto"/>
        <w:rPr>
          <w:sz w:val="20"/>
          <w:szCs w:val="20"/>
          <w:color w:val="auto"/>
        </w:rPr>
      </w:pPr>
      <w:r>
        <w:rPr>
          <w:rFonts w:ascii="Times New Roman" w:cs="Times New Roman" w:eastAsia="Times New Roman" w:hAnsi="Times New Roman"/>
          <w:sz w:val="20"/>
          <w:szCs w:val="20"/>
          <w:color w:val="131413"/>
        </w:rPr>
        <w:t>The comparison of groups with respect to continuous vari-ables and comparison of baseline and posttreatment</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drawing>
          <wp:anchor simplePos="0" relativeHeight="251657728" behindDoc="1" locked="0" layoutInCell="0" allowOverlap="1">
            <wp:simplePos x="0" y="0"/>
            <wp:positionH relativeFrom="column">
              <wp:posOffset>2526030</wp:posOffset>
            </wp:positionH>
            <wp:positionV relativeFrom="paragraph">
              <wp:posOffset>248285</wp:posOffset>
            </wp:positionV>
            <wp:extent cx="483870" cy="13843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60"/>
          </w:cols>
          <w:pgMar w:left="1020" w:top="649" w:right="1026" w:bottom="906" w:gutter="0" w:footer="0" w:header="0"/>
          <w:type w:val="continuous"/>
        </w:sectPr>
      </w:pPr>
    </w:p>
    <w:bookmarkStart w:id="3" w:name="page4"/>
    <w:bookmarkEnd w:id="3"/>
    <w:p>
      <w:pPr>
        <w:ind w:left="9360"/>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41275</wp:posOffset>
                </wp:positionV>
                <wp:extent cx="0" cy="2603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25pt" to="0pt,5.3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54610</wp:posOffset>
                </wp:positionV>
                <wp:extent cx="627634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3pt" to="493.75pt,4.3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41275</wp:posOffset>
                </wp:positionV>
                <wp:extent cx="0" cy="2603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25pt" to="493.25pt,5.3pt" o:allowincell="f" strokecolor="#131413" strokeweight="1pt"/>
            </w:pict>
          </mc:Fallback>
        </mc:AlternateContent>
      </w:r>
    </w:p>
    <w:p>
      <w:pPr>
        <w:spacing w:after="0" w:line="293" w:lineRule="exact"/>
        <w:rPr>
          <w:sz w:val="20"/>
          <w:szCs w:val="20"/>
          <w:color w:val="auto"/>
        </w:rPr>
      </w:pPr>
    </w:p>
    <w:p>
      <w:pPr>
        <w:spacing w:after="0"/>
        <w:tabs>
          <w:tab w:leader="none" w:pos="680" w:val="left"/>
        </w:tabs>
        <w:rPr>
          <w:sz w:val="20"/>
          <w:szCs w:val="20"/>
          <w:color w:val="auto"/>
        </w:rPr>
      </w:pPr>
      <w:r>
        <w:rPr>
          <w:rFonts w:ascii="Arial" w:cs="Arial" w:eastAsia="Arial" w:hAnsi="Arial"/>
          <w:sz w:val="17"/>
          <w:szCs w:val="17"/>
          <w:color w:val="131413"/>
        </w:rPr>
        <w:t>Table 1</w:t>
      </w:r>
      <w:r>
        <w:rPr>
          <w:sz w:val="20"/>
          <w:szCs w:val="20"/>
          <w:color w:val="auto"/>
        </w:rPr>
        <w:tab/>
      </w:r>
      <w:r>
        <w:rPr>
          <w:rFonts w:ascii="Times New Roman" w:cs="Times New Roman" w:eastAsia="Times New Roman" w:hAnsi="Times New Roman"/>
          <w:sz w:val="16"/>
          <w:szCs w:val="16"/>
          <w:color w:val="131413"/>
        </w:rPr>
        <w:t>Sequences, lengths, melting temperatures and NCBI accession numbers for primers designed for real time PCR reactions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45720</wp:posOffset>
                </wp:positionV>
                <wp:extent cx="626999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19900">
                          <a:solidFill>
                            <a:srgbClr val="131413"/>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6pt" to="493.25pt,3.6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6257925</wp:posOffset>
                </wp:positionH>
                <wp:positionV relativeFrom="paragraph">
                  <wp:posOffset>45720</wp:posOffset>
                </wp:positionV>
                <wp:extent cx="1270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2.75pt,3.6pt" to="493.75pt,3.6pt" o:allowincell="f" strokecolor="#131413" strokeweight="0.5669pt"/>
            </w:pict>
          </mc:Fallback>
        </mc:AlternateContent>
      </w:r>
    </w:p>
    <w:p>
      <w:pPr>
        <w:spacing w:after="0" w:line="154" w:lineRule="exact"/>
        <w:rPr>
          <w:sz w:val="20"/>
          <w:szCs w:val="20"/>
          <w:color w:val="auto"/>
        </w:rPr>
      </w:pPr>
    </w:p>
    <w:tbl>
      <w:tblPr>
        <w:tblLayout w:type="fixed"/>
        <w:tblInd w:w="0" w:type="dxa"/>
        <w:tblCellMar>
          <w:top w:w="0" w:type="dxa"/>
          <w:left w:w="0" w:type="dxa"/>
          <w:bottom w:w="0" w:type="dxa"/>
          <w:right w:w="0" w:type="dxa"/>
        </w:tblCellMar>
      </w:tblPr>
      <w:tr>
        <w:trPr>
          <w:trHeight w:val="196"/>
        </w:trPr>
        <w:tc>
          <w:tcPr>
            <w:tcW w:w="640" w:type="dxa"/>
            <w:vAlign w:val="bottom"/>
          </w:tcPr>
          <w:p>
            <w:pPr>
              <w:jc w:val="right"/>
              <w:ind w:right="195"/>
              <w:spacing w:after="0"/>
              <w:rPr>
                <w:sz w:val="20"/>
                <w:szCs w:val="20"/>
                <w:color w:val="auto"/>
              </w:rPr>
            </w:pPr>
            <w:r>
              <w:rPr>
                <w:rFonts w:ascii="Times New Roman" w:cs="Times New Roman" w:eastAsia="Times New Roman" w:hAnsi="Times New Roman"/>
                <w:sz w:val="17"/>
                <w:szCs w:val="17"/>
                <w:color w:val="131413"/>
                <w:w w:val="94"/>
              </w:rPr>
              <w:t>Gene</w:t>
            </w: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Primer sequence (5</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 3</w:t>
            </w:r>
            <w:r>
              <w:rPr>
                <w:rFonts w:ascii="Arial" w:cs="Arial" w:eastAsia="Arial" w:hAnsi="Arial"/>
                <w:sz w:val="17"/>
                <w:szCs w:val="17"/>
                <w:color w:val="131413"/>
              </w:rPr>
              <w:t>′</w:t>
            </w:r>
            <w:r>
              <w:rPr>
                <w:rFonts w:ascii="Times New Roman" w:cs="Times New Roman" w:eastAsia="Times New Roman" w:hAnsi="Times New Roman"/>
                <w:sz w:val="17"/>
                <w:szCs w:val="17"/>
                <w:color w:val="131413"/>
              </w:rPr>
              <w:t>)</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Primer length (bases)</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Tm (°C)</w:t>
            </w:r>
          </w:p>
        </w:tc>
        <w:tc>
          <w:tcPr>
            <w:tcW w:w="2140" w:type="dxa"/>
            <w:vAlign w:val="bottom"/>
            <w:gridSpan w:val="2"/>
          </w:tcPr>
          <w:p>
            <w:pPr>
              <w:ind w:left="280"/>
              <w:spacing w:after="0"/>
              <w:rPr>
                <w:sz w:val="20"/>
                <w:szCs w:val="20"/>
                <w:color w:val="auto"/>
              </w:rPr>
            </w:pPr>
            <w:r>
              <w:rPr>
                <w:rFonts w:ascii="Times New Roman" w:cs="Times New Roman" w:eastAsia="Times New Roman" w:hAnsi="Times New Roman"/>
                <w:sz w:val="17"/>
                <w:szCs w:val="17"/>
                <w:color w:val="131413"/>
                <w:w w:val="96"/>
              </w:rPr>
              <w:t>GenBank accession number</w:t>
            </w:r>
          </w:p>
        </w:tc>
      </w:tr>
      <w:tr>
        <w:trPr>
          <w:trHeight w:val="108"/>
        </w:trPr>
        <w:tc>
          <w:tcPr>
            <w:tcW w:w="640" w:type="dxa"/>
            <w:vAlign w:val="bottom"/>
            <w:tcBorders>
              <w:bottom w:val="single" w:sz="8" w:color="131413"/>
            </w:tcBorders>
          </w:tcPr>
          <w:p>
            <w:pPr>
              <w:spacing w:after="0"/>
              <w:rPr>
                <w:sz w:val="9"/>
                <w:szCs w:val="9"/>
                <w:color w:val="auto"/>
              </w:rPr>
            </w:pPr>
          </w:p>
        </w:tc>
        <w:tc>
          <w:tcPr>
            <w:tcW w:w="3980" w:type="dxa"/>
            <w:vAlign w:val="bottom"/>
            <w:tcBorders>
              <w:bottom w:val="single" w:sz="8" w:color="131413"/>
            </w:tcBorders>
          </w:tcPr>
          <w:p>
            <w:pPr>
              <w:spacing w:after="0"/>
              <w:rPr>
                <w:sz w:val="9"/>
                <w:szCs w:val="9"/>
                <w:color w:val="auto"/>
              </w:rPr>
            </w:pPr>
          </w:p>
        </w:tc>
        <w:tc>
          <w:tcPr>
            <w:tcW w:w="1980" w:type="dxa"/>
            <w:vAlign w:val="bottom"/>
            <w:tcBorders>
              <w:bottom w:val="single" w:sz="8" w:color="131413"/>
            </w:tcBorders>
          </w:tcPr>
          <w:p>
            <w:pPr>
              <w:spacing w:after="0"/>
              <w:rPr>
                <w:sz w:val="9"/>
                <w:szCs w:val="9"/>
                <w:color w:val="auto"/>
              </w:rPr>
            </w:pPr>
          </w:p>
        </w:tc>
        <w:tc>
          <w:tcPr>
            <w:tcW w:w="1140" w:type="dxa"/>
            <w:vAlign w:val="bottom"/>
            <w:tcBorders>
              <w:bottom w:val="single" w:sz="8" w:color="131413"/>
            </w:tcBorders>
          </w:tcPr>
          <w:p>
            <w:pPr>
              <w:spacing w:after="0"/>
              <w:rPr>
                <w:sz w:val="9"/>
                <w:szCs w:val="9"/>
                <w:color w:val="auto"/>
              </w:rPr>
            </w:pPr>
          </w:p>
        </w:tc>
        <w:tc>
          <w:tcPr>
            <w:tcW w:w="21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r>
      <w:tr>
        <w:trPr>
          <w:trHeight w:val="282"/>
        </w:trPr>
        <w:tc>
          <w:tcPr>
            <w:tcW w:w="640" w:type="dxa"/>
            <w:vAlign w:val="bottom"/>
          </w:tcPr>
          <w:p>
            <w:pPr>
              <w:jc w:val="right"/>
              <w:ind w:right="195"/>
              <w:spacing w:after="0"/>
              <w:rPr>
                <w:sz w:val="20"/>
                <w:szCs w:val="20"/>
                <w:color w:val="auto"/>
              </w:rPr>
            </w:pPr>
            <w:r>
              <w:rPr>
                <w:rFonts w:ascii="Times New Roman" w:cs="Times New Roman" w:eastAsia="Times New Roman" w:hAnsi="Times New Roman"/>
                <w:sz w:val="17"/>
                <w:szCs w:val="17"/>
                <w:color w:val="131413"/>
              </w:rPr>
              <w:t>18S</w:t>
            </w: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Forward: TTCGAACGTCTGCCCTATCAA</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21</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63</w:t>
            </w:r>
          </w:p>
        </w:tc>
        <w:tc>
          <w:tcPr>
            <w:tcW w:w="2140" w:type="dxa"/>
            <w:vAlign w:val="bottom"/>
            <w:gridSpan w:val="2"/>
          </w:tcPr>
          <w:p>
            <w:pPr>
              <w:ind w:left="280"/>
              <w:spacing w:after="0"/>
              <w:rPr>
                <w:sz w:val="20"/>
                <w:szCs w:val="20"/>
                <w:color w:val="auto"/>
              </w:rPr>
            </w:pPr>
            <w:r>
              <w:rPr>
                <w:rFonts w:ascii="Times New Roman" w:cs="Times New Roman" w:eastAsia="Times New Roman" w:hAnsi="Times New Roman"/>
                <w:sz w:val="17"/>
                <w:szCs w:val="17"/>
                <w:color w:val="131413"/>
              </w:rPr>
              <w:t>NR_003278.3</w:t>
            </w:r>
          </w:p>
        </w:tc>
      </w:tr>
      <w:tr>
        <w:trPr>
          <w:trHeight w:val="198"/>
        </w:trPr>
        <w:tc>
          <w:tcPr>
            <w:tcW w:w="640" w:type="dxa"/>
            <w:vAlign w:val="bottom"/>
          </w:tcPr>
          <w:p>
            <w:pPr>
              <w:spacing w:after="0"/>
              <w:rPr>
                <w:sz w:val="17"/>
                <w:szCs w:val="17"/>
                <w:color w:val="auto"/>
              </w:rPr>
            </w:pP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Reverse: ATGGTAGGCACGGCGACTA</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19</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63</w:t>
            </w:r>
          </w:p>
        </w:tc>
        <w:tc>
          <w:tcPr>
            <w:tcW w:w="212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54"/>
        </w:trPr>
        <w:tc>
          <w:tcPr>
            <w:tcW w:w="640" w:type="dxa"/>
            <w:vAlign w:val="bottom"/>
          </w:tcPr>
          <w:p>
            <w:pPr>
              <w:jc w:val="right"/>
              <w:ind w:right="195"/>
              <w:spacing w:after="0"/>
              <w:rPr>
                <w:sz w:val="20"/>
                <w:szCs w:val="20"/>
                <w:color w:val="auto"/>
              </w:rPr>
            </w:pPr>
            <w:r>
              <w:rPr>
                <w:rFonts w:ascii="Times New Roman" w:cs="Times New Roman" w:eastAsia="Times New Roman" w:hAnsi="Times New Roman"/>
                <w:sz w:val="17"/>
                <w:szCs w:val="17"/>
                <w:color w:val="131413"/>
              </w:rPr>
              <w:t>Lpl</w:t>
            </w: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Forward: ACTCGCTCTCAGATGCCCTA</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20</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65</w:t>
            </w:r>
          </w:p>
        </w:tc>
        <w:tc>
          <w:tcPr>
            <w:tcW w:w="2140" w:type="dxa"/>
            <w:vAlign w:val="bottom"/>
            <w:gridSpan w:val="2"/>
          </w:tcPr>
          <w:p>
            <w:pPr>
              <w:ind w:left="280"/>
              <w:spacing w:after="0"/>
              <w:rPr>
                <w:sz w:val="20"/>
                <w:szCs w:val="20"/>
                <w:color w:val="auto"/>
              </w:rPr>
            </w:pPr>
            <w:r>
              <w:rPr>
                <w:rFonts w:ascii="Times New Roman" w:cs="Times New Roman" w:eastAsia="Times New Roman" w:hAnsi="Times New Roman"/>
                <w:sz w:val="17"/>
                <w:szCs w:val="17"/>
                <w:color w:val="131413"/>
              </w:rPr>
              <w:t>NM_008509.2</w:t>
            </w:r>
          </w:p>
        </w:tc>
      </w:tr>
      <w:tr>
        <w:trPr>
          <w:trHeight w:val="200"/>
        </w:trPr>
        <w:tc>
          <w:tcPr>
            <w:tcW w:w="640" w:type="dxa"/>
            <w:vAlign w:val="bottom"/>
          </w:tcPr>
          <w:p>
            <w:pPr>
              <w:spacing w:after="0"/>
              <w:rPr>
                <w:sz w:val="17"/>
                <w:szCs w:val="17"/>
                <w:color w:val="auto"/>
              </w:rPr>
            </w:pP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Reverse: TTGTGTTGCTTGCCATTCTC</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20</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60</w:t>
            </w:r>
          </w:p>
        </w:tc>
        <w:tc>
          <w:tcPr>
            <w:tcW w:w="212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54"/>
        </w:trPr>
        <w:tc>
          <w:tcPr>
            <w:tcW w:w="640" w:type="dxa"/>
            <w:vAlign w:val="bottom"/>
          </w:tcPr>
          <w:p>
            <w:pPr>
              <w:jc w:val="right"/>
              <w:ind w:right="195"/>
              <w:spacing w:after="0"/>
              <w:rPr>
                <w:sz w:val="20"/>
                <w:szCs w:val="20"/>
                <w:color w:val="auto"/>
              </w:rPr>
            </w:pPr>
            <w:r>
              <w:rPr>
                <w:rFonts w:ascii="Times New Roman" w:cs="Times New Roman" w:eastAsia="Times New Roman" w:hAnsi="Times New Roman"/>
                <w:sz w:val="17"/>
                <w:szCs w:val="17"/>
                <w:color w:val="131413"/>
              </w:rPr>
              <w:t>Fasn</w:t>
            </w: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Forward: CTGAGATCCCAGCACTTCTTGA</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22</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64</w:t>
            </w:r>
          </w:p>
        </w:tc>
        <w:tc>
          <w:tcPr>
            <w:tcW w:w="2140" w:type="dxa"/>
            <w:vAlign w:val="bottom"/>
            <w:gridSpan w:val="2"/>
          </w:tcPr>
          <w:p>
            <w:pPr>
              <w:ind w:left="280"/>
              <w:spacing w:after="0"/>
              <w:rPr>
                <w:sz w:val="20"/>
                <w:szCs w:val="20"/>
                <w:color w:val="auto"/>
              </w:rPr>
            </w:pPr>
            <w:r>
              <w:rPr>
                <w:rFonts w:ascii="Times New Roman" w:cs="Times New Roman" w:eastAsia="Times New Roman" w:hAnsi="Times New Roman"/>
                <w:sz w:val="17"/>
                <w:szCs w:val="17"/>
                <w:color w:val="131413"/>
              </w:rPr>
              <w:t>NM_007988.3</w:t>
            </w:r>
          </w:p>
        </w:tc>
      </w:tr>
      <w:tr>
        <w:trPr>
          <w:trHeight w:val="200"/>
        </w:trPr>
        <w:tc>
          <w:tcPr>
            <w:tcW w:w="640" w:type="dxa"/>
            <w:vAlign w:val="bottom"/>
          </w:tcPr>
          <w:p>
            <w:pPr>
              <w:spacing w:after="0"/>
              <w:rPr>
                <w:sz w:val="17"/>
                <w:szCs w:val="17"/>
                <w:color w:val="auto"/>
              </w:rPr>
            </w:pP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Reverse: GCCTCCGAAGCCAAATGAG</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19</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63</w:t>
            </w:r>
          </w:p>
        </w:tc>
        <w:tc>
          <w:tcPr>
            <w:tcW w:w="212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54"/>
        </w:trPr>
        <w:tc>
          <w:tcPr>
            <w:tcW w:w="640" w:type="dxa"/>
            <w:vAlign w:val="bottom"/>
          </w:tcPr>
          <w:p>
            <w:pPr>
              <w:jc w:val="right"/>
              <w:ind w:right="195"/>
              <w:spacing w:after="0"/>
              <w:rPr>
                <w:sz w:val="20"/>
                <w:szCs w:val="20"/>
                <w:color w:val="auto"/>
              </w:rPr>
            </w:pPr>
            <w:r>
              <w:rPr>
                <w:rFonts w:ascii="Times New Roman" w:cs="Times New Roman" w:eastAsia="Times New Roman" w:hAnsi="Times New Roman"/>
                <w:sz w:val="17"/>
                <w:szCs w:val="17"/>
                <w:color w:val="131413"/>
              </w:rPr>
              <w:t>Il-6</w:t>
            </w: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Forward: ACCAAACTGGATATAATCAGGAAA</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24</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56</w:t>
            </w:r>
          </w:p>
        </w:tc>
        <w:tc>
          <w:tcPr>
            <w:tcW w:w="2140" w:type="dxa"/>
            <w:vAlign w:val="bottom"/>
            <w:gridSpan w:val="2"/>
          </w:tcPr>
          <w:p>
            <w:pPr>
              <w:ind w:left="280"/>
              <w:spacing w:after="0"/>
              <w:rPr>
                <w:sz w:val="20"/>
                <w:szCs w:val="20"/>
                <w:color w:val="auto"/>
              </w:rPr>
            </w:pPr>
            <w:r>
              <w:rPr>
                <w:rFonts w:ascii="Times New Roman" w:cs="Times New Roman" w:eastAsia="Times New Roman" w:hAnsi="Times New Roman"/>
                <w:sz w:val="17"/>
                <w:szCs w:val="17"/>
                <w:color w:val="131413"/>
              </w:rPr>
              <w:t>NM_031168.2</w:t>
            </w:r>
          </w:p>
        </w:tc>
      </w:tr>
      <w:tr>
        <w:trPr>
          <w:trHeight w:val="200"/>
        </w:trPr>
        <w:tc>
          <w:tcPr>
            <w:tcW w:w="640" w:type="dxa"/>
            <w:vAlign w:val="bottom"/>
          </w:tcPr>
          <w:p>
            <w:pPr>
              <w:spacing w:after="0"/>
              <w:rPr>
                <w:sz w:val="17"/>
                <w:szCs w:val="17"/>
                <w:color w:val="auto"/>
              </w:rPr>
            </w:pP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Reverse: GAGAGCATTGGAAATTGGGG</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20</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57</w:t>
            </w:r>
          </w:p>
        </w:tc>
        <w:tc>
          <w:tcPr>
            <w:tcW w:w="212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254"/>
        </w:trPr>
        <w:tc>
          <w:tcPr>
            <w:tcW w:w="640" w:type="dxa"/>
            <w:vAlign w:val="bottom"/>
          </w:tcPr>
          <w:p>
            <w:pPr>
              <w:jc w:val="right"/>
              <w:ind w:right="195"/>
              <w:spacing w:after="0"/>
              <w:rPr>
                <w:sz w:val="20"/>
                <w:szCs w:val="20"/>
                <w:color w:val="auto"/>
              </w:rPr>
            </w:pPr>
            <w:r>
              <w:rPr>
                <w:rFonts w:ascii="Times New Roman" w:cs="Times New Roman" w:eastAsia="Times New Roman" w:hAnsi="Times New Roman"/>
                <w:sz w:val="17"/>
                <w:szCs w:val="17"/>
                <w:color w:val="131413"/>
                <w:w w:val="92"/>
              </w:rPr>
              <w:t>ColV</w:t>
            </w: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Forward:CTCAGGGGTAACGAAAACCA</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20</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60</w:t>
            </w:r>
          </w:p>
        </w:tc>
        <w:tc>
          <w:tcPr>
            <w:tcW w:w="2140" w:type="dxa"/>
            <w:vAlign w:val="bottom"/>
            <w:gridSpan w:val="2"/>
          </w:tcPr>
          <w:p>
            <w:pPr>
              <w:ind w:left="280"/>
              <w:spacing w:after="0"/>
              <w:rPr>
                <w:sz w:val="20"/>
                <w:szCs w:val="20"/>
                <w:color w:val="auto"/>
              </w:rPr>
            </w:pPr>
            <w:r>
              <w:rPr>
                <w:rFonts w:ascii="Times New Roman" w:cs="Times New Roman" w:eastAsia="Times New Roman" w:hAnsi="Times New Roman"/>
                <w:sz w:val="17"/>
                <w:szCs w:val="17"/>
                <w:color w:val="131413"/>
              </w:rPr>
              <w:t>NM_015734.2</w:t>
            </w:r>
          </w:p>
        </w:tc>
      </w:tr>
      <w:tr>
        <w:trPr>
          <w:trHeight w:val="198"/>
        </w:trPr>
        <w:tc>
          <w:tcPr>
            <w:tcW w:w="640" w:type="dxa"/>
            <w:vAlign w:val="bottom"/>
          </w:tcPr>
          <w:p>
            <w:pPr>
              <w:spacing w:after="0"/>
              <w:rPr>
                <w:sz w:val="17"/>
                <w:szCs w:val="17"/>
                <w:color w:val="auto"/>
              </w:rPr>
            </w:pPr>
          </w:p>
        </w:tc>
        <w:tc>
          <w:tcPr>
            <w:tcW w:w="3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Reverse:GGAGAAGTCCTCGGGAAAAC</w:t>
            </w:r>
          </w:p>
        </w:tc>
        <w:tc>
          <w:tcPr>
            <w:tcW w:w="198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20</w:t>
            </w:r>
          </w:p>
        </w:tc>
        <w:tc>
          <w:tcPr>
            <w:tcW w:w="1140" w:type="dxa"/>
            <w:vAlign w:val="bottom"/>
          </w:tcPr>
          <w:p>
            <w:pPr>
              <w:ind w:left="300"/>
              <w:spacing w:after="0"/>
              <w:rPr>
                <w:sz w:val="20"/>
                <w:szCs w:val="20"/>
                <w:color w:val="auto"/>
              </w:rPr>
            </w:pPr>
            <w:r>
              <w:rPr>
                <w:rFonts w:ascii="Times New Roman" w:cs="Times New Roman" w:eastAsia="Times New Roman" w:hAnsi="Times New Roman"/>
                <w:sz w:val="17"/>
                <w:szCs w:val="17"/>
                <w:color w:val="131413"/>
              </w:rPr>
              <w:t>60</w:t>
            </w:r>
          </w:p>
        </w:tc>
        <w:tc>
          <w:tcPr>
            <w:tcW w:w="2120" w:type="dxa"/>
            <w:vAlign w:val="bottom"/>
          </w:tcPr>
          <w:p>
            <w:pPr>
              <w:spacing w:after="0"/>
              <w:rPr>
                <w:sz w:val="17"/>
                <w:szCs w:val="17"/>
                <w:color w:val="auto"/>
              </w:rPr>
            </w:pPr>
          </w:p>
        </w:tc>
        <w:tc>
          <w:tcPr>
            <w:tcW w:w="20" w:type="dxa"/>
            <w:vAlign w:val="bottom"/>
          </w:tcPr>
          <w:p>
            <w:pPr>
              <w:spacing w:after="0"/>
              <w:rPr>
                <w:sz w:val="17"/>
                <w:szCs w:val="17"/>
                <w:color w:val="auto"/>
              </w:rPr>
            </w:pPr>
          </w:p>
        </w:tc>
      </w:tr>
      <w:tr>
        <w:trPr>
          <w:trHeight w:val="106"/>
        </w:trPr>
        <w:tc>
          <w:tcPr>
            <w:tcW w:w="640" w:type="dxa"/>
            <w:vAlign w:val="bottom"/>
            <w:tcBorders>
              <w:bottom w:val="single" w:sz="8" w:color="131413"/>
            </w:tcBorders>
          </w:tcPr>
          <w:p>
            <w:pPr>
              <w:spacing w:after="0"/>
              <w:rPr>
                <w:sz w:val="9"/>
                <w:szCs w:val="9"/>
                <w:color w:val="auto"/>
              </w:rPr>
            </w:pPr>
          </w:p>
        </w:tc>
        <w:tc>
          <w:tcPr>
            <w:tcW w:w="3980" w:type="dxa"/>
            <w:vAlign w:val="bottom"/>
            <w:tcBorders>
              <w:bottom w:val="single" w:sz="8" w:color="131413"/>
            </w:tcBorders>
          </w:tcPr>
          <w:p>
            <w:pPr>
              <w:spacing w:after="0"/>
              <w:rPr>
                <w:sz w:val="9"/>
                <w:szCs w:val="9"/>
                <w:color w:val="auto"/>
              </w:rPr>
            </w:pPr>
          </w:p>
        </w:tc>
        <w:tc>
          <w:tcPr>
            <w:tcW w:w="1980" w:type="dxa"/>
            <w:vAlign w:val="bottom"/>
            <w:tcBorders>
              <w:bottom w:val="single" w:sz="8" w:color="131413"/>
            </w:tcBorders>
          </w:tcPr>
          <w:p>
            <w:pPr>
              <w:spacing w:after="0"/>
              <w:rPr>
                <w:sz w:val="9"/>
                <w:szCs w:val="9"/>
                <w:color w:val="auto"/>
              </w:rPr>
            </w:pPr>
          </w:p>
        </w:tc>
        <w:tc>
          <w:tcPr>
            <w:tcW w:w="1140" w:type="dxa"/>
            <w:vAlign w:val="bottom"/>
            <w:tcBorders>
              <w:bottom w:val="single" w:sz="8" w:color="131413"/>
            </w:tcBorders>
          </w:tcPr>
          <w:p>
            <w:pPr>
              <w:spacing w:after="0"/>
              <w:rPr>
                <w:sz w:val="9"/>
                <w:szCs w:val="9"/>
                <w:color w:val="auto"/>
              </w:rPr>
            </w:pPr>
          </w:p>
        </w:tc>
        <w:tc>
          <w:tcPr>
            <w:tcW w:w="2120" w:type="dxa"/>
            <w:vAlign w:val="bottom"/>
            <w:tcBorders>
              <w:bottom w:val="single" w:sz="8" w:color="131413"/>
            </w:tcBorders>
          </w:tcPr>
          <w:p>
            <w:pPr>
              <w:spacing w:after="0"/>
              <w:rPr>
                <w:sz w:val="9"/>
                <w:szCs w:val="9"/>
                <w:color w:val="auto"/>
              </w:rPr>
            </w:pPr>
          </w:p>
        </w:tc>
        <w:tc>
          <w:tcPr>
            <w:tcW w:w="20" w:type="dxa"/>
            <w:vAlign w:val="bottom"/>
            <w:tcBorders>
              <w:bottom w:val="single" w:sz="8" w:color="131413"/>
            </w:tcBorders>
          </w:tcPr>
          <w:p>
            <w:pPr>
              <w:spacing w:after="0"/>
              <w:rPr>
                <w:sz w:val="9"/>
                <w:szCs w:val="9"/>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-9525</wp:posOffset>
                </wp:positionV>
                <wp:extent cx="1206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0.7499pt" to="0.5pt,-0.7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-1546225</wp:posOffset>
                </wp:positionV>
                <wp:extent cx="1206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1">
                          <a:solidFill>
                            <a:srgbClr val="131413"/>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121.7499pt" to="0.5pt,-121.7499pt" o:allowincell="f" strokecolor="#131413" strokeweight="0.567pt"/>
            </w:pict>
          </mc:Fallback>
        </mc:AlternateContent>
      </w:r>
    </w:p>
    <w:p>
      <w:pPr>
        <w:sectPr>
          <w:pgSz w:w="11900" w:h="15817" w:orient="portrait"/>
          <w:cols w:equalWidth="0" w:num="1">
            <w:col w:w="9880"/>
          </w:cols>
          <w:pgMar w:left="1020" w:top="649" w:right="1006" w:bottom="897" w:gutter="0" w:footer="0" w:header="0"/>
        </w:sectPr>
      </w:pPr>
    </w:p>
    <w:p>
      <w:pPr>
        <w:spacing w:after="0" w:line="200" w:lineRule="exact"/>
        <w:rPr>
          <w:sz w:val="20"/>
          <w:szCs w:val="20"/>
          <w:color w:val="auto"/>
        </w:rPr>
      </w:pPr>
    </w:p>
    <w:p>
      <w:pPr>
        <w:spacing w:after="0" w:line="202" w:lineRule="exact"/>
        <w:rPr>
          <w:sz w:val="20"/>
          <w:szCs w:val="20"/>
          <w:color w:val="auto"/>
        </w:rPr>
      </w:pPr>
    </w:p>
    <w:p>
      <w:pPr>
        <w:jc w:val="both"/>
        <w:spacing w:after="0" w:line="271" w:lineRule="auto"/>
        <w:rPr>
          <w:sz w:val="20"/>
          <w:szCs w:val="20"/>
          <w:color w:val="auto"/>
        </w:rPr>
      </w:pPr>
      <w:r>
        <w:rPr>
          <w:rFonts w:ascii="Times New Roman" w:cs="Times New Roman" w:eastAsia="Times New Roman" w:hAnsi="Times New Roman"/>
          <w:sz w:val="19"/>
          <w:szCs w:val="19"/>
          <w:color w:val="131413"/>
        </w:rPr>
        <w:t>measurements were done by using Student</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s two-sample t-test and a paired t-test respectively. Differentially expressed genes with significance were identified using a </w:t>
      </w:r>
      <w:r>
        <w:rPr>
          <w:rFonts w:ascii="Arial" w:cs="Arial" w:eastAsia="Arial" w:hAnsi="Arial"/>
          <w:sz w:val="19"/>
          <w:szCs w:val="19"/>
          <w:color w:val="131413"/>
        </w:rPr>
        <w:t>P</w:t>
      </w:r>
      <w:r>
        <w:rPr>
          <w:rFonts w:ascii="Times New Roman" w:cs="Times New Roman" w:eastAsia="Times New Roman" w:hAnsi="Times New Roman"/>
          <w:sz w:val="19"/>
          <w:szCs w:val="19"/>
          <w:color w:val="131413"/>
        </w:rPr>
        <w:t xml:space="preserve"> value &lt;0.03.</w:t>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Arial" w:cs="Arial" w:eastAsia="Arial" w:hAnsi="Arial"/>
          <w:sz w:val="24"/>
          <w:szCs w:val="24"/>
          <w:color w:val="131413"/>
        </w:rPr>
        <w:t>Results</w:t>
      </w:r>
    </w:p>
    <w:p>
      <w:pPr>
        <w:spacing w:after="0" w:line="248" w:lineRule="exact"/>
        <w:rPr>
          <w:sz w:val="20"/>
          <w:szCs w:val="20"/>
          <w:color w:val="auto"/>
        </w:rPr>
      </w:pPr>
    </w:p>
    <w:p>
      <w:pPr>
        <w:ind w:right="380"/>
        <w:spacing w:after="0" w:line="234" w:lineRule="auto"/>
        <w:rPr>
          <w:sz w:val="20"/>
          <w:szCs w:val="20"/>
          <w:color w:val="auto"/>
        </w:rPr>
      </w:pPr>
      <w:r>
        <w:rPr>
          <w:rFonts w:ascii="Arial" w:cs="Arial" w:eastAsia="Arial" w:hAnsi="Arial"/>
          <w:sz w:val="22"/>
          <w:szCs w:val="22"/>
          <w:color w:val="131413"/>
        </w:rPr>
        <w:t>The effect of Catharanthus roseus extract on cell viability</w:t>
      </w:r>
    </w:p>
    <w:p>
      <w:pPr>
        <w:spacing w:after="0" w:line="258" w:lineRule="exact"/>
        <w:rPr>
          <w:sz w:val="20"/>
          <w:szCs w:val="20"/>
          <w:color w:val="auto"/>
        </w:rPr>
      </w:pPr>
    </w:p>
    <w:p>
      <w:pPr>
        <w:jc w:val="both"/>
        <w:spacing w:after="0" w:line="289"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To observe the effect of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xml:space="preserve"> extracts on undifferentiated 3T3-L1 cells, cell morphology and cell survival circumstances were examined. 3T3-L1 cells are adherent cells and they need to be attached to the surface to maintain their viability and the tendency of them to detach will be indicative of a deteriorated cell morphology. Therefore, it was investigated whether the doses of 12.5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and 50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of ethanol-dissolved extracts obtained from the above-ground parts of the plant along with the solvent itself alone had unfavorable ef-fects on the cells. Cells were exposed to these determined doses for 24-, 48- and 72 h. At the end of the treatment of cells with the solvent itself alone in all time durations, it was observed that the solvent used had no toxic effect on the cells and was suitable for the experiment since there was neither a detachment of the cells from surface nor a change in cell morphology (Fig. </w:t>
      </w:r>
      <w:hyperlink w:anchor="page9">
        <w:r>
          <w:rPr>
            <w:rFonts w:ascii="Times New Roman" w:cs="Times New Roman" w:eastAsia="Times New Roman" w:hAnsi="Times New Roman"/>
            <w:sz w:val="18"/>
            <w:szCs w:val="18"/>
            <w:color w:val="0000FF"/>
          </w:rPr>
          <w:t>1a, b, c</w:t>
        </w:r>
      </w:hyperlink>
      <w:r>
        <w:rPr>
          <w:rFonts w:ascii="Times New Roman" w:cs="Times New Roman" w:eastAsia="Times New Roman" w:hAnsi="Times New Roman"/>
          <w:sz w:val="18"/>
          <w:szCs w:val="18"/>
          <w:color w:val="131413"/>
        </w:rPr>
        <w:t>). The treatment of the cells with the extract for 72 h, regardless of concentration and time, both affected the cells</w:t>
      </w:r>
      <w:r>
        <w:rPr>
          <w:rFonts w:ascii="Arial" w:cs="Arial" w:eastAsia="Arial" w:hAnsi="Arial"/>
          <w:sz w:val="18"/>
          <w:szCs w:val="18"/>
          <w:color w:val="131413"/>
        </w:rPr>
        <w:t>’</w:t>
      </w:r>
      <w:r>
        <w:rPr>
          <w:rFonts w:ascii="Times New Roman" w:cs="Times New Roman" w:eastAsia="Times New Roman" w:hAnsi="Times New Roman"/>
          <w:sz w:val="18"/>
          <w:szCs w:val="18"/>
          <w:color w:val="131413"/>
        </w:rPr>
        <w:t xml:space="preserve"> adherence to the surface to which they were attached and caused deterioration in their morphology. Based on this, it was concluded that the application of extracts for 72 h had a negative effect on cell viability (Fig. </w:t>
      </w:r>
      <w:hyperlink w:anchor="page9">
        <w:r>
          <w:rPr>
            <w:rFonts w:ascii="Times New Roman" w:cs="Times New Roman" w:eastAsia="Times New Roman" w:hAnsi="Times New Roman"/>
            <w:sz w:val="18"/>
            <w:szCs w:val="18"/>
            <w:color w:val="0000FF"/>
          </w:rPr>
          <w:t>1f, i, l</w:t>
        </w:r>
      </w:hyperlink>
      <w:r>
        <w:rPr>
          <w:rFonts w:ascii="Times New Roman" w:cs="Times New Roman" w:eastAsia="Times New Roman" w:hAnsi="Times New Roman"/>
          <w:sz w:val="18"/>
          <w:szCs w:val="18"/>
          <w:color w:val="131413"/>
        </w:rPr>
        <w:t xml:space="preserve">). It was also demonstrated in this study that the treatment of the cells with extracts at doses of 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and 50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for 48 h, resulted in cell detachment and morphology deterioration. Thus, it was concluded that the treatment of cells with an extract dose of 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and above for 48 h and more had no favorable effect on cell viability (Fig. </w:t>
      </w:r>
      <w:hyperlink w:anchor="page9">
        <w:r>
          <w:rPr>
            <w:rFonts w:ascii="Times New Roman" w:cs="Times New Roman" w:eastAsia="Times New Roman" w:hAnsi="Times New Roman"/>
            <w:sz w:val="18"/>
            <w:szCs w:val="18"/>
            <w:color w:val="0000FF"/>
          </w:rPr>
          <w:t>1g</w:t>
        </w:r>
        <w:r>
          <w:rPr>
            <w:rFonts w:ascii="Arial" w:cs="Arial" w:eastAsia="Arial" w:hAnsi="Arial"/>
            <w:sz w:val="18"/>
            <w:szCs w:val="18"/>
            <w:color w:val="0000FF"/>
          </w:rPr>
          <w:t>–</w:t>
        </w:r>
        <w:r>
          <w:rPr>
            <w:rFonts w:ascii="Times New Roman" w:cs="Times New Roman" w:eastAsia="Times New Roman" w:hAnsi="Times New Roman"/>
            <w:sz w:val="18"/>
            <w:szCs w:val="18"/>
            <w:color w:val="0000FF"/>
          </w:rPr>
          <w:t>l</w:t>
        </w:r>
      </w:hyperlink>
      <w:r>
        <w:rPr>
          <w:rFonts w:ascii="Times New Roman" w:cs="Times New Roman" w:eastAsia="Times New Roman" w:hAnsi="Times New Roman"/>
          <w:sz w:val="18"/>
          <w:szCs w:val="18"/>
          <w:color w:val="131413"/>
        </w:rPr>
        <w:t xml:space="preserve">). It was ob-served that treatment of the cells with 12.5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g/mL extract for 24 h and 48 h did not cause a significant decrease in cell</w:t>
      </w:r>
    </w:p>
    <w:p>
      <w:pPr>
        <w:spacing w:after="0" w:line="20" w:lineRule="exact"/>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drawing>
          <wp:anchor simplePos="0" relativeHeight="251657728" behindDoc="1" locked="0" layoutInCell="0" allowOverlap="1">
            <wp:simplePos x="0" y="0"/>
            <wp:positionH relativeFrom="column">
              <wp:posOffset>0</wp:posOffset>
            </wp:positionH>
            <wp:positionV relativeFrom="paragraph">
              <wp:posOffset>390525</wp:posOffset>
            </wp:positionV>
            <wp:extent cx="483870" cy="1384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br w:type="column"/>
      </w:r>
    </w:p>
    <w:p>
      <w:pPr>
        <w:spacing w:after="0" w:line="382" w:lineRule="exact"/>
        <w:rPr>
          <w:rFonts w:ascii="Times New Roman" w:cs="Times New Roman" w:eastAsia="Times New Roman" w:hAnsi="Times New Roman"/>
          <w:sz w:val="18"/>
          <w:szCs w:val="18"/>
          <w:color w:val="131413"/>
        </w:rPr>
      </w:pPr>
    </w:p>
    <w:p>
      <w:pPr>
        <w:jc w:val="both"/>
        <w:ind w:right="20"/>
        <w:spacing w:after="0" w:line="288" w:lineRule="auto"/>
        <w:rPr>
          <w:sz w:val="20"/>
          <w:szCs w:val="20"/>
          <w:color w:val="auto"/>
        </w:rPr>
      </w:pPr>
      <w:r>
        <w:rPr>
          <w:rFonts w:ascii="Times New Roman" w:cs="Times New Roman" w:eastAsia="Times New Roman" w:hAnsi="Times New Roman"/>
          <w:sz w:val="18"/>
          <w:szCs w:val="18"/>
          <w:color w:val="131413"/>
        </w:rPr>
        <w:t>attachment to the surface and did not result in a negative effect on cell morphology. Based on all these evaluations, it was</w:t>
      </w:r>
    </w:p>
    <w:p>
      <w:pPr>
        <w:spacing w:after="0" w:line="1" w:lineRule="exact"/>
        <w:rPr>
          <w:rFonts w:ascii="Times New Roman" w:cs="Times New Roman" w:eastAsia="Times New Roman" w:hAnsi="Times New Roman"/>
          <w:sz w:val="18"/>
          <w:szCs w:val="18"/>
          <w:color w:val="131413"/>
        </w:rPr>
      </w:pPr>
    </w:p>
    <w:p>
      <w:pPr>
        <w:jc w:val="both"/>
        <w:ind w:right="20"/>
        <w:spacing w:after="0" w:line="247" w:lineRule="auto"/>
        <w:rPr>
          <w:sz w:val="20"/>
          <w:szCs w:val="20"/>
          <w:color w:val="auto"/>
        </w:rPr>
      </w:pPr>
      <w:r>
        <w:rPr>
          <w:rFonts w:ascii="Times New Roman" w:cs="Times New Roman" w:eastAsia="Times New Roman" w:hAnsi="Times New Roman"/>
          <w:sz w:val="20"/>
          <w:szCs w:val="20"/>
          <w:color w:val="131413"/>
        </w:rPr>
        <w:t xml:space="preserve">concluded that the best condition for the cells to be treated with </w:t>
      </w:r>
      <w:r>
        <w:rPr>
          <w:rFonts w:ascii="Arial" w:cs="Arial" w:eastAsia="Arial" w:hAnsi="Arial"/>
          <w:sz w:val="20"/>
          <w:szCs w:val="20"/>
          <w:color w:val="131413"/>
        </w:rPr>
        <w:t>C. roseus</w:t>
      </w:r>
      <w:r>
        <w:rPr>
          <w:rFonts w:ascii="Times New Roman" w:cs="Times New Roman" w:eastAsia="Times New Roman" w:hAnsi="Times New Roman"/>
          <w:sz w:val="20"/>
          <w:szCs w:val="20"/>
          <w:color w:val="131413"/>
        </w:rPr>
        <w:t xml:space="preserve"> extract is 12.5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g/mL dose application for</w:t>
      </w:r>
    </w:p>
    <w:p>
      <w:pPr>
        <w:spacing w:after="0" w:line="11" w:lineRule="exact"/>
        <w:rPr>
          <w:rFonts w:ascii="Times New Roman" w:cs="Times New Roman" w:eastAsia="Times New Roman" w:hAnsi="Times New Roman"/>
          <w:sz w:val="18"/>
          <w:szCs w:val="18"/>
          <w:color w:val="131413"/>
        </w:rPr>
      </w:pPr>
    </w:p>
    <w:p>
      <w:pPr>
        <w:spacing w:after="0"/>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24- and 48 h (Fig. </w:t>
      </w:r>
      <w:hyperlink w:anchor="page9">
        <w:r>
          <w:rPr>
            <w:rFonts w:ascii="Times New Roman" w:cs="Times New Roman" w:eastAsia="Times New Roman" w:hAnsi="Times New Roman"/>
            <w:sz w:val="20"/>
            <w:szCs w:val="20"/>
            <w:color w:val="0000FF"/>
          </w:rPr>
          <w:t>1d, e</w:t>
        </w:r>
      </w:hyperlink>
      <w:r>
        <w:rPr>
          <w:rFonts w:ascii="Times New Roman" w:cs="Times New Roman" w:eastAsia="Times New Roman" w:hAnsi="Times New Roman"/>
          <w:sz w:val="20"/>
          <w:szCs w:val="20"/>
          <w:color w:val="131413"/>
        </w:rPr>
        <w:t>).</w:t>
      </w:r>
    </w:p>
    <w:p>
      <w:pPr>
        <w:spacing w:after="0" w:line="32" w:lineRule="exact"/>
        <w:rPr>
          <w:rFonts w:ascii="Times New Roman" w:cs="Times New Roman" w:eastAsia="Times New Roman" w:hAnsi="Times New Roman"/>
          <w:sz w:val="18"/>
          <w:szCs w:val="18"/>
          <w:color w:val="131413"/>
        </w:rPr>
      </w:pPr>
    </w:p>
    <w:p>
      <w:pPr>
        <w:jc w:val="both"/>
        <w:ind w:right="20"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The information about the size of the cells both in Fig. </w:t>
      </w:r>
      <w:hyperlink w:anchor="page9">
        <w:r>
          <w:rPr>
            <w:rFonts w:ascii="Times New Roman" w:cs="Times New Roman" w:eastAsia="Times New Roman" w:hAnsi="Times New Roman"/>
            <w:sz w:val="19"/>
            <w:szCs w:val="19"/>
            <w:color w:val="0000FF"/>
          </w:rPr>
          <w:t>1</w:t>
        </w:r>
      </w:hyperlink>
      <w:r>
        <w:rPr>
          <w:rFonts w:ascii="Times New Roman" w:cs="Times New Roman" w:eastAsia="Times New Roman" w:hAnsi="Times New Roman"/>
          <w:sz w:val="19"/>
          <w:szCs w:val="19"/>
          <w:color w:val="131413"/>
        </w:rPr>
        <w:t xml:space="preserve"> and Fig. </w:t>
      </w:r>
      <w:hyperlink w:anchor="page9">
        <w:r>
          <w:rPr>
            <w:rFonts w:ascii="Times New Roman" w:cs="Times New Roman" w:eastAsia="Times New Roman" w:hAnsi="Times New Roman"/>
            <w:sz w:val="19"/>
            <w:szCs w:val="19"/>
            <w:color w:val="0000FF"/>
          </w:rPr>
          <w:t>2</w:t>
        </w:r>
        <w:r>
          <w:rPr>
            <w:rFonts w:ascii="Times New Roman" w:cs="Times New Roman" w:eastAsia="Times New Roman" w:hAnsi="Times New Roman"/>
            <w:sz w:val="19"/>
            <w:szCs w:val="19"/>
            <w:color w:val="131413"/>
          </w:rPr>
          <w:t xml:space="preserve"> </w:t>
        </w:r>
      </w:hyperlink>
      <w:r>
        <w:rPr>
          <w:rFonts w:ascii="Times New Roman" w:cs="Times New Roman" w:eastAsia="Times New Roman" w:hAnsi="Times New Roman"/>
          <w:sz w:val="19"/>
          <w:szCs w:val="19"/>
          <w:color w:val="131413"/>
        </w:rPr>
        <w:t xml:space="preserve">were estimated using the bar graphs shown in each figure introduced by using the ImageJ from </w:t>
      </w:r>
      <w:hyperlink r:id="rId16">
        <w:r>
          <w:rPr>
            <w:rFonts w:ascii="Times New Roman" w:cs="Times New Roman" w:eastAsia="Times New Roman" w:hAnsi="Times New Roman"/>
            <w:sz w:val="19"/>
            <w:szCs w:val="19"/>
            <w:color w:val="0000FF"/>
          </w:rPr>
          <w:t>http://rsb.info.nih.</w:t>
        </w:r>
      </w:hyperlink>
      <w:r>
        <w:rPr>
          <w:rFonts w:ascii="Times New Roman" w:cs="Times New Roman" w:eastAsia="Times New Roman" w:hAnsi="Times New Roman"/>
          <w:sz w:val="19"/>
          <w:szCs w:val="19"/>
          <w:color w:val="131413"/>
        </w:rPr>
        <w:t xml:space="preserve"> </w:t>
      </w:r>
      <w:hyperlink r:id="rId16">
        <w:r>
          <w:rPr>
            <w:rFonts w:ascii="Times New Roman" w:cs="Times New Roman" w:eastAsia="Times New Roman" w:hAnsi="Times New Roman"/>
            <w:sz w:val="19"/>
            <w:szCs w:val="19"/>
            <w:color w:val="0000FF"/>
          </w:rPr>
          <w:t xml:space="preserve">gov/ij/download.html </w:t>
        </w:r>
      </w:hyperlink>
      <w:r>
        <w:rPr>
          <w:rFonts w:ascii="Times New Roman" w:cs="Times New Roman" w:eastAsia="Times New Roman" w:hAnsi="Times New Roman"/>
          <w:sz w:val="19"/>
          <w:szCs w:val="19"/>
          <w:color w:val="131413"/>
        </w:rPr>
        <w:t>(National</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Institutes of Health, (NIH)</w:t>
      </w:r>
      <w:r>
        <w:rPr>
          <w:rFonts w:ascii="Times New Roman" w:cs="Times New Roman" w:eastAsia="Times New Roman" w:hAnsi="Times New Roman"/>
          <w:sz w:val="19"/>
          <w:szCs w:val="19"/>
          <w:color w:val="0000FF"/>
        </w:rPr>
        <w:t xml:space="preserve"> </w:t>
      </w:r>
      <w:hyperlink w:anchor="page9">
        <w:r>
          <w:rPr>
            <w:rFonts w:ascii="Times New Roman" w:cs="Times New Roman" w:eastAsia="Times New Roman" w:hAnsi="Times New Roman"/>
            <w:sz w:val="19"/>
            <w:szCs w:val="19"/>
            <w:color w:val="0000FF"/>
          </w:rPr>
          <w:t>2020</w:t>
        </w:r>
      </w:hyperlink>
      <w:r>
        <w:rPr>
          <w:rFonts w:ascii="Times New Roman" w:cs="Times New Roman" w:eastAsia="Times New Roman" w:hAnsi="Times New Roman"/>
          <w:sz w:val="19"/>
          <w:szCs w:val="19"/>
          <w:color w:val="131413"/>
        </w:rPr>
        <w:t>). It is well established that obesity is a low grade chronic</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inflammation, and obese individuals undergo an increase in lipid accumulation in their adipocytes which in turn leads to the enlargement of their adipose tissue. Extraordinary lipid accumulation of adipocytes causes the transformation of monocytes in heterogeneous adipose tissue to macrophages and these macrophages infiltrate adipocytes and form crown like structures (CLS) in which the case obesity has now be-come an inflammatory syndrome. In this study, cells were used as an in vitro model and preadipocyte 3T3-L1 cells were first transformed into fully differentiated adipocytes to mimic the fat accumulation state of adipocytes in obese individuals and thus to evaluate the markers of inflammation. The results show that the differentiation conditions used to treat cells with extract were appropriate and that undifferen-tiated preadipocyte cells were converted to fully differ-entiated adipocyte cells as expected (Fig. </w:t>
      </w:r>
      <w:hyperlink w:anchor="page9">
        <w:r>
          <w:rPr>
            <w:rFonts w:ascii="Times New Roman" w:cs="Times New Roman" w:eastAsia="Times New Roman" w:hAnsi="Times New Roman"/>
            <w:sz w:val="19"/>
            <w:szCs w:val="19"/>
            <w:color w:val="0000FF"/>
          </w:rPr>
          <w:t>2</w:t>
        </w:r>
      </w:hyperlink>
      <w:r>
        <w:rPr>
          <w:rFonts w:ascii="Times New Roman" w:cs="Times New Roman" w:eastAsia="Times New Roman" w:hAnsi="Times New Roman"/>
          <w:sz w:val="19"/>
          <w:szCs w:val="19"/>
          <w:color w:val="131413"/>
        </w:rPr>
        <w:t>).</w:t>
      </w:r>
    </w:p>
    <w:p>
      <w:pPr>
        <w:spacing w:after="0" w:line="243" w:lineRule="exact"/>
        <w:rPr>
          <w:rFonts w:ascii="Times New Roman" w:cs="Times New Roman" w:eastAsia="Times New Roman" w:hAnsi="Times New Roman"/>
          <w:sz w:val="19"/>
          <w:szCs w:val="19"/>
          <w:color w:val="0000FF"/>
        </w:rPr>
      </w:pPr>
    </w:p>
    <w:p>
      <w:pPr>
        <w:ind w:right="40"/>
        <w:spacing w:after="0" w:line="235" w:lineRule="auto"/>
        <w:rPr>
          <w:sz w:val="20"/>
          <w:szCs w:val="20"/>
          <w:color w:val="auto"/>
        </w:rPr>
      </w:pPr>
      <w:r>
        <w:rPr>
          <w:rFonts w:ascii="Arial" w:cs="Arial" w:eastAsia="Arial" w:hAnsi="Arial"/>
          <w:sz w:val="22"/>
          <w:szCs w:val="22"/>
          <w:color w:val="131413"/>
        </w:rPr>
        <w:t>Alterations of lipogenic Lpl and Fasn enzyme expressions due to the treatment with Catharanthus roseus extract</w:t>
      </w:r>
    </w:p>
    <w:p>
      <w:pPr>
        <w:spacing w:after="0" w:line="271" w:lineRule="exact"/>
        <w:rPr>
          <w:rFonts w:ascii="Times New Roman" w:cs="Times New Roman" w:eastAsia="Times New Roman" w:hAnsi="Times New Roman"/>
          <w:sz w:val="19"/>
          <w:szCs w:val="19"/>
          <w:color w:val="0000FF"/>
        </w:rPr>
      </w:pPr>
    </w:p>
    <w:p>
      <w:pPr>
        <w:jc w:val="both"/>
        <w:ind w:right="20"/>
        <w:spacing w:after="0" w:line="289" w:lineRule="auto"/>
        <w:rPr>
          <w:sz w:val="20"/>
          <w:szCs w:val="20"/>
          <w:color w:val="auto"/>
        </w:rPr>
      </w:pPr>
      <w:r>
        <w:rPr>
          <w:rFonts w:ascii="Times New Roman" w:cs="Times New Roman" w:eastAsia="Times New Roman" w:hAnsi="Times New Roman"/>
          <w:sz w:val="18"/>
          <w:szCs w:val="18"/>
          <w:color w:val="131413"/>
        </w:rPr>
        <w:t xml:space="preserve">Gene expression measurements of lipogenic Lp1 and Fasn genes were performed to understand the molecular mecha-nism underlying the hypolipidemic effect of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xml:space="preserve"> extract</w:t>
      </w:r>
      <w:r>
        <w:rPr>
          <w:rFonts w:ascii="Arial" w:cs="Arial" w:eastAsia="Arial" w:hAnsi="Arial"/>
          <w:sz w:val="18"/>
          <w:szCs w:val="18"/>
          <w:color w:val="131413"/>
        </w:rPr>
        <w:t>.</w:t>
      </w:r>
      <w:r>
        <w:rPr>
          <w:rFonts w:ascii="Times New Roman" w:cs="Times New Roman" w:eastAsia="Times New Roman" w:hAnsi="Times New Roman"/>
          <w:sz w:val="18"/>
          <w:szCs w:val="18"/>
          <w:color w:val="131413"/>
        </w:rPr>
        <w:t xml:space="preserve"> Treatment of fully differentiated 3T3-L1 adipocyte cells with the extract at a dose of 12.5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for 24 h resulted in a significant decrease in Fasn mRNA level. Exposure of adipo-cyte cells to extracts at a dose of 12.5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g/mL for 24 h resulted in a reduction of Fasn gene expression levels in these cells by</w:t>
      </w:r>
    </w:p>
    <w:p>
      <w:pPr>
        <w:sectPr>
          <w:pgSz w:w="11900" w:h="15817" w:orient="portrait"/>
          <w:cols w:equalWidth="0" w:num="2">
            <w:col w:w="4760" w:space="340"/>
            <w:col w:w="4780"/>
          </w:cols>
          <w:pgMar w:left="1020" w:top="649" w:right="1006" w:bottom="897" w:gutter="0" w:footer="0" w:header="0"/>
          <w:type w:val="continuous"/>
        </w:sectPr>
      </w:pPr>
    </w:p>
    <w:bookmarkStart w:id="4" w:name="page5"/>
    <w:bookmarkEnd w:id="4"/>
    <w:p>
      <w:pPr>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41910</wp:posOffset>
            </wp:positionV>
            <wp:extent cx="6276975" cy="35521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extLst>
                    </a:blip>
                    <a:srcRect/>
                    <a:stretch>
                      <a:fillRect/>
                    </a:stretch>
                  </pic:blipFill>
                  <pic:spPr bwMode="auto">
                    <a:xfrm>
                      <a:off x="0" y="0"/>
                      <a:ext cx="6276975" cy="3552190"/>
                    </a:xfrm>
                    <a:prstGeom prst="rect">
                      <a:avLst/>
                    </a:prstGeom>
                    <a:noFill/>
                  </pic:spPr>
                </pic:pic>
              </a:graphicData>
            </a:graphic>
          </wp:anchor>
        </w:drawing>
      </w:r>
    </w:p>
    <w:p>
      <w:pPr>
        <w:sectPr>
          <w:pgSz w:w="11900" w:h="15817" w:orient="portrait"/>
          <w:cols w:equalWidth="0" w:num="1">
            <w:col w:w="9860"/>
          </w:cols>
          <w:pgMar w:left="1020" w:top="649" w:right="1026" w:bottom="9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rPr>
          <w:sz w:val="20"/>
          <w:szCs w:val="20"/>
          <w:color w:val="auto"/>
        </w:rPr>
      </w:pPr>
      <w:r>
        <w:rPr>
          <w:rFonts w:ascii="Arial" w:cs="Arial" w:eastAsia="Arial" w:hAnsi="Arial"/>
          <w:sz w:val="17"/>
          <w:szCs w:val="17"/>
          <w:color w:val="131413"/>
        </w:rPr>
        <w:t xml:space="preserve">Fig. 1  </w:t>
      </w:r>
      <w:r>
        <w:rPr>
          <w:rFonts w:ascii="Times New Roman" w:cs="Times New Roman" w:eastAsia="Times New Roman" w:hAnsi="Times New Roman"/>
          <w:sz w:val="17"/>
          <w:szCs w:val="17"/>
          <w:color w:val="131413"/>
        </w:rPr>
        <w:t>Microscopic visualization and evaluation of changes in</w:t>
      </w:r>
    </w:p>
    <w:p>
      <w:pPr>
        <w:spacing w:after="0" w:line="9"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16"/>
          <w:szCs w:val="16"/>
          <w:color w:val="131413"/>
        </w:rPr>
        <w:t xml:space="preserve">morphology and viability of 3T3-L1 cells treated with plain solvent or </w:t>
      </w:r>
      <w:r>
        <w:rPr>
          <w:rFonts w:ascii="Arial" w:cs="Arial" w:eastAsia="Arial" w:hAnsi="Arial"/>
          <w:sz w:val="16"/>
          <w:szCs w:val="16"/>
          <w:color w:val="131413"/>
        </w:rPr>
        <w:t xml:space="preserve">C. roseus </w:t>
      </w:r>
      <w:r>
        <w:rPr>
          <w:rFonts w:ascii="Times New Roman" w:cs="Times New Roman" w:eastAsia="Times New Roman" w:hAnsi="Times New Roman"/>
          <w:sz w:val="16"/>
          <w:szCs w:val="16"/>
          <w:color w:val="131413"/>
        </w:rPr>
        <w:t>extracts with a dose of 12.5</w:t>
      </w:r>
      <w:r>
        <w:rPr>
          <w:rFonts w:ascii="Arial" w:cs="Arial" w:eastAsia="Arial" w:hAnsi="Arial"/>
          <w:sz w:val="16"/>
          <w:szCs w:val="16"/>
          <w:color w:val="131413"/>
        </w:rPr>
        <w:t xml:space="preserve"> </w:t>
      </w:r>
      <w:r>
        <w:rPr>
          <w:rFonts w:ascii="Arial" w:cs="Arial" w:eastAsia="Arial" w:hAnsi="Arial"/>
          <w:sz w:val="16"/>
          <w:szCs w:val="16"/>
          <w:color w:val="131413"/>
        </w:rPr>
        <w:t>μ</w:t>
      </w:r>
      <w:r>
        <w:rPr>
          <w:rFonts w:ascii="Times New Roman" w:cs="Times New Roman" w:eastAsia="Times New Roman" w:hAnsi="Times New Roman"/>
          <w:sz w:val="16"/>
          <w:szCs w:val="16"/>
          <w:color w:val="131413"/>
        </w:rPr>
        <w:t>g/mL, 25</w:t>
      </w:r>
      <w:r>
        <w:rPr>
          <w:rFonts w:ascii="Arial" w:cs="Arial" w:eastAsia="Arial" w:hAnsi="Arial"/>
          <w:sz w:val="16"/>
          <w:szCs w:val="16"/>
          <w:color w:val="131413"/>
        </w:rPr>
        <w:t xml:space="preserve"> </w:t>
      </w:r>
      <w:r>
        <w:rPr>
          <w:rFonts w:ascii="Arial" w:cs="Arial" w:eastAsia="Arial" w:hAnsi="Arial"/>
          <w:sz w:val="16"/>
          <w:szCs w:val="16"/>
          <w:color w:val="131413"/>
        </w:rPr>
        <w:t>μ</w:t>
      </w:r>
      <w:r>
        <w:rPr>
          <w:rFonts w:ascii="Times New Roman" w:cs="Times New Roman" w:eastAsia="Times New Roman" w:hAnsi="Times New Roman"/>
          <w:sz w:val="16"/>
          <w:szCs w:val="16"/>
          <w:color w:val="131413"/>
        </w:rPr>
        <w:t>g/mL and 50</w:t>
      </w:r>
      <w:r>
        <w:rPr>
          <w:rFonts w:ascii="Arial" w:cs="Arial" w:eastAsia="Arial" w:hAnsi="Arial"/>
          <w:sz w:val="16"/>
          <w:szCs w:val="16"/>
          <w:color w:val="131413"/>
        </w:rPr>
        <w:t xml:space="preserve"> </w:t>
      </w:r>
      <w:r>
        <w:rPr>
          <w:rFonts w:ascii="Arial" w:cs="Arial" w:eastAsia="Arial" w:hAnsi="Arial"/>
          <w:sz w:val="16"/>
          <w:szCs w:val="16"/>
          <w:color w:val="131413"/>
        </w:rPr>
        <w:t>μ</w:t>
      </w:r>
      <w:r>
        <w:rPr>
          <w:rFonts w:ascii="Times New Roman" w:cs="Times New Roman" w:eastAsia="Times New Roman" w:hAnsi="Times New Roman"/>
          <w:sz w:val="16"/>
          <w:szCs w:val="16"/>
          <w:color w:val="131413"/>
        </w:rPr>
        <w:t>g/mL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spacing w:after="0" w:line="260" w:lineRule="auto"/>
        <w:rPr>
          <w:sz w:val="20"/>
          <w:szCs w:val="20"/>
          <w:color w:val="auto"/>
        </w:rPr>
      </w:pPr>
      <w:r>
        <w:rPr>
          <w:rFonts w:ascii="Times New Roman" w:cs="Times New Roman" w:eastAsia="Times New Roman" w:hAnsi="Times New Roman"/>
          <w:sz w:val="16"/>
          <w:szCs w:val="16"/>
          <w:color w:val="131413"/>
        </w:rPr>
        <w:t xml:space="preserve">for 24 h (a, d, g and j), 48 h (b, e, h and k) and 72 h (c, f, i and l) by light microscopy. (Scale bars in each micrograph represent a length of 1 </w:t>
      </w:r>
      <w:r>
        <w:rPr>
          <w:rFonts w:ascii="Arial" w:cs="Arial" w:eastAsia="Arial" w:hAnsi="Arial"/>
          <w:sz w:val="16"/>
          <w:szCs w:val="16"/>
          <w:color w:val="131413"/>
        </w:rPr>
        <w:t>μ</w:t>
      </w:r>
      <w:r>
        <w:rPr>
          <w:rFonts w:ascii="Times New Roman" w:cs="Times New Roman" w:eastAsia="Times New Roman" w:hAnsi="Times New Roman"/>
          <w:sz w:val="16"/>
          <w:szCs w:val="16"/>
          <w:color w:val="131413"/>
        </w:rPr>
        <w:t>m)</w:t>
      </w:r>
    </w:p>
    <w:p>
      <w:pPr>
        <w:spacing w:after="0" w:line="399" w:lineRule="exact"/>
        <w:rPr>
          <w:sz w:val="20"/>
          <w:szCs w:val="20"/>
          <w:color w:val="auto"/>
        </w:rPr>
      </w:pPr>
    </w:p>
    <w:p>
      <w:pPr>
        <w:sectPr>
          <w:pgSz w:w="11900" w:h="15817" w:orient="portrait"/>
          <w:cols w:equalWidth="0" w:num="2">
            <w:col w:w="4760" w:space="340"/>
            <w:col w:w="4760"/>
          </w:cols>
          <w:pgMar w:left="1020" w:top="649" w:right="1026" w:bottom="928" w:gutter="0" w:footer="0" w:header="0"/>
          <w:type w:val="continuous"/>
        </w:sectPr>
      </w:pPr>
    </w:p>
    <w:p>
      <w:pPr>
        <w:spacing w:after="0" w:line="73" w:lineRule="exact"/>
        <w:rPr>
          <w:sz w:val="20"/>
          <w:szCs w:val="20"/>
          <w:color w:val="auto"/>
        </w:rPr>
      </w:pPr>
    </w:p>
    <w:p>
      <w:pPr>
        <w:jc w:val="both"/>
        <w:spacing w:after="0" w:line="25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53% compared to their control counterparts. Although the administration of the extract at this dose for 48 h appears to show an increase in the Fasn mRNA level of the cells, this increase is statistically not significant. Thus, it was concluded that treatment of adipocyte cells with extract at a dose of 12.5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 xml:space="preserve">g/mL had an effect on Fasn mRNA expression in the first 24 h, which reduced gene expression, and then this effect disappeared (Fig. </w:t>
      </w:r>
      <w:hyperlink w:anchor="page9">
        <w:r>
          <w:rPr>
            <w:rFonts w:ascii="Times New Roman" w:cs="Times New Roman" w:eastAsia="Times New Roman" w:hAnsi="Times New Roman"/>
            <w:sz w:val="20"/>
            <w:szCs w:val="20"/>
            <w:color w:val="0000FF"/>
          </w:rPr>
          <w:t>3a</w:t>
        </w:r>
      </w:hyperlink>
      <w:r>
        <w:rPr>
          <w:rFonts w:ascii="Times New Roman" w:cs="Times New Roman" w:eastAsia="Times New Roman" w:hAnsi="Times New Roman"/>
          <w:sz w:val="20"/>
          <w:szCs w:val="20"/>
          <w:color w:val="131413"/>
        </w:rPr>
        <w:t>).</w:t>
      </w:r>
    </w:p>
    <w:p>
      <w:pPr>
        <w:spacing w:after="0" w:line="22" w:lineRule="exact"/>
        <w:rPr>
          <w:sz w:val="20"/>
          <w:szCs w:val="20"/>
          <w:color w:val="auto"/>
        </w:rPr>
      </w:pPr>
    </w:p>
    <w:p>
      <w:pPr>
        <w:jc w:val="both"/>
        <w:ind w:firstLine="227"/>
        <w:spacing w:after="0" w:line="273" w:lineRule="auto"/>
        <w:rPr>
          <w:sz w:val="20"/>
          <w:szCs w:val="20"/>
          <w:color w:val="auto"/>
        </w:rPr>
      </w:pPr>
      <w:r>
        <w:rPr>
          <w:rFonts w:ascii="Times New Roman" w:cs="Times New Roman" w:eastAsia="Times New Roman" w:hAnsi="Times New Roman"/>
          <w:sz w:val="19"/>
          <w:szCs w:val="19"/>
          <w:color w:val="131413"/>
        </w:rPr>
        <w:t xml:space="preserve">Following the same experimental setup, the gene expres-sion pattern obtained by looking at the mRNA levels of an-other lipogenic enzyme Lpl revealed a great parallelism with the expression pattern of the Fasn gene. In this case, treatment of fully differentiated 3T3-L1 cells with extract at a dose of 12.5 </w:t>
      </w:r>
      <w:r>
        <w:rPr>
          <w:rFonts w:ascii="Arial" w:cs="Arial" w:eastAsia="Arial" w:hAnsi="Arial"/>
          <w:sz w:val="19"/>
          <w:szCs w:val="19"/>
          <w:color w:val="131413"/>
        </w:rPr>
        <w:t>μ</w:t>
      </w:r>
      <w:r>
        <w:rPr>
          <w:rFonts w:ascii="Times New Roman" w:cs="Times New Roman" w:eastAsia="Times New Roman" w:hAnsi="Times New Roman"/>
          <w:sz w:val="19"/>
          <w:szCs w:val="19"/>
          <w:color w:val="131413"/>
        </w:rPr>
        <w:t>g/mL for 24 h significantly reduced the Lpl mRNA level too. After 24 h, Lpl gene expression decreased by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431165</wp:posOffset>
            </wp:positionH>
            <wp:positionV relativeFrom="paragraph">
              <wp:posOffset>173990</wp:posOffset>
            </wp:positionV>
            <wp:extent cx="5402580" cy="13684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extLst>
                    </a:blip>
                    <a:srcRect/>
                    <a:stretch>
                      <a:fillRect/>
                    </a:stretch>
                  </pic:blipFill>
                  <pic:spPr bwMode="auto">
                    <a:xfrm>
                      <a:off x="0" y="0"/>
                      <a:ext cx="5402580" cy="13684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53" w:lineRule="exact"/>
        <w:rPr>
          <w:sz w:val="20"/>
          <w:szCs w:val="20"/>
          <w:color w:val="auto"/>
        </w:rPr>
      </w:pPr>
    </w:p>
    <w:p>
      <w:pPr>
        <w:jc w:val="both"/>
        <w:spacing w:after="0" w:line="25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61%. Although the treatment of cells with extract for 48 h seemed to reduce Lpl gene expression, this decrease was not significant when statistical analyzes were considered. These results concluded a significant reduction in the lipogenic en-zyme Lpl gene expression when the extract used was admin-istered to fully differentiated adipocytes at a dose of 12.5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 xml:space="preserve">g/ mL for 24 h, but this reduction effect disappeared after 48 h at the same dose (Fig. </w:t>
      </w:r>
      <w:hyperlink w:anchor="page9">
        <w:r>
          <w:rPr>
            <w:rFonts w:ascii="Times New Roman" w:cs="Times New Roman" w:eastAsia="Times New Roman" w:hAnsi="Times New Roman"/>
            <w:sz w:val="20"/>
            <w:szCs w:val="20"/>
            <w:color w:val="0000FF"/>
          </w:rPr>
          <w:t>3b</w:t>
        </w:r>
      </w:hyperlink>
      <w:r>
        <w:rPr>
          <w:rFonts w:ascii="Times New Roman" w:cs="Times New Roman" w:eastAsia="Times New Roman" w:hAnsi="Times New Roman"/>
          <w:sz w:val="20"/>
          <w:szCs w:val="20"/>
          <w:color w:val="131413"/>
        </w:rPr>
        <w:t>).</w:t>
      </w:r>
    </w:p>
    <w:p>
      <w:pPr>
        <w:spacing w:after="0" w:line="20"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9"/>
          <w:szCs w:val="19"/>
          <w:color w:val="131413"/>
        </w:rPr>
        <w:t>The data obtained regarding the alterations of 3T3-L1 Fasn</w:t>
      </w:r>
    </w:p>
    <w:p>
      <w:pPr>
        <w:spacing w:after="0" w:line="30" w:lineRule="exact"/>
        <w:rPr>
          <w:sz w:val="20"/>
          <w:szCs w:val="20"/>
          <w:color w:val="auto"/>
        </w:rPr>
      </w:pPr>
    </w:p>
    <w:p>
      <w:pPr>
        <w:jc w:val="both"/>
        <w:spacing w:after="0" w:line="271" w:lineRule="auto"/>
        <w:rPr>
          <w:sz w:val="20"/>
          <w:szCs w:val="20"/>
          <w:color w:val="auto"/>
        </w:rPr>
      </w:pPr>
      <w:r>
        <w:rPr>
          <w:rFonts w:ascii="Times New Roman" w:cs="Times New Roman" w:eastAsia="Times New Roman" w:hAnsi="Times New Roman"/>
          <w:sz w:val="19"/>
          <w:szCs w:val="19"/>
          <w:color w:val="131413"/>
        </w:rPr>
        <w:t xml:space="preserve">and Lpl expression profiles in response to 12.5 </w:t>
      </w:r>
      <w:r>
        <w:rPr>
          <w:rFonts w:ascii="Arial" w:cs="Arial" w:eastAsia="Arial" w:hAnsi="Arial"/>
          <w:sz w:val="19"/>
          <w:szCs w:val="19"/>
          <w:color w:val="131413"/>
        </w:rPr>
        <w:t>μ</w:t>
      </w:r>
      <w:r>
        <w:rPr>
          <w:rFonts w:ascii="Times New Roman" w:cs="Times New Roman" w:eastAsia="Times New Roman" w:hAnsi="Times New Roman"/>
          <w:sz w:val="19"/>
          <w:szCs w:val="19"/>
          <w:color w:val="131413"/>
        </w:rPr>
        <w:t xml:space="preserve">g/mL </w:t>
      </w:r>
      <w:r>
        <w:rPr>
          <w:rFonts w:ascii="Arial" w:cs="Arial" w:eastAsia="Arial" w:hAnsi="Arial"/>
          <w:sz w:val="19"/>
          <w:szCs w:val="19"/>
          <w:color w:val="131413"/>
        </w:rPr>
        <w:t xml:space="preserve">C. roseus </w:t>
      </w:r>
      <w:r>
        <w:rPr>
          <w:rFonts w:ascii="Times New Roman" w:cs="Times New Roman" w:eastAsia="Times New Roman" w:hAnsi="Times New Roman"/>
          <w:sz w:val="19"/>
          <w:szCs w:val="19"/>
          <w:color w:val="131413"/>
        </w:rPr>
        <w:t>extract treatments for 24 h and 48 h in arbitrary units</w:t>
      </w:r>
    </w:p>
    <w:p>
      <w:pPr>
        <w:spacing w:after="0" w:line="6" w:lineRule="exact"/>
        <w:rPr>
          <w:sz w:val="20"/>
          <w:szCs w:val="20"/>
          <w:color w:val="auto"/>
        </w:rPr>
      </w:pPr>
    </w:p>
    <w:p>
      <w:pPr>
        <w:jc w:val="both"/>
        <w:spacing w:after="0" w:line="254"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is summarized in Table </w:t>
      </w:r>
      <w:hyperlink w:anchor="page9">
        <w:r>
          <w:rPr>
            <w:rFonts w:ascii="Times New Roman" w:cs="Times New Roman" w:eastAsia="Times New Roman" w:hAnsi="Times New Roman"/>
            <w:sz w:val="20"/>
            <w:szCs w:val="20"/>
            <w:color w:val="0000FF"/>
          </w:rPr>
          <w:t>2</w:t>
        </w:r>
      </w:hyperlink>
      <w:r>
        <w:rPr>
          <w:rFonts w:ascii="Times New Roman" w:cs="Times New Roman" w:eastAsia="Times New Roman" w:hAnsi="Times New Roman"/>
          <w:sz w:val="20"/>
          <w:szCs w:val="20"/>
          <w:color w:val="131413"/>
        </w:rPr>
        <w:t xml:space="preserve">. Values shown in bold indicate that the percent changes analyzed are of statistical significance. The values having the descriptions </w:t>
      </w:r>
      <w:r>
        <w:rPr>
          <w:rFonts w:ascii="Arial" w:cs="Arial" w:eastAsia="Arial" w:hAnsi="Arial"/>
          <w:sz w:val="20"/>
          <w:szCs w:val="20"/>
          <w:color w:val="131413"/>
        </w:rPr>
        <w:t>“</w:t>
      </w:r>
      <w:r>
        <w:rPr>
          <w:rFonts w:ascii="Times New Roman" w:cs="Times New Roman" w:eastAsia="Times New Roman" w:hAnsi="Times New Roman"/>
          <w:sz w:val="20"/>
          <w:szCs w:val="20"/>
          <w:color w:val="131413"/>
        </w:rPr>
        <w:t>(ns)</w:t>
      </w:r>
      <w:r>
        <w:rPr>
          <w:rFonts w:ascii="Arial" w:cs="Arial" w:eastAsia="Arial" w:hAnsi="Arial"/>
          <w:sz w:val="20"/>
          <w:szCs w:val="20"/>
          <w:color w:val="131413"/>
        </w:rPr>
        <w:t>”</w:t>
      </w:r>
      <w:r>
        <w:rPr>
          <w:rFonts w:ascii="Times New Roman" w:cs="Times New Roman" w:eastAsia="Times New Roman" w:hAnsi="Times New Roman"/>
          <w:sz w:val="20"/>
          <w:szCs w:val="20"/>
          <w:color w:val="131413"/>
        </w:rPr>
        <w:t xml:space="preserve"> indicate that these values are statistically not significant.</w:t>
      </w:r>
    </w:p>
    <w:p>
      <w:pPr>
        <w:spacing w:after="0" w:line="218" w:lineRule="exact"/>
        <w:rPr>
          <w:sz w:val="20"/>
          <w:szCs w:val="20"/>
          <w:color w:val="auto"/>
        </w:rPr>
      </w:pPr>
    </w:p>
    <w:p>
      <w:pPr>
        <w:sectPr>
          <w:pgSz w:w="11900" w:h="15817" w:orient="portrait"/>
          <w:cols w:equalWidth="0" w:num="2">
            <w:col w:w="4760" w:space="340"/>
            <w:col w:w="4760"/>
          </w:cols>
          <w:pgMar w:left="1020" w:top="649" w:right="1026" w:bottom="9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both"/>
        <w:spacing w:after="0" w:line="259" w:lineRule="auto"/>
        <w:rPr>
          <w:sz w:val="20"/>
          <w:szCs w:val="20"/>
          <w:color w:val="auto"/>
        </w:rPr>
      </w:pPr>
      <w:r>
        <w:rPr>
          <w:rFonts w:ascii="Arial" w:cs="Arial" w:eastAsia="Arial" w:hAnsi="Arial"/>
          <w:sz w:val="16"/>
          <w:szCs w:val="16"/>
          <w:color w:val="131413"/>
        </w:rPr>
        <w:t xml:space="preserve">Fig. 2 </w:t>
      </w:r>
      <w:r>
        <w:rPr>
          <w:rFonts w:ascii="Times New Roman" w:cs="Times New Roman" w:eastAsia="Times New Roman" w:hAnsi="Times New Roman"/>
          <w:sz w:val="16"/>
          <w:szCs w:val="16"/>
          <w:color w:val="131413"/>
        </w:rPr>
        <w:t>Oil Red O Staining to determine the lipid accumulation in fully</w:t>
      </w:r>
      <w:r>
        <w:rPr>
          <w:rFonts w:ascii="Arial" w:cs="Arial" w:eastAsia="Arial" w:hAnsi="Arial"/>
          <w:sz w:val="16"/>
          <w:szCs w:val="16"/>
          <w:color w:val="131413"/>
        </w:rPr>
        <w:t xml:space="preserve"> </w:t>
      </w:r>
      <w:r>
        <w:rPr>
          <w:rFonts w:ascii="Times New Roman" w:cs="Times New Roman" w:eastAsia="Times New Roman" w:hAnsi="Times New Roman"/>
          <w:sz w:val="16"/>
          <w:szCs w:val="16"/>
          <w:color w:val="131413"/>
        </w:rPr>
        <w:t>differentiated 3T3-L1 cells. Cells were visualized before staining and after staining in a 10 × magnitude (a, b) respectively and after staining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line="236" w:lineRule="auto"/>
        <w:rPr>
          <w:sz w:val="20"/>
          <w:szCs w:val="20"/>
          <w:color w:val="auto"/>
        </w:rPr>
      </w:pPr>
      <w:r>
        <w:rPr>
          <w:rFonts w:ascii="Times New Roman" w:cs="Times New Roman" w:eastAsia="Times New Roman" w:hAnsi="Times New Roman"/>
          <w:sz w:val="17"/>
          <w:szCs w:val="17"/>
          <w:color w:val="131413"/>
        </w:rPr>
        <w:t xml:space="preserve">at a 40 × magnitude (c) by light microscopy. (Scale bars in each micro-graph represent a length of 1 </w:t>
      </w:r>
      <w:r>
        <w:rPr>
          <w:rFonts w:ascii="Arial" w:cs="Arial" w:eastAsia="Arial" w:hAnsi="Arial"/>
          <w:sz w:val="17"/>
          <w:szCs w:val="17"/>
          <w:color w:val="131413"/>
        </w:rPr>
        <w:t>μ</w:t>
      </w:r>
      <w:r>
        <w:rPr>
          <w:rFonts w:ascii="Times New Roman" w:cs="Times New Roman" w:eastAsia="Times New Roman" w:hAnsi="Times New Roman"/>
          <w:sz w:val="17"/>
          <w:szCs w:val="17"/>
          <w:color w:val="131413"/>
        </w:rPr>
        <w:t>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2526030</wp:posOffset>
            </wp:positionH>
            <wp:positionV relativeFrom="paragraph">
              <wp:posOffset>382270</wp:posOffset>
            </wp:positionV>
            <wp:extent cx="483870" cy="1384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340"/>
            <w:col w:w="4760"/>
          </w:cols>
          <w:pgMar w:left="1020" w:top="649" w:right="1026" w:bottom="928" w:gutter="0" w:footer="0" w:header="0"/>
          <w:type w:val="continuous"/>
        </w:sectPr>
      </w:pPr>
    </w:p>
    <w:bookmarkStart w:id="5" w:name="page6"/>
    <w:bookmarkEnd w:id="5"/>
    <w:p>
      <w:pPr>
        <w:ind w:left="9360"/>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41910</wp:posOffset>
            </wp:positionV>
            <wp:extent cx="6276975" cy="19018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extLst>
                    </a:blip>
                    <a:srcRect/>
                    <a:stretch>
                      <a:fillRect/>
                    </a:stretch>
                  </pic:blipFill>
                  <pic:spPr bwMode="auto">
                    <a:xfrm>
                      <a:off x="0" y="0"/>
                      <a:ext cx="6276975" cy="1901825"/>
                    </a:xfrm>
                    <a:prstGeom prst="rect">
                      <a:avLst/>
                    </a:prstGeom>
                    <a:noFill/>
                  </pic:spPr>
                </pic:pic>
              </a:graphicData>
            </a:graphic>
          </wp:anchor>
        </w:drawing>
      </w:r>
    </w:p>
    <w:p>
      <w:pPr>
        <w:sectPr>
          <w:pgSz w:w="11900" w:h="15817" w:orient="portrait"/>
          <w:cols w:equalWidth="0" w:num="1">
            <w:col w:w="9880"/>
          </w:cols>
          <w:pgMar w:left="1020" w:top="649" w:right="1006" w:bottom="33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spacing w:after="0" w:line="239" w:lineRule="auto"/>
        <w:rPr>
          <w:sz w:val="20"/>
          <w:szCs w:val="20"/>
          <w:color w:val="auto"/>
        </w:rPr>
      </w:pPr>
      <w:r>
        <w:rPr>
          <w:rFonts w:ascii="Arial" w:cs="Arial" w:eastAsia="Arial" w:hAnsi="Arial"/>
          <w:sz w:val="17"/>
          <w:szCs w:val="17"/>
          <w:color w:val="131413"/>
        </w:rPr>
        <w:t xml:space="preserve">Fig. 3 </w:t>
      </w:r>
      <w:r>
        <w:rPr>
          <w:rFonts w:ascii="Times New Roman" w:cs="Times New Roman" w:eastAsia="Times New Roman" w:hAnsi="Times New Roman"/>
          <w:sz w:val="17"/>
          <w:szCs w:val="17"/>
          <w:color w:val="131413"/>
        </w:rPr>
        <w:t>Quantitative measurement of Fasn and Lpl mRNA in 3T3-L1</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cells. Fasn and Lpl quantitation of mRNA in 3T3- L1 adipocytes differ-entiated with IBMX, Dexamethasone and insulin were done by Real Time RT-PCR using duplicate measurements in three separate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both"/>
        <w:ind w:right="20"/>
        <w:spacing w:after="0" w:line="237" w:lineRule="auto"/>
        <w:rPr>
          <w:sz w:val="20"/>
          <w:szCs w:val="20"/>
          <w:color w:val="auto"/>
        </w:rPr>
      </w:pPr>
      <w:r>
        <w:rPr>
          <w:rFonts w:ascii="Times New Roman" w:cs="Times New Roman" w:eastAsia="Times New Roman" w:hAnsi="Times New Roman"/>
          <w:sz w:val="17"/>
          <w:szCs w:val="17"/>
          <w:color w:val="131413"/>
        </w:rPr>
        <w:t>experiments. The changes in Fasn mRNA and Lpl mRNA expression in fully differentiated adipocytes indicated with asterisks were significant (</w:t>
      </w:r>
      <w:r>
        <w:rPr>
          <w:rFonts w:ascii="Arial" w:cs="Arial" w:eastAsia="Arial" w:hAnsi="Arial"/>
          <w:sz w:val="17"/>
          <w:szCs w:val="17"/>
          <w:color w:val="131413"/>
        </w:rPr>
        <w:t>P</w:t>
      </w:r>
      <w:r>
        <w:rPr>
          <w:rFonts w:ascii="Times New Roman" w:cs="Times New Roman" w:eastAsia="Times New Roman" w:hAnsi="Times New Roman"/>
          <w:sz w:val="17"/>
          <w:szCs w:val="17"/>
          <w:color w:val="131413"/>
        </w:rPr>
        <w:t xml:space="preserve"> &lt; 0.03). (Error bars show standard deviation (SD))</w:t>
      </w:r>
    </w:p>
    <w:p>
      <w:pPr>
        <w:spacing w:after="0" w:line="398" w:lineRule="exact"/>
        <w:rPr>
          <w:sz w:val="20"/>
          <w:szCs w:val="20"/>
          <w:color w:val="auto"/>
        </w:rPr>
      </w:pPr>
    </w:p>
    <w:p>
      <w:pPr>
        <w:sectPr>
          <w:pgSz w:w="11900" w:h="15817" w:orient="portrait"/>
          <w:cols w:equalWidth="0" w:num="2">
            <w:col w:w="4760" w:space="340"/>
            <w:col w:w="4780"/>
          </w:cols>
          <w:pgMar w:left="1020" w:top="649" w:right="1006" w:bottom="339" w:gutter="0" w:footer="0" w:header="0"/>
          <w:type w:val="continuous"/>
        </w:sectPr>
      </w:pPr>
    </w:p>
    <w:p>
      <w:pPr>
        <w:spacing w:after="0" w:line="399" w:lineRule="exact"/>
        <w:rPr>
          <w:sz w:val="20"/>
          <w:szCs w:val="20"/>
          <w:color w:val="auto"/>
        </w:rPr>
      </w:pPr>
    </w:p>
    <w:p>
      <w:pPr>
        <w:spacing w:after="0"/>
        <w:rPr>
          <w:sz w:val="20"/>
          <w:szCs w:val="20"/>
          <w:color w:val="auto"/>
        </w:rPr>
      </w:pPr>
      <w:r>
        <w:rPr>
          <w:rFonts w:ascii="Arial" w:cs="Arial" w:eastAsia="Arial" w:hAnsi="Arial"/>
          <w:sz w:val="22"/>
          <w:szCs w:val="22"/>
          <w:color w:val="131413"/>
        </w:rPr>
        <w:t>Effects on expression of extracellular matrix</w:t>
      </w:r>
    </w:p>
    <w:p>
      <w:pPr>
        <w:spacing w:after="0" w:line="3" w:lineRule="exact"/>
        <w:rPr>
          <w:sz w:val="20"/>
          <w:szCs w:val="20"/>
          <w:color w:val="auto"/>
        </w:rPr>
      </w:pPr>
    </w:p>
    <w:p>
      <w:pPr>
        <w:jc w:val="both"/>
        <w:spacing w:after="0" w:line="276" w:lineRule="auto"/>
        <w:rPr>
          <w:sz w:val="20"/>
          <w:szCs w:val="20"/>
          <w:color w:val="auto"/>
        </w:rPr>
      </w:pPr>
      <w:r>
        <w:rPr>
          <w:rFonts w:ascii="Arial" w:cs="Arial" w:eastAsia="Arial" w:hAnsi="Arial"/>
          <w:sz w:val="20"/>
          <w:szCs w:val="20"/>
          <w:color w:val="131413"/>
        </w:rPr>
        <w:t>component collagen V and pro-inflammatory marker Il-6 after treatment with Catharanthus roseus extract</w:t>
      </w:r>
    </w:p>
    <w:p>
      <w:pPr>
        <w:spacing w:after="0" w:line="237"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In addition to the metabolic complications, obesity appears as a condition that manifests itself with some changes in the remodeling of the extracellular matrix (ECM) components in adipose tissue. The extracellular matrix components of adi-pose tissue undergo a constant remodeling so that the shapes and functions of adipocytes and their precursor cells respond to nutritional cues. It is well established in the literature that obesity causes accumulation of ECM components and their modifiers in adipose tissue (Lin et al. </w:t>
      </w:r>
      <w:hyperlink w:anchor="page9">
        <w:r>
          <w:rPr>
            <w:rFonts w:ascii="Times New Roman" w:cs="Times New Roman" w:eastAsia="Times New Roman" w:hAnsi="Times New Roman"/>
            <w:sz w:val="19"/>
            <w:szCs w:val="19"/>
            <w:color w:val="0000FF"/>
          </w:rPr>
          <w:t>2016</w:t>
        </w:r>
      </w:hyperlink>
      <w:r>
        <w:rPr>
          <w:rFonts w:ascii="Times New Roman" w:cs="Times New Roman" w:eastAsia="Times New Roman" w:hAnsi="Times New Roman"/>
          <w:sz w:val="19"/>
          <w:szCs w:val="19"/>
          <w:color w:val="131413"/>
        </w:rPr>
        <w:t>). Collagens are the most abundant scaffolding in ECM. Collagen V has been chosen to investigate the potential changes in ECM remodel-ing as a consequence of an increase in adiposity since it is essential for fibrillation of types I and III collagen, and conse-quently for optimal fibrillary formation and tissue quality.</w:t>
      </w:r>
    </w:p>
    <w:p>
      <w:pPr>
        <w:spacing w:after="0" w:line="7" w:lineRule="exact"/>
        <w:rPr>
          <w:sz w:val="20"/>
          <w:szCs w:val="20"/>
          <w:color w:val="auto"/>
        </w:rPr>
      </w:pPr>
    </w:p>
    <w:p>
      <w:pPr>
        <w:jc w:val="both"/>
        <w:spacing w:after="0" w:line="269" w:lineRule="auto"/>
        <w:rPr>
          <w:sz w:val="20"/>
          <w:szCs w:val="20"/>
          <w:color w:val="auto"/>
        </w:rPr>
      </w:pPr>
      <w:r>
        <w:rPr>
          <w:rFonts w:ascii="Times New Roman" w:cs="Times New Roman" w:eastAsia="Times New Roman" w:hAnsi="Times New Roman"/>
          <w:sz w:val="19"/>
          <w:szCs w:val="19"/>
          <w:color w:val="131413"/>
        </w:rPr>
        <w:t xml:space="preserve">Changes in Collagen V mRNA levels were evaluated to get an opinion about the role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extract on extracellular</w:t>
      </w:r>
    </w:p>
    <w:p>
      <w:pPr>
        <w:spacing w:after="0" w:line="7" w:lineRule="exact"/>
        <w:rPr>
          <w:sz w:val="20"/>
          <w:szCs w:val="20"/>
          <w:color w:val="auto"/>
        </w:rPr>
      </w:pPr>
    </w:p>
    <w:p>
      <w:pPr>
        <w:jc w:val="both"/>
        <w:spacing w:after="0" w:line="27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matrix remodeling. Exposing fully differentiated 3T3-L1 adi-pocyte cells to the extract at a dose of 12.5 </w:t>
      </w:r>
      <w:r>
        <w:rPr>
          <w:rFonts w:ascii="Arial" w:cs="Arial" w:eastAsia="Arial" w:hAnsi="Arial"/>
          <w:sz w:val="19"/>
          <w:szCs w:val="19"/>
          <w:color w:val="131413"/>
        </w:rPr>
        <w:t>μ</w:t>
      </w:r>
      <w:r>
        <w:rPr>
          <w:rFonts w:ascii="Times New Roman" w:cs="Times New Roman" w:eastAsia="Times New Roman" w:hAnsi="Times New Roman"/>
          <w:sz w:val="19"/>
          <w:szCs w:val="19"/>
          <w:color w:val="131413"/>
        </w:rPr>
        <w:t xml:space="preserve">g/mL for both 24 h and 48 h resulted in a significant decrease in Collagen V mRNA expression by 97% and 91% respectively (Fig. </w:t>
      </w:r>
      <w:hyperlink w:anchor="page9">
        <w:r>
          <w:rPr>
            <w:rFonts w:ascii="Times New Roman" w:cs="Times New Roman" w:eastAsia="Times New Roman" w:hAnsi="Times New Roman"/>
            <w:sz w:val="19"/>
            <w:szCs w:val="19"/>
            <w:color w:val="0000FF"/>
          </w:rPr>
          <w:t>4a</w:t>
        </w:r>
      </w:hyperlink>
      <w:r>
        <w:rPr>
          <w:rFonts w:ascii="Times New Roman" w:cs="Times New Roman" w:eastAsia="Times New Roman" w:hAnsi="Times New Roman"/>
          <w:sz w:val="19"/>
          <w:szCs w:val="19"/>
          <w:color w:val="131413"/>
        </w:rPr>
        <w:t>).</w:t>
      </w:r>
    </w:p>
    <w:p>
      <w:pPr>
        <w:spacing w:after="0" w:line="331" w:lineRule="exact"/>
        <w:rPr>
          <w:sz w:val="20"/>
          <w:szCs w:val="20"/>
          <w:color w:val="auto"/>
        </w:rPr>
      </w:pPr>
    </w:p>
    <w:p>
      <w:pPr>
        <w:jc w:val="both"/>
        <w:spacing w:after="0" w:line="260" w:lineRule="auto"/>
        <w:rPr>
          <w:sz w:val="20"/>
          <w:szCs w:val="20"/>
          <w:color w:val="auto"/>
        </w:rPr>
      </w:pPr>
      <w:r>
        <w:rPr>
          <w:rFonts w:ascii="Arial" w:cs="Arial" w:eastAsia="Arial" w:hAnsi="Arial"/>
          <w:sz w:val="16"/>
          <w:szCs w:val="16"/>
          <w:color w:val="131413"/>
        </w:rPr>
        <w:t xml:space="preserve">Table 2 </w:t>
      </w:r>
      <w:r>
        <w:rPr>
          <w:rFonts w:ascii="Times New Roman" w:cs="Times New Roman" w:eastAsia="Times New Roman" w:hAnsi="Times New Roman"/>
          <w:sz w:val="16"/>
          <w:szCs w:val="16"/>
          <w:color w:val="131413"/>
        </w:rPr>
        <w:t>Fully differentiated 3T3-L1 gene expressions and percent</w:t>
      </w:r>
      <w:r>
        <w:rPr>
          <w:rFonts w:ascii="Arial" w:cs="Arial" w:eastAsia="Arial" w:hAnsi="Arial"/>
          <w:sz w:val="16"/>
          <w:szCs w:val="16"/>
          <w:color w:val="131413"/>
        </w:rPr>
        <w:t xml:space="preserve"> </w:t>
      </w:r>
      <w:r>
        <w:rPr>
          <w:rFonts w:ascii="Times New Roman" w:cs="Times New Roman" w:eastAsia="Times New Roman" w:hAnsi="Times New Roman"/>
          <w:sz w:val="16"/>
          <w:szCs w:val="16"/>
          <w:color w:val="131413"/>
        </w:rPr>
        <w:t xml:space="preserve">changes of Fasn and Lpl in response to 12.5 </w:t>
      </w:r>
      <w:r>
        <w:rPr>
          <w:rFonts w:ascii="Arial" w:cs="Arial" w:eastAsia="Arial" w:hAnsi="Arial"/>
          <w:sz w:val="16"/>
          <w:szCs w:val="16"/>
          <w:color w:val="131413"/>
        </w:rPr>
        <w:t>μ</w:t>
      </w:r>
      <w:r>
        <w:rPr>
          <w:rFonts w:ascii="Times New Roman" w:cs="Times New Roman" w:eastAsia="Times New Roman" w:hAnsi="Times New Roman"/>
          <w:sz w:val="16"/>
          <w:szCs w:val="16"/>
          <w:color w:val="131413"/>
        </w:rPr>
        <w:t xml:space="preserve">g/mL </w:t>
      </w:r>
      <w:r>
        <w:rPr>
          <w:rFonts w:ascii="Arial" w:cs="Arial" w:eastAsia="Arial" w:hAnsi="Arial"/>
          <w:sz w:val="16"/>
          <w:szCs w:val="16"/>
          <w:color w:val="131413"/>
        </w:rPr>
        <w:t>C. roseus</w:t>
      </w:r>
      <w:r>
        <w:rPr>
          <w:rFonts w:ascii="Times New Roman" w:cs="Times New Roman" w:eastAsia="Times New Roman" w:hAnsi="Times New Roman"/>
          <w:sz w:val="16"/>
          <w:szCs w:val="16"/>
          <w:color w:val="131413"/>
        </w:rPr>
        <w:t xml:space="preserve"> treatment</w:t>
      </w:r>
    </w:p>
    <w:p>
      <w:pPr>
        <w:spacing w:after="0"/>
        <w:rPr>
          <w:sz w:val="20"/>
          <w:szCs w:val="20"/>
          <w:color w:val="auto"/>
        </w:rPr>
      </w:pPr>
      <w:r>
        <w:rPr>
          <w:rFonts w:ascii="Times New Roman" w:cs="Times New Roman" w:eastAsia="Times New Roman" w:hAnsi="Times New Roman"/>
          <w:sz w:val="16"/>
          <w:szCs w:val="16"/>
          <w:color w:val="131413"/>
        </w:rPr>
        <w:t>for 24- and 48 h in comparison to control. Plus (+) indicates an increase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49530</wp:posOffset>
                </wp:positionV>
                <wp:extent cx="626999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19899">
                          <a:solidFill>
                            <a:srgbClr val="131413"/>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9pt" to="493.25pt,3.9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6257925</wp:posOffset>
                </wp:positionH>
                <wp:positionV relativeFrom="paragraph">
                  <wp:posOffset>49530</wp:posOffset>
                </wp:positionV>
                <wp:extent cx="127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2.75pt,3.9pt" to="493.75pt,3.9pt" o:allowincell="f" strokecolor="#131413" strokeweight="0.5669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4" w:lineRule="exact"/>
        <w:rPr>
          <w:sz w:val="20"/>
          <w:szCs w:val="20"/>
          <w:color w:val="auto"/>
        </w:rPr>
      </w:pPr>
    </w:p>
    <w:p>
      <w:pPr>
        <w:jc w:val="both"/>
        <w:ind w:right="20" w:firstLine="227"/>
        <w:spacing w:after="0" w:line="258" w:lineRule="auto"/>
        <w:rPr>
          <w:sz w:val="20"/>
          <w:szCs w:val="20"/>
          <w:color w:val="auto"/>
        </w:rPr>
      </w:pPr>
      <w:r>
        <w:rPr>
          <w:rFonts w:ascii="Times New Roman" w:cs="Times New Roman" w:eastAsia="Times New Roman" w:hAnsi="Times New Roman"/>
          <w:sz w:val="20"/>
          <w:szCs w:val="20"/>
          <w:color w:val="131413"/>
        </w:rPr>
        <w:t xml:space="preserve">The molecular mechanisms underlying the relation-ship between obesity and inflammation has been uncov-ered to a significant extent. The change in the interac-tion of adipocytes and monocytes of heterogeneous ad-ipose tissue due to obesity, causes the secretion of some inflammatory cytokines which in turn results in the con-version of native monocytes to pro-inflammatory macro-phages infiltrating adipocytes and consequently form </w:t>
      </w:r>
      <w:r>
        <w:rPr>
          <w:rFonts w:ascii="Arial" w:cs="Arial" w:eastAsia="Arial" w:hAnsi="Arial"/>
          <w:sz w:val="20"/>
          <w:szCs w:val="20"/>
          <w:color w:val="131413"/>
        </w:rPr>
        <w:t>“</w:t>
      </w:r>
      <w:r>
        <w:rPr>
          <w:rFonts w:ascii="Times New Roman" w:cs="Times New Roman" w:eastAsia="Times New Roman" w:hAnsi="Times New Roman"/>
          <w:sz w:val="20"/>
          <w:szCs w:val="20"/>
          <w:color w:val="131413"/>
        </w:rPr>
        <w:t>crown like structures</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(CLS). An adipose tissue under</w:t>
      </w:r>
      <w:r>
        <w:rPr>
          <w:rFonts w:ascii="Arial" w:cs="Arial" w:eastAsia="Arial" w:hAnsi="Arial"/>
          <w:sz w:val="20"/>
          <w:szCs w:val="20"/>
          <w:color w:val="131413"/>
        </w:rPr>
        <w:t xml:space="preserve"> </w:t>
      </w:r>
      <w:r>
        <w:rPr>
          <w:rFonts w:ascii="Times New Roman" w:cs="Times New Roman" w:eastAsia="Times New Roman" w:hAnsi="Times New Roman"/>
          <w:sz w:val="20"/>
          <w:szCs w:val="20"/>
          <w:color w:val="131413"/>
        </w:rPr>
        <w:t>such stress results in a state of mild chronic inflamma-</w:t>
      </w:r>
    </w:p>
    <w:p>
      <w:pPr>
        <w:spacing w:after="0" w:line="16" w:lineRule="exact"/>
        <w:rPr>
          <w:sz w:val="20"/>
          <w:szCs w:val="20"/>
          <w:color w:val="auto"/>
        </w:rPr>
      </w:pPr>
    </w:p>
    <w:p>
      <w:pPr>
        <w:jc w:val="both"/>
        <w:ind w:right="20"/>
        <w:spacing w:after="0" w:line="244" w:lineRule="auto"/>
        <w:rPr>
          <w:sz w:val="20"/>
          <w:szCs w:val="20"/>
          <w:color w:val="auto"/>
        </w:rPr>
      </w:pPr>
      <w:r>
        <w:rPr>
          <w:rFonts w:ascii="Times New Roman" w:cs="Times New Roman" w:eastAsia="Times New Roman" w:hAnsi="Times New Roman"/>
          <w:sz w:val="20"/>
          <w:szCs w:val="20"/>
          <w:color w:val="131413"/>
        </w:rPr>
        <w:t xml:space="preserve">tion. When this is the case, knowing what effect </w:t>
      </w:r>
      <w:r>
        <w:rPr>
          <w:rFonts w:ascii="Arial" w:cs="Arial" w:eastAsia="Arial" w:hAnsi="Arial"/>
          <w:sz w:val="20"/>
          <w:szCs w:val="20"/>
          <w:color w:val="131413"/>
        </w:rPr>
        <w:t xml:space="preserve">C. roseus </w:t>
      </w:r>
      <w:r>
        <w:rPr>
          <w:rFonts w:ascii="Times New Roman" w:cs="Times New Roman" w:eastAsia="Times New Roman" w:hAnsi="Times New Roman"/>
          <w:sz w:val="20"/>
          <w:szCs w:val="20"/>
          <w:color w:val="131413"/>
        </w:rPr>
        <w:t>has in terms of reducing the inflammatory</w:t>
      </w:r>
    </w:p>
    <w:p>
      <w:pPr>
        <w:spacing w:after="0" w:line="1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131413"/>
        </w:rPr>
        <w:t>condition that will arise due to the increase of adiposity</w:t>
      </w:r>
    </w:p>
    <w:p>
      <w:pPr>
        <w:spacing w:after="0" w:line="32" w:lineRule="exact"/>
        <w:rPr>
          <w:sz w:val="20"/>
          <w:szCs w:val="20"/>
          <w:color w:val="auto"/>
        </w:rPr>
      </w:pPr>
    </w:p>
    <w:p>
      <w:pPr>
        <w:jc w:val="both"/>
        <w:ind w:right="20"/>
        <w:spacing w:after="0" w:line="245" w:lineRule="auto"/>
        <w:rPr>
          <w:sz w:val="20"/>
          <w:szCs w:val="20"/>
          <w:color w:val="auto"/>
        </w:rPr>
      </w:pPr>
      <w:r>
        <w:rPr>
          <w:rFonts w:ascii="Times New Roman" w:cs="Times New Roman" w:eastAsia="Times New Roman" w:hAnsi="Times New Roman"/>
          <w:sz w:val="20"/>
          <w:szCs w:val="20"/>
          <w:color w:val="131413"/>
        </w:rPr>
        <w:t xml:space="preserve">has been one of the questions sought for this study. For this purpose, </w:t>
      </w:r>
      <w:r>
        <w:rPr>
          <w:rFonts w:ascii="Arial" w:cs="Arial" w:eastAsia="Arial" w:hAnsi="Arial"/>
          <w:sz w:val="20"/>
          <w:szCs w:val="20"/>
          <w:color w:val="131413"/>
        </w:rPr>
        <w:t>C. roseus</w:t>
      </w:r>
      <w:r>
        <w:rPr>
          <w:rFonts w:ascii="Times New Roman" w:cs="Times New Roman" w:eastAsia="Times New Roman" w:hAnsi="Times New Roman"/>
          <w:sz w:val="20"/>
          <w:szCs w:val="20"/>
          <w:color w:val="131413"/>
        </w:rPr>
        <w:t xml:space="preserve"> extracts were applied to fully</w:t>
      </w:r>
    </w:p>
    <w:p>
      <w:pPr>
        <w:spacing w:after="0" w:line="26" w:lineRule="exact"/>
        <w:rPr>
          <w:sz w:val="20"/>
          <w:szCs w:val="20"/>
          <w:color w:val="auto"/>
        </w:rPr>
      </w:pPr>
    </w:p>
    <w:p>
      <w:pPr>
        <w:jc w:val="right"/>
        <w:ind w:right="20"/>
        <w:spacing w:after="0" w:line="256"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differentiated 3T3-L1 cells at a dose of 12.5 </w:t>
      </w:r>
      <w:r>
        <w:rPr>
          <w:rFonts w:ascii="Arial" w:cs="Arial" w:eastAsia="Arial" w:hAnsi="Arial"/>
          <w:sz w:val="20"/>
          <w:szCs w:val="20"/>
          <w:color w:val="131413"/>
        </w:rPr>
        <w:t>μ</w:t>
      </w:r>
      <w:r>
        <w:rPr>
          <w:rFonts w:ascii="Times New Roman" w:cs="Times New Roman" w:eastAsia="Times New Roman" w:hAnsi="Times New Roman"/>
          <w:sz w:val="20"/>
          <w:szCs w:val="20"/>
          <w:color w:val="131413"/>
        </w:rPr>
        <w:t xml:space="preserve">g/mL for  24  h  and  48  h  periods.  At  this  dose,  pro-inflammatory Il-6 mRNA level used as a marker in both time periods decreased by approximately 40% (Fig. </w:t>
      </w:r>
      <w:hyperlink w:anchor="page9">
        <w:r>
          <w:rPr>
            <w:rFonts w:ascii="Times New Roman" w:cs="Times New Roman" w:eastAsia="Times New Roman" w:hAnsi="Times New Roman"/>
            <w:sz w:val="20"/>
            <w:szCs w:val="20"/>
            <w:color w:val="0000FF"/>
          </w:rPr>
          <w:t>4b</w:t>
        </w:r>
      </w:hyperlink>
      <w:r>
        <w:rPr>
          <w:rFonts w:ascii="Times New Roman" w:cs="Times New Roman" w:eastAsia="Times New Roman" w:hAnsi="Times New Roman"/>
          <w:sz w:val="20"/>
          <w:szCs w:val="20"/>
          <w:color w:val="131413"/>
        </w:rPr>
        <w:t>). The data obtained regarding the alterations of 3T3-L1</w:t>
      </w:r>
    </w:p>
    <w:p>
      <w:pPr>
        <w:spacing w:after="0" w:line="17" w:lineRule="exact"/>
        <w:rPr>
          <w:sz w:val="20"/>
          <w:szCs w:val="20"/>
          <w:color w:val="auto"/>
        </w:rPr>
      </w:pPr>
    </w:p>
    <w:p>
      <w:pPr>
        <w:jc w:val="both"/>
        <w:ind w:right="20"/>
        <w:spacing w:after="0" w:line="288" w:lineRule="auto"/>
        <w:rPr>
          <w:sz w:val="20"/>
          <w:szCs w:val="20"/>
          <w:color w:val="auto"/>
        </w:rPr>
      </w:pPr>
      <w:r>
        <w:rPr>
          <w:rFonts w:ascii="Times New Roman" w:cs="Times New Roman" w:eastAsia="Times New Roman" w:hAnsi="Times New Roman"/>
          <w:sz w:val="18"/>
          <w:szCs w:val="18"/>
          <w:color w:val="131413"/>
        </w:rPr>
        <w:t xml:space="preserve">ColV and Il-6 expression profiles in response to 12.5 </w:t>
      </w:r>
      <w:r>
        <w:rPr>
          <w:rFonts w:ascii="Arial" w:cs="Arial" w:eastAsia="Arial" w:hAnsi="Arial"/>
          <w:sz w:val="18"/>
          <w:szCs w:val="18"/>
          <w:color w:val="131413"/>
        </w:rPr>
        <w:t>μ</w:t>
      </w:r>
      <w:r>
        <w:rPr>
          <w:rFonts w:ascii="Times New Roman" w:cs="Times New Roman" w:eastAsia="Times New Roman" w:hAnsi="Times New Roman"/>
          <w:sz w:val="18"/>
          <w:szCs w:val="18"/>
          <w:color w:val="131413"/>
        </w:rPr>
        <w:t xml:space="preserve">g/mL </w:t>
      </w:r>
      <w:r>
        <w:rPr>
          <w:rFonts w:ascii="Arial" w:cs="Arial" w:eastAsia="Arial" w:hAnsi="Arial"/>
          <w:sz w:val="18"/>
          <w:szCs w:val="18"/>
          <w:color w:val="131413"/>
        </w:rPr>
        <w:t xml:space="preserve">C. roseus </w:t>
      </w:r>
      <w:r>
        <w:rPr>
          <w:rFonts w:ascii="Times New Roman" w:cs="Times New Roman" w:eastAsia="Times New Roman" w:hAnsi="Times New Roman"/>
          <w:sz w:val="18"/>
          <w:szCs w:val="18"/>
          <w:color w:val="131413"/>
        </w:rPr>
        <w:t>extract treatments for 24 h and 48 h in arbitrary units</w:t>
      </w:r>
    </w:p>
    <w:p>
      <w:pPr>
        <w:spacing w:after="0" w:line="1" w:lineRule="exact"/>
        <w:rPr>
          <w:sz w:val="20"/>
          <w:szCs w:val="20"/>
          <w:color w:val="auto"/>
        </w:rPr>
      </w:pPr>
    </w:p>
    <w:p>
      <w:pPr>
        <w:jc w:val="both"/>
        <w:ind w:right="20"/>
        <w:spacing w:after="0" w:line="271"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is summarized in Table </w:t>
      </w:r>
      <w:hyperlink w:anchor="page9">
        <w:r>
          <w:rPr>
            <w:rFonts w:ascii="Times New Roman" w:cs="Times New Roman" w:eastAsia="Times New Roman" w:hAnsi="Times New Roman"/>
            <w:sz w:val="19"/>
            <w:szCs w:val="19"/>
            <w:color w:val="0000FF"/>
          </w:rPr>
          <w:t>3</w:t>
        </w:r>
      </w:hyperlink>
      <w:r>
        <w:rPr>
          <w:rFonts w:ascii="Times New Roman" w:cs="Times New Roman" w:eastAsia="Times New Roman" w:hAnsi="Times New Roman"/>
          <w:sz w:val="19"/>
          <w:szCs w:val="19"/>
          <w:color w:val="131413"/>
        </w:rPr>
        <w:t>. Values shown in bold indicate that the percent changes analyzed are statistically significant.</w:t>
      </w:r>
    </w:p>
    <w:p>
      <w:pPr>
        <w:spacing w:after="0" w:line="308" w:lineRule="exact"/>
        <w:rPr>
          <w:sz w:val="20"/>
          <w:szCs w:val="20"/>
          <w:color w:val="auto"/>
        </w:rPr>
      </w:pPr>
    </w:p>
    <w:p>
      <w:pPr>
        <w:jc w:val="both"/>
        <w:ind w:right="20"/>
        <w:spacing w:after="0" w:line="252" w:lineRule="auto"/>
        <w:rPr>
          <w:sz w:val="20"/>
          <w:szCs w:val="20"/>
          <w:color w:val="auto"/>
        </w:rPr>
      </w:pPr>
      <w:r>
        <w:rPr>
          <w:rFonts w:ascii="Times New Roman" w:cs="Times New Roman" w:eastAsia="Times New Roman" w:hAnsi="Times New Roman"/>
          <w:sz w:val="17"/>
          <w:szCs w:val="17"/>
          <w:color w:val="131413"/>
        </w:rPr>
        <w:t>and minus (</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 a decrease in gene expression. Bold labeling mean that the alterations are statistically significant whereas </w:t>
      </w:r>
      <w:r>
        <w:rPr>
          <w:rFonts w:ascii="Arial" w:cs="Arial" w:eastAsia="Arial" w:hAnsi="Arial"/>
          <w:sz w:val="17"/>
          <w:szCs w:val="17"/>
          <w:color w:val="131413"/>
        </w:rPr>
        <w:t>“</w:t>
      </w:r>
      <w:r>
        <w:rPr>
          <w:rFonts w:ascii="Times New Roman" w:cs="Times New Roman" w:eastAsia="Times New Roman" w:hAnsi="Times New Roman"/>
          <w:sz w:val="17"/>
          <w:szCs w:val="17"/>
          <w:color w:val="131413"/>
        </w:rPr>
        <w:t>(ns)</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 indicates that the change is not of significance</w:t>
      </w:r>
    </w:p>
    <w:p>
      <w:pPr>
        <w:spacing w:after="0" w:line="172" w:lineRule="exact"/>
        <w:rPr>
          <w:sz w:val="20"/>
          <w:szCs w:val="20"/>
          <w:color w:val="auto"/>
        </w:rPr>
      </w:pPr>
    </w:p>
    <w:p>
      <w:pPr>
        <w:sectPr>
          <w:pgSz w:w="11900" w:h="15817" w:orient="portrait"/>
          <w:cols w:equalWidth="0" w:num="2">
            <w:col w:w="4760" w:space="340"/>
            <w:col w:w="4780"/>
          </w:cols>
          <w:pgMar w:left="1020" w:top="649" w:right="1006" w:bottom="339" w:gutter="0" w:footer="0" w:header="0"/>
          <w:type w:val="continuous"/>
        </w:sectPr>
      </w:pPr>
    </w:p>
    <w:tbl>
      <w:tblPr>
        <w:tblLayout w:type="fixed"/>
        <w:tblInd w:w="0" w:type="dxa"/>
        <w:tblCellMar>
          <w:top w:w="0" w:type="dxa"/>
          <w:left w:w="0" w:type="dxa"/>
          <w:bottom w:w="0" w:type="dxa"/>
          <w:right w:w="0" w:type="dxa"/>
        </w:tblCellMar>
      </w:tblPr>
      <w:tr>
        <w:trPr>
          <w:trHeight w:val="195"/>
        </w:trPr>
        <w:tc>
          <w:tcPr>
            <w:tcW w:w="234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Samples genes of interest</w:t>
            </w:r>
          </w:p>
        </w:tc>
        <w:tc>
          <w:tcPr>
            <w:tcW w:w="4440" w:type="dxa"/>
            <w:vAlign w:val="bottom"/>
            <w:gridSpan w:val="7"/>
          </w:tcPr>
          <w:p>
            <w:pPr>
              <w:spacing w:after="0"/>
              <w:rPr>
                <w:sz w:val="20"/>
                <w:szCs w:val="20"/>
                <w:color w:val="auto"/>
              </w:rPr>
            </w:pPr>
            <w:r>
              <w:rPr>
                <w:rFonts w:ascii="Times New Roman" w:cs="Times New Roman" w:eastAsia="Times New Roman" w:hAnsi="Times New Roman"/>
                <w:sz w:val="17"/>
                <w:szCs w:val="17"/>
                <w:color w:val="131413"/>
              </w:rPr>
              <w:t>Relative mRNA expression (arbitrary units)</w:t>
            </w:r>
          </w:p>
        </w:tc>
        <w:tc>
          <w:tcPr>
            <w:tcW w:w="6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7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5"/>
        </w:trPr>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180" w:type="dxa"/>
            <w:vAlign w:val="bottom"/>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920" w:type="dxa"/>
            <w:vAlign w:val="bottom"/>
            <w:tcBorders>
              <w:bottom w:val="single" w:sz="8" w:color="131413"/>
            </w:tcBorders>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2640" w:type="dxa"/>
            <w:vAlign w:val="bottom"/>
            <w:tcBorders>
              <w:bottom w:val="single" w:sz="8" w:color="131413"/>
            </w:tcBorders>
            <w:gridSpan w:val="2"/>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8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17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5"/>
        </w:trPr>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136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Control</w:t>
            </w: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12.5</w:t>
            </w:r>
          </w:p>
        </w:tc>
        <w:tc>
          <w:tcPr>
            <w:tcW w:w="2740" w:type="dxa"/>
            <w:vAlign w:val="bottom"/>
            <w:gridSpan w:val="3"/>
          </w:tcPr>
          <w:p>
            <w:pPr>
              <w:spacing w:after="0"/>
              <w:rPr>
                <w:sz w:val="20"/>
                <w:szCs w:val="20"/>
                <w:color w:val="auto"/>
              </w:rPr>
            </w:pPr>
            <w:r>
              <w:rPr>
                <w:rFonts w:ascii="Arial" w:cs="Arial" w:eastAsia="Arial" w:hAnsi="Arial"/>
                <w:sz w:val="17"/>
                <w:szCs w:val="17"/>
                <w:color w:val="131413"/>
              </w:rPr>
              <w:t>μ</w:t>
            </w:r>
            <w:r>
              <w:rPr>
                <w:rFonts w:ascii="Times New Roman" w:cs="Times New Roman" w:eastAsia="Times New Roman" w:hAnsi="Times New Roman"/>
                <w:sz w:val="17"/>
                <w:szCs w:val="17"/>
                <w:color w:val="131413"/>
              </w:rPr>
              <w:t>g/ml</w:t>
            </w:r>
            <w:r>
              <w:rPr>
                <w:rFonts w:ascii="Arial" w:cs="Arial" w:eastAsia="Arial" w:hAnsi="Arial"/>
                <w:sz w:val="17"/>
                <w:szCs w:val="17"/>
                <w:color w:val="131413"/>
              </w:rPr>
              <w:t xml:space="preserve"> </w:t>
            </w:r>
            <w:r>
              <w:rPr>
                <w:rFonts w:ascii="Arial" w:cs="Arial" w:eastAsia="Arial" w:hAnsi="Arial"/>
                <w:sz w:val="17"/>
                <w:szCs w:val="17"/>
                <w:color w:val="131413"/>
              </w:rPr>
              <w:t>C. roseus</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extract</w:t>
            </w:r>
          </w:p>
        </w:tc>
        <w:tc>
          <w:tcPr>
            <w:tcW w:w="6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9"/>
        </w:trPr>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180" w:type="dxa"/>
            <w:vAlign w:val="bottom"/>
          </w:tcPr>
          <w:p>
            <w:pPr>
              <w:spacing w:after="0"/>
              <w:rPr>
                <w:sz w:val="8"/>
                <w:szCs w:val="8"/>
                <w:color w:val="auto"/>
              </w:rPr>
            </w:pPr>
          </w:p>
        </w:tc>
        <w:tc>
          <w:tcPr>
            <w:tcW w:w="340" w:type="dxa"/>
            <w:vAlign w:val="bottom"/>
          </w:tcPr>
          <w:p>
            <w:pPr>
              <w:spacing w:after="0"/>
              <w:rPr>
                <w:sz w:val="8"/>
                <w:szCs w:val="8"/>
                <w:color w:val="auto"/>
              </w:rPr>
            </w:pPr>
          </w:p>
        </w:tc>
        <w:tc>
          <w:tcPr>
            <w:tcW w:w="100" w:type="dxa"/>
            <w:vAlign w:val="bottom"/>
          </w:tcPr>
          <w:p>
            <w:pPr>
              <w:spacing w:after="0"/>
              <w:rPr>
                <w:sz w:val="8"/>
                <w:szCs w:val="8"/>
                <w:color w:val="auto"/>
              </w:rPr>
            </w:pPr>
          </w:p>
        </w:tc>
        <w:tc>
          <w:tcPr>
            <w:tcW w:w="920" w:type="dxa"/>
            <w:vAlign w:val="bottom"/>
          </w:tcPr>
          <w:p>
            <w:pPr>
              <w:spacing w:after="0"/>
              <w:rPr>
                <w:sz w:val="8"/>
                <w:szCs w:val="8"/>
                <w:color w:val="auto"/>
              </w:rPr>
            </w:pPr>
          </w:p>
        </w:tc>
        <w:tc>
          <w:tcPr>
            <w:tcW w:w="340" w:type="dxa"/>
            <w:vAlign w:val="bottom"/>
            <w:tcBorders>
              <w:bottom w:val="single" w:sz="8" w:color="131413"/>
            </w:tcBorders>
          </w:tcPr>
          <w:p>
            <w:pPr>
              <w:spacing w:after="0"/>
              <w:rPr>
                <w:sz w:val="8"/>
                <w:szCs w:val="8"/>
                <w:color w:val="auto"/>
              </w:rPr>
            </w:pPr>
          </w:p>
        </w:tc>
        <w:tc>
          <w:tcPr>
            <w:tcW w:w="100" w:type="dxa"/>
            <w:vAlign w:val="bottom"/>
            <w:tcBorders>
              <w:bottom w:val="single" w:sz="8" w:color="131413"/>
            </w:tcBorders>
          </w:tcPr>
          <w:p>
            <w:pPr>
              <w:spacing w:after="0"/>
              <w:rPr>
                <w:sz w:val="8"/>
                <w:szCs w:val="8"/>
                <w:color w:val="auto"/>
              </w:rPr>
            </w:pPr>
          </w:p>
        </w:tc>
        <w:tc>
          <w:tcPr>
            <w:tcW w:w="640" w:type="dxa"/>
            <w:vAlign w:val="bottom"/>
            <w:tcBorders>
              <w:bottom w:val="single" w:sz="8" w:color="131413"/>
            </w:tcBorders>
          </w:tcPr>
          <w:p>
            <w:pPr>
              <w:spacing w:after="0"/>
              <w:rPr>
                <w:sz w:val="8"/>
                <w:szCs w:val="8"/>
                <w:color w:val="auto"/>
              </w:rPr>
            </w:pPr>
          </w:p>
        </w:tc>
        <w:tc>
          <w:tcPr>
            <w:tcW w:w="2000" w:type="dxa"/>
            <w:vAlign w:val="bottom"/>
            <w:tcBorders>
              <w:bottom w:val="single" w:sz="8" w:color="131413"/>
            </w:tcBorders>
          </w:tcPr>
          <w:p>
            <w:pPr>
              <w:spacing w:after="0"/>
              <w:rPr>
                <w:sz w:val="8"/>
                <w:szCs w:val="8"/>
                <w:color w:val="auto"/>
              </w:rPr>
            </w:pPr>
          </w:p>
        </w:tc>
        <w:tc>
          <w:tcPr>
            <w:tcW w:w="640" w:type="dxa"/>
            <w:vAlign w:val="bottom"/>
            <w:tcBorders>
              <w:bottom w:val="single" w:sz="8" w:color="131413"/>
            </w:tcBorders>
          </w:tcPr>
          <w:p>
            <w:pPr>
              <w:spacing w:after="0"/>
              <w:rPr>
                <w:sz w:val="8"/>
                <w:szCs w:val="8"/>
                <w:color w:val="auto"/>
              </w:rPr>
            </w:pPr>
          </w:p>
        </w:tc>
        <w:tc>
          <w:tcPr>
            <w:tcW w:w="80" w:type="dxa"/>
            <w:vAlign w:val="bottom"/>
            <w:tcBorders>
              <w:bottom w:val="single" w:sz="8" w:color="131413"/>
            </w:tcBorders>
          </w:tcPr>
          <w:p>
            <w:pPr>
              <w:spacing w:after="0"/>
              <w:rPr>
                <w:sz w:val="8"/>
                <w:szCs w:val="8"/>
                <w:color w:val="auto"/>
              </w:rPr>
            </w:pPr>
          </w:p>
        </w:tc>
        <w:tc>
          <w:tcPr>
            <w:tcW w:w="640" w:type="dxa"/>
            <w:vAlign w:val="bottom"/>
            <w:tcBorders>
              <w:bottom w:val="single" w:sz="8" w:color="131413"/>
            </w:tcBorders>
          </w:tcPr>
          <w:p>
            <w:pPr>
              <w:spacing w:after="0"/>
              <w:rPr>
                <w:sz w:val="8"/>
                <w:szCs w:val="8"/>
                <w:color w:val="auto"/>
              </w:rPr>
            </w:pPr>
          </w:p>
        </w:tc>
        <w:tc>
          <w:tcPr>
            <w:tcW w:w="1720" w:type="dxa"/>
            <w:vAlign w:val="bottom"/>
            <w:tcBorders>
              <w:bottom w:val="single" w:sz="8" w:color="131413"/>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9"/>
        </w:trPr>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24 h</w:t>
            </w: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 change to control</w:t>
            </w:r>
          </w:p>
        </w:tc>
        <w:tc>
          <w:tcPr>
            <w:tcW w:w="1360" w:type="dxa"/>
            <w:vAlign w:val="bottom"/>
            <w:gridSpan w:val="3"/>
          </w:tcPr>
          <w:p>
            <w:pPr>
              <w:ind w:left="300"/>
              <w:spacing w:after="0"/>
              <w:rPr>
                <w:sz w:val="20"/>
                <w:szCs w:val="20"/>
                <w:color w:val="auto"/>
              </w:rPr>
            </w:pPr>
            <w:r>
              <w:rPr>
                <w:rFonts w:ascii="Times New Roman" w:cs="Times New Roman" w:eastAsia="Times New Roman" w:hAnsi="Times New Roman"/>
                <w:sz w:val="17"/>
                <w:szCs w:val="17"/>
                <w:color w:val="131413"/>
              </w:rPr>
              <w:t>48 h</w:t>
            </w:r>
          </w:p>
        </w:tc>
        <w:tc>
          <w:tcPr>
            <w:tcW w:w="1740" w:type="dxa"/>
            <w:vAlign w:val="bottom"/>
            <w:gridSpan w:val="2"/>
          </w:tcPr>
          <w:p>
            <w:pPr>
              <w:ind w:left="300"/>
              <w:spacing w:after="0"/>
              <w:rPr>
                <w:sz w:val="20"/>
                <w:szCs w:val="20"/>
                <w:color w:val="auto"/>
              </w:rPr>
            </w:pPr>
            <w:r>
              <w:rPr>
                <w:rFonts w:ascii="Times New Roman" w:cs="Times New Roman" w:eastAsia="Times New Roman" w:hAnsi="Times New Roman"/>
                <w:sz w:val="17"/>
                <w:szCs w:val="17"/>
                <w:color w:val="131413"/>
              </w:rPr>
              <w:t>% change to control</w:t>
            </w:r>
          </w:p>
        </w:tc>
        <w:tc>
          <w:tcPr>
            <w:tcW w:w="0" w:type="dxa"/>
            <w:vAlign w:val="bottom"/>
          </w:tcPr>
          <w:p>
            <w:pPr>
              <w:spacing w:after="0"/>
              <w:rPr>
                <w:sz w:val="1"/>
                <w:szCs w:val="1"/>
                <w:color w:val="auto"/>
              </w:rPr>
            </w:pPr>
          </w:p>
        </w:tc>
      </w:tr>
      <w:tr>
        <w:trPr>
          <w:trHeight w:val="108"/>
        </w:trPr>
        <w:tc>
          <w:tcPr>
            <w:tcW w:w="20" w:type="dxa"/>
            <w:vAlign w:val="bottom"/>
            <w:tcBorders>
              <w:bottom w:val="single" w:sz="8" w:color="131413"/>
            </w:tcBorders>
          </w:tcPr>
          <w:p>
            <w:pPr>
              <w:spacing w:after="0"/>
              <w:rPr>
                <w:sz w:val="9"/>
                <w:szCs w:val="9"/>
                <w:color w:val="auto"/>
              </w:rPr>
            </w:pPr>
          </w:p>
        </w:tc>
        <w:tc>
          <w:tcPr>
            <w:tcW w:w="140" w:type="dxa"/>
            <w:vAlign w:val="bottom"/>
            <w:tcBorders>
              <w:bottom w:val="single" w:sz="8" w:color="131413"/>
            </w:tcBorders>
          </w:tcPr>
          <w:p>
            <w:pPr>
              <w:spacing w:after="0"/>
              <w:rPr>
                <w:sz w:val="9"/>
                <w:szCs w:val="9"/>
                <w:color w:val="auto"/>
              </w:rPr>
            </w:pPr>
          </w:p>
        </w:tc>
        <w:tc>
          <w:tcPr>
            <w:tcW w:w="2180" w:type="dxa"/>
            <w:vAlign w:val="bottom"/>
            <w:tcBorders>
              <w:bottom w:val="single" w:sz="8" w:color="131413"/>
            </w:tcBorders>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920" w:type="dxa"/>
            <w:vAlign w:val="bottom"/>
            <w:tcBorders>
              <w:bottom w:val="single" w:sz="8" w:color="131413"/>
            </w:tcBorders>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200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8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17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3"/>
        </w:trPr>
        <w:tc>
          <w:tcPr>
            <w:tcW w:w="234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Fasn</w:t>
            </w:r>
          </w:p>
        </w:tc>
        <w:tc>
          <w:tcPr>
            <w:tcW w:w="136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3.25 + 0.40</w:t>
            </w: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1.52</w:t>
            </w:r>
          </w:p>
        </w:tc>
        <w:tc>
          <w:tcPr>
            <w:tcW w:w="740" w:type="dxa"/>
            <w:vAlign w:val="bottom"/>
            <w:gridSpan w:val="2"/>
          </w:tcPr>
          <w:p>
            <w:pPr>
              <w:spacing w:after="0"/>
              <w:rPr>
                <w:sz w:val="20"/>
                <w:szCs w:val="20"/>
                <w:color w:val="auto"/>
              </w:rPr>
            </w:pPr>
            <w:r>
              <w:rPr>
                <w:rFonts w:ascii="Times New Roman" w:cs="Times New Roman" w:eastAsia="Times New Roman" w:hAnsi="Times New Roman"/>
                <w:sz w:val="17"/>
                <w:szCs w:val="17"/>
                <w:color w:val="131413"/>
              </w:rPr>
              <w:t>+ 0.45</w:t>
            </w:r>
          </w:p>
        </w:tc>
        <w:tc>
          <w:tcPr>
            <w:tcW w:w="2000" w:type="dxa"/>
            <w:vAlign w:val="bottom"/>
          </w:tcPr>
          <w:p>
            <w:pPr>
              <w:ind w:left="280"/>
              <w:spacing w:after="0"/>
              <w:rPr>
                <w:sz w:val="20"/>
                <w:szCs w:val="20"/>
                <w:color w:val="auto"/>
              </w:rPr>
            </w:pPr>
            <w:r>
              <w:rPr>
                <w:rFonts w:ascii="Arial" w:cs="Arial" w:eastAsia="Arial" w:hAnsi="Arial"/>
                <w:sz w:val="17"/>
                <w:szCs w:val="17"/>
                <w:color w:val="131413"/>
              </w:rPr>
              <w:t>−</w:t>
            </w:r>
            <w:r>
              <w:rPr>
                <w:rFonts w:ascii="Times New Roman" w:cs="Times New Roman" w:eastAsia="Times New Roman" w:hAnsi="Times New Roman"/>
                <w:sz w:val="17"/>
                <w:szCs w:val="17"/>
                <w:color w:val="131413"/>
              </w:rPr>
              <w:t>53%</w:t>
            </w:r>
          </w:p>
        </w:tc>
        <w:tc>
          <w:tcPr>
            <w:tcW w:w="1360" w:type="dxa"/>
            <w:vAlign w:val="bottom"/>
            <w:gridSpan w:val="3"/>
          </w:tcPr>
          <w:p>
            <w:pPr>
              <w:ind w:left="300"/>
              <w:spacing w:after="0"/>
              <w:rPr>
                <w:sz w:val="20"/>
                <w:szCs w:val="20"/>
                <w:color w:val="auto"/>
              </w:rPr>
            </w:pPr>
            <w:r>
              <w:rPr>
                <w:rFonts w:ascii="Times New Roman" w:cs="Times New Roman" w:eastAsia="Times New Roman" w:hAnsi="Times New Roman"/>
                <w:sz w:val="17"/>
                <w:szCs w:val="17"/>
                <w:color w:val="131413"/>
              </w:rPr>
              <w:t>5.56 + 2.13</w:t>
            </w:r>
          </w:p>
        </w:tc>
        <w:tc>
          <w:tcPr>
            <w:tcW w:w="1740" w:type="dxa"/>
            <w:vAlign w:val="bottom"/>
            <w:gridSpan w:val="2"/>
          </w:tcPr>
          <w:p>
            <w:pPr>
              <w:ind w:left="300"/>
              <w:spacing w:after="0"/>
              <w:rPr>
                <w:sz w:val="20"/>
                <w:szCs w:val="20"/>
                <w:color w:val="auto"/>
              </w:rPr>
            </w:pPr>
            <w:r>
              <w:rPr>
                <w:rFonts w:ascii="Times New Roman" w:cs="Times New Roman" w:eastAsia="Times New Roman" w:hAnsi="Times New Roman"/>
                <w:sz w:val="17"/>
                <w:szCs w:val="17"/>
                <w:color w:val="131413"/>
              </w:rPr>
              <w:t>+71% (ns)</w:t>
            </w:r>
          </w:p>
        </w:tc>
        <w:tc>
          <w:tcPr>
            <w:tcW w:w="0" w:type="dxa"/>
            <w:vAlign w:val="bottom"/>
          </w:tcPr>
          <w:p>
            <w:pPr>
              <w:spacing w:after="0"/>
              <w:rPr>
                <w:sz w:val="1"/>
                <w:szCs w:val="1"/>
                <w:color w:val="auto"/>
              </w:rPr>
            </w:pPr>
          </w:p>
        </w:tc>
      </w:tr>
      <w:tr>
        <w:trPr>
          <w:trHeight w:val="20"/>
        </w:trPr>
        <w:tc>
          <w:tcPr>
            <w:tcW w:w="2340" w:type="dxa"/>
            <w:vAlign w:val="bottom"/>
            <w:gridSpan w:val="3"/>
            <w:vMerge w:val="restart"/>
          </w:tcPr>
          <w:p>
            <w:pPr>
              <w:spacing w:after="0"/>
              <w:rPr>
                <w:sz w:val="20"/>
                <w:szCs w:val="20"/>
                <w:color w:val="auto"/>
              </w:rPr>
            </w:pPr>
            <w:r>
              <w:rPr>
                <w:rFonts w:ascii="Times New Roman" w:cs="Times New Roman" w:eastAsia="Times New Roman" w:hAnsi="Times New Roman"/>
                <w:sz w:val="17"/>
                <w:szCs w:val="17"/>
                <w:color w:val="131413"/>
              </w:rPr>
              <w:t>Lpl</w:t>
            </w:r>
          </w:p>
        </w:tc>
        <w:tc>
          <w:tcPr>
            <w:tcW w:w="3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2000" w:type="dxa"/>
            <w:vAlign w:val="bottom"/>
            <w:vMerge w:val="restart"/>
          </w:tcPr>
          <w:p>
            <w:pPr>
              <w:ind w:left="280"/>
              <w:spacing w:after="0"/>
              <w:rPr>
                <w:sz w:val="20"/>
                <w:szCs w:val="20"/>
                <w:color w:val="auto"/>
              </w:rPr>
            </w:pPr>
            <w:r>
              <w:rPr>
                <w:rFonts w:ascii="Arial" w:cs="Arial" w:eastAsia="Arial" w:hAnsi="Arial"/>
                <w:sz w:val="17"/>
                <w:szCs w:val="17"/>
                <w:color w:val="131413"/>
              </w:rPr>
              <w:t>−</w:t>
            </w:r>
            <w:r>
              <w:rPr>
                <w:rFonts w:ascii="Times New Roman" w:cs="Times New Roman" w:eastAsia="Times New Roman" w:hAnsi="Times New Roman"/>
                <w:sz w:val="17"/>
                <w:szCs w:val="17"/>
                <w:color w:val="131413"/>
              </w:rPr>
              <w:t>61%</w:t>
            </w:r>
          </w:p>
        </w:tc>
        <w:tc>
          <w:tcPr>
            <w:tcW w:w="640" w:type="dxa"/>
            <w:vAlign w:val="bottom"/>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740" w:type="dxa"/>
            <w:vAlign w:val="bottom"/>
            <w:gridSpan w:val="2"/>
            <w:vMerge w:val="restart"/>
          </w:tcPr>
          <w:p>
            <w:pPr>
              <w:ind w:left="300"/>
              <w:spacing w:after="0"/>
              <w:rPr>
                <w:sz w:val="20"/>
                <w:szCs w:val="20"/>
                <w:color w:val="auto"/>
              </w:rPr>
            </w:pPr>
            <w:r>
              <w:rPr>
                <w:rFonts w:ascii="Arial" w:cs="Arial" w:eastAsia="Arial" w:hAnsi="Arial"/>
                <w:sz w:val="17"/>
                <w:szCs w:val="17"/>
                <w:color w:val="131413"/>
              </w:rPr>
              <w:t>−</w:t>
            </w:r>
            <w:r>
              <w:rPr>
                <w:rFonts w:ascii="Times New Roman" w:cs="Times New Roman" w:eastAsia="Times New Roman" w:hAnsi="Times New Roman"/>
                <w:sz w:val="17"/>
                <w:szCs w:val="17"/>
                <w:color w:val="131413"/>
              </w:rPr>
              <w:t>11% (ns)</w:t>
            </w:r>
          </w:p>
        </w:tc>
        <w:tc>
          <w:tcPr>
            <w:tcW w:w="0" w:type="dxa"/>
            <w:vAlign w:val="bottom"/>
          </w:tcPr>
          <w:p>
            <w:pPr>
              <w:spacing w:after="0" w:line="20" w:lineRule="exact"/>
              <w:rPr>
                <w:sz w:val="1"/>
                <w:szCs w:val="1"/>
                <w:color w:val="auto"/>
              </w:rPr>
            </w:pPr>
          </w:p>
        </w:tc>
      </w:tr>
      <w:tr>
        <w:trPr>
          <w:trHeight w:val="234"/>
        </w:trPr>
        <w:tc>
          <w:tcPr>
            <w:tcW w:w="2340" w:type="dxa"/>
            <w:vAlign w:val="bottom"/>
            <w:gridSpan w:val="3"/>
            <w:vMerge w:val="continue"/>
          </w:tcPr>
          <w:p>
            <w:pPr>
              <w:spacing w:after="0"/>
              <w:rPr>
                <w:sz w:val="20"/>
                <w:szCs w:val="20"/>
                <w:color w:val="auto"/>
              </w:rPr>
            </w:pPr>
          </w:p>
        </w:tc>
        <w:tc>
          <w:tcPr>
            <w:tcW w:w="136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2.46 + 0.45</w:t>
            </w: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0.97</w:t>
            </w:r>
          </w:p>
        </w:tc>
        <w:tc>
          <w:tcPr>
            <w:tcW w:w="740" w:type="dxa"/>
            <w:vAlign w:val="bottom"/>
            <w:gridSpan w:val="2"/>
          </w:tcPr>
          <w:p>
            <w:pPr>
              <w:spacing w:after="0"/>
              <w:rPr>
                <w:sz w:val="20"/>
                <w:szCs w:val="20"/>
                <w:color w:val="auto"/>
              </w:rPr>
            </w:pPr>
            <w:r>
              <w:rPr>
                <w:rFonts w:ascii="Times New Roman" w:cs="Times New Roman" w:eastAsia="Times New Roman" w:hAnsi="Times New Roman"/>
                <w:sz w:val="17"/>
                <w:szCs w:val="17"/>
                <w:color w:val="131413"/>
              </w:rPr>
              <w:t>+ 0.19</w:t>
            </w:r>
          </w:p>
        </w:tc>
        <w:tc>
          <w:tcPr>
            <w:tcW w:w="2000" w:type="dxa"/>
            <w:vAlign w:val="bottom"/>
            <w:vMerge w:val="continue"/>
          </w:tcPr>
          <w:p>
            <w:pPr>
              <w:spacing w:after="0"/>
              <w:rPr>
                <w:sz w:val="20"/>
                <w:szCs w:val="20"/>
                <w:color w:val="auto"/>
              </w:rPr>
            </w:pPr>
          </w:p>
        </w:tc>
        <w:tc>
          <w:tcPr>
            <w:tcW w:w="1360" w:type="dxa"/>
            <w:vAlign w:val="bottom"/>
            <w:gridSpan w:val="3"/>
          </w:tcPr>
          <w:p>
            <w:pPr>
              <w:ind w:left="300"/>
              <w:spacing w:after="0"/>
              <w:rPr>
                <w:sz w:val="20"/>
                <w:szCs w:val="20"/>
                <w:color w:val="auto"/>
              </w:rPr>
            </w:pPr>
            <w:r>
              <w:rPr>
                <w:rFonts w:ascii="Times New Roman" w:cs="Times New Roman" w:eastAsia="Times New Roman" w:hAnsi="Times New Roman"/>
                <w:sz w:val="17"/>
                <w:szCs w:val="17"/>
                <w:color w:val="131413"/>
              </w:rPr>
              <w:t>2.18 + 0.38</w:t>
            </w:r>
          </w:p>
        </w:tc>
        <w:tc>
          <w:tcPr>
            <w:tcW w:w="174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86"/>
        </w:trPr>
        <w:tc>
          <w:tcPr>
            <w:tcW w:w="20" w:type="dxa"/>
            <w:vAlign w:val="bottom"/>
            <w:tcBorders>
              <w:bottom w:val="single" w:sz="8" w:color="131413"/>
            </w:tcBorders>
          </w:tcPr>
          <w:p>
            <w:pPr>
              <w:spacing w:after="0"/>
              <w:rPr>
                <w:sz w:val="7"/>
                <w:szCs w:val="7"/>
                <w:color w:val="auto"/>
              </w:rPr>
            </w:pPr>
          </w:p>
        </w:tc>
        <w:tc>
          <w:tcPr>
            <w:tcW w:w="140" w:type="dxa"/>
            <w:vAlign w:val="bottom"/>
            <w:tcBorders>
              <w:bottom w:val="single" w:sz="8" w:color="131413"/>
            </w:tcBorders>
          </w:tcPr>
          <w:p>
            <w:pPr>
              <w:spacing w:after="0"/>
              <w:rPr>
                <w:sz w:val="7"/>
                <w:szCs w:val="7"/>
                <w:color w:val="auto"/>
              </w:rPr>
            </w:pPr>
          </w:p>
        </w:tc>
        <w:tc>
          <w:tcPr>
            <w:tcW w:w="2180" w:type="dxa"/>
            <w:vAlign w:val="bottom"/>
            <w:tcBorders>
              <w:bottom w:val="single" w:sz="8" w:color="131413"/>
            </w:tcBorders>
          </w:tcPr>
          <w:p>
            <w:pPr>
              <w:spacing w:after="0"/>
              <w:rPr>
                <w:sz w:val="7"/>
                <w:szCs w:val="7"/>
                <w:color w:val="auto"/>
              </w:rPr>
            </w:pPr>
          </w:p>
        </w:tc>
        <w:tc>
          <w:tcPr>
            <w:tcW w:w="340" w:type="dxa"/>
            <w:vAlign w:val="bottom"/>
            <w:tcBorders>
              <w:bottom w:val="single" w:sz="8" w:color="131413"/>
            </w:tcBorders>
          </w:tcPr>
          <w:p>
            <w:pPr>
              <w:spacing w:after="0"/>
              <w:rPr>
                <w:sz w:val="7"/>
                <w:szCs w:val="7"/>
                <w:color w:val="auto"/>
              </w:rPr>
            </w:pPr>
          </w:p>
        </w:tc>
        <w:tc>
          <w:tcPr>
            <w:tcW w:w="100" w:type="dxa"/>
            <w:vAlign w:val="bottom"/>
            <w:tcBorders>
              <w:top w:val="single" w:sz="8" w:color="auto"/>
              <w:bottom w:val="single" w:sz="8" w:color="131413"/>
            </w:tcBorders>
          </w:tcPr>
          <w:p>
            <w:pPr>
              <w:spacing w:after="0"/>
              <w:rPr>
                <w:sz w:val="7"/>
                <w:szCs w:val="7"/>
                <w:color w:val="auto"/>
              </w:rPr>
            </w:pPr>
          </w:p>
        </w:tc>
        <w:tc>
          <w:tcPr>
            <w:tcW w:w="920" w:type="dxa"/>
            <w:vAlign w:val="bottom"/>
            <w:tcBorders>
              <w:bottom w:val="single" w:sz="8" w:color="131413"/>
            </w:tcBorders>
          </w:tcPr>
          <w:p>
            <w:pPr>
              <w:spacing w:after="0"/>
              <w:rPr>
                <w:sz w:val="7"/>
                <w:szCs w:val="7"/>
                <w:color w:val="auto"/>
              </w:rPr>
            </w:pPr>
          </w:p>
        </w:tc>
        <w:tc>
          <w:tcPr>
            <w:tcW w:w="340" w:type="dxa"/>
            <w:vAlign w:val="bottom"/>
            <w:tcBorders>
              <w:bottom w:val="single" w:sz="8" w:color="131413"/>
            </w:tcBorders>
          </w:tcPr>
          <w:p>
            <w:pPr>
              <w:spacing w:after="0"/>
              <w:rPr>
                <w:sz w:val="7"/>
                <w:szCs w:val="7"/>
                <w:color w:val="auto"/>
              </w:rPr>
            </w:pPr>
          </w:p>
        </w:tc>
        <w:tc>
          <w:tcPr>
            <w:tcW w:w="100" w:type="dxa"/>
            <w:vAlign w:val="bottom"/>
            <w:tcBorders>
              <w:top w:val="single" w:sz="8" w:color="auto"/>
              <w:bottom w:val="single" w:sz="8" w:color="131413"/>
            </w:tcBorders>
          </w:tcPr>
          <w:p>
            <w:pPr>
              <w:spacing w:after="0"/>
              <w:rPr>
                <w:sz w:val="7"/>
                <w:szCs w:val="7"/>
                <w:color w:val="auto"/>
              </w:rPr>
            </w:pPr>
          </w:p>
        </w:tc>
        <w:tc>
          <w:tcPr>
            <w:tcW w:w="640" w:type="dxa"/>
            <w:vAlign w:val="bottom"/>
            <w:tcBorders>
              <w:bottom w:val="single" w:sz="8" w:color="131413"/>
            </w:tcBorders>
          </w:tcPr>
          <w:p>
            <w:pPr>
              <w:spacing w:after="0"/>
              <w:rPr>
                <w:sz w:val="7"/>
                <w:szCs w:val="7"/>
                <w:color w:val="auto"/>
              </w:rPr>
            </w:pPr>
          </w:p>
        </w:tc>
        <w:tc>
          <w:tcPr>
            <w:tcW w:w="2000" w:type="dxa"/>
            <w:vAlign w:val="bottom"/>
            <w:tcBorders>
              <w:bottom w:val="single" w:sz="8" w:color="131413"/>
            </w:tcBorders>
          </w:tcPr>
          <w:p>
            <w:pPr>
              <w:spacing w:after="0"/>
              <w:rPr>
                <w:sz w:val="7"/>
                <w:szCs w:val="7"/>
                <w:color w:val="auto"/>
              </w:rPr>
            </w:pPr>
          </w:p>
        </w:tc>
        <w:tc>
          <w:tcPr>
            <w:tcW w:w="640" w:type="dxa"/>
            <w:vAlign w:val="bottom"/>
            <w:tcBorders>
              <w:bottom w:val="single" w:sz="8" w:color="131413"/>
            </w:tcBorders>
          </w:tcPr>
          <w:p>
            <w:pPr>
              <w:spacing w:after="0"/>
              <w:rPr>
                <w:sz w:val="7"/>
                <w:szCs w:val="7"/>
                <w:color w:val="auto"/>
              </w:rPr>
            </w:pPr>
          </w:p>
        </w:tc>
        <w:tc>
          <w:tcPr>
            <w:tcW w:w="80" w:type="dxa"/>
            <w:vAlign w:val="bottom"/>
            <w:tcBorders>
              <w:top w:val="single" w:sz="8" w:color="auto"/>
              <w:bottom w:val="single" w:sz="8" w:color="131413"/>
            </w:tcBorders>
          </w:tcPr>
          <w:p>
            <w:pPr>
              <w:spacing w:after="0"/>
              <w:rPr>
                <w:sz w:val="7"/>
                <w:szCs w:val="7"/>
                <w:color w:val="auto"/>
              </w:rPr>
            </w:pPr>
          </w:p>
        </w:tc>
        <w:tc>
          <w:tcPr>
            <w:tcW w:w="640" w:type="dxa"/>
            <w:vAlign w:val="bottom"/>
            <w:tcBorders>
              <w:bottom w:val="single" w:sz="8" w:color="131413"/>
            </w:tcBorders>
          </w:tcPr>
          <w:p>
            <w:pPr>
              <w:spacing w:after="0"/>
              <w:rPr>
                <w:sz w:val="7"/>
                <w:szCs w:val="7"/>
                <w:color w:val="auto"/>
              </w:rPr>
            </w:pPr>
          </w:p>
        </w:tc>
        <w:tc>
          <w:tcPr>
            <w:tcW w:w="1720" w:type="dxa"/>
            <w:vAlign w:val="bottom"/>
            <w:tcBorders>
              <w:bottom w:val="single" w:sz="8" w:color="131413"/>
            </w:tcBorders>
          </w:tcPr>
          <w:p>
            <w:pPr>
              <w:spacing w:after="0"/>
              <w:rPr>
                <w:sz w:val="7"/>
                <w:szCs w:val="7"/>
                <w:color w:val="auto"/>
              </w:rPr>
            </w:pPr>
          </w:p>
        </w:tc>
        <w:tc>
          <w:tcPr>
            <w:tcW w:w="20" w:type="dxa"/>
            <w:vAlign w:val="bottom"/>
            <w:tcBorders>
              <w:bottom w:val="single" w:sz="8" w:color="131413"/>
            </w:tcBorders>
          </w:tcPr>
          <w:p>
            <w:pPr>
              <w:spacing w:after="0"/>
              <w:rPr>
                <w:sz w:val="7"/>
                <w:szCs w:val="7"/>
                <w:color w:val="auto"/>
              </w:rPr>
            </w:pPr>
          </w:p>
        </w:tc>
        <w:tc>
          <w:tcPr>
            <w:tcW w:w="0" w:type="dxa"/>
            <w:vAlign w:val="bottom"/>
          </w:tcPr>
          <w:p>
            <w:pPr>
              <w:spacing w:after="0"/>
              <w:rPr>
                <w:sz w:val="1"/>
                <w:szCs w:val="1"/>
                <w:color w:val="auto"/>
              </w:rPr>
            </w:pPr>
          </w:p>
        </w:tc>
      </w:tr>
      <w:tr>
        <w:trPr>
          <w:trHeight w:val="650"/>
        </w:trPr>
        <w:tc>
          <w:tcPr>
            <w:tcW w:w="20" w:type="dxa"/>
            <w:vAlign w:val="bottom"/>
          </w:tcPr>
          <w:p>
            <w:pPr>
              <w:spacing w:after="0"/>
              <w:rPr>
                <w:sz w:val="24"/>
                <w:szCs w:val="24"/>
                <w:color w:val="auto"/>
              </w:rPr>
            </w:pPr>
          </w:p>
        </w:tc>
        <w:tc>
          <w:tcPr>
            <w:tcW w:w="140" w:type="dxa"/>
            <w:vAlign w:val="bottom"/>
            <w:tcBorders>
              <w:bottom w:val="single" w:sz="8" w:color="131413"/>
            </w:tcBorders>
          </w:tcPr>
          <w:p>
            <w:pPr>
              <w:spacing w:after="0"/>
              <w:rPr>
                <w:sz w:val="24"/>
                <w:szCs w:val="24"/>
                <w:color w:val="auto"/>
              </w:rPr>
            </w:pPr>
          </w:p>
        </w:tc>
        <w:tc>
          <w:tcPr>
            <w:tcW w:w="21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-432435</wp:posOffset>
                </wp:positionV>
                <wp:extent cx="1206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4.0499pt" to="0.5pt,-34.0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-852805</wp:posOffset>
                </wp:positionV>
                <wp:extent cx="1206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67.1499pt" to="0.5pt,-67.1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1477010</wp:posOffset>
                </wp:positionH>
                <wp:positionV relativeFrom="paragraph">
                  <wp:posOffset>-1367790</wp:posOffset>
                </wp:positionV>
                <wp:extent cx="1270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3pt,-107.6999pt" to="117.3pt,-107.69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2342515</wp:posOffset>
                </wp:positionH>
                <wp:positionV relativeFrom="paragraph">
                  <wp:posOffset>-1111885</wp:posOffset>
                </wp:positionV>
                <wp:extent cx="1270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45pt,-87.5499pt" to="185.45pt,-87.5499pt" o:allowincell="f" strokecolor="#131413" strokeweight="0.5669pt"/>
            </w:pict>
          </mc:Fallback>
        </mc:AlternateContent>
        <w:drawing>
          <wp:anchor simplePos="0" relativeHeight="251657728" behindDoc="1" locked="0" layoutInCell="0" allowOverlap="1">
            <wp:simplePos x="0" y="0"/>
            <wp:positionH relativeFrom="column">
              <wp:posOffset>0</wp:posOffset>
            </wp:positionH>
            <wp:positionV relativeFrom="paragraph">
              <wp:posOffset>-125095</wp:posOffset>
            </wp:positionV>
            <wp:extent cx="483870" cy="13843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1">
            <w:col w:w="9880"/>
          </w:cols>
          <w:pgMar w:left="1020" w:top="649" w:right="1006" w:bottom="339" w:gutter="0" w:footer="0" w:header="0"/>
          <w:type w:val="continuous"/>
        </w:sectPr>
      </w:pPr>
    </w:p>
    <w:bookmarkStart w:id="6" w:name="page7"/>
    <w:bookmarkEnd w:id="6"/>
    <w:p>
      <w:pPr>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41910</wp:posOffset>
            </wp:positionV>
            <wp:extent cx="6276975" cy="19018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extLst>
                    </a:blip>
                    <a:srcRect/>
                    <a:stretch>
                      <a:fillRect/>
                    </a:stretch>
                  </pic:blipFill>
                  <pic:spPr bwMode="auto">
                    <a:xfrm>
                      <a:off x="0" y="0"/>
                      <a:ext cx="6276975" cy="1901825"/>
                    </a:xfrm>
                    <a:prstGeom prst="rect">
                      <a:avLst/>
                    </a:prstGeom>
                    <a:noFill/>
                  </pic:spPr>
                </pic:pic>
              </a:graphicData>
            </a:graphic>
          </wp:anchor>
        </w:drawing>
      </w:r>
    </w:p>
    <w:p>
      <w:pPr>
        <w:sectPr>
          <w:pgSz w:w="11900" w:h="15817" w:orient="portrait"/>
          <w:cols w:equalWidth="0" w:num="1">
            <w:col w:w="9880"/>
          </w:cols>
          <w:pgMar w:left="1020" w:top="649" w:right="1006" w:bottom="33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spacing w:after="0" w:line="239" w:lineRule="auto"/>
        <w:rPr>
          <w:sz w:val="20"/>
          <w:szCs w:val="20"/>
          <w:color w:val="auto"/>
        </w:rPr>
      </w:pPr>
      <w:r>
        <w:rPr>
          <w:rFonts w:ascii="Arial" w:cs="Arial" w:eastAsia="Arial" w:hAnsi="Arial"/>
          <w:sz w:val="17"/>
          <w:szCs w:val="17"/>
          <w:color w:val="131413"/>
        </w:rPr>
        <w:t xml:space="preserve">Fig. 4 </w:t>
      </w:r>
      <w:r>
        <w:rPr>
          <w:rFonts w:ascii="Times New Roman" w:cs="Times New Roman" w:eastAsia="Times New Roman" w:hAnsi="Times New Roman"/>
          <w:sz w:val="17"/>
          <w:szCs w:val="17"/>
          <w:color w:val="131413"/>
        </w:rPr>
        <w:t>Quantitative measurement of ColV and Il-6 mRNA in 3T3-L1</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cells. ColV and Il-6 quantitation of mRNA in 3T3- L1 adipocytes differ-entiated with IBMX, Dexamethasone and insulin were done by Real Time RT-PCR using duplicate measurements in three separate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both"/>
        <w:ind w:right="20"/>
        <w:spacing w:after="0" w:line="258" w:lineRule="auto"/>
        <w:rPr>
          <w:sz w:val="20"/>
          <w:szCs w:val="20"/>
          <w:color w:val="auto"/>
        </w:rPr>
      </w:pPr>
      <w:r>
        <w:rPr>
          <w:rFonts w:ascii="Times New Roman" w:cs="Times New Roman" w:eastAsia="Times New Roman" w:hAnsi="Times New Roman"/>
          <w:sz w:val="16"/>
          <w:szCs w:val="16"/>
          <w:color w:val="131413"/>
        </w:rPr>
        <w:t>experiments. The changes in ColV mRNA and Il-6 mRNA expression in fully differentiated adipocytes indicated with asterisks were significant (</w:t>
      </w:r>
      <w:r>
        <w:rPr>
          <w:rFonts w:ascii="Arial" w:cs="Arial" w:eastAsia="Arial" w:hAnsi="Arial"/>
          <w:sz w:val="16"/>
          <w:szCs w:val="16"/>
          <w:color w:val="131413"/>
        </w:rPr>
        <w:t>P</w:t>
      </w:r>
      <w:r>
        <w:rPr>
          <w:rFonts w:ascii="Times New Roman" w:cs="Times New Roman" w:eastAsia="Times New Roman" w:hAnsi="Times New Roman"/>
          <w:sz w:val="16"/>
          <w:szCs w:val="16"/>
          <w:color w:val="131413"/>
        </w:rPr>
        <w:t xml:space="preserve"> &lt; 0.03). (Error bars show standard deviation (SD))</w:t>
      </w:r>
    </w:p>
    <w:p>
      <w:pPr>
        <w:spacing w:after="0" w:line="384" w:lineRule="exact"/>
        <w:rPr>
          <w:sz w:val="20"/>
          <w:szCs w:val="20"/>
          <w:color w:val="auto"/>
        </w:rPr>
      </w:pPr>
    </w:p>
    <w:p>
      <w:pPr>
        <w:sectPr>
          <w:pgSz w:w="11900" w:h="15817" w:orient="portrait"/>
          <w:cols w:equalWidth="0" w:num="2">
            <w:col w:w="4760" w:space="340"/>
            <w:col w:w="4780"/>
          </w:cols>
          <w:pgMar w:left="1020" w:top="649" w:right="1006" w:bottom="339" w:gutter="0" w:footer="0" w:header="0"/>
          <w:type w:val="continuous"/>
        </w:sectPr>
      </w:pPr>
    </w:p>
    <w:p>
      <w:pPr>
        <w:spacing w:after="0" w:line="130" w:lineRule="exact"/>
        <w:rPr>
          <w:sz w:val="20"/>
          <w:szCs w:val="20"/>
          <w:color w:val="auto"/>
        </w:rPr>
      </w:pPr>
    </w:p>
    <w:p>
      <w:pPr>
        <w:spacing w:after="0"/>
        <w:rPr>
          <w:sz w:val="20"/>
          <w:szCs w:val="20"/>
          <w:color w:val="auto"/>
        </w:rPr>
      </w:pPr>
      <w:r>
        <w:rPr>
          <w:rFonts w:ascii="Arial" w:cs="Arial" w:eastAsia="Arial" w:hAnsi="Arial"/>
          <w:sz w:val="24"/>
          <w:szCs w:val="24"/>
          <w:color w:val="131413"/>
        </w:rPr>
        <w:t>Discussion</w:t>
      </w:r>
    </w:p>
    <w:p>
      <w:pPr>
        <w:spacing w:after="0" w:line="267" w:lineRule="exact"/>
        <w:rPr>
          <w:sz w:val="20"/>
          <w:szCs w:val="20"/>
          <w:color w:val="auto"/>
        </w:rPr>
      </w:pPr>
    </w:p>
    <w:p>
      <w:pPr>
        <w:jc w:val="both"/>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Today, obesity is a global disease that affects individuals from each age group in developing and developed countries (Ofei </w:t>
      </w:r>
      <w:hyperlink w:anchor="page9">
        <w:r>
          <w:rPr>
            <w:rFonts w:ascii="Times New Roman" w:cs="Times New Roman" w:eastAsia="Times New Roman" w:hAnsi="Times New Roman"/>
            <w:sz w:val="19"/>
            <w:szCs w:val="19"/>
            <w:color w:val="0000FF"/>
          </w:rPr>
          <w:t>2005</w:t>
        </w:r>
      </w:hyperlink>
      <w:r>
        <w:rPr>
          <w:rFonts w:ascii="Times New Roman" w:cs="Times New Roman" w:eastAsia="Times New Roman" w:hAnsi="Times New Roman"/>
          <w:sz w:val="19"/>
          <w:szCs w:val="19"/>
          <w:color w:val="131413"/>
        </w:rPr>
        <w:t>). Studies have been able to relate obesity to many health</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problems such as insulin resistance, cancer, heart and respira-tory diseases and hypertension. The risk of morbidity and premature death is directly related to excessive accumulation and distribution of fat in the body (Greco et al. </w:t>
      </w:r>
      <w:hyperlink w:anchor="page9">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 When health expenditures are taken into consideration, it has been demonstrated that expenditures for obese individuals are 1.5</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1.8 times higher than for non-obese individuals (Cox et al. </w:t>
      </w:r>
      <w:hyperlink w:anchor="page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Many pharmacological drugs used to combat obesity</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have also been reported to have significant side effects (Kang and Park </w:t>
      </w:r>
      <w:hyperlink w:anchor="page9">
        <w:r>
          <w:rPr>
            <w:rFonts w:ascii="Times New Roman" w:cs="Times New Roman" w:eastAsia="Times New Roman" w:hAnsi="Times New Roman"/>
            <w:sz w:val="19"/>
            <w:szCs w:val="19"/>
            <w:color w:val="0000FF"/>
          </w:rPr>
          <w:t>2012</w:t>
        </w:r>
      </w:hyperlink>
      <w:r>
        <w:rPr>
          <w:rFonts w:ascii="Times New Roman" w:cs="Times New Roman" w:eastAsia="Times New Roman" w:hAnsi="Times New Roman"/>
          <w:sz w:val="19"/>
          <w:szCs w:val="19"/>
          <w:color w:val="131413"/>
        </w:rPr>
        <w:t xml:space="preserve">; Huang et al. </w:t>
      </w:r>
      <w:hyperlink w:anchor="page9">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Considering all these, medicinal plants stand out as potential useful alternatives to pharmacological drugs due to their cheapness, reliability and low side effects. Preadipocyte 3T3-L1 cells acquire adipocyte morphology after differentiation induction, accumulate large amounts of triacylglycerol and become sensitive to lipolytic and lipogenic hormones, thereby providing an excellent mod-el system to study the biochemical and molecular mechanisms involved in adipose tissue development and lipid metabolism (Moustaid and Sul </w:t>
      </w:r>
      <w:hyperlink w:anchor="page9">
        <w:r>
          <w:rPr>
            <w:rFonts w:ascii="Times New Roman" w:cs="Times New Roman" w:eastAsia="Times New Roman" w:hAnsi="Times New Roman"/>
            <w:sz w:val="19"/>
            <w:szCs w:val="19"/>
            <w:color w:val="0000FF"/>
          </w:rPr>
          <w:t>1991</w:t>
        </w:r>
      </w:hyperlink>
      <w:r>
        <w:rPr>
          <w:rFonts w:ascii="Times New Roman" w:cs="Times New Roman" w:eastAsia="Times New Roman" w:hAnsi="Times New Roman"/>
          <w:sz w:val="19"/>
          <w:szCs w:val="19"/>
          <w:color w:val="131413"/>
        </w:rPr>
        <w:t>). In adipogenesis, the interaction of proteins such as fatty acid-binding protein with lipid</w:t>
      </w:r>
    </w:p>
    <w:p>
      <w:pPr>
        <w:spacing w:after="0" w:line="337" w:lineRule="exact"/>
        <w:rPr>
          <w:rFonts w:ascii="Times New Roman" w:cs="Times New Roman" w:eastAsia="Times New Roman" w:hAnsi="Times New Roman"/>
          <w:sz w:val="19"/>
          <w:szCs w:val="19"/>
          <w:color w:val="131413"/>
        </w:rPr>
      </w:pPr>
    </w:p>
    <w:p>
      <w:pPr>
        <w:jc w:val="both"/>
        <w:spacing w:after="0" w:line="260" w:lineRule="auto"/>
        <w:rPr>
          <w:sz w:val="20"/>
          <w:szCs w:val="20"/>
          <w:color w:val="auto"/>
        </w:rPr>
      </w:pPr>
      <w:r>
        <w:rPr>
          <w:rFonts w:ascii="Arial" w:cs="Arial" w:eastAsia="Arial" w:hAnsi="Arial"/>
          <w:sz w:val="16"/>
          <w:szCs w:val="16"/>
          <w:color w:val="131413"/>
        </w:rPr>
        <w:t xml:space="preserve">Table 3 </w:t>
      </w:r>
      <w:r>
        <w:rPr>
          <w:rFonts w:ascii="Times New Roman" w:cs="Times New Roman" w:eastAsia="Times New Roman" w:hAnsi="Times New Roman"/>
          <w:sz w:val="16"/>
          <w:szCs w:val="16"/>
          <w:color w:val="131413"/>
        </w:rPr>
        <w:t>Fully differentiated 3T3-L1 gene expressions and percent</w:t>
      </w:r>
      <w:r>
        <w:rPr>
          <w:rFonts w:ascii="Arial" w:cs="Arial" w:eastAsia="Arial" w:hAnsi="Arial"/>
          <w:sz w:val="16"/>
          <w:szCs w:val="16"/>
          <w:color w:val="131413"/>
        </w:rPr>
        <w:t xml:space="preserve"> </w:t>
      </w:r>
      <w:r>
        <w:rPr>
          <w:rFonts w:ascii="Times New Roman" w:cs="Times New Roman" w:eastAsia="Times New Roman" w:hAnsi="Times New Roman"/>
          <w:sz w:val="16"/>
          <w:szCs w:val="16"/>
          <w:color w:val="131413"/>
        </w:rPr>
        <w:t xml:space="preserve">changes of ColV and Il-6 in response to 12.5 </w:t>
      </w:r>
      <w:r>
        <w:rPr>
          <w:rFonts w:ascii="Arial" w:cs="Arial" w:eastAsia="Arial" w:hAnsi="Arial"/>
          <w:sz w:val="16"/>
          <w:szCs w:val="16"/>
          <w:color w:val="131413"/>
        </w:rPr>
        <w:t>μ</w:t>
      </w:r>
      <w:r>
        <w:rPr>
          <w:rFonts w:ascii="Times New Roman" w:cs="Times New Roman" w:eastAsia="Times New Roman" w:hAnsi="Times New Roman"/>
          <w:sz w:val="16"/>
          <w:szCs w:val="16"/>
          <w:color w:val="131413"/>
        </w:rPr>
        <w:t xml:space="preserve">g/mL </w:t>
      </w:r>
      <w:r>
        <w:rPr>
          <w:rFonts w:ascii="Arial" w:cs="Arial" w:eastAsia="Arial" w:hAnsi="Arial"/>
          <w:sz w:val="16"/>
          <w:szCs w:val="16"/>
          <w:color w:val="131413"/>
        </w:rPr>
        <w:t>C. roseus</w:t>
      </w:r>
      <w:r>
        <w:rPr>
          <w:rFonts w:ascii="Times New Roman" w:cs="Times New Roman" w:eastAsia="Times New Roman" w:hAnsi="Times New Roman"/>
          <w:sz w:val="16"/>
          <w:szCs w:val="16"/>
          <w:color w:val="131413"/>
        </w:rPr>
        <w:t xml:space="preserve"> treatment</w:t>
      </w:r>
    </w:p>
    <w:p>
      <w:pPr>
        <w:spacing w:after="0"/>
        <w:rPr>
          <w:sz w:val="20"/>
          <w:szCs w:val="20"/>
          <w:color w:val="auto"/>
        </w:rPr>
      </w:pPr>
      <w:r>
        <w:rPr>
          <w:rFonts w:ascii="Times New Roman" w:cs="Times New Roman" w:eastAsia="Times New Roman" w:hAnsi="Times New Roman"/>
          <w:sz w:val="16"/>
          <w:szCs w:val="16"/>
          <w:color w:val="131413"/>
        </w:rPr>
        <w:t>for 24- and 48 h in comparison to control. Plus (+) indicates an increase</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mc:AlternateContent>
          <mc:Choice Requires="wps">
            <w:drawing>
              <wp:anchor simplePos="0" relativeHeight="251657728" behindDoc="1" locked="0" layoutInCell="0" allowOverlap="1">
                <wp:simplePos x="0" y="0"/>
                <wp:positionH relativeFrom="column">
                  <wp:posOffset>-5715</wp:posOffset>
                </wp:positionH>
                <wp:positionV relativeFrom="paragraph">
                  <wp:posOffset>49530</wp:posOffset>
                </wp:positionV>
                <wp:extent cx="626999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69990" cy="4763"/>
                        </a:xfrm>
                        <a:prstGeom prst="line">
                          <a:avLst/>
                        </a:prstGeom>
                        <a:solidFill>
                          <a:srgbClr val="FFFFFF"/>
                        </a:solidFill>
                        <a:ln w="19899">
                          <a:solidFill>
                            <a:srgbClr val="131413"/>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9pt" to="493.25pt,3.9pt" o:allowincell="f" strokecolor="#131413" strokeweight="1.5669pt"/>
            </w:pict>
          </mc:Fallback>
        </mc:AlternateContent>
        <mc:AlternateContent>
          <mc:Choice Requires="wps">
            <w:drawing>
              <wp:anchor simplePos="0" relativeHeight="251657728" behindDoc="1" locked="0" layoutInCell="0" allowOverlap="1">
                <wp:simplePos x="0" y="0"/>
                <wp:positionH relativeFrom="column">
                  <wp:posOffset>6257925</wp:posOffset>
                </wp:positionH>
                <wp:positionV relativeFrom="paragraph">
                  <wp:posOffset>49530</wp:posOffset>
                </wp:positionV>
                <wp:extent cx="1270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199">
                          <a:solidFill>
                            <a:srgbClr val="131413"/>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2.75pt,3.9pt" to="493.75pt,3.9pt" o:allowincell="f" strokecolor="#131413" strokeweight="0.5669pt"/>
            </w:pict>
          </mc:Fallback>
        </mc:AlternateConten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154" w:lineRule="exact"/>
        <w:rPr>
          <w:rFonts w:ascii="Times New Roman" w:cs="Times New Roman" w:eastAsia="Times New Roman" w:hAnsi="Times New Roman"/>
          <w:sz w:val="19"/>
          <w:szCs w:val="19"/>
          <w:color w:val="131413"/>
        </w:rPr>
      </w:pPr>
    </w:p>
    <w:p>
      <w:pPr>
        <w:jc w:val="both"/>
        <w:ind w:right="20"/>
        <w:spacing w:after="0" w:line="288" w:lineRule="auto"/>
        <w:rPr>
          <w:rFonts w:ascii="Times New Roman" w:cs="Times New Roman" w:eastAsia="Times New Roman" w:hAnsi="Times New Roman"/>
          <w:sz w:val="18"/>
          <w:szCs w:val="18"/>
          <w:color w:val="0000FF"/>
        </w:rPr>
      </w:pPr>
      <w:r>
        <w:rPr>
          <w:rFonts w:ascii="Times New Roman" w:cs="Times New Roman" w:eastAsia="Times New Roman" w:hAnsi="Times New Roman"/>
          <w:sz w:val="18"/>
          <w:szCs w:val="18"/>
          <w:color w:val="131413"/>
        </w:rPr>
        <w:t xml:space="preserve">metabolizing enzymes such as lipoprotein lipase and fatty acid synthase induces various transcription factors to mediate adi-pocyte differentiation (Kim and Spiegelman </w:t>
      </w:r>
      <w:hyperlink w:anchor="page9">
        <w:r>
          <w:rPr>
            <w:rFonts w:ascii="Times New Roman" w:cs="Times New Roman" w:eastAsia="Times New Roman" w:hAnsi="Times New Roman"/>
            <w:sz w:val="18"/>
            <w:szCs w:val="18"/>
            <w:color w:val="0000FF"/>
          </w:rPr>
          <w:t>1996</w:t>
        </w:r>
      </w:hyperlink>
      <w:r>
        <w:rPr>
          <w:rFonts w:ascii="Times New Roman" w:cs="Times New Roman" w:eastAsia="Times New Roman" w:hAnsi="Times New Roman"/>
          <w:sz w:val="18"/>
          <w:szCs w:val="18"/>
          <w:color w:val="131413"/>
        </w:rPr>
        <w:t xml:space="preserve">; Tsai et al. </w:t>
      </w:r>
      <w:hyperlink w:anchor="page9">
        <w:r>
          <w:rPr>
            <w:rFonts w:ascii="Times New Roman" w:cs="Times New Roman" w:eastAsia="Times New Roman" w:hAnsi="Times New Roman"/>
            <w:sz w:val="18"/>
            <w:szCs w:val="18"/>
            <w:color w:val="0000FF"/>
          </w:rPr>
          <w:t>2017</w:t>
        </w:r>
      </w:hyperlink>
      <w:r>
        <w:rPr>
          <w:rFonts w:ascii="Times New Roman" w:cs="Times New Roman" w:eastAsia="Times New Roman" w:hAnsi="Times New Roman"/>
          <w:sz w:val="18"/>
          <w:szCs w:val="18"/>
          <w:color w:val="131413"/>
        </w:rPr>
        <w:t>). Therefore, as an important approach for the prevention</w:t>
      </w:r>
      <w:r>
        <w:rPr>
          <w:rFonts w:ascii="Times New Roman" w:cs="Times New Roman" w:eastAsia="Times New Roman" w:hAnsi="Times New Roman"/>
          <w:sz w:val="18"/>
          <w:szCs w:val="18"/>
          <w:color w:val="0000FF"/>
        </w:rPr>
        <w:t xml:space="preserve"> </w:t>
      </w:r>
      <w:r>
        <w:rPr>
          <w:rFonts w:ascii="Times New Roman" w:cs="Times New Roman" w:eastAsia="Times New Roman" w:hAnsi="Times New Roman"/>
          <w:sz w:val="18"/>
          <w:szCs w:val="18"/>
          <w:color w:val="131413"/>
        </w:rPr>
        <w:t xml:space="preserve">and/or treatment of obesity, it is important to suppress both adipocyte cell count (hyperplasia) and cell size (hypertrophy) induced adipose tissue expansion.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xml:space="preserve"> is an important plant in this sense because there are previous studies showing the effect of it decreasing lipid parameters. Rasineni et al.</w:t>
      </w:r>
    </w:p>
    <w:p>
      <w:pPr>
        <w:spacing w:after="0" w:line="5" w:lineRule="exact"/>
        <w:rPr>
          <w:sz w:val="20"/>
          <w:szCs w:val="20"/>
          <w:color w:val="auto"/>
        </w:rPr>
      </w:pPr>
    </w:p>
    <w:p>
      <w:pPr>
        <w:jc w:val="both"/>
        <w:ind w:right="20"/>
        <w:spacing w:after="0" w:line="288" w:lineRule="auto"/>
        <w:rPr>
          <w:sz w:val="20"/>
          <w:szCs w:val="20"/>
          <w:color w:val="auto"/>
        </w:rPr>
      </w:pPr>
      <w:r>
        <w:rPr>
          <w:rFonts w:ascii="Times New Roman" w:cs="Times New Roman" w:eastAsia="Times New Roman" w:hAnsi="Times New Roman"/>
          <w:sz w:val="18"/>
          <w:szCs w:val="18"/>
          <w:color w:val="131413"/>
        </w:rPr>
        <w:t xml:space="preserve">showed in their study where they used a high-fat diet fed mice model that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xml:space="preserve"> leaf extract solution given to the mice at a</w:t>
      </w:r>
    </w:p>
    <w:p>
      <w:pPr>
        <w:jc w:val="both"/>
        <w:ind w:right="20"/>
        <w:spacing w:after="0" w:line="257"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certain dose on a daily basis (100 mg/kg body weight/day) reduced the amount of free fatty acid in the tissue by providing a decrease in the activity of Fasn (Rasineni et al. </w:t>
      </w:r>
      <w:hyperlink w:anchor="page9">
        <w:r>
          <w:rPr>
            <w:rFonts w:ascii="Times New Roman" w:cs="Times New Roman" w:eastAsia="Times New Roman" w:hAnsi="Times New Roman"/>
            <w:sz w:val="20"/>
            <w:szCs w:val="20"/>
            <w:color w:val="0000FF"/>
          </w:rPr>
          <w:t>2013</w:t>
        </w:r>
      </w:hyperlink>
      <w:r>
        <w:rPr>
          <w:rFonts w:ascii="Times New Roman" w:cs="Times New Roman" w:eastAsia="Times New Roman" w:hAnsi="Times New Roman"/>
          <w:sz w:val="20"/>
          <w:szCs w:val="20"/>
          <w:color w:val="131413"/>
        </w:rPr>
        <w:t xml:space="preserve">). In our study, we observe a positive correlation between this decrease in Fasn activity and our finding of the decrease of mRNA expression obtained by applying </w:t>
      </w:r>
      <w:r>
        <w:rPr>
          <w:rFonts w:ascii="Arial" w:cs="Arial" w:eastAsia="Arial" w:hAnsi="Arial"/>
          <w:sz w:val="20"/>
          <w:szCs w:val="20"/>
          <w:color w:val="131413"/>
        </w:rPr>
        <w:t>C. roseus</w:t>
      </w:r>
      <w:r>
        <w:rPr>
          <w:rFonts w:ascii="Times New Roman" w:cs="Times New Roman" w:eastAsia="Times New Roman" w:hAnsi="Times New Roman"/>
          <w:sz w:val="20"/>
          <w:szCs w:val="20"/>
          <w:color w:val="131413"/>
        </w:rPr>
        <w:t xml:space="preserve"> plant extracts to adipocytes.</w:t>
      </w:r>
    </w:p>
    <w:p>
      <w:pPr>
        <w:spacing w:after="0" w:line="18" w:lineRule="exact"/>
        <w:rPr>
          <w:sz w:val="20"/>
          <w:szCs w:val="20"/>
          <w:color w:val="auto"/>
        </w:rPr>
      </w:pPr>
    </w:p>
    <w:p>
      <w:pPr>
        <w:jc w:val="both"/>
        <w:ind w:right="20" w:firstLine="227"/>
        <w:spacing w:after="0" w:line="272"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It is well established that adipogenesis plays a prominent role in the expansion of a healthy adipose tissue which in turn leads to obesity (Kershaw and Flier </w:t>
      </w:r>
      <w:hyperlink w:anchor="page9">
        <w:r>
          <w:rPr>
            <w:rFonts w:ascii="Times New Roman" w:cs="Times New Roman" w:eastAsia="Times New Roman" w:hAnsi="Times New Roman"/>
            <w:sz w:val="19"/>
            <w:szCs w:val="19"/>
            <w:color w:val="0000FF"/>
          </w:rPr>
          <w:t>2004</w:t>
        </w:r>
      </w:hyperlink>
      <w:r>
        <w:rPr>
          <w:rFonts w:ascii="Times New Roman" w:cs="Times New Roman" w:eastAsia="Times New Roman" w:hAnsi="Times New Roman"/>
          <w:sz w:val="19"/>
          <w:szCs w:val="19"/>
          <w:color w:val="131413"/>
        </w:rPr>
        <w:t xml:space="preserve">; Vishvanath and Gupta </w:t>
      </w:r>
      <w:hyperlink w:anchor="page9">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It is also very well known that diabetes and</w:t>
      </w:r>
    </w:p>
    <w:p>
      <w:pPr>
        <w:spacing w:after="0" w:line="6" w:lineRule="exact"/>
        <w:rPr>
          <w:sz w:val="20"/>
          <w:szCs w:val="20"/>
          <w:color w:val="auto"/>
        </w:rPr>
      </w:pPr>
    </w:p>
    <w:p>
      <w:pPr>
        <w:jc w:val="both"/>
        <w:ind w:right="20"/>
        <w:spacing w:after="0" w:line="288" w:lineRule="auto"/>
        <w:rPr>
          <w:rFonts w:ascii="Times New Roman" w:cs="Times New Roman" w:eastAsia="Times New Roman" w:hAnsi="Times New Roman"/>
          <w:sz w:val="18"/>
          <w:szCs w:val="18"/>
          <w:color w:val="131413"/>
        </w:rPr>
      </w:pPr>
      <w:r>
        <w:rPr>
          <w:rFonts w:ascii="Times New Roman" w:cs="Times New Roman" w:eastAsia="Times New Roman" w:hAnsi="Times New Roman"/>
          <w:sz w:val="18"/>
          <w:szCs w:val="18"/>
          <w:color w:val="131413"/>
        </w:rPr>
        <w:t xml:space="preserve">obesity are two diseases that are significantly interdependent (Golay and Ybarra </w:t>
      </w:r>
      <w:hyperlink w:anchor="page9">
        <w:r>
          <w:rPr>
            <w:rFonts w:ascii="Times New Roman" w:cs="Times New Roman" w:eastAsia="Times New Roman" w:hAnsi="Times New Roman"/>
            <w:sz w:val="18"/>
            <w:szCs w:val="18"/>
            <w:color w:val="0000FF"/>
          </w:rPr>
          <w:t>2005</w:t>
        </w:r>
      </w:hyperlink>
      <w:r>
        <w:rPr>
          <w:rFonts w:ascii="Times New Roman" w:cs="Times New Roman" w:eastAsia="Times New Roman" w:hAnsi="Times New Roman"/>
          <w:sz w:val="18"/>
          <w:szCs w:val="18"/>
          <w:color w:val="131413"/>
        </w:rPr>
        <w:t xml:space="preserve">).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xml:space="preserve"> is a medicinal plant that is</w:t>
      </w:r>
    </w:p>
    <w:p>
      <w:pPr>
        <w:spacing w:after="0" w:line="237" w:lineRule="auto"/>
        <w:rPr>
          <w:sz w:val="20"/>
          <w:szCs w:val="20"/>
          <w:color w:val="auto"/>
        </w:rPr>
      </w:pPr>
      <w:r>
        <w:rPr>
          <w:rFonts w:ascii="Times New Roman" w:cs="Times New Roman" w:eastAsia="Times New Roman" w:hAnsi="Times New Roman"/>
          <w:sz w:val="19"/>
          <w:szCs w:val="19"/>
          <w:color w:val="131413"/>
        </w:rPr>
        <w:t>commonly used to treat diseases in a wide spectrum including</w:t>
      </w:r>
    </w:p>
    <w:p>
      <w:pPr>
        <w:spacing w:after="0" w:line="336" w:lineRule="exact"/>
        <w:rPr>
          <w:sz w:val="20"/>
          <w:szCs w:val="20"/>
          <w:color w:val="auto"/>
        </w:rPr>
      </w:pPr>
    </w:p>
    <w:p>
      <w:pPr>
        <w:jc w:val="both"/>
        <w:ind w:right="20"/>
        <w:spacing w:after="0" w:line="260" w:lineRule="auto"/>
        <w:rPr>
          <w:sz w:val="20"/>
          <w:szCs w:val="20"/>
          <w:color w:val="auto"/>
        </w:rPr>
      </w:pPr>
      <w:r>
        <w:rPr>
          <w:rFonts w:ascii="Times New Roman" w:cs="Times New Roman" w:eastAsia="Times New Roman" w:hAnsi="Times New Roman"/>
          <w:sz w:val="17"/>
          <w:szCs w:val="17"/>
          <w:color w:val="131413"/>
        </w:rPr>
        <w:t>and minus (</w:t>
      </w:r>
      <w:r>
        <w:rPr>
          <w:rFonts w:ascii="Arial" w:cs="Arial" w:eastAsia="Arial" w:hAnsi="Arial"/>
          <w:sz w:val="17"/>
          <w:szCs w:val="17"/>
          <w:color w:val="131413"/>
        </w:rPr>
        <w:t>−</w:t>
      </w:r>
      <w:r>
        <w:rPr>
          <w:rFonts w:ascii="Times New Roman" w:cs="Times New Roman" w:eastAsia="Times New Roman" w:hAnsi="Times New Roman"/>
          <w:sz w:val="17"/>
          <w:szCs w:val="17"/>
          <w:color w:val="131413"/>
        </w:rPr>
        <w:t>) a decrease in gene expression. Bold labeling mean that the alterations are statistically significant</w:t>
      </w:r>
    </w:p>
    <w:p>
      <w:pPr>
        <w:spacing w:after="0" w:line="364" w:lineRule="exact"/>
        <w:rPr>
          <w:sz w:val="20"/>
          <w:szCs w:val="20"/>
          <w:color w:val="auto"/>
        </w:rPr>
      </w:pPr>
    </w:p>
    <w:p>
      <w:pPr>
        <w:sectPr>
          <w:pgSz w:w="11900" w:h="15817" w:orient="portrait"/>
          <w:cols w:equalWidth="0" w:num="2">
            <w:col w:w="4760" w:space="340"/>
            <w:col w:w="4780"/>
          </w:cols>
          <w:pgMar w:left="1020" w:top="649" w:right="1006" w:bottom="339" w:gutter="0" w:footer="0" w:header="0"/>
          <w:type w:val="continuous"/>
        </w:sectPr>
      </w:pPr>
    </w:p>
    <w:tbl>
      <w:tblPr>
        <w:tblLayout w:type="fixed"/>
        <w:tblInd w:w="0" w:type="dxa"/>
        <w:tblCellMar>
          <w:top w:w="0" w:type="dxa"/>
          <w:left w:w="0" w:type="dxa"/>
          <w:bottom w:w="0" w:type="dxa"/>
          <w:right w:w="0" w:type="dxa"/>
        </w:tblCellMar>
      </w:tblPr>
      <w:tr>
        <w:trPr>
          <w:trHeight w:val="195"/>
        </w:trPr>
        <w:tc>
          <w:tcPr>
            <w:tcW w:w="2340" w:type="dxa"/>
            <w:vAlign w:val="bottom"/>
          </w:tcPr>
          <w:p>
            <w:pPr>
              <w:spacing w:after="0"/>
              <w:rPr>
                <w:sz w:val="20"/>
                <w:szCs w:val="20"/>
                <w:color w:val="auto"/>
              </w:rPr>
            </w:pPr>
            <w:r>
              <w:rPr>
                <w:rFonts w:ascii="Times New Roman" w:cs="Times New Roman" w:eastAsia="Times New Roman" w:hAnsi="Times New Roman"/>
                <w:sz w:val="17"/>
                <w:szCs w:val="17"/>
                <w:color w:val="131413"/>
              </w:rPr>
              <w:t>Samples genes of interest</w:t>
            </w:r>
          </w:p>
        </w:tc>
        <w:tc>
          <w:tcPr>
            <w:tcW w:w="4440" w:type="dxa"/>
            <w:vAlign w:val="bottom"/>
            <w:gridSpan w:val="7"/>
          </w:tcPr>
          <w:p>
            <w:pPr>
              <w:spacing w:after="0"/>
              <w:rPr>
                <w:sz w:val="20"/>
                <w:szCs w:val="20"/>
                <w:color w:val="auto"/>
              </w:rPr>
            </w:pPr>
            <w:r>
              <w:rPr>
                <w:rFonts w:ascii="Times New Roman" w:cs="Times New Roman" w:eastAsia="Times New Roman" w:hAnsi="Times New Roman"/>
                <w:sz w:val="17"/>
                <w:szCs w:val="17"/>
                <w:color w:val="131413"/>
              </w:rPr>
              <w:t>Relative mRNA expression (arbitrary units)</w:t>
            </w:r>
          </w:p>
        </w:tc>
        <w:tc>
          <w:tcPr>
            <w:tcW w:w="6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5"/>
        </w:trPr>
        <w:tc>
          <w:tcPr>
            <w:tcW w:w="2340" w:type="dxa"/>
            <w:vAlign w:val="bottom"/>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920" w:type="dxa"/>
            <w:vAlign w:val="bottom"/>
            <w:tcBorders>
              <w:bottom w:val="single" w:sz="8" w:color="131413"/>
            </w:tcBorders>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2640" w:type="dxa"/>
            <w:vAlign w:val="bottom"/>
            <w:tcBorders>
              <w:bottom w:val="single" w:sz="8" w:color="131413"/>
            </w:tcBorders>
            <w:gridSpan w:val="2"/>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8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960" w:type="dxa"/>
            <w:vAlign w:val="bottom"/>
            <w:tcBorders>
              <w:bottom w:val="single" w:sz="8" w:color="131413"/>
            </w:tcBorders>
          </w:tcPr>
          <w:p>
            <w:pPr>
              <w:spacing w:after="0"/>
              <w:rPr>
                <w:sz w:val="9"/>
                <w:szCs w:val="9"/>
                <w:color w:val="auto"/>
              </w:rPr>
            </w:pPr>
          </w:p>
        </w:tc>
        <w:tc>
          <w:tcPr>
            <w:tcW w:w="140" w:type="dxa"/>
            <w:vAlign w:val="bottom"/>
            <w:tcBorders>
              <w:bottom w:val="single" w:sz="8" w:color="131413"/>
            </w:tcBorders>
          </w:tcPr>
          <w:p>
            <w:pPr>
              <w:spacing w:after="0"/>
              <w:rPr>
                <w:sz w:val="9"/>
                <w:szCs w:val="9"/>
                <w:color w:val="auto"/>
              </w:rPr>
            </w:pPr>
          </w:p>
        </w:tc>
        <w:tc>
          <w:tcPr>
            <w:tcW w:w="6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5"/>
        </w:trPr>
        <w:tc>
          <w:tcPr>
            <w:tcW w:w="2340" w:type="dxa"/>
            <w:vAlign w:val="bottom"/>
          </w:tcPr>
          <w:p>
            <w:pPr>
              <w:spacing w:after="0"/>
              <w:rPr>
                <w:sz w:val="24"/>
                <w:szCs w:val="24"/>
                <w:color w:val="auto"/>
              </w:rPr>
            </w:pPr>
          </w:p>
        </w:tc>
        <w:tc>
          <w:tcPr>
            <w:tcW w:w="136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Control</w:t>
            </w: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12.5</w:t>
            </w:r>
          </w:p>
        </w:tc>
        <w:tc>
          <w:tcPr>
            <w:tcW w:w="2740" w:type="dxa"/>
            <w:vAlign w:val="bottom"/>
            <w:gridSpan w:val="3"/>
          </w:tcPr>
          <w:p>
            <w:pPr>
              <w:spacing w:after="0"/>
              <w:rPr>
                <w:sz w:val="20"/>
                <w:szCs w:val="20"/>
                <w:color w:val="auto"/>
              </w:rPr>
            </w:pPr>
            <w:r>
              <w:rPr>
                <w:rFonts w:ascii="Arial" w:cs="Arial" w:eastAsia="Arial" w:hAnsi="Arial"/>
                <w:sz w:val="17"/>
                <w:szCs w:val="17"/>
                <w:color w:val="131413"/>
              </w:rPr>
              <w:t>μ</w:t>
            </w:r>
            <w:r>
              <w:rPr>
                <w:rFonts w:ascii="Times New Roman" w:cs="Times New Roman" w:eastAsia="Times New Roman" w:hAnsi="Times New Roman"/>
                <w:sz w:val="17"/>
                <w:szCs w:val="17"/>
                <w:color w:val="131413"/>
              </w:rPr>
              <w:t>g/ml</w:t>
            </w:r>
            <w:r>
              <w:rPr>
                <w:rFonts w:ascii="Arial" w:cs="Arial" w:eastAsia="Arial" w:hAnsi="Arial"/>
                <w:sz w:val="17"/>
                <w:szCs w:val="17"/>
                <w:color w:val="131413"/>
              </w:rPr>
              <w:t xml:space="preserve"> </w:t>
            </w:r>
            <w:r>
              <w:rPr>
                <w:rFonts w:ascii="Arial" w:cs="Arial" w:eastAsia="Arial" w:hAnsi="Arial"/>
                <w:sz w:val="17"/>
                <w:szCs w:val="17"/>
                <w:color w:val="131413"/>
              </w:rPr>
              <w:t>C. roseus</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extract</w:t>
            </w:r>
          </w:p>
        </w:tc>
        <w:tc>
          <w:tcPr>
            <w:tcW w:w="6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9"/>
        </w:trPr>
        <w:tc>
          <w:tcPr>
            <w:tcW w:w="2340" w:type="dxa"/>
            <w:vAlign w:val="bottom"/>
          </w:tcPr>
          <w:p>
            <w:pPr>
              <w:spacing w:after="0"/>
              <w:rPr>
                <w:sz w:val="8"/>
                <w:szCs w:val="8"/>
                <w:color w:val="auto"/>
              </w:rPr>
            </w:pPr>
          </w:p>
        </w:tc>
        <w:tc>
          <w:tcPr>
            <w:tcW w:w="340" w:type="dxa"/>
            <w:vAlign w:val="bottom"/>
          </w:tcPr>
          <w:p>
            <w:pPr>
              <w:spacing w:after="0"/>
              <w:rPr>
                <w:sz w:val="8"/>
                <w:szCs w:val="8"/>
                <w:color w:val="auto"/>
              </w:rPr>
            </w:pPr>
          </w:p>
        </w:tc>
        <w:tc>
          <w:tcPr>
            <w:tcW w:w="100" w:type="dxa"/>
            <w:vAlign w:val="bottom"/>
          </w:tcPr>
          <w:p>
            <w:pPr>
              <w:spacing w:after="0"/>
              <w:rPr>
                <w:sz w:val="8"/>
                <w:szCs w:val="8"/>
                <w:color w:val="auto"/>
              </w:rPr>
            </w:pPr>
          </w:p>
        </w:tc>
        <w:tc>
          <w:tcPr>
            <w:tcW w:w="920" w:type="dxa"/>
            <w:vAlign w:val="bottom"/>
          </w:tcPr>
          <w:p>
            <w:pPr>
              <w:spacing w:after="0"/>
              <w:rPr>
                <w:sz w:val="8"/>
                <w:szCs w:val="8"/>
                <w:color w:val="auto"/>
              </w:rPr>
            </w:pPr>
          </w:p>
        </w:tc>
        <w:tc>
          <w:tcPr>
            <w:tcW w:w="340" w:type="dxa"/>
            <w:vAlign w:val="bottom"/>
            <w:tcBorders>
              <w:bottom w:val="single" w:sz="8" w:color="131413"/>
            </w:tcBorders>
          </w:tcPr>
          <w:p>
            <w:pPr>
              <w:spacing w:after="0"/>
              <w:rPr>
                <w:sz w:val="8"/>
                <w:szCs w:val="8"/>
                <w:color w:val="auto"/>
              </w:rPr>
            </w:pPr>
          </w:p>
        </w:tc>
        <w:tc>
          <w:tcPr>
            <w:tcW w:w="100" w:type="dxa"/>
            <w:vAlign w:val="bottom"/>
            <w:tcBorders>
              <w:bottom w:val="single" w:sz="8" w:color="131413"/>
            </w:tcBorders>
          </w:tcPr>
          <w:p>
            <w:pPr>
              <w:spacing w:after="0"/>
              <w:rPr>
                <w:sz w:val="8"/>
                <w:szCs w:val="8"/>
                <w:color w:val="auto"/>
              </w:rPr>
            </w:pPr>
          </w:p>
        </w:tc>
        <w:tc>
          <w:tcPr>
            <w:tcW w:w="640" w:type="dxa"/>
            <w:vAlign w:val="bottom"/>
            <w:tcBorders>
              <w:bottom w:val="single" w:sz="8" w:color="131413"/>
            </w:tcBorders>
          </w:tcPr>
          <w:p>
            <w:pPr>
              <w:spacing w:after="0"/>
              <w:rPr>
                <w:sz w:val="8"/>
                <w:szCs w:val="8"/>
                <w:color w:val="auto"/>
              </w:rPr>
            </w:pPr>
          </w:p>
        </w:tc>
        <w:tc>
          <w:tcPr>
            <w:tcW w:w="2000" w:type="dxa"/>
            <w:vAlign w:val="bottom"/>
            <w:tcBorders>
              <w:bottom w:val="single" w:sz="8" w:color="131413"/>
            </w:tcBorders>
          </w:tcPr>
          <w:p>
            <w:pPr>
              <w:spacing w:after="0"/>
              <w:rPr>
                <w:sz w:val="8"/>
                <w:szCs w:val="8"/>
                <w:color w:val="auto"/>
              </w:rPr>
            </w:pPr>
          </w:p>
        </w:tc>
        <w:tc>
          <w:tcPr>
            <w:tcW w:w="640" w:type="dxa"/>
            <w:vAlign w:val="bottom"/>
            <w:tcBorders>
              <w:bottom w:val="single" w:sz="8" w:color="131413"/>
            </w:tcBorders>
          </w:tcPr>
          <w:p>
            <w:pPr>
              <w:spacing w:after="0"/>
              <w:rPr>
                <w:sz w:val="8"/>
                <w:szCs w:val="8"/>
                <w:color w:val="auto"/>
              </w:rPr>
            </w:pPr>
          </w:p>
        </w:tc>
        <w:tc>
          <w:tcPr>
            <w:tcW w:w="80" w:type="dxa"/>
            <w:vAlign w:val="bottom"/>
            <w:tcBorders>
              <w:bottom w:val="single" w:sz="8" w:color="131413"/>
            </w:tcBorders>
          </w:tcPr>
          <w:p>
            <w:pPr>
              <w:spacing w:after="0"/>
              <w:rPr>
                <w:sz w:val="8"/>
                <w:szCs w:val="8"/>
                <w:color w:val="auto"/>
              </w:rPr>
            </w:pPr>
          </w:p>
        </w:tc>
        <w:tc>
          <w:tcPr>
            <w:tcW w:w="640" w:type="dxa"/>
            <w:vAlign w:val="bottom"/>
            <w:tcBorders>
              <w:bottom w:val="single" w:sz="8" w:color="131413"/>
            </w:tcBorders>
          </w:tcPr>
          <w:p>
            <w:pPr>
              <w:spacing w:after="0"/>
              <w:rPr>
                <w:sz w:val="8"/>
                <w:szCs w:val="8"/>
                <w:color w:val="auto"/>
              </w:rPr>
            </w:pPr>
          </w:p>
        </w:tc>
        <w:tc>
          <w:tcPr>
            <w:tcW w:w="960" w:type="dxa"/>
            <w:vAlign w:val="bottom"/>
            <w:tcBorders>
              <w:bottom w:val="single" w:sz="8" w:color="131413"/>
            </w:tcBorders>
          </w:tcPr>
          <w:p>
            <w:pPr>
              <w:spacing w:after="0"/>
              <w:rPr>
                <w:sz w:val="8"/>
                <w:szCs w:val="8"/>
                <w:color w:val="auto"/>
              </w:rPr>
            </w:pPr>
          </w:p>
        </w:tc>
        <w:tc>
          <w:tcPr>
            <w:tcW w:w="140" w:type="dxa"/>
            <w:vAlign w:val="bottom"/>
            <w:tcBorders>
              <w:bottom w:val="single" w:sz="8" w:color="131413"/>
            </w:tcBorders>
          </w:tcPr>
          <w:p>
            <w:pPr>
              <w:spacing w:after="0"/>
              <w:rPr>
                <w:sz w:val="8"/>
                <w:szCs w:val="8"/>
                <w:color w:val="auto"/>
              </w:rPr>
            </w:pPr>
          </w:p>
        </w:tc>
        <w:tc>
          <w:tcPr>
            <w:tcW w:w="620" w:type="dxa"/>
            <w:vAlign w:val="bottom"/>
            <w:tcBorders>
              <w:bottom w:val="single" w:sz="8" w:color="131413"/>
            </w:tcBorders>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9"/>
        </w:trPr>
        <w:tc>
          <w:tcPr>
            <w:tcW w:w="23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24 h</w:t>
            </w: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000" w:type="dxa"/>
            <w:vAlign w:val="bottom"/>
          </w:tcPr>
          <w:p>
            <w:pPr>
              <w:ind w:left="280"/>
              <w:spacing w:after="0"/>
              <w:rPr>
                <w:sz w:val="20"/>
                <w:szCs w:val="20"/>
                <w:color w:val="auto"/>
              </w:rPr>
            </w:pPr>
            <w:r>
              <w:rPr>
                <w:rFonts w:ascii="Times New Roman" w:cs="Times New Roman" w:eastAsia="Times New Roman" w:hAnsi="Times New Roman"/>
                <w:sz w:val="17"/>
                <w:szCs w:val="17"/>
                <w:color w:val="131413"/>
              </w:rPr>
              <w:t>% change to control</w:t>
            </w:r>
          </w:p>
        </w:tc>
        <w:tc>
          <w:tcPr>
            <w:tcW w:w="1360" w:type="dxa"/>
            <w:vAlign w:val="bottom"/>
            <w:gridSpan w:val="3"/>
          </w:tcPr>
          <w:p>
            <w:pPr>
              <w:ind w:left="300"/>
              <w:spacing w:after="0"/>
              <w:rPr>
                <w:sz w:val="20"/>
                <w:szCs w:val="20"/>
                <w:color w:val="auto"/>
              </w:rPr>
            </w:pPr>
            <w:r>
              <w:rPr>
                <w:rFonts w:ascii="Times New Roman" w:cs="Times New Roman" w:eastAsia="Times New Roman" w:hAnsi="Times New Roman"/>
                <w:sz w:val="17"/>
                <w:szCs w:val="17"/>
                <w:color w:val="131413"/>
              </w:rPr>
              <w:t>48 h</w:t>
            </w:r>
          </w:p>
        </w:tc>
        <w:tc>
          <w:tcPr>
            <w:tcW w:w="1740" w:type="dxa"/>
            <w:vAlign w:val="bottom"/>
            <w:gridSpan w:val="4"/>
          </w:tcPr>
          <w:p>
            <w:pPr>
              <w:ind w:left="300"/>
              <w:spacing w:after="0"/>
              <w:rPr>
                <w:sz w:val="20"/>
                <w:szCs w:val="20"/>
                <w:color w:val="auto"/>
              </w:rPr>
            </w:pPr>
            <w:r>
              <w:rPr>
                <w:rFonts w:ascii="Times New Roman" w:cs="Times New Roman" w:eastAsia="Times New Roman" w:hAnsi="Times New Roman"/>
                <w:sz w:val="17"/>
                <w:szCs w:val="17"/>
                <w:color w:val="131413"/>
              </w:rPr>
              <w:t>% change to control</w:t>
            </w:r>
          </w:p>
        </w:tc>
        <w:tc>
          <w:tcPr>
            <w:tcW w:w="0" w:type="dxa"/>
            <w:vAlign w:val="bottom"/>
          </w:tcPr>
          <w:p>
            <w:pPr>
              <w:spacing w:after="0"/>
              <w:rPr>
                <w:sz w:val="1"/>
                <w:szCs w:val="1"/>
                <w:color w:val="auto"/>
              </w:rPr>
            </w:pPr>
          </w:p>
        </w:tc>
      </w:tr>
      <w:tr>
        <w:trPr>
          <w:trHeight w:val="108"/>
        </w:trPr>
        <w:tc>
          <w:tcPr>
            <w:tcW w:w="2340" w:type="dxa"/>
            <w:vAlign w:val="bottom"/>
            <w:tcBorders>
              <w:bottom w:val="single" w:sz="8" w:color="131413"/>
            </w:tcBorders>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920" w:type="dxa"/>
            <w:vAlign w:val="bottom"/>
            <w:tcBorders>
              <w:bottom w:val="single" w:sz="8" w:color="131413"/>
            </w:tcBorders>
          </w:tcPr>
          <w:p>
            <w:pPr>
              <w:spacing w:after="0"/>
              <w:rPr>
                <w:sz w:val="9"/>
                <w:szCs w:val="9"/>
                <w:color w:val="auto"/>
              </w:rPr>
            </w:pPr>
          </w:p>
        </w:tc>
        <w:tc>
          <w:tcPr>
            <w:tcW w:w="340" w:type="dxa"/>
            <w:vAlign w:val="bottom"/>
            <w:tcBorders>
              <w:bottom w:val="single" w:sz="8" w:color="131413"/>
            </w:tcBorders>
          </w:tcPr>
          <w:p>
            <w:pPr>
              <w:spacing w:after="0"/>
              <w:rPr>
                <w:sz w:val="9"/>
                <w:szCs w:val="9"/>
                <w:color w:val="auto"/>
              </w:rPr>
            </w:pPr>
          </w:p>
        </w:tc>
        <w:tc>
          <w:tcPr>
            <w:tcW w:w="10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200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80" w:type="dxa"/>
            <w:vAlign w:val="bottom"/>
            <w:tcBorders>
              <w:bottom w:val="single" w:sz="8" w:color="131413"/>
            </w:tcBorders>
          </w:tcPr>
          <w:p>
            <w:pPr>
              <w:spacing w:after="0"/>
              <w:rPr>
                <w:sz w:val="9"/>
                <w:szCs w:val="9"/>
                <w:color w:val="auto"/>
              </w:rPr>
            </w:pPr>
          </w:p>
        </w:tc>
        <w:tc>
          <w:tcPr>
            <w:tcW w:w="640" w:type="dxa"/>
            <w:vAlign w:val="bottom"/>
            <w:tcBorders>
              <w:bottom w:val="single" w:sz="8" w:color="131413"/>
            </w:tcBorders>
          </w:tcPr>
          <w:p>
            <w:pPr>
              <w:spacing w:after="0"/>
              <w:rPr>
                <w:sz w:val="9"/>
                <w:szCs w:val="9"/>
                <w:color w:val="auto"/>
              </w:rPr>
            </w:pPr>
          </w:p>
        </w:tc>
        <w:tc>
          <w:tcPr>
            <w:tcW w:w="960" w:type="dxa"/>
            <w:vAlign w:val="bottom"/>
            <w:tcBorders>
              <w:bottom w:val="single" w:sz="8" w:color="131413"/>
            </w:tcBorders>
          </w:tcPr>
          <w:p>
            <w:pPr>
              <w:spacing w:after="0"/>
              <w:rPr>
                <w:sz w:val="9"/>
                <w:szCs w:val="9"/>
                <w:color w:val="auto"/>
              </w:rPr>
            </w:pPr>
          </w:p>
        </w:tc>
        <w:tc>
          <w:tcPr>
            <w:tcW w:w="140" w:type="dxa"/>
            <w:vAlign w:val="bottom"/>
            <w:tcBorders>
              <w:bottom w:val="single" w:sz="8" w:color="131413"/>
            </w:tcBorders>
          </w:tcPr>
          <w:p>
            <w:pPr>
              <w:spacing w:after="0"/>
              <w:rPr>
                <w:sz w:val="9"/>
                <w:szCs w:val="9"/>
                <w:color w:val="auto"/>
              </w:rPr>
            </w:pPr>
          </w:p>
        </w:tc>
        <w:tc>
          <w:tcPr>
            <w:tcW w:w="620" w:type="dxa"/>
            <w:vAlign w:val="bottom"/>
            <w:tcBorders>
              <w:bottom w:val="single" w:sz="8" w:color="131413"/>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83"/>
        </w:trPr>
        <w:tc>
          <w:tcPr>
            <w:tcW w:w="2340" w:type="dxa"/>
            <w:vAlign w:val="bottom"/>
          </w:tcPr>
          <w:p>
            <w:pPr>
              <w:spacing w:after="0"/>
              <w:rPr>
                <w:sz w:val="20"/>
                <w:szCs w:val="20"/>
                <w:color w:val="auto"/>
              </w:rPr>
            </w:pPr>
            <w:r>
              <w:rPr>
                <w:rFonts w:ascii="Times New Roman" w:cs="Times New Roman" w:eastAsia="Times New Roman" w:hAnsi="Times New Roman"/>
                <w:sz w:val="17"/>
                <w:szCs w:val="17"/>
                <w:color w:val="131413"/>
              </w:rPr>
              <w:t>CoIV</w:t>
            </w:r>
          </w:p>
        </w:tc>
        <w:tc>
          <w:tcPr>
            <w:tcW w:w="136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3.68 + 1.10</w:t>
            </w: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0.12</w:t>
            </w:r>
          </w:p>
        </w:tc>
        <w:tc>
          <w:tcPr>
            <w:tcW w:w="740" w:type="dxa"/>
            <w:vAlign w:val="bottom"/>
            <w:gridSpan w:val="2"/>
          </w:tcPr>
          <w:p>
            <w:pPr>
              <w:spacing w:after="0"/>
              <w:rPr>
                <w:sz w:val="20"/>
                <w:szCs w:val="20"/>
                <w:color w:val="auto"/>
              </w:rPr>
            </w:pPr>
            <w:r>
              <w:rPr>
                <w:rFonts w:ascii="Times New Roman" w:cs="Times New Roman" w:eastAsia="Times New Roman" w:hAnsi="Times New Roman"/>
                <w:sz w:val="17"/>
                <w:szCs w:val="17"/>
                <w:color w:val="131413"/>
              </w:rPr>
              <w:t>+ 0.03</w:t>
            </w:r>
          </w:p>
        </w:tc>
        <w:tc>
          <w:tcPr>
            <w:tcW w:w="2000" w:type="dxa"/>
            <w:vAlign w:val="bottom"/>
          </w:tcPr>
          <w:p>
            <w:pPr>
              <w:ind w:left="280"/>
              <w:spacing w:after="0"/>
              <w:rPr>
                <w:sz w:val="20"/>
                <w:szCs w:val="20"/>
                <w:color w:val="auto"/>
              </w:rPr>
            </w:pPr>
            <w:r>
              <w:rPr>
                <w:rFonts w:ascii="Arial" w:cs="Arial" w:eastAsia="Arial" w:hAnsi="Arial"/>
                <w:sz w:val="17"/>
                <w:szCs w:val="17"/>
                <w:color w:val="131413"/>
              </w:rPr>
              <w:t>−</w:t>
            </w:r>
            <w:r>
              <w:rPr>
                <w:rFonts w:ascii="Times New Roman" w:cs="Times New Roman" w:eastAsia="Times New Roman" w:hAnsi="Times New Roman"/>
                <w:sz w:val="17"/>
                <w:szCs w:val="17"/>
                <w:color w:val="131413"/>
              </w:rPr>
              <w:t>97%</w:t>
            </w:r>
          </w:p>
        </w:tc>
        <w:tc>
          <w:tcPr>
            <w:tcW w:w="1360" w:type="dxa"/>
            <w:vAlign w:val="bottom"/>
            <w:gridSpan w:val="3"/>
          </w:tcPr>
          <w:p>
            <w:pPr>
              <w:ind w:left="300"/>
              <w:spacing w:after="0"/>
              <w:rPr>
                <w:sz w:val="20"/>
                <w:szCs w:val="20"/>
                <w:color w:val="auto"/>
              </w:rPr>
            </w:pPr>
            <w:r>
              <w:rPr>
                <w:rFonts w:ascii="Times New Roman" w:cs="Times New Roman" w:eastAsia="Times New Roman" w:hAnsi="Times New Roman"/>
                <w:sz w:val="17"/>
                <w:szCs w:val="17"/>
                <w:color w:val="131413"/>
              </w:rPr>
              <w:t>0.33 + 0.12</w:t>
            </w:r>
          </w:p>
        </w:tc>
        <w:tc>
          <w:tcPr>
            <w:tcW w:w="1740" w:type="dxa"/>
            <w:vAlign w:val="bottom"/>
            <w:gridSpan w:val="4"/>
          </w:tcPr>
          <w:p>
            <w:pPr>
              <w:ind w:left="300"/>
              <w:spacing w:after="0"/>
              <w:rPr>
                <w:sz w:val="20"/>
                <w:szCs w:val="20"/>
                <w:color w:val="auto"/>
              </w:rPr>
            </w:pPr>
            <w:r>
              <w:rPr>
                <w:rFonts w:ascii="Arial" w:cs="Arial" w:eastAsia="Arial" w:hAnsi="Arial"/>
                <w:sz w:val="17"/>
                <w:szCs w:val="17"/>
                <w:color w:val="131413"/>
              </w:rPr>
              <w:t>−</w:t>
            </w:r>
            <w:r>
              <w:rPr>
                <w:rFonts w:ascii="Times New Roman" w:cs="Times New Roman" w:eastAsia="Times New Roman" w:hAnsi="Times New Roman"/>
                <w:sz w:val="17"/>
                <w:szCs w:val="17"/>
                <w:color w:val="131413"/>
              </w:rPr>
              <w:t>91%</w:t>
            </w:r>
          </w:p>
        </w:tc>
        <w:tc>
          <w:tcPr>
            <w:tcW w:w="0" w:type="dxa"/>
            <w:vAlign w:val="bottom"/>
          </w:tcPr>
          <w:p>
            <w:pPr>
              <w:spacing w:after="0"/>
              <w:rPr>
                <w:sz w:val="1"/>
                <w:szCs w:val="1"/>
                <w:color w:val="auto"/>
              </w:rPr>
            </w:pPr>
          </w:p>
        </w:tc>
      </w:tr>
      <w:tr>
        <w:trPr>
          <w:trHeight w:val="20"/>
        </w:trPr>
        <w:tc>
          <w:tcPr>
            <w:tcW w:w="2340" w:type="dxa"/>
            <w:vAlign w:val="bottom"/>
            <w:vMerge w:val="restart"/>
          </w:tcPr>
          <w:p>
            <w:pPr>
              <w:spacing w:after="0"/>
              <w:rPr>
                <w:sz w:val="20"/>
                <w:szCs w:val="20"/>
                <w:color w:val="auto"/>
              </w:rPr>
            </w:pPr>
            <w:r>
              <w:rPr>
                <w:rFonts w:ascii="Times New Roman" w:cs="Times New Roman" w:eastAsia="Times New Roman" w:hAnsi="Times New Roman"/>
                <w:sz w:val="17"/>
                <w:szCs w:val="17"/>
                <w:color w:val="131413"/>
              </w:rPr>
              <w:t>Il-6</w:t>
            </w:r>
          </w:p>
        </w:tc>
        <w:tc>
          <w:tcPr>
            <w:tcW w:w="3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9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2000" w:type="dxa"/>
            <w:vAlign w:val="bottom"/>
            <w:vMerge w:val="restart"/>
          </w:tcPr>
          <w:p>
            <w:pPr>
              <w:ind w:left="280"/>
              <w:spacing w:after="0"/>
              <w:rPr>
                <w:sz w:val="20"/>
                <w:szCs w:val="20"/>
                <w:color w:val="auto"/>
              </w:rPr>
            </w:pPr>
            <w:r>
              <w:rPr>
                <w:rFonts w:ascii="Arial" w:cs="Arial" w:eastAsia="Arial" w:hAnsi="Arial"/>
                <w:sz w:val="17"/>
                <w:szCs w:val="17"/>
                <w:color w:val="131413"/>
              </w:rPr>
              <w:t>−</w:t>
            </w:r>
            <w:r>
              <w:rPr>
                <w:rFonts w:ascii="Times New Roman" w:cs="Times New Roman" w:eastAsia="Times New Roman" w:hAnsi="Times New Roman"/>
                <w:sz w:val="17"/>
                <w:szCs w:val="17"/>
                <w:color w:val="131413"/>
              </w:rPr>
              <w:t>40%</w:t>
            </w:r>
          </w:p>
        </w:tc>
        <w:tc>
          <w:tcPr>
            <w:tcW w:w="640" w:type="dxa"/>
            <w:vAlign w:val="bottom"/>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740" w:type="dxa"/>
            <w:vAlign w:val="bottom"/>
            <w:gridSpan w:val="4"/>
            <w:vMerge w:val="restart"/>
          </w:tcPr>
          <w:p>
            <w:pPr>
              <w:ind w:left="300"/>
              <w:spacing w:after="0"/>
              <w:rPr>
                <w:sz w:val="20"/>
                <w:szCs w:val="20"/>
                <w:color w:val="auto"/>
              </w:rPr>
            </w:pPr>
            <w:r>
              <w:rPr>
                <w:rFonts w:ascii="Arial" w:cs="Arial" w:eastAsia="Arial" w:hAnsi="Arial"/>
                <w:sz w:val="17"/>
                <w:szCs w:val="17"/>
                <w:color w:val="131413"/>
              </w:rPr>
              <w:t>−</w:t>
            </w:r>
            <w:r>
              <w:rPr>
                <w:rFonts w:ascii="Times New Roman" w:cs="Times New Roman" w:eastAsia="Times New Roman" w:hAnsi="Times New Roman"/>
                <w:sz w:val="17"/>
                <w:szCs w:val="17"/>
                <w:color w:val="131413"/>
              </w:rPr>
              <w:t>40%</w:t>
            </w:r>
          </w:p>
        </w:tc>
        <w:tc>
          <w:tcPr>
            <w:tcW w:w="0" w:type="dxa"/>
            <w:vAlign w:val="bottom"/>
          </w:tcPr>
          <w:p>
            <w:pPr>
              <w:spacing w:after="0" w:line="20" w:lineRule="exact"/>
              <w:rPr>
                <w:sz w:val="1"/>
                <w:szCs w:val="1"/>
                <w:color w:val="auto"/>
              </w:rPr>
            </w:pPr>
          </w:p>
        </w:tc>
      </w:tr>
      <w:tr>
        <w:trPr>
          <w:trHeight w:val="234"/>
        </w:trPr>
        <w:tc>
          <w:tcPr>
            <w:tcW w:w="2340" w:type="dxa"/>
            <w:vAlign w:val="bottom"/>
            <w:vMerge w:val="continue"/>
          </w:tcPr>
          <w:p>
            <w:pPr>
              <w:spacing w:after="0"/>
              <w:rPr>
                <w:sz w:val="20"/>
                <w:szCs w:val="20"/>
                <w:color w:val="auto"/>
              </w:rPr>
            </w:pPr>
          </w:p>
        </w:tc>
        <w:tc>
          <w:tcPr>
            <w:tcW w:w="1360" w:type="dxa"/>
            <w:vAlign w:val="bottom"/>
            <w:gridSpan w:val="3"/>
          </w:tcPr>
          <w:p>
            <w:pPr>
              <w:spacing w:after="0"/>
              <w:rPr>
                <w:sz w:val="20"/>
                <w:szCs w:val="20"/>
                <w:color w:val="auto"/>
              </w:rPr>
            </w:pPr>
            <w:r>
              <w:rPr>
                <w:rFonts w:ascii="Times New Roman" w:cs="Times New Roman" w:eastAsia="Times New Roman" w:hAnsi="Times New Roman"/>
                <w:sz w:val="17"/>
                <w:szCs w:val="17"/>
                <w:color w:val="131413"/>
              </w:rPr>
              <w:t>9.63 + 1.97</w:t>
            </w:r>
          </w:p>
        </w:tc>
        <w:tc>
          <w:tcPr>
            <w:tcW w:w="340" w:type="dxa"/>
            <w:vAlign w:val="bottom"/>
          </w:tcPr>
          <w:p>
            <w:pPr>
              <w:spacing w:after="0"/>
              <w:rPr>
                <w:sz w:val="20"/>
                <w:szCs w:val="20"/>
                <w:color w:val="auto"/>
              </w:rPr>
            </w:pPr>
            <w:r>
              <w:rPr>
                <w:rFonts w:ascii="Times New Roman" w:cs="Times New Roman" w:eastAsia="Times New Roman" w:hAnsi="Times New Roman"/>
                <w:sz w:val="17"/>
                <w:szCs w:val="17"/>
                <w:color w:val="131413"/>
              </w:rPr>
              <w:t>5.39</w:t>
            </w:r>
          </w:p>
        </w:tc>
        <w:tc>
          <w:tcPr>
            <w:tcW w:w="740" w:type="dxa"/>
            <w:vAlign w:val="bottom"/>
            <w:gridSpan w:val="2"/>
          </w:tcPr>
          <w:p>
            <w:pPr>
              <w:spacing w:after="0"/>
              <w:rPr>
                <w:sz w:val="20"/>
                <w:szCs w:val="20"/>
                <w:color w:val="auto"/>
              </w:rPr>
            </w:pPr>
            <w:r>
              <w:rPr>
                <w:rFonts w:ascii="Times New Roman" w:cs="Times New Roman" w:eastAsia="Times New Roman" w:hAnsi="Times New Roman"/>
                <w:sz w:val="17"/>
                <w:szCs w:val="17"/>
                <w:color w:val="131413"/>
              </w:rPr>
              <w:t>+ 1.24</w:t>
            </w:r>
          </w:p>
        </w:tc>
        <w:tc>
          <w:tcPr>
            <w:tcW w:w="2000" w:type="dxa"/>
            <w:vAlign w:val="bottom"/>
            <w:vMerge w:val="continue"/>
          </w:tcPr>
          <w:p>
            <w:pPr>
              <w:spacing w:after="0"/>
              <w:rPr>
                <w:sz w:val="20"/>
                <w:szCs w:val="20"/>
                <w:color w:val="auto"/>
              </w:rPr>
            </w:pPr>
          </w:p>
        </w:tc>
        <w:tc>
          <w:tcPr>
            <w:tcW w:w="1360" w:type="dxa"/>
            <w:vAlign w:val="bottom"/>
            <w:gridSpan w:val="3"/>
          </w:tcPr>
          <w:p>
            <w:pPr>
              <w:ind w:left="300"/>
              <w:spacing w:after="0"/>
              <w:rPr>
                <w:sz w:val="20"/>
                <w:szCs w:val="20"/>
                <w:color w:val="auto"/>
              </w:rPr>
            </w:pPr>
            <w:r>
              <w:rPr>
                <w:rFonts w:ascii="Times New Roman" w:cs="Times New Roman" w:eastAsia="Times New Roman" w:hAnsi="Times New Roman"/>
                <w:sz w:val="17"/>
                <w:szCs w:val="17"/>
                <w:color w:val="131413"/>
              </w:rPr>
              <w:t>5.33 + 1.14</w:t>
            </w:r>
          </w:p>
        </w:tc>
        <w:tc>
          <w:tcPr>
            <w:tcW w:w="1740" w:type="dxa"/>
            <w:vAlign w:val="bottom"/>
            <w:gridSpan w:val="4"/>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86"/>
        </w:trPr>
        <w:tc>
          <w:tcPr>
            <w:tcW w:w="2340" w:type="dxa"/>
            <w:vAlign w:val="bottom"/>
            <w:tcBorders>
              <w:bottom w:val="single" w:sz="8" w:color="131413"/>
            </w:tcBorders>
          </w:tcPr>
          <w:p>
            <w:pPr>
              <w:spacing w:after="0"/>
              <w:rPr>
                <w:sz w:val="7"/>
                <w:szCs w:val="7"/>
                <w:color w:val="auto"/>
              </w:rPr>
            </w:pPr>
          </w:p>
        </w:tc>
        <w:tc>
          <w:tcPr>
            <w:tcW w:w="340" w:type="dxa"/>
            <w:vAlign w:val="bottom"/>
            <w:tcBorders>
              <w:bottom w:val="single" w:sz="8" w:color="131413"/>
            </w:tcBorders>
          </w:tcPr>
          <w:p>
            <w:pPr>
              <w:spacing w:after="0"/>
              <w:rPr>
                <w:sz w:val="7"/>
                <w:szCs w:val="7"/>
                <w:color w:val="auto"/>
              </w:rPr>
            </w:pPr>
          </w:p>
        </w:tc>
        <w:tc>
          <w:tcPr>
            <w:tcW w:w="100" w:type="dxa"/>
            <w:vAlign w:val="bottom"/>
            <w:tcBorders>
              <w:top w:val="single" w:sz="8" w:color="auto"/>
              <w:bottom w:val="single" w:sz="8" w:color="131413"/>
            </w:tcBorders>
          </w:tcPr>
          <w:p>
            <w:pPr>
              <w:spacing w:after="0"/>
              <w:rPr>
                <w:sz w:val="7"/>
                <w:szCs w:val="7"/>
                <w:color w:val="auto"/>
              </w:rPr>
            </w:pPr>
          </w:p>
        </w:tc>
        <w:tc>
          <w:tcPr>
            <w:tcW w:w="920" w:type="dxa"/>
            <w:vAlign w:val="bottom"/>
            <w:tcBorders>
              <w:bottom w:val="single" w:sz="8" w:color="131413"/>
            </w:tcBorders>
          </w:tcPr>
          <w:p>
            <w:pPr>
              <w:spacing w:after="0"/>
              <w:rPr>
                <w:sz w:val="7"/>
                <w:szCs w:val="7"/>
                <w:color w:val="auto"/>
              </w:rPr>
            </w:pPr>
          </w:p>
        </w:tc>
        <w:tc>
          <w:tcPr>
            <w:tcW w:w="340" w:type="dxa"/>
            <w:vAlign w:val="bottom"/>
            <w:tcBorders>
              <w:bottom w:val="single" w:sz="8" w:color="131413"/>
            </w:tcBorders>
          </w:tcPr>
          <w:p>
            <w:pPr>
              <w:spacing w:after="0"/>
              <w:rPr>
                <w:sz w:val="7"/>
                <w:szCs w:val="7"/>
                <w:color w:val="auto"/>
              </w:rPr>
            </w:pPr>
          </w:p>
        </w:tc>
        <w:tc>
          <w:tcPr>
            <w:tcW w:w="100" w:type="dxa"/>
            <w:vAlign w:val="bottom"/>
            <w:tcBorders>
              <w:top w:val="single" w:sz="8" w:color="auto"/>
              <w:bottom w:val="single" w:sz="8" w:color="131413"/>
            </w:tcBorders>
          </w:tcPr>
          <w:p>
            <w:pPr>
              <w:spacing w:after="0"/>
              <w:rPr>
                <w:sz w:val="7"/>
                <w:szCs w:val="7"/>
                <w:color w:val="auto"/>
              </w:rPr>
            </w:pPr>
          </w:p>
        </w:tc>
        <w:tc>
          <w:tcPr>
            <w:tcW w:w="640" w:type="dxa"/>
            <w:vAlign w:val="bottom"/>
            <w:tcBorders>
              <w:bottom w:val="single" w:sz="8" w:color="131413"/>
            </w:tcBorders>
          </w:tcPr>
          <w:p>
            <w:pPr>
              <w:spacing w:after="0"/>
              <w:rPr>
                <w:sz w:val="7"/>
                <w:szCs w:val="7"/>
                <w:color w:val="auto"/>
              </w:rPr>
            </w:pPr>
          </w:p>
        </w:tc>
        <w:tc>
          <w:tcPr>
            <w:tcW w:w="2000" w:type="dxa"/>
            <w:vAlign w:val="bottom"/>
            <w:tcBorders>
              <w:bottom w:val="single" w:sz="8" w:color="131413"/>
            </w:tcBorders>
          </w:tcPr>
          <w:p>
            <w:pPr>
              <w:spacing w:after="0"/>
              <w:rPr>
                <w:sz w:val="7"/>
                <w:szCs w:val="7"/>
                <w:color w:val="auto"/>
              </w:rPr>
            </w:pPr>
          </w:p>
        </w:tc>
        <w:tc>
          <w:tcPr>
            <w:tcW w:w="640" w:type="dxa"/>
            <w:vAlign w:val="bottom"/>
            <w:tcBorders>
              <w:bottom w:val="single" w:sz="8" w:color="131413"/>
            </w:tcBorders>
          </w:tcPr>
          <w:p>
            <w:pPr>
              <w:spacing w:after="0"/>
              <w:rPr>
                <w:sz w:val="7"/>
                <w:szCs w:val="7"/>
                <w:color w:val="auto"/>
              </w:rPr>
            </w:pPr>
          </w:p>
        </w:tc>
        <w:tc>
          <w:tcPr>
            <w:tcW w:w="80" w:type="dxa"/>
            <w:vAlign w:val="bottom"/>
            <w:tcBorders>
              <w:top w:val="single" w:sz="8" w:color="auto"/>
              <w:bottom w:val="single" w:sz="8" w:color="131413"/>
            </w:tcBorders>
          </w:tcPr>
          <w:p>
            <w:pPr>
              <w:spacing w:after="0"/>
              <w:rPr>
                <w:sz w:val="7"/>
                <w:szCs w:val="7"/>
                <w:color w:val="auto"/>
              </w:rPr>
            </w:pPr>
          </w:p>
        </w:tc>
        <w:tc>
          <w:tcPr>
            <w:tcW w:w="640" w:type="dxa"/>
            <w:vAlign w:val="bottom"/>
            <w:tcBorders>
              <w:bottom w:val="single" w:sz="8" w:color="131413"/>
            </w:tcBorders>
          </w:tcPr>
          <w:p>
            <w:pPr>
              <w:spacing w:after="0"/>
              <w:rPr>
                <w:sz w:val="7"/>
                <w:szCs w:val="7"/>
                <w:color w:val="auto"/>
              </w:rPr>
            </w:pPr>
          </w:p>
        </w:tc>
        <w:tc>
          <w:tcPr>
            <w:tcW w:w="960" w:type="dxa"/>
            <w:vAlign w:val="bottom"/>
            <w:tcBorders>
              <w:bottom w:val="single" w:sz="8" w:color="131413"/>
            </w:tcBorders>
          </w:tcPr>
          <w:p>
            <w:pPr>
              <w:spacing w:after="0"/>
              <w:rPr>
                <w:sz w:val="7"/>
                <w:szCs w:val="7"/>
                <w:color w:val="auto"/>
              </w:rPr>
            </w:pPr>
          </w:p>
        </w:tc>
        <w:tc>
          <w:tcPr>
            <w:tcW w:w="140" w:type="dxa"/>
            <w:vAlign w:val="bottom"/>
            <w:tcBorders>
              <w:bottom w:val="single" w:sz="8" w:color="131413"/>
            </w:tcBorders>
          </w:tcPr>
          <w:p>
            <w:pPr>
              <w:spacing w:after="0"/>
              <w:rPr>
                <w:sz w:val="7"/>
                <w:szCs w:val="7"/>
                <w:color w:val="auto"/>
              </w:rPr>
            </w:pPr>
          </w:p>
        </w:tc>
        <w:tc>
          <w:tcPr>
            <w:tcW w:w="620" w:type="dxa"/>
            <w:vAlign w:val="bottom"/>
            <w:tcBorders>
              <w:bottom w:val="single" w:sz="8" w:color="131413"/>
            </w:tcBorders>
          </w:tcPr>
          <w:p>
            <w:pPr>
              <w:spacing w:after="0"/>
              <w:rPr>
                <w:sz w:val="7"/>
                <w:szCs w:val="7"/>
                <w:color w:val="auto"/>
              </w:rPr>
            </w:pPr>
          </w:p>
        </w:tc>
        <w:tc>
          <w:tcPr>
            <w:tcW w:w="20" w:type="dxa"/>
            <w:vAlign w:val="bottom"/>
            <w:tcBorders>
              <w:bottom w:val="single" w:sz="8" w:color="131413"/>
            </w:tcBorders>
          </w:tcPr>
          <w:p>
            <w:pPr>
              <w:spacing w:after="0"/>
              <w:rPr>
                <w:sz w:val="7"/>
                <w:szCs w:val="7"/>
                <w:color w:val="auto"/>
              </w:rPr>
            </w:pPr>
          </w:p>
        </w:tc>
        <w:tc>
          <w:tcPr>
            <w:tcW w:w="0" w:type="dxa"/>
            <w:vAlign w:val="bottom"/>
          </w:tcPr>
          <w:p>
            <w:pPr>
              <w:spacing w:after="0"/>
              <w:rPr>
                <w:sz w:val="1"/>
                <w:szCs w:val="1"/>
                <w:color w:val="auto"/>
              </w:rPr>
            </w:pPr>
          </w:p>
        </w:tc>
      </w:tr>
      <w:tr>
        <w:trPr>
          <w:trHeight w:val="650"/>
        </w:trPr>
        <w:tc>
          <w:tcPr>
            <w:tcW w:w="23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140" w:type="dxa"/>
            <w:vAlign w:val="bottom"/>
            <w:tcBorders>
              <w:bottom w:val="single" w:sz="8" w:color="131413"/>
            </w:tcBorders>
          </w:tcPr>
          <w:p>
            <w:pPr>
              <w:spacing w:after="0"/>
              <w:rPr>
                <w:sz w:val="24"/>
                <w:szCs w:val="24"/>
                <w:color w:val="auto"/>
              </w:rPr>
            </w:pPr>
          </w:p>
        </w:tc>
        <w:tc>
          <w:tcPr>
            <w:tcW w:w="6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-432435</wp:posOffset>
                </wp:positionV>
                <wp:extent cx="1206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34.0499pt" to="0.5pt,-34.0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-852805</wp:posOffset>
                </wp:positionV>
                <wp:extent cx="1206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67.1499pt" to="0.5pt,-67.14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1477010</wp:posOffset>
                </wp:positionH>
                <wp:positionV relativeFrom="paragraph">
                  <wp:posOffset>-1367790</wp:posOffset>
                </wp:positionV>
                <wp:extent cx="1270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3pt,-107.6999pt" to="117.3pt,-107.6999pt" o:allowincell="f" strokecolor="#131413" strokeweight="0.5669pt"/>
            </w:pict>
          </mc:Fallback>
        </mc:AlternateContent>
        <mc:AlternateContent>
          <mc:Choice Requires="wps">
            <w:drawing>
              <wp:anchor simplePos="0" relativeHeight="251657728" behindDoc="1" locked="0" layoutInCell="0" allowOverlap="1">
                <wp:simplePos x="0" y="0"/>
                <wp:positionH relativeFrom="column">
                  <wp:posOffset>2342515</wp:posOffset>
                </wp:positionH>
                <wp:positionV relativeFrom="paragraph">
                  <wp:posOffset>-1111885</wp:posOffset>
                </wp:positionV>
                <wp:extent cx="1270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7200">
                          <a:solidFill>
                            <a:srgbClr val="131413"/>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45pt,-87.5499pt" to="185.45pt,-87.5499pt" o:allowincell="f" strokecolor="#131413" strokeweight="0.5669pt"/>
            </w:pict>
          </mc:Fallback>
        </mc:AlternateContent>
        <w:drawing>
          <wp:anchor simplePos="0" relativeHeight="251657728" behindDoc="1" locked="0" layoutInCell="0" allowOverlap="1">
            <wp:simplePos x="0" y="0"/>
            <wp:positionH relativeFrom="column">
              <wp:posOffset>5764530</wp:posOffset>
            </wp:positionH>
            <wp:positionV relativeFrom="paragraph">
              <wp:posOffset>-125095</wp:posOffset>
            </wp:positionV>
            <wp:extent cx="483870" cy="13843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1">
            <w:col w:w="9880"/>
          </w:cols>
          <w:pgMar w:left="1020" w:top="649" w:right="1006" w:bottom="339" w:gutter="0" w:footer="0" w:header="0"/>
          <w:type w:val="continuous"/>
        </w:sectPr>
      </w:pPr>
    </w:p>
    <w:bookmarkStart w:id="7" w:name="page8"/>
    <w:bookmarkEnd w:id="7"/>
    <w:p>
      <w:pPr>
        <w:ind w:left="9360"/>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41275</wp:posOffset>
                </wp:positionV>
                <wp:extent cx="0" cy="26035"/>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25pt" to="0pt,5.3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54610</wp:posOffset>
                </wp:positionV>
                <wp:extent cx="627634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3pt" to="493.75pt,4.3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41275</wp:posOffset>
                </wp:positionV>
                <wp:extent cx="0" cy="2603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25pt" to="493.25pt,5.3pt" o:allowincell="f" strokecolor="#131413" strokeweight="1pt"/>
            </w:pict>
          </mc:Fallback>
        </mc:AlternateContent>
      </w:r>
    </w:p>
    <w:p>
      <w:pPr>
        <w:sectPr>
          <w:pgSz w:w="11900" w:h="15817" w:orient="portrait"/>
          <w:cols w:equalWidth="0" w:num="1">
            <w:col w:w="9860"/>
          </w:cols>
          <w:pgMar w:left="1020" w:top="649" w:right="1026" w:bottom="904" w:gutter="0" w:footer="0" w:header="0"/>
        </w:sectPr>
      </w:pPr>
    </w:p>
    <w:p>
      <w:pPr>
        <w:spacing w:after="0" w:line="342" w:lineRule="exact"/>
        <w:rPr>
          <w:sz w:val="20"/>
          <w:szCs w:val="20"/>
          <w:color w:val="auto"/>
        </w:rPr>
      </w:pPr>
    </w:p>
    <w:p>
      <w:pPr>
        <w:jc w:val="both"/>
        <w:spacing w:after="0" w:line="272" w:lineRule="auto"/>
        <w:rPr>
          <w:rFonts w:ascii="Times New Roman" w:cs="Times New Roman" w:eastAsia="Times New Roman" w:hAnsi="Times New Roman"/>
          <w:sz w:val="19"/>
          <w:szCs w:val="19"/>
          <w:color w:val="0000FF"/>
        </w:rPr>
      </w:pPr>
      <w:r>
        <w:rPr>
          <w:rFonts w:ascii="Times New Roman" w:cs="Times New Roman" w:eastAsia="Times New Roman" w:hAnsi="Times New Roman"/>
          <w:sz w:val="19"/>
          <w:szCs w:val="19"/>
          <w:color w:val="131413"/>
        </w:rPr>
        <w:t xml:space="preserve">diabetes all over the world. Although there are quite a number of reports regarding antihyperglycemic effects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the influence of this plant on adipogenesis and obesity has not been studied extensively. It is important to know whether metabolic improvements mediated through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might be linked to its effects on adipogenesis. In a recent study it has been reported that 1</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 xml:space="preserve">, 25-dihydroxy Vitamin D3 contain-ing fractions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leaf aqueous extract inhibited preadipocyte differentiation and induced lipolysis in 3T3-L1 cells. The authors showed in their study in detail that the differentiation of 3T3-L1 preadipocytes was inhibited and the lipid accumulation in differentiating 3T3-L1 cells was re-duced upon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extract administration (Borah et al. </w:t>
      </w:r>
      <w:hyperlink w:anchor="page9">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This is the first report to our knowledge that provides</w:t>
      </w:r>
      <w:r>
        <w:rPr>
          <w:rFonts w:ascii="Times New Roman" w:cs="Times New Roman" w:eastAsia="Times New Roman" w:hAnsi="Times New Roman"/>
          <w:sz w:val="19"/>
          <w:szCs w:val="19"/>
          <w:color w:val="0000FF"/>
        </w:rPr>
        <w:t xml:space="preserve"> </w:t>
      </w:r>
      <w:r>
        <w:rPr>
          <w:rFonts w:ascii="Times New Roman" w:cs="Times New Roman" w:eastAsia="Times New Roman" w:hAnsi="Times New Roman"/>
          <w:sz w:val="19"/>
          <w:szCs w:val="19"/>
          <w:color w:val="131413"/>
        </w:rPr>
        <w:t xml:space="preserve">a direct answer to the question whether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extracts have an effect on adipogenesis. They also showed in their study using RT-PCR analysis that the genes such as Perilipin 1 (Pln1), Fatty acid-binding protein 4 (Fabp 4), Adipose triglyc-eride lipase (Atgl), Lipoprotein lipase (Lpl), Glucose trans-porter type 4 (Glut4), and Adiponectin which they called </w:t>
      </w:r>
      <w:r>
        <w:rPr>
          <w:rFonts w:ascii="Arial" w:cs="Arial" w:eastAsia="Arial" w:hAnsi="Arial"/>
          <w:sz w:val="19"/>
          <w:szCs w:val="19"/>
          <w:color w:val="131413"/>
        </w:rPr>
        <w:t>“</w:t>
      </w:r>
      <w:r>
        <w:rPr>
          <w:rFonts w:ascii="Times New Roman" w:cs="Times New Roman" w:eastAsia="Times New Roman" w:hAnsi="Times New Roman"/>
          <w:sz w:val="19"/>
          <w:szCs w:val="19"/>
          <w:color w:val="131413"/>
        </w:rPr>
        <w:t>ad-</w:t>
      </w:r>
    </w:p>
    <w:p>
      <w:pPr>
        <w:spacing w:after="0" w:line="8" w:lineRule="exact"/>
        <w:rPr>
          <w:sz w:val="20"/>
          <w:szCs w:val="20"/>
          <w:color w:val="auto"/>
        </w:rPr>
      </w:pPr>
    </w:p>
    <w:p>
      <w:pPr>
        <w:jc w:val="both"/>
        <w:spacing w:after="0" w:line="280" w:lineRule="auto"/>
        <w:rPr>
          <w:sz w:val="20"/>
          <w:szCs w:val="20"/>
          <w:color w:val="auto"/>
        </w:rPr>
      </w:pPr>
      <w:r>
        <w:rPr>
          <w:rFonts w:ascii="Times New Roman" w:cs="Times New Roman" w:eastAsia="Times New Roman" w:hAnsi="Times New Roman"/>
          <w:sz w:val="19"/>
          <w:szCs w:val="19"/>
          <w:color w:val="131413"/>
        </w:rPr>
        <w:t>ipocyte factors</w:t>
      </w:r>
      <w:r>
        <w:rPr>
          <w:rFonts w:ascii="Arial" w:cs="Arial" w:eastAsia="Arial" w:hAnsi="Arial"/>
          <w:sz w:val="19"/>
          <w:szCs w:val="19"/>
          <w:color w:val="131413"/>
        </w:rPr>
        <w:t>”</w:t>
      </w:r>
      <w:r>
        <w:rPr>
          <w:rFonts w:ascii="Times New Roman" w:cs="Times New Roman" w:eastAsia="Times New Roman" w:hAnsi="Times New Roman"/>
          <w:sz w:val="19"/>
          <w:szCs w:val="19"/>
          <w:color w:val="131413"/>
        </w:rPr>
        <w:t xml:space="preserve"> were downregulated upon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extract treatment. The downregulation of Lpl after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treat-</w:t>
      </w:r>
    </w:p>
    <w:p>
      <w:pPr>
        <w:jc w:val="both"/>
        <w:spacing w:after="0" w:line="246" w:lineRule="auto"/>
        <w:rPr>
          <w:sz w:val="20"/>
          <w:szCs w:val="20"/>
          <w:color w:val="auto"/>
        </w:rPr>
      </w:pPr>
      <w:r>
        <w:rPr>
          <w:rFonts w:ascii="Times New Roman" w:cs="Times New Roman" w:eastAsia="Times New Roman" w:hAnsi="Times New Roman"/>
          <w:sz w:val="20"/>
          <w:szCs w:val="20"/>
          <w:color w:val="131413"/>
        </w:rPr>
        <w:t>ment that we obtained in our current study is consistent with this report.</w:t>
      </w:r>
    </w:p>
    <w:p>
      <w:pPr>
        <w:spacing w:after="0" w:line="26"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Adipocytes have the property of storing fatty acids that are generated during the process starting with the metabolism of circulating exogenous fat as triglycerides and also fatty acids as the result of endogenous fatty acid biosynthesis. Lipoprotein lipase hydrolyzes triacylglycerol-rich portions of both very low-density lipoprotein (VLDL) and of chylomi-crons, resulting in fatty acid release. These nonesterified fatty acids are then imported by fat cells and mainly serve as a precursor for fat synthesis (Kim and Spiegelman </w:t>
      </w:r>
      <w:hyperlink w:anchor="page9">
        <w:r>
          <w:rPr>
            <w:rFonts w:ascii="Times New Roman" w:cs="Times New Roman" w:eastAsia="Times New Roman" w:hAnsi="Times New Roman"/>
            <w:sz w:val="19"/>
            <w:szCs w:val="19"/>
            <w:color w:val="0000FF"/>
          </w:rPr>
          <w:t>1996</w:t>
        </w:r>
      </w:hyperlink>
      <w:r>
        <w:rPr>
          <w:rFonts w:ascii="Times New Roman" w:cs="Times New Roman" w:eastAsia="Times New Roman" w:hAnsi="Times New Roman"/>
          <w:sz w:val="19"/>
          <w:szCs w:val="19"/>
          <w:color w:val="131413"/>
        </w:rPr>
        <w:t>;</w:t>
      </w:r>
    </w:p>
    <w:p>
      <w:pPr>
        <w:spacing w:after="0" w:line="5" w:lineRule="exact"/>
        <w:rPr>
          <w:sz w:val="20"/>
          <w:szCs w:val="20"/>
          <w:color w:val="auto"/>
        </w:rPr>
      </w:pPr>
    </w:p>
    <w:p>
      <w:pPr>
        <w:jc w:val="both"/>
        <w:spacing w:after="0" w:line="270"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Mead et al. </w:t>
      </w:r>
      <w:hyperlink w:anchor="page9">
        <w:r>
          <w:rPr>
            <w:rFonts w:ascii="Times New Roman" w:cs="Times New Roman" w:eastAsia="Times New Roman" w:hAnsi="Times New Roman"/>
            <w:sz w:val="19"/>
            <w:szCs w:val="19"/>
            <w:color w:val="0000FF"/>
          </w:rPr>
          <w:t>2002</w:t>
        </w:r>
      </w:hyperlink>
      <w:r>
        <w:rPr>
          <w:rFonts w:ascii="Times New Roman" w:cs="Times New Roman" w:eastAsia="Times New Roman" w:hAnsi="Times New Roman"/>
          <w:sz w:val="19"/>
          <w:szCs w:val="19"/>
          <w:color w:val="131413"/>
        </w:rPr>
        <w:t xml:space="preserve">). Studies in diabetic mice and pigs fed on a high-fat diet treated with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leafs dissolved in ethanol</w:t>
      </w:r>
    </w:p>
    <w:p>
      <w:pPr>
        <w:spacing w:after="0" w:line="6" w:lineRule="exact"/>
        <w:rPr>
          <w:sz w:val="20"/>
          <w:szCs w:val="20"/>
          <w:color w:val="auto"/>
        </w:rPr>
      </w:pPr>
    </w:p>
    <w:p>
      <w:pPr>
        <w:jc w:val="both"/>
        <w:spacing w:after="0" w:line="256" w:lineRule="auto"/>
        <w:rPr>
          <w:rFonts w:ascii="Times New Roman" w:cs="Times New Roman" w:eastAsia="Times New Roman" w:hAnsi="Times New Roman"/>
          <w:sz w:val="20"/>
          <w:szCs w:val="20"/>
          <w:color w:val="131413"/>
        </w:rPr>
      </w:pPr>
      <w:r>
        <w:rPr>
          <w:rFonts w:ascii="Times New Roman" w:cs="Times New Roman" w:eastAsia="Times New Roman" w:hAnsi="Times New Roman"/>
          <w:sz w:val="20"/>
          <w:szCs w:val="20"/>
          <w:color w:val="131413"/>
        </w:rPr>
        <w:t xml:space="preserve">have been reported to reduce the levels of triglyceride and cholesterol levels in blood (Ara et al. </w:t>
      </w:r>
      <w:hyperlink w:anchor="page9">
        <w:r>
          <w:rPr>
            <w:rFonts w:ascii="Times New Roman" w:cs="Times New Roman" w:eastAsia="Times New Roman" w:hAnsi="Times New Roman"/>
            <w:sz w:val="20"/>
            <w:szCs w:val="20"/>
            <w:color w:val="0000FF"/>
          </w:rPr>
          <w:t>2009</w:t>
        </w:r>
      </w:hyperlink>
      <w:r>
        <w:rPr>
          <w:rFonts w:ascii="Times New Roman" w:cs="Times New Roman" w:eastAsia="Times New Roman" w:hAnsi="Times New Roman"/>
          <w:sz w:val="20"/>
          <w:szCs w:val="20"/>
          <w:color w:val="131413"/>
        </w:rPr>
        <w:t xml:space="preserve">; Patel et al. </w:t>
      </w:r>
      <w:hyperlink w:anchor="page9">
        <w:r>
          <w:rPr>
            <w:rFonts w:ascii="Times New Roman" w:cs="Times New Roman" w:eastAsia="Times New Roman" w:hAnsi="Times New Roman"/>
            <w:sz w:val="20"/>
            <w:szCs w:val="20"/>
            <w:color w:val="0000FF"/>
          </w:rPr>
          <w:t>2011</w:t>
        </w:r>
      </w:hyperlink>
      <w:r>
        <w:rPr>
          <w:rFonts w:ascii="Times New Roman" w:cs="Times New Roman" w:eastAsia="Times New Roman" w:hAnsi="Times New Roman"/>
          <w:sz w:val="20"/>
          <w:szCs w:val="20"/>
          <w:color w:val="131413"/>
        </w:rPr>
        <w:t xml:space="preserve">; Muralidharan </w:t>
      </w:r>
      <w:hyperlink w:anchor="page9">
        <w:r>
          <w:rPr>
            <w:rFonts w:ascii="Times New Roman" w:cs="Times New Roman" w:eastAsia="Times New Roman" w:hAnsi="Times New Roman"/>
            <w:sz w:val="20"/>
            <w:szCs w:val="20"/>
            <w:color w:val="0000FF"/>
          </w:rPr>
          <w:t>2014</w:t>
        </w:r>
      </w:hyperlink>
      <w:r>
        <w:rPr>
          <w:rFonts w:ascii="Times New Roman" w:cs="Times New Roman" w:eastAsia="Times New Roman" w:hAnsi="Times New Roman"/>
          <w:sz w:val="20"/>
          <w:szCs w:val="20"/>
          <w:color w:val="131413"/>
        </w:rPr>
        <w:t>). This decrease in lipid levels may be as-sociated with the plant down-regulating Lpl mRNA expres-sion, which is increased in adipose tissue.</w:t>
      </w:r>
    </w:p>
    <w:p>
      <w:pPr>
        <w:spacing w:after="0" w:line="4" w:lineRule="exact"/>
        <w:rPr>
          <w:rFonts w:ascii="Times New Roman" w:cs="Times New Roman" w:eastAsia="Times New Roman" w:hAnsi="Times New Roman"/>
          <w:sz w:val="20"/>
          <w:szCs w:val="20"/>
          <w:color w:val="131413"/>
        </w:rPr>
      </w:pPr>
    </w:p>
    <w:p>
      <w:pPr>
        <w:jc w:val="both"/>
        <w:ind w:firstLine="227"/>
        <w:spacing w:after="0" w:line="274"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120 alkaloids were shown to be produced in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of which 70 were pharmacologically active (Barrales-Cureño et al. </w:t>
      </w:r>
      <w:hyperlink w:anchor="page9">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Pharmacokinetics of alkaloids are changing from one to another, which in turn may influence their effect on the biological question of interest. Aconitum is one of the plants, which is shown to contain alkaloids and in a study it was reported that the concentration of all of the six analyzed Aconitum alkaloids were decreased within a time frame of 24 h in rat plasma (Zhang et al. </w:t>
      </w:r>
      <w:hyperlink w:anchor="page9">
        <w:r>
          <w:rPr>
            <w:rFonts w:ascii="Times New Roman" w:cs="Times New Roman" w:eastAsia="Times New Roman" w:hAnsi="Times New Roman"/>
            <w:sz w:val="19"/>
            <w:szCs w:val="19"/>
            <w:color w:val="0000FF"/>
          </w:rPr>
          <w:t>2019</w:t>
        </w:r>
      </w:hyperlink>
      <w:r>
        <w:rPr>
          <w:rFonts w:ascii="Times New Roman" w:cs="Times New Roman" w:eastAsia="Times New Roman" w:hAnsi="Times New Roman"/>
          <w:sz w:val="19"/>
          <w:szCs w:val="19"/>
          <w:color w:val="131413"/>
        </w:rPr>
        <w:t xml:space="preserve">). There are also similar studies that characterized the pharmacokinetics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alkaloids such as vinblastine (van Tellingen et al. </w:t>
      </w:r>
      <w:hyperlink w:anchor="page9">
        <w:r>
          <w:rPr>
            <w:rFonts w:ascii="Times New Roman" w:cs="Times New Roman" w:eastAsia="Times New Roman" w:hAnsi="Times New Roman"/>
            <w:sz w:val="19"/>
            <w:szCs w:val="19"/>
            <w:color w:val="0000FF"/>
          </w:rPr>
          <w:t>1993</w:t>
        </w:r>
      </w:hyperlink>
      <w:r>
        <w:rPr>
          <w:rFonts w:ascii="Times New Roman" w:cs="Times New Roman" w:eastAsia="Times New Roman" w:hAnsi="Times New Roman"/>
          <w:sz w:val="19"/>
          <w:szCs w:val="19"/>
          <w:color w:val="131413"/>
        </w:rPr>
        <w:t xml:space="preserve">), vindoline and catharanthine (Lin et al. </w:t>
      </w:r>
      <w:hyperlink w:anchor="page9">
        <w:r>
          <w:rPr>
            <w:rFonts w:ascii="Times New Roman" w:cs="Times New Roman" w:eastAsia="Times New Roman" w:hAnsi="Times New Roman"/>
            <w:sz w:val="19"/>
            <w:szCs w:val="19"/>
            <w:color w:val="0000FF"/>
          </w:rPr>
          <w:t>2015</w:t>
        </w:r>
      </w:hyperlink>
      <w:r>
        <w:rPr>
          <w:rFonts w:ascii="Times New Roman" w:cs="Times New Roman" w:eastAsia="Times New Roman" w:hAnsi="Times New Roman"/>
          <w:sz w:val="19"/>
          <w:szCs w:val="19"/>
          <w:color w:val="131413"/>
        </w:rPr>
        <w:t>). In all these re-ports it was consistently shown that the plasma levels of all of</w:t>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drawing>
          <wp:anchor simplePos="0" relativeHeight="251657728" behindDoc="1" locked="0" layoutInCell="0" allowOverlap="1">
            <wp:simplePos x="0" y="0"/>
            <wp:positionH relativeFrom="column">
              <wp:posOffset>0</wp:posOffset>
            </wp:positionH>
            <wp:positionV relativeFrom="paragraph">
              <wp:posOffset>236220</wp:posOffset>
            </wp:positionV>
            <wp:extent cx="483870" cy="13843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br w:type="column"/>
      </w:r>
    </w:p>
    <w:p>
      <w:pPr>
        <w:spacing w:after="0" w:line="321" w:lineRule="exact"/>
        <w:rPr>
          <w:rFonts w:ascii="Times New Roman" w:cs="Times New Roman" w:eastAsia="Times New Roman" w:hAnsi="Times New Roman"/>
          <w:sz w:val="19"/>
          <w:szCs w:val="19"/>
          <w:color w:val="131413"/>
        </w:rPr>
      </w:pPr>
    </w:p>
    <w:p>
      <w:pPr>
        <w:jc w:val="both"/>
        <w:spacing w:after="0" w:line="288" w:lineRule="auto"/>
        <w:rPr>
          <w:sz w:val="20"/>
          <w:szCs w:val="20"/>
          <w:color w:val="auto"/>
        </w:rPr>
      </w:pPr>
      <w:r>
        <w:rPr>
          <w:rFonts w:ascii="Times New Roman" w:cs="Times New Roman" w:eastAsia="Times New Roman" w:hAnsi="Times New Roman"/>
          <w:sz w:val="18"/>
          <w:szCs w:val="18"/>
          <w:color w:val="131413"/>
        </w:rPr>
        <w:t xml:space="preserve">the alkaloids decreased within 24 h. For some alkaloids pres-ent in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xml:space="preserve"> this effect was even observed between 8- and</w:t>
      </w:r>
    </w:p>
    <w:p>
      <w:pPr>
        <w:jc w:val="both"/>
        <w:spacing w:after="0" w:line="270" w:lineRule="auto"/>
        <w:rPr>
          <w:sz w:val="20"/>
          <w:szCs w:val="20"/>
          <w:color w:val="auto"/>
        </w:rPr>
      </w:pPr>
      <w:r>
        <w:rPr>
          <w:rFonts w:ascii="Times New Roman" w:cs="Times New Roman" w:eastAsia="Times New Roman" w:hAnsi="Times New Roman"/>
          <w:sz w:val="19"/>
          <w:szCs w:val="19"/>
          <w:color w:val="131413"/>
        </w:rPr>
        <w:t xml:space="preserve">24 h, We, in this study, observed that the downregulatory effect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extract on 3T3-L1 cells after 24 h was no</w:t>
      </w:r>
    </w:p>
    <w:p>
      <w:pPr>
        <w:spacing w:after="0" w:line="3" w:lineRule="exact"/>
        <w:rPr>
          <w:rFonts w:ascii="Times New Roman" w:cs="Times New Roman" w:eastAsia="Times New Roman" w:hAnsi="Times New Roman"/>
          <w:sz w:val="19"/>
          <w:szCs w:val="19"/>
          <w:color w:val="131413"/>
        </w:rPr>
      </w:pPr>
    </w:p>
    <w:p>
      <w:pPr>
        <w:spacing w:after="0"/>
        <w:rPr>
          <w:sz w:val="20"/>
          <w:szCs w:val="20"/>
          <w:color w:val="auto"/>
        </w:rPr>
      </w:pPr>
      <w:r>
        <w:rPr>
          <w:rFonts w:ascii="Times New Roman" w:cs="Times New Roman" w:eastAsia="Times New Roman" w:hAnsi="Times New Roman"/>
          <w:sz w:val="19"/>
          <w:szCs w:val="19"/>
          <w:color w:val="131413"/>
        </w:rPr>
        <w:t>longer the case after 48 h of administration. In line with pre-</w:t>
      </w:r>
    </w:p>
    <w:p>
      <w:pPr>
        <w:spacing w:after="0" w:line="33" w:lineRule="exact"/>
        <w:rPr>
          <w:rFonts w:ascii="Times New Roman" w:cs="Times New Roman" w:eastAsia="Times New Roman" w:hAnsi="Times New Roman"/>
          <w:sz w:val="19"/>
          <w:szCs w:val="19"/>
          <w:color w:val="131413"/>
        </w:rPr>
      </w:pPr>
    </w:p>
    <w:p>
      <w:pPr>
        <w:jc w:val="both"/>
        <w:spacing w:after="0" w:line="288" w:lineRule="auto"/>
        <w:rPr>
          <w:sz w:val="20"/>
          <w:szCs w:val="20"/>
          <w:color w:val="auto"/>
        </w:rPr>
      </w:pPr>
      <w:r>
        <w:rPr>
          <w:rFonts w:ascii="Times New Roman" w:cs="Times New Roman" w:eastAsia="Times New Roman" w:hAnsi="Times New Roman"/>
          <w:sz w:val="18"/>
          <w:szCs w:val="18"/>
          <w:color w:val="131413"/>
        </w:rPr>
        <w:t xml:space="preserve">vious reports, we believe that the reason of the attenuation of the inhibitory effects of </w:t>
      </w:r>
      <w:r>
        <w:rPr>
          <w:rFonts w:ascii="Arial" w:cs="Arial" w:eastAsia="Arial" w:hAnsi="Arial"/>
          <w:sz w:val="18"/>
          <w:szCs w:val="18"/>
          <w:color w:val="131413"/>
        </w:rPr>
        <w:t>C. roseus</w:t>
      </w:r>
      <w:r>
        <w:rPr>
          <w:rFonts w:ascii="Times New Roman" w:cs="Times New Roman" w:eastAsia="Times New Roman" w:hAnsi="Times New Roman"/>
          <w:sz w:val="18"/>
          <w:szCs w:val="18"/>
          <w:color w:val="131413"/>
        </w:rPr>
        <w:t xml:space="preserve"> on the expression of Lpl and</w:t>
      </w:r>
    </w:p>
    <w:p>
      <w:pPr>
        <w:jc w:val="both"/>
        <w:spacing w:after="0" w:line="270" w:lineRule="auto"/>
        <w:rPr>
          <w:sz w:val="20"/>
          <w:szCs w:val="20"/>
          <w:color w:val="auto"/>
        </w:rPr>
      </w:pPr>
      <w:r>
        <w:rPr>
          <w:rFonts w:ascii="Times New Roman" w:cs="Times New Roman" w:eastAsia="Times New Roman" w:hAnsi="Times New Roman"/>
          <w:sz w:val="19"/>
          <w:szCs w:val="19"/>
          <w:color w:val="131413"/>
        </w:rPr>
        <w:t xml:space="preserve">Fasn is likely to be the consequence of the much reduced amounts of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taken into cells between 24- and 48 h,</w:t>
      </w:r>
    </w:p>
    <w:p>
      <w:pPr>
        <w:spacing w:after="0" w:line="7" w:lineRule="exact"/>
        <w:rPr>
          <w:rFonts w:ascii="Times New Roman" w:cs="Times New Roman" w:eastAsia="Times New Roman" w:hAnsi="Times New Roman"/>
          <w:sz w:val="19"/>
          <w:szCs w:val="19"/>
          <w:color w:val="131413"/>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hence decreasing its effect further. In addition, as a result of the increase in the incubation period due to the mixed multiple componential nature of plant extracts, the structures of some substances in the extract may deteriorate or change and lose their effectiveness, so the expected effect may not be seen. Apart from this, our plant extract may also have blocked gene expression via a cytoplasmic signaling pathway.</w:t>
      </w:r>
    </w:p>
    <w:p>
      <w:pPr>
        <w:spacing w:after="0" w:line="3" w:lineRule="exact"/>
        <w:rPr>
          <w:rFonts w:ascii="Times New Roman" w:cs="Times New Roman" w:eastAsia="Times New Roman" w:hAnsi="Times New Roman"/>
          <w:sz w:val="19"/>
          <w:szCs w:val="19"/>
          <w:color w:val="131413"/>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Adipose tissue also secrets cytokines that can affect energy metabolism. Tumor necrosis factor (Tnf-</w:t>
      </w:r>
      <w:r>
        <w:rPr>
          <w:rFonts w:ascii="Arial" w:cs="Arial" w:eastAsia="Arial" w:hAnsi="Arial"/>
          <w:sz w:val="19"/>
          <w:szCs w:val="19"/>
          <w:color w:val="131413"/>
        </w:rPr>
        <w:t>α</w:t>
      </w:r>
      <w:r>
        <w:rPr>
          <w:rFonts w:ascii="Times New Roman" w:cs="Times New Roman" w:eastAsia="Times New Roman" w:hAnsi="Times New Roman"/>
          <w:sz w:val="19"/>
          <w:szCs w:val="19"/>
          <w:color w:val="131413"/>
        </w:rPr>
        <w:t xml:space="preserve">) and interleukin-6 (Il-6) are prominent pro-inflammatory cytokines (Zieger et al. </w:t>
      </w:r>
      <w:hyperlink w:anchor="page9">
        <w:r>
          <w:rPr>
            <w:rFonts w:ascii="Times New Roman" w:cs="Times New Roman" w:eastAsia="Times New Roman" w:hAnsi="Times New Roman"/>
            <w:sz w:val="19"/>
            <w:szCs w:val="19"/>
            <w:color w:val="0000FF"/>
          </w:rPr>
          <w:t>2018</w:t>
        </w:r>
      </w:hyperlink>
      <w:r>
        <w:rPr>
          <w:rFonts w:ascii="Times New Roman" w:cs="Times New Roman" w:eastAsia="Times New Roman" w:hAnsi="Times New Roman"/>
          <w:sz w:val="19"/>
          <w:szCs w:val="19"/>
          <w:color w:val="131413"/>
        </w:rPr>
        <w:t xml:space="preserve">). Dysregulated and continuous synthesis of Il-6 is asso-ciated with chronic inflammation and autoimmune disorders (Tanaka et al. </w:t>
      </w:r>
      <w:hyperlink w:anchor="page9">
        <w:r>
          <w:rPr>
            <w:rFonts w:ascii="Times New Roman" w:cs="Times New Roman" w:eastAsia="Times New Roman" w:hAnsi="Times New Roman"/>
            <w:sz w:val="19"/>
            <w:szCs w:val="19"/>
            <w:color w:val="0000FF"/>
          </w:rPr>
          <w:t>2014</w:t>
        </w:r>
      </w:hyperlink>
      <w:r>
        <w:rPr>
          <w:rFonts w:ascii="Times New Roman" w:cs="Times New Roman" w:eastAsia="Times New Roman" w:hAnsi="Times New Roman"/>
          <w:sz w:val="19"/>
          <w:szCs w:val="19"/>
          <w:color w:val="131413"/>
        </w:rPr>
        <w:t>). Increased cytokine levels such as of</w:t>
      </w:r>
    </w:p>
    <w:p>
      <w:pPr>
        <w:jc w:val="both"/>
        <w:spacing w:after="0" w:line="246" w:lineRule="auto"/>
        <w:rPr>
          <w:sz w:val="20"/>
          <w:szCs w:val="20"/>
          <w:color w:val="auto"/>
        </w:rPr>
      </w:pPr>
      <w:r>
        <w:rPr>
          <w:rFonts w:ascii="Times New Roman" w:cs="Times New Roman" w:eastAsia="Times New Roman" w:hAnsi="Times New Roman"/>
          <w:sz w:val="20"/>
          <w:szCs w:val="20"/>
          <w:color w:val="131413"/>
        </w:rPr>
        <w:t>Tnf-</w:t>
      </w:r>
      <w:r>
        <w:rPr>
          <w:rFonts w:ascii="Arial" w:cs="Arial" w:eastAsia="Arial" w:hAnsi="Arial"/>
          <w:sz w:val="20"/>
          <w:szCs w:val="20"/>
          <w:color w:val="131413"/>
        </w:rPr>
        <w:t>α</w:t>
      </w:r>
      <w:r>
        <w:rPr>
          <w:rFonts w:ascii="Times New Roman" w:cs="Times New Roman" w:eastAsia="Times New Roman" w:hAnsi="Times New Roman"/>
          <w:sz w:val="20"/>
          <w:szCs w:val="20"/>
          <w:color w:val="131413"/>
        </w:rPr>
        <w:t xml:space="preserve"> and Il-6 were observed in the blood of mice fed with a high-fat diet for 6 weeks. </w:t>
      </w:r>
      <w:r>
        <w:rPr>
          <w:rFonts w:ascii="Arial" w:cs="Arial" w:eastAsia="Arial" w:hAnsi="Arial"/>
          <w:sz w:val="20"/>
          <w:szCs w:val="20"/>
          <w:color w:val="131413"/>
        </w:rPr>
        <w:t>C. roseus</w:t>
      </w:r>
      <w:r>
        <w:rPr>
          <w:rFonts w:ascii="Times New Roman" w:cs="Times New Roman" w:eastAsia="Times New Roman" w:hAnsi="Times New Roman"/>
          <w:sz w:val="20"/>
          <w:szCs w:val="20"/>
          <w:color w:val="131413"/>
        </w:rPr>
        <w:t xml:space="preserve"> leaf extract led to a</w:t>
      </w:r>
    </w:p>
    <w:p>
      <w:pPr>
        <w:spacing w:after="0" w:line="27"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0"/>
          <w:szCs w:val="20"/>
          <w:color w:val="131413"/>
        </w:rPr>
        <w:t>decrease in the levels of these cytokines. In our study, plant extract provided a decrease in the mRNA levels of the inflam-matory agent Il-6, consistent with the observed drop in blood serum levels mentioned in the study above.</w:t>
      </w:r>
    </w:p>
    <w:p>
      <w:pPr>
        <w:spacing w:after="0" w:line="19" w:lineRule="exact"/>
        <w:rPr>
          <w:sz w:val="20"/>
          <w:szCs w:val="20"/>
          <w:color w:val="auto"/>
        </w:rPr>
      </w:pPr>
    </w:p>
    <w:p>
      <w:pPr>
        <w:jc w:val="both"/>
        <w:ind w:firstLine="227"/>
        <w:spacing w:after="0" w:line="273" w:lineRule="auto"/>
        <w:rPr>
          <w:rFonts w:ascii="Times New Roman" w:cs="Times New Roman" w:eastAsia="Times New Roman" w:hAnsi="Times New Roman"/>
          <w:sz w:val="19"/>
          <w:szCs w:val="19"/>
          <w:color w:val="131413"/>
        </w:rPr>
      </w:pPr>
      <w:r>
        <w:rPr>
          <w:rFonts w:ascii="Times New Roman" w:cs="Times New Roman" w:eastAsia="Times New Roman" w:hAnsi="Times New Roman"/>
          <w:sz w:val="19"/>
          <w:szCs w:val="19"/>
          <w:color w:val="131413"/>
        </w:rPr>
        <w:t xml:space="preserve">An increase in inflammatory macrophages, fibrosis, many E C M c o m p o n e n t s i n c l u d i n g C o l l a g e n V I a n d thrombospondin has been reported to be the characteristics of adipose tissues obtained from obese, insulin resistant ro-dents and humans (Spencer et al. </w:t>
      </w:r>
      <w:hyperlink w:anchor="page9">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In an experiment conducted by Spencer et al. (</w:t>
      </w:r>
      <w:hyperlink w:anchor="page9">
        <w:r>
          <w:rPr>
            <w:rFonts w:ascii="Times New Roman" w:cs="Times New Roman" w:eastAsia="Times New Roman" w:hAnsi="Times New Roman"/>
            <w:sz w:val="19"/>
            <w:szCs w:val="19"/>
            <w:color w:val="0000FF"/>
          </w:rPr>
          <w:t>2011</w:t>
        </w:r>
      </w:hyperlink>
      <w:r>
        <w:rPr>
          <w:rFonts w:ascii="Times New Roman" w:cs="Times New Roman" w:eastAsia="Times New Roman" w:hAnsi="Times New Roman"/>
          <w:sz w:val="19"/>
          <w:szCs w:val="19"/>
          <w:color w:val="131413"/>
        </w:rPr>
        <w:t xml:space="preserve">), it was found that there was a significant increase in both mRNA and protein levels of Collagen V in fat tissue of obese individuals compared to lean individuals. In our study, </w:t>
      </w:r>
      <w:r>
        <w:rPr>
          <w:rFonts w:ascii="Arial" w:cs="Arial" w:eastAsia="Arial" w:hAnsi="Arial"/>
          <w:sz w:val="19"/>
          <w:szCs w:val="19"/>
          <w:color w:val="131413"/>
        </w:rPr>
        <w:t>C. roseus</w:t>
      </w:r>
      <w:r>
        <w:rPr>
          <w:rFonts w:ascii="Times New Roman" w:cs="Times New Roman" w:eastAsia="Times New Roman" w:hAnsi="Times New Roman"/>
          <w:sz w:val="19"/>
          <w:szCs w:val="19"/>
          <w:color w:val="131413"/>
        </w:rPr>
        <w:t xml:space="preserve"> plant rearranged ECM components and reduced Collagen V mRNA expression in 3T3-L1 cells that have been dysregulated due to obesity.</w:t>
      </w: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Arial" w:cs="Arial" w:eastAsia="Arial" w:hAnsi="Arial"/>
          <w:sz w:val="24"/>
          <w:szCs w:val="24"/>
          <w:color w:val="131413"/>
        </w:rPr>
        <w:t>Conclusion</w:t>
      </w:r>
    </w:p>
    <w:p>
      <w:pPr>
        <w:spacing w:after="0" w:line="265"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9"/>
          <w:szCs w:val="19"/>
          <w:color w:val="131413"/>
        </w:rPr>
        <w:t>This study focused on molecular changes in gene regulation at the transcriptional level in order to reveal the underlying mechanisms of the results obtained in studies in the literature,</w:t>
      </w:r>
    </w:p>
    <w:p>
      <w:pPr>
        <w:spacing w:after="0" w:line="4"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131413"/>
        </w:rPr>
        <w:t xml:space="preserve">which were rather in vivo studies in which the effects of </w:t>
      </w:r>
      <w:r>
        <w:rPr>
          <w:rFonts w:ascii="Arial" w:cs="Arial" w:eastAsia="Arial" w:hAnsi="Arial"/>
          <w:sz w:val="20"/>
          <w:szCs w:val="20"/>
          <w:color w:val="131413"/>
        </w:rPr>
        <w:t xml:space="preserve">C. roseus </w:t>
      </w:r>
      <w:r>
        <w:rPr>
          <w:rFonts w:ascii="Times New Roman" w:cs="Times New Roman" w:eastAsia="Times New Roman" w:hAnsi="Times New Roman"/>
          <w:sz w:val="20"/>
          <w:szCs w:val="20"/>
          <w:color w:val="131413"/>
        </w:rPr>
        <w:t>plant extracts were studied. Although we observed</w:t>
      </w:r>
    </w:p>
    <w:p>
      <w:pPr>
        <w:spacing w:after="0" w:line="28"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9"/>
          <w:szCs w:val="19"/>
          <w:color w:val="131413"/>
        </w:rPr>
        <w:t>that the results obtained by in vivo studies are mostly in pos-itive correlation with the results we received at the transcrip-tional level, there is a need for more detailed studies to under-stand the molecular mechanisms underlying these changes. In this sense, we believe that our study is important at the</w:t>
      </w:r>
    </w:p>
    <w:p>
      <w:pPr>
        <w:sectPr>
          <w:pgSz w:w="11900" w:h="15817" w:orient="portrait"/>
          <w:cols w:equalWidth="0" w:num="2">
            <w:col w:w="4760" w:space="340"/>
            <w:col w:w="4760"/>
          </w:cols>
          <w:pgMar w:left="1020" w:top="649" w:right="1026" w:bottom="904" w:gutter="0" w:footer="0" w:header="0"/>
          <w:type w:val="continuous"/>
        </w:sectPr>
      </w:pPr>
    </w:p>
    <w:bookmarkStart w:id="8" w:name="page9"/>
    <w:bookmarkEnd w:id="8"/>
    <w:p>
      <w:pPr>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41275</wp:posOffset>
                </wp:positionV>
                <wp:extent cx="0" cy="26035"/>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25pt" to="0pt,5.3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54610</wp:posOffset>
                </wp:positionV>
                <wp:extent cx="627634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3pt" to="493.75pt,4.3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41275</wp:posOffset>
                </wp:positionV>
                <wp:extent cx="0" cy="26035"/>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25pt" to="493.25pt,5.3pt" o:allowincell="f" strokecolor="#131413" strokeweight="1pt"/>
            </w:pict>
          </mc:Fallback>
        </mc:AlternateContent>
      </w:r>
    </w:p>
    <w:p>
      <w:pPr>
        <w:sectPr>
          <w:pgSz w:w="11900" w:h="15817" w:orient="portrait"/>
          <w:cols w:equalWidth="0" w:num="1">
            <w:col w:w="9860"/>
          </w:cols>
          <w:pgMar w:left="1020" w:top="649" w:right="1026" w:bottom="925" w:gutter="0" w:footer="0" w:header="0"/>
        </w:sectPr>
      </w:pPr>
    </w:p>
    <w:p>
      <w:pPr>
        <w:spacing w:after="0" w:line="342"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131413"/>
        </w:rPr>
        <w:t>molecular level and also constitutes a basis for conducting more detailed studies.</w:t>
      </w:r>
    </w:p>
    <w:p>
      <w:pPr>
        <w:spacing w:after="0" w:line="264" w:lineRule="exact"/>
        <w:rPr>
          <w:sz w:val="20"/>
          <w:szCs w:val="20"/>
          <w:color w:val="auto"/>
        </w:rPr>
      </w:pPr>
    </w:p>
    <w:p>
      <w:pPr>
        <w:jc w:val="both"/>
        <w:spacing w:after="0" w:line="241" w:lineRule="auto"/>
        <w:rPr>
          <w:sz w:val="20"/>
          <w:szCs w:val="20"/>
          <w:color w:val="auto"/>
        </w:rPr>
      </w:pPr>
      <w:r>
        <w:rPr>
          <w:rFonts w:ascii="Arial" w:cs="Arial" w:eastAsia="Arial" w:hAnsi="Arial"/>
          <w:sz w:val="17"/>
          <w:szCs w:val="17"/>
          <w:color w:val="131413"/>
        </w:rPr>
        <w:t xml:space="preserve">Acknowledgments </w:t>
      </w:r>
      <w:r>
        <w:rPr>
          <w:rFonts w:ascii="Times New Roman" w:cs="Times New Roman" w:eastAsia="Times New Roman" w:hAnsi="Times New Roman"/>
          <w:sz w:val="17"/>
          <w:szCs w:val="17"/>
          <w:color w:val="131413"/>
        </w:rPr>
        <w:t>This work was supported by a Scientific Research</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Project (BAP) Grant (19/084/05/1/2) from the Mu</w:t>
      </w:r>
      <w:r>
        <w:rPr>
          <w:rFonts w:ascii="Times New Roman" w:cs="Times New Roman" w:eastAsia="Times New Roman" w:hAnsi="Times New Roman"/>
          <w:sz w:val="17"/>
          <w:szCs w:val="17"/>
          <w:color w:val="131413"/>
        </w:rPr>
        <w:t>ğ</w:t>
      </w:r>
      <w:r>
        <w:rPr>
          <w:rFonts w:ascii="Times New Roman" w:cs="Times New Roman" w:eastAsia="Times New Roman" w:hAnsi="Times New Roman"/>
          <w:sz w:val="17"/>
          <w:szCs w:val="17"/>
          <w:color w:val="131413"/>
        </w:rPr>
        <w:t>la S</w:t>
      </w:r>
      <w:r>
        <w:rPr>
          <w:rFonts w:ascii="Times New Roman" w:cs="Times New Roman" w:eastAsia="Times New Roman" w:hAnsi="Times New Roman"/>
          <w:sz w:val="17"/>
          <w:szCs w:val="17"/>
          <w:color w:val="131413"/>
        </w:rPr>
        <w:t>ı</w:t>
      </w:r>
      <w:r>
        <w:rPr>
          <w:rFonts w:ascii="Times New Roman" w:cs="Times New Roman" w:eastAsia="Times New Roman" w:hAnsi="Times New Roman"/>
          <w:sz w:val="17"/>
          <w:szCs w:val="17"/>
          <w:color w:val="131413"/>
        </w:rPr>
        <w:t>tk</w:t>
      </w:r>
      <w:r>
        <w:rPr>
          <w:rFonts w:ascii="Times New Roman" w:cs="Times New Roman" w:eastAsia="Times New Roman" w:hAnsi="Times New Roman"/>
          <w:sz w:val="17"/>
          <w:szCs w:val="17"/>
          <w:color w:val="131413"/>
        </w:rPr>
        <w:t>ı</w:t>
      </w:r>
      <w:r>
        <w:rPr>
          <w:rFonts w:ascii="Times New Roman" w:cs="Times New Roman" w:eastAsia="Times New Roman" w:hAnsi="Times New Roman"/>
          <w:sz w:val="17"/>
          <w:szCs w:val="17"/>
          <w:color w:val="131413"/>
        </w:rPr>
        <w:t xml:space="preserve"> Koçman University to Dr. Filiz ALTAN. We also would like to thank Dr. Mehmet VAROL for his expertise and assistance in language and tech-nical editing.</w:t>
      </w:r>
    </w:p>
    <w:p>
      <w:pPr>
        <w:spacing w:after="0" w:line="263" w:lineRule="exact"/>
        <w:rPr>
          <w:sz w:val="20"/>
          <w:szCs w:val="20"/>
          <w:color w:val="auto"/>
        </w:rPr>
      </w:pPr>
    </w:p>
    <w:p>
      <w:pPr>
        <w:spacing w:after="0"/>
        <w:rPr>
          <w:sz w:val="20"/>
          <w:szCs w:val="20"/>
          <w:color w:val="auto"/>
        </w:rPr>
      </w:pPr>
      <w:r>
        <w:rPr>
          <w:rFonts w:ascii="Arial" w:cs="Arial" w:eastAsia="Arial" w:hAnsi="Arial"/>
          <w:sz w:val="22"/>
          <w:szCs w:val="22"/>
          <w:color w:val="131413"/>
        </w:rPr>
        <w:t>Compliance with ethical standards</w:t>
      </w:r>
    </w:p>
    <w:p>
      <w:pPr>
        <w:spacing w:after="0" w:line="244" w:lineRule="exact"/>
        <w:rPr>
          <w:sz w:val="20"/>
          <w:szCs w:val="20"/>
          <w:color w:val="auto"/>
        </w:rPr>
      </w:pPr>
    </w:p>
    <w:p>
      <w:pPr>
        <w:jc w:val="both"/>
        <w:spacing w:after="0" w:line="235" w:lineRule="auto"/>
        <w:rPr>
          <w:sz w:val="20"/>
          <w:szCs w:val="20"/>
          <w:color w:val="auto"/>
        </w:rPr>
      </w:pPr>
      <w:r>
        <w:rPr>
          <w:rFonts w:ascii="Arial" w:cs="Arial" w:eastAsia="Arial" w:hAnsi="Arial"/>
          <w:sz w:val="17"/>
          <w:szCs w:val="17"/>
          <w:color w:val="131413"/>
        </w:rPr>
        <w:t xml:space="preserve">Competing interests </w:t>
      </w:r>
      <w:r>
        <w:rPr>
          <w:rFonts w:ascii="Times New Roman" w:cs="Times New Roman" w:eastAsia="Times New Roman" w:hAnsi="Times New Roman"/>
          <w:sz w:val="17"/>
          <w:szCs w:val="17"/>
          <w:color w:val="131413"/>
        </w:rPr>
        <w:t>The authors declare that they have no competing</w:t>
      </w:r>
      <w:r>
        <w:rPr>
          <w:rFonts w:ascii="Arial" w:cs="Arial" w:eastAsia="Arial" w:hAnsi="Arial"/>
          <w:sz w:val="17"/>
          <w:szCs w:val="17"/>
          <w:color w:val="131413"/>
        </w:rPr>
        <w:t xml:space="preserve"> </w:t>
      </w:r>
      <w:r>
        <w:rPr>
          <w:rFonts w:ascii="Times New Roman" w:cs="Times New Roman" w:eastAsia="Times New Roman" w:hAnsi="Times New Roman"/>
          <w:sz w:val="17"/>
          <w:szCs w:val="17"/>
          <w:color w:val="131413"/>
        </w:rPr>
        <w:t>interest.</w:t>
      </w: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24"/>
          <w:szCs w:val="24"/>
          <w:color w:val="131413"/>
        </w:rPr>
        <w:t>References</w:t>
      </w:r>
    </w:p>
    <w:p>
      <w:pPr>
        <w:spacing w:after="0" w:line="243"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Abarca-Gómez L, Abdeen ZA, Hamid ZA, Abu-Rmeileh NM, Acosta-Cazares B, Acuin C, Adams RJ, Aekplakorn W, Afsana K, Aguilar-Salinas CA (2017) Worldwide trends in body-mass index, under-weight, overweight, and obesity from 1975 to 2016: a pooled anal-ysis of 2416 population-based measurement studies in 128· 9 mil-lion children, adolescents, and adults. Lancet 390(10113):2627</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 2642. </w:t>
      </w:r>
      <w:hyperlink r:id="rId25">
        <w:r>
          <w:rPr>
            <w:rFonts w:ascii="Times New Roman" w:cs="Times New Roman" w:eastAsia="Times New Roman" w:hAnsi="Times New Roman"/>
            <w:sz w:val="16"/>
            <w:szCs w:val="16"/>
            <w:color w:val="0000FF"/>
          </w:rPr>
          <w:t>https://doi.org/10.1016/S0140-6736(17)32129-3</w:t>
        </w:r>
      </w:hyperlink>
    </w:p>
    <w:p>
      <w:pPr>
        <w:spacing w:after="0" w:line="13"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Almagro L, Fernández-Pérez F, Pedreño MA (2015) Indole alkaloids from Catharanthus roseus: bioproduction and their effect on human health. Molecules 20(2):2973</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3000. </w:t>
      </w:r>
      <w:hyperlink r:id="rId26">
        <w:r>
          <w:rPr>
            <w:rFonts w:ascii="Times New Roman" w:cs="Times New Roman" w:eastAsia="Times New Roman" w:hAnsi="Times New Roman"/>
            <w:sz w:val="17"/>
            <w:szCs w:val="17"/>
            <w:color w:val="0000FF"/>
          </w:rPr>
          <w:t>https://doi.org/10.3390/</w:t>
        </w:r>
      </w:hyperlink>
      <w:r>
        <w:rPr>
          <w:rFonts w:ascii="Times New Roman" w:cs="Times New Roman" w:eastAsia="Times New Roman" w:hAnsi="Times New Roman"/>
          <w:sz w:val="17"/>
          <w:szCs w:val="17"/>
          <w:color w:val="131413"/>
        </w:rPr>
        <w:t xml:space="preserve"> </w:t>
      </w:r>
      <w:hyperlink r:id="rId26">
        <w:r>
          <w:rPr>
            <w:rFonts w:ascii="Times New Roman" w:cs="Times New Roman" w:eastAsia="Times New Roman" w:hAnsi="Times New Roman"/>
            <w:sz w:val="17"/>
            <w:szCs w:val="17"/>
            <w:color w:val="0000FF"/>
          </w:rPr>
          <w:t>molecules20022973</w:t>
        </w:r>
      </w:hyperlink>
    </w:p>
    <w:p>
      <w:pPr>
        <w:spacing w:after="0" w:line="28"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Al-Shaqha WM, Khan M, Salam N, Azzi A, Chaudhary AA (2015) Anti-diabetic potential of Catharanthus roseus Linn. And its effect on the glucose transport gene (GLUT-2 and GLUT-4) in streptozotocin induced diabetic wistar rats. BMC Complement Altern Med 15(1): 1</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8. </w:t>
      </w:r>
      <w:hyperlink r:id="rId27">
        <w:r>
          <w:rPr>
            <w:rFonts w:ascii="Times New Roman" w:cs="Times New Roman" w:eastAsia="Times New Roman" w:hAnsi="Times New Roman"/>
            <w:sz w:val="16"/>
            <w:szCs w:val="16"/>
            <w:color w:val="0000FF"/>
          </w:rPr>
          <w:t>https://doi.org/10.1186/s12906-015-0899-6</w:t>
        </w:r>
      </w:hyperlink>
    </w:p>
    <w:p>
      <w:pPr>
        <w:spacing w:after="0" w:line="13" w:lineRule="exact"/>
        <w:rPr>
          <w:sz w:val="20"/>
          <w:szCs w:val="20"/>
          <w:color w:val="auto"/>
        </w:rPr>
      </w:pPr>
    </w:p>
    <w:p>
      <w:pPr>
        <w:jc w:val="both"/>
        <w:ind w:left="340" w:hanging="338"/>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Altan F, Duru ME (2017) Catharantus roseus L.</w:t>
      </w:r>
      <w:r>
        <w:rPr>
          <w:rFonts w:ascii="Arial" w:cs="Arial" w:eastAsia="Arial" w:hAnsi="Arial"/>
          <w:sz w:val="17"/>
          <w:szCs w:val="17"/>
          <w:color w:val="131413"/>
        </w:rPr>
        <w:t>’</w:t>
      </w:r>
      <w:r>
        <w:rPr>
          <w:rFonts w:ascii="Times New Roman" w:cs="Times New Roman" w:eastAsia="Times New Roman" w:hAnsi="Times New Roman"/>
          <w:sz w:val="17"/>
          <w:szCs w:val="17"/>
          <w:color w:val="131413"/>
        </w:rPr>
        <w:t>den Elde Edilen Kallus ve Çoklu Sürgünlerde Alkaloidlerin Ara</w:t>
      </w:r>
      <w:r>
        <w:rPr>
          <w:rFonts w:ascii="Times New Roman" w:cs="Times New Roman" w:eastAsia="Times New Roman" w:hAnsi="Times New Roman"/>
          <w:sz w:val="17"/>
          <w:szCs w:val="17"/>
          <w:color w:val="131413"/>
        </w:rPr>
        <w:t>ş</w:t>
      </w:r>
      <w:r>
        <w:rPr>
          <w:rFonts w:ascii="Times New Roman" w:cs="Times New Roman" w:eastAsia="Times New Roman" w:hAnsi="Times New Roman"/>
          <w:sz w:val="17"/>
          <w:szCs w:val="17"/>
          <w:color w:val="131413"/>
        </w:rPr>
        <w:t>t</w:t>
      </w:r>
      <w:r>
        <w:rPr>
          <w:rFonts w:ascii="Times New Roman" w:cs="Times New Roman" w:eastAsia="Times New Roman" w:hAnsi="Times New Roman"/>
          <w:sz w:val="17"/>
          <w:szCs w:val="17"/>
          <w:color w:val="131413"/>
        </w:rPr>
        <w:t>ı</w:t>
      </w:r>
      <w:r>
        <w:rPr>
          <w:rFonts w:ascii="Times New Roman" w:cs="Times New Roman" w:eastAsia="Times New Roman" w:hAnsi="Times New Roman"/>
          <w:sz w:val="17"/>
          <w:szCs w:val="17"/>
          <w:color w:val="131413"/>
        </w:rPr>
        <w:t>r</w:t>
      </w:r>
      <w:r>
        <w:rPr>
          <w:rFonts w:ascii="Times New Roman" w:cs="Times New Roman" w:eastAsia="Times New Roman" w:hAnsi="Times New Roman"/>
          <w:sz w:val="17"/>
          <w:szCs w:val="17"/>
          <w:color w:val="131413"/>
        </w:rPr>
        <w:t>ı</w:t>
      </w:r>
      <w:r>
        <w:rPr>
          <w:rFonts w:ascii="Times New Roman" w:cs="Times New Roman" w:eastAsia="Times New Roman" w:hAnsi="Times New Roman"/>
          <w:sz w:val="17"/>
          <w:szCs w:val="17"/>
          <w:color w:val="131413"/>
        </w:rPr>
        <w:t>lmas</w:t>
      </w:r>
      <w:r>
        <w:rPr>
          <w:rFonts w:ascii="Times New Roman" w:cs="Times New Roman" w:eastAsia="Times New Roman" w:hAnsi="Times New Roman"/>
          <w:sz w:val="17"/>
          <w:szCs w:val="17"/>
          <w:color w:val="131413"/>
        </w:rPr>
        <w:t>ı</w:t>
      </w:r>
      <w:r>
        <w:rPr>
          <w:rFonts w:ascii="Times New Roman" w:cs="Times New Roman" w:eastAsia="Times New Roman" w:hAnsi="Times New Roman"/>
          <w:sz w:val="17"/>
          <w:szCs w:val="17"/>
          <w:color w:val="131413"/>
        </w:rPr>
        <w:t>. Yüzüncü Y</w:t>
      </w:r>
      <w:r>
        <w:rPr>
          <w:rFonts w:ascii="Times New Roman" w:cs="Times New Roman" w:eastAsia="Times New Roman" w:hAnsi="Times New Roman"/>
          <w:sz w:val="17"/>
          <w:szCs w:val="17"/>
          <w:color w:val="131413"/>
        </w:rPr>
        <w:t>ı</w:t>
      </w:r>
      <w:r>
        <w:rPr>
          <w:rFonts w:ascii="Times New Roman" w:cs="Times New Roman" w:eastAsia="Times New Roman" w:hAnsi="Times New Roman"/>
          <w:sz w:val="17"/>
          <w:szCs w:val="17"/>
          <w:color w:val="131413"/>
        </w:rPr>
        <w:t>l Üniversitesi Tar</w:t>
      </w:r>
      <w:r>
        <w:rPr>
          <w:rFonts w:ascii="Times New Roman" w:cs="Times New Roman" w:eastAsia="Times New Roman" w:hAnsi="Times New Roman"/>
          <w:sz w:val="17"/>
          <w:szCs w:val="17"/>
          <w:color w:val="131413"/>
        </w:rPr>
        <w:t>ı</w:t>
      </w:r>
      <w:r>
        <w:rPr>
          <w:rFonts w:ascii="Times New Roman" w:cs="Times New Roman" w:eastAsia="Times New Roman" w:hAnsi="Times New Roman"/>
          <w:sz w:val="17"/>
          <w:szCs w:val="17"/>
          <w:color w:val="131413"/>
        </w:rPr>
        <w:t>m Bilimleri Dergisi 27(3):337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346. </w:t>
      </w:r>
      <w:hyperlink r:id="rId28">
        <w:r>
          <w:rPr>
            <w:rFonts w:ascii="Times New Roman" w:cs="Times New Roman" w:eastAsia="Times New Roman" w:hAnsi="Times New Roman"/>
            <w:sz w:val="17"/>
            <w:szCs w:val="17"/>
            <w:color w:val="0000FF"/>
          </w:rPr>
          <w:t>https://doi.</w:t>
        </w:r>
      </w:hyperlink>
      <w:r>
        <w:rPr>
          <w:rFonts w:ascii="Times New Roman" w:cs="Times New Roman" w:eastAsia="Times New Roman" w:hAnsi="Times New Roman"/>
          <w:sz w:val="17"/>
          <w:szCs w:val="17"/>
          <w:color w:val="131413"/>
        </w:rPr>
        <w:t xml:space="preserve"> </w:t>
      </w:r>
      <w:hyperlink r:id="rId28">
        <w:r>
          <w:rPr>
            <w:rFonts w:ascii="Times New Roman" w:cs="Times New Roman" w:eastAsia="Times New Roman" w:hAnsi="Times New Roman"/>
            <w:sz w:val="17"/>
            <w:szCs w:val="17"/>
            <w:color w:val="0000FF"/>
          </w:rPr>
          <w:t>org/10.29133/yyutbd.290146</w:t>
        </w:r>
      </w:hyperlink>
    </w:p>
    <w:p>
      <w:pPr>
        <w:spacing w:after="0" w:line="31" w:lineRule="exact"/>
        <w:rPr>
          <w:sz w:val="20"/>
          <w:szCs w:val="20"/>
          <w:color w:val="auto"/>
        </w:rPr>
      </w:pPr>
    </w:p>
    <w:p>
      <w:pPr>
        <w:jc w:val="both"/>
        <w:ind w:left="340" w:hanging="338"/>
        <w:spacing w:after="0" w:line="277" w:lineRule="auto"/>
        <w:rPr>
          <w:sz w:val="20"/>
          <w:szCs w:val="20"/>
          <w:color w:val="auto"/>
        </w:rPr>
      </w:pPr>
      <w:r>
        <w:rPr>
          <w:rFonts w:ascii="Times New Roman" w:cs="Times New Roman" w:eastAsia="Times New Roman" w:hAnsi="Times New Roman"/>
          <w:sz w:val="15"/>
          <w:szCs w:val="15"/>
          <w:color w:val="131413"/>
        </w:rPr>
        <w:t xml:space="preserve">Ara N, Rashid M, Amran S (2009) Comparison of hypotensive and hy-polipidemic effects of </w:t>
      </w:r>
      <w:r>
        <w:rPr>
          <w:rFonts w:ascii="Arial" w:cs="Arial" w:eastAsia="Arial" w:hAnsi="Arial"/>
          <w:sz w:val="15"/>
          <w:szCs w:val="15"/>
          <w:color w:val="131413"/>
        </w:rPr>
        <w:t>Catharanthus roseus</w:t>
      </w:r>
      <w:r>
        <w:rPr>
          <w:rFonts w:ascii="Times New Roman" w:cs="Times New Roman" w:eastAsia="Times New Roman" w:hAnsi="Times New Roman"/>
          <w:sz w:val="15"/>
          <w:szCs w:val="15"/>
          <w:color w:val="131413"/>
        </w:rPr>
        <w:t xml:space="preserve"> leaves extract with aten-</w:t>
      </w:r>
    </w:p>
    <w:p>
      <w:pPr>
        <w:spacing w:after="0" w:line="1" w:lineRule="exact"/>
        <w:rPr>
          <w:sz w:val="20"/>
          <w:szCs w:val="20"/>
          <w:color w:val="auto"/>
        </w:rPr>
      </w:pPr>
    </w:p>
    <w:p>
      <w:pPr>
        <w:ind w:left="340"/>
        <w:spacing w:after="0" w:line="235"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olol on adrenaline induced hypertensive rats. Pak J Pharm Sci 22(3). </w:t>
      </w:r>
      <w:hyperlink r:id="rId29">
        <w:r>
          <w:rPr>
            <w:rFonts w:ascii="Times New Roman" w:cs="Times New Roman" w:eastAsia="Times New Roman" w:hAnsi="Times New Roman"/>
            <w:sz w:val="17"/>
            <w:szCs w:val="17"/>
            <w:color w:val="0000FF"/>
          </w:rPr>
          <w:t>https://doi.org/10.3923/jbs.2008.1082.1086</w:t>
        </w:r>
      </w:hyperlink>
    </w:p>
    <w:p>
      <w:pPr>
        <w:spacing w:after="0" w:line="28"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Barrales-Cureño HJ, Reyes CR, García IV, Valdez LGL, De Jesús AG, Ruíz JAC, Herrera LMS, Caballero MCC, Magallón JAS, Perez JE (2019) Alkaloids of pharmacological importance in Catharanthus roseus. Alkaloids-their importance in nature and human life. IntechOpen. </w:t>
      </w:r>
      <w:hyperlink r:id="rId30">
        <w:r>
          <w:rPr>
            <w:rFonts w:ascii="Times New Roman" w:cs="Times New Roman" w:eastAsia="Times New Roman" w:hAnsi="Times New Roman"/>
            <w:sz w:val="16"/>
            <w:szCs w:val="16"/>
            <w:color w:val="0000FF"/>
          </w:rPr>
          <w:t>https://doi.org/10.5772/intechopen.82006</w:t>
        </w:r>
      </w:hyperlink>
    </w:p>
    <w:p>
      <w:pPr>
        <w:spacing w:after="0" w:line="14"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Borah AK, Singh A, Yasmin R, Doley R, Mattaparthi VSK, Saha S (2019) 1</w:t>
      </w:r>
      <w:r>
        <w:rPr>
          <w:rFonts w:ascii="Arial" w:cs="Arial" w:eastAsia="Arial" w:hAnsi="Arial"/>
          <w:sz w:val="16"/>
          <w:szCs w:val="16"/>
          <w:color w:val="131413"/>
        </w:rPr>
        <w:t>α</w:t>
      </w:r>
      <w:r>
        <w:rPr>
          <w:rFonts w:ascii="Times New Roman" w:cs="Times New Roman" w:eastAsia="Times New Roman" w:hAnsi="Times New Roman"/>
          <w:sz w:val="16"/>
          <w:szCs w:val="16"/>
          <w:color w:val="131413"/>
        </w:rPr>
        <w:t xml:space="preserve">, 25-dihydroxy vitamin D3 containing fractions of Catharanthus roseus leaf aqueous extract inhibit preadipocyte differ-entiation and induce lipolysis in 3T3-L1 cells. BMC Complement Altern Med 19(1):338. </w:t>
      </w:r>
      <w:hyperlink r:id="rId31">
        <w:r>
          <w:rPr>
            <w:rFonts w:ascii="Times New Roman" w:cs="Times New Roman" w:eastAsia="Times New Roman" w:hAnsi="Times New Roman"/>
            <w:sz w:val="16"/>
            <w:szCs w:val="16"/>
            <w:color w:val="0000FF"/>
          </w:rPr>
          <w:t>https://doi.org/10.1186/s12906-019-2754-7</w:t>
        </w:r>
      </w:hyperlink>
    </w:p>
    <w:p>
      <w:pPr>
        <w:spacing w:after="0" w:line="14" w:lineRule="exact"/>
        <w:rPr>
          <w:sz w:val="20"/>
          <w:szCs w:val="20"/>
          <w:color w:val="auto"/>
        </w:rPr>
      </w:pPr>
    </w:p>
    <w:p>
      <w:pPr>
        <w:jc w:val="both"/>
        <w:ind w:left="340" w:hanging="338"/>
        <w:spacing w:after="0" w:line="259"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Bray GA, Heisel WE, Afshin A, Jensen MD, Dietz WH, Long M, Kushner RF, Daniels SR, Wadden TA, Tsai AG (2018) The science of obesity management: an endocrine society scientific statement. Endocr Rev 39(2):79</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132. </w:t>
      </w:r>
      <w:hyperlink r:id="rId32">
        <w:r>
          <w:rPr>
            <w:rFonts w:ascii="Times New Roman" w:cs="Times New Roman" w:eastAsia="Times New Roman" w:hAnsi="Times New Roman"/>
            <w:sz w:val="16"/>
            <w:szCs w:val="16"/>
            <w:color w:val="0000FF"/>
          </w:rPr>
          <w:t>https://doi.org/10.1210/er.2017-00253</w:t>
        </w:r>
      </w:hyperlink>
    </w:p>
    <w:p>
      <w:pPr>
        <w:spacing w:after="0" w:line="16" w:lineRule="exact"/>
        <w:rPr>
          <w:sz w:val="20"/>
          <w:szCs w:val="20"/>
          <w:color w:val="auto"/>
        </w:rPr>
      </w:pPr>
    </w:p>
    <w:p>
      <w:pPr>
        <w:jc w:val="both"/>
        <w:ind w:left="340"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Cox AJ, West NP, Cripps AW (2015) Obesity, inflammation, and the gut microbiota. The Lancet Diabetes Endocrinol 3(3):207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215. </w:t>
      </w:r>
      <w:hyperlink r:id="rId33">
        <w:r>
          <w:rPr>
            <w:rFonts w:ascii="Times New Roman" w:cs="Times New Roman" w:eastAsia="Times New Roman" w:hAnsi="Times New Roman"/>
            <w:sz w:val="17"/>
            <w:szCs w:val="17"/>
            <w:color w:val="0000FF"/>
          </w:rPr>
          <w:t>https://</w:t>
        </w:r>
      </w:hyperlink>
      <w:r>
        <w:rPr>
          <w:rFonts w:ascii="Times New Roman" w:cs="Times New Roman" w:eastAsia="Times New Roman" w:hAnsi="Times New Roman"/>
          <w:sz w:val="17"/>
          <w:szCs w:val="17"/>
          <w:color w:val="131413"/>
        </w:rPr>
        <w:t xml:space="preserve"> </w:t>
      </w:r>
      <w:hyperlink r:id="rId33">
        <w:r>
          <w:rPr>
            <w:rFonts w:ascii="Times New Roman" w:cs="Times New Roman" w:eastAsia="Times New Roman" w:hAnsi="Times New Roman"/>
            <w:sz w:val="17"/>
            <w:szCs w:val="17"/>
            <w:color w:val="0000FF"/>
          </w:rPr>
          <w:t>doi.org/10.1016/S2213-8587(14)70134-2</w:t>
        </w:r>
      </w:hyperlink>
    </w:p>
    <w:p>
      <w:pPr>
        <w:spacing w:after="0" w:line="28"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Engin A (2017) The definition and prevalence of obesity and metabolic syndrome. In: Engin AB, Engin A (eds) Obesity and Lipotoxicity, Springer, pp 1</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17. </w:t>
      </w:r>
      <w:hyperlink r:id="rId34">
        <w:r>
          <w:rPr>
            <w:rFonts w:ascii="Times New Roman" w:cs="Times New Roman" w:eastAsia="Times New Roman" w:hAnsi="Times New Roman"/>
            <w:sz w:val="16"/>
            <w:szCs w:val="16"/>
            <w:color w:val="0000FF"/>
          </w:rPr>
          <w:t>https://doi.org/10.1007/978-3-319-48382-5_1</w:t>
        </w:r>
      </w:hyperlink>
    </w:p>
    <w:p>
      <w:pPr>
        <w:spacing w:after="0" w:line="12" w:lineRule="exact"/>
        <w:rPr>
          <w:sz w:val="20"/>
          <w:szCs w:val="20"/>
          <w:color w:val="auto"/>
        </w:rPr>
      </w:pPr>
    </w:p>
    <w:p>
      <w:pPr>
        <w:jc w:val="both"/>
        <w:ind w:left="340" w:hanging="338"/>
        <w:spacing w:after="0" w:line="259" w:lineRule="auto"/>
        <w:rPr>
          <w:sz w:val="20"/>
          <w:szCs w:val="20"/>
          <w:color w:val="auto"/>
        </w:rPr>
      </w:pPr>
      <w:r>
        <w:rPr>
          <w:rFonts w:ascii="Times New Roman" w:cs="Times New Roman" w:eastAsia="Times New Roman" w:hAnsi="Times New Roman"/>
          <w:sz w:val="16"/>
          <w:szCs w:val="16"/>
          <w:color w:val="131413"/>
        </w:rPr>
        <w:t>Espejel-Nava JA, Vega-Avila E, Alarcon-Aguilar F, Contreras-Ramos A, Diaz-Rosas G, Trejo-Aguilar G, Ortega-Camarillo C (2018) A</w:t>
      </w:r>
    </w:p>
    <w:p>
      <w:pPr>
        <w:spacing w:after="0" w:line="20" w:lineRule="exact"/>
        <w:rPr>
          <w:sz w:val="20"/>
          <w:szCs w:val="20"/>
          <w:color w:val="auto"/>
        </w:rPr>
      </w:pPr>
      <w:r>
        <w:rPr>
          <w:sz w:val="20"/>
          <w:szCs w:val="20"/>
          <w:color w:val="auto"/>
        </w:rPr>
        <w:br w:type="column"/>
      </w:r>
    </w:p>
    <w:p>
      <w:pPr>
        <w:spacing w:after="0" w:line="286" w:lineRule="exact"/>
        <w:rPr>
          <w:sz w:val="20"/>
          <w:szCs w:val="20"/>
          <w:color w:val="auto"/>
        </w:rPr>
      </w:pPr>
    </w:p>
    <w:p>
      <w:pPr>
        <w:jc w:val="both"/>
        <w:spacing w:after="0" w:line="266"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phenolic fraction from </w:t>
      </w:r>
      <w:r>
        <w:rPr>
          <w:rFonts w:ascii="Arial" w:cs="Arial" w:eastAsia="Arial" w:hAnsi="Arial"/>
          <w:sz w:val="16"/>
          <w:szCs w:val="16"/>
          <w:color w:val="131413"/>
        </w:rPr>
        <w:t>Catharanthus roseus</w:t>
      </w:r>
      <w:r>
        <w:rPr>
          <w:rFonts w:ascii="Times New Roman" w:cs="Times New Roman" w:eastAsia="Times New Roman" w:hAnsi="Times New Roman"/>
          <w:sz w:val="16"/>
          <w:szCs w:val="16"/>
          <w:color w:val="131413"/>
        </w:rPr>
        <w:t xml:space="preserve"> L. stems decreases gly-cemia and stimulates insulin secretion. Evid-Based Complement Altern Med 2018. </w:t>
      </w:r>
      <w:hyperlink r:id="rId35">
        <w:r>
          <w:rPr>
            <w:rFonts w:ascii="Times New Roman" w:cs="Times New Roman" w:eastAsia="Times New Roman" w:hAnsi="Times New Roman"/>
            <w:sz w:val="16"/>
            <w:szCs w:val="16"/>
            <w:color w:val="0000FF"/>
          </w:rPr>
          <w:t>https://doi.org/10.1155/2018/7191035</w:t>
        </w:r>
      </w:hyperlink>
    </w:p>
    <w:p>
      <w:pPr>
        <w:spacing w:after="0" w:line="1" w:lineRule="exact"/>
        <w:rPr>
          <w:sz w:val="20"/>
          <w:szCs w:val="20"/>
          <w:color w:val="auto"/>
        </w:rPr>
      </w:pPr>
    </w:p>
    <w:p>
      <w:pPr>
        <w:jc w:val="both"/>
        <w:ind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Fuggetta MP, Zonfrillo M, Villivà C, Bonmassar E, Ravagnan G (2019) Inflammatory microenvironment and adipogenic differentiation in obesity: the inhibitory effect of theobromine in a model of human obesity in vitro. Mediat Inflamm 2019. </w:t>
      </w:r>
      <w:hyperlink r:id="rId36">
        <w:r>
          <w:rPr>
            <w:rFonts w:ascii="Times New Roman" w:cs="Times New Roman" w:eastAsia="Times New Roman" w:hAnsi="Times New Roman"/>
            <w:sz w:val="17"/>
            <w:szCs w:val="17"/>
            <w:color w:val="0000FF"/>
          </w:rPr>
          <w:t>https://doi.org/10.1155/</w:t>
        </w:r>
      </w:hyperlink>
      <w:r>
        <w:rPr>
          <w:rFonts w:ascii="Times New Roman" w:cs="Times New Roman" w:eastAsia="Times New Roman" w:hAnsi="Times New Roman"/>
          <w:sz w:val="17"/>
          <w:szCs w:val="17"/>
          <w:color w:val="131413"/>
        </w:rPr>
        <w:t xml:space="preserve"> </w:t>
      </w:r>
      <w:hyperlink r:id="rId36">
        <w:r>
          <w:rPr>
            <w:rFonts w:ascii="Times New Roman" w:cs="Times New Roman" w:eastAsia="Times New Roman" w:hAnsi="Times New Roman"/>
            <w:sz w:val="17"/>
            <w:szCs w:val="17"/>
            <w:color w:val="0000FF"/>
          </w:rPr>
          <w:t>2019/1515621</w:t>
        </w:r>
      </w:hyperlink>
    </w:p>
    <w:p>
      <w:pPr>
        <w:spacing w:after="0" w:line="17"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Golay A, Ybarra J (2005) Link between obesity and type 2 diabetes. Best Pract Res Clin Endocrinol Metab 19(4):649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663. </w:t>
      </w:r>
      <w:hyperlink r:id="rId37">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37">
        <w:r>
          <w:rPr>
            <w:rFonts w:ascii="Times New Roman" w:cs="Times New Roman" w:eastAsia="Times New Roman" w:hAnsi="Times New Roman"/>
            <w:sz w:val="17"/>
            <w:szCs w:val="17"/>
            <w:color w:val="0000FF"/>
          </w:rPr>
          <w:t>1016/j.beem.2005.07.010</w:t>
        </w:r>
      </w:hyperlink>
    </w:p>
    <w:p>
      <w:pPr>
        <w:spacing w:after="0" w:line="19"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0000FF"/>
        </w:rPr>
      </w:pPr>
      <w:r>
        <w:rPr>
          <w:rFonts w:ascii="Times New Roman" w:cs="Times New Roman" w:eastAsia="Times New Roman" w:hAnsi="Times New Roman"/>
          <w:sz w:val="16"/>
          <w:szCs w:val="16"/>
          <w:color w:val="131413"/>
        </w:rPr>
        <w:t xml:space="preserve">Goossens GH, Bizzarri A, Venteclef N, Essers Y, Cleutjens JP, Konings E, Jocken JW, </w:t>
      </w:r>
      <w:r>
        <w:rPr>
          <w:rFonts w:ascii="Times New Roman" w:cs="Times New Roman" w:eastAsia="Times New Roman" w:hAnsi="Times New Roman"/>
          <w:sz w:val="16"/>
          <w:szCs w:val="16"/>
          <w:color w:val="131413"/>
        </w:rPr>
        <w:t>Č</w:t>
      </w:r>
      <w:r>
        <w:rPr>
          <w:rFonts w:ascii="Times New Roman" w:cs="Times New Roman" w:eastAsia="Times New Roman" w:hAnsi="Times New Roman"/>
          <w:sz w:val="16"/>
          <w:szCs w:val="16"/>
          <w:color w:val="131413"/>
        </w:rPr>
        <w:t>ajlakovi</w:t>
      </w:r>
      <w:r>
        <w:rPr>
          <w:rFonts w:ascii="Times New Roman" w:cs="Times New Roman" w:eastAsia="Times New Roman" w:hAnsi="Times New Roman"/>
          <w:sz w:val="16"/>
          <w:szCs w:val="16"/>
          <w:color w:val="131413"/>
        </w:rPr>
        <w:t>ć</w:t>
      </w:r>
      <w:r>
        <w:rPr>
          <w:rFonts w:ascii="Times New Roman" w:cs="Times New Roman" w:eastAsia="Times New Roman" w:hAnsi="Times New Roman"/>
          <w:sz w:val="16"/>
          <w:szCs w:val="16"/>
          <w:color w:val="131413"/>
        </w:rPr>
        <w:t xml:space="preserve"> M, Ribitsch V, Clément K (2011) Increased adipose tissue oxygen tension in obese compared with lean men is accompanied by insulin resistance, impaired adipose tissue capillarization, and inflammation. Circulation 124(1):67</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76. </w:t>
      </w:r>
      <w:hyperlink r:id="rId38">
        <w:r>
          <w:rPr>
            <w:rFonts w:ascii="Times New Roman" w:cs="Times New Roman" w:eastAsia="Times New Roman" w:hAnsi="Times New Roman"/>
            <w:sz w:val="16"/>
            <w:szCs w:val="16"/>
            <w:color w:val="0000FF"/>
          </w:rPr>
          <w:t>https://doi.org/10.1161/CIRCULATIONAHA.111.027813</w:t>
        </w:r>
      </w:hyperlink>
    </w:p>
    <w:p>
      <w:pPr>
        <w:spacing w:after="0" w:line="3" w:lineRule="exact"/>
        <w:rPr>
          <w:sz w:val="20"/>
          <w:szCs w:val="20"/>
          <w:color w:val="auto"/>
        </w:rPr>
      </w:pPr>
    </w:p>
    <w:p>
      <w:pPr>
        <w:jc w:val="both"/>
        <w:ind w:hanging="338"/>
        <w:spacing w:after="0" w:line="259" w:lineRule="auto"/>
        <w:rPr>
          <w:sz w:val="20"/>
          <w:szCs w:val="20"/>
          <w:color w:val="auto"/>
        </w:rPr>
      </w:pPr>
      <w:r>
        <w:rPr>
          <w:rFonts w:ascii="Times New Roman" w:cs="Times New Roman" w:eastAsia="Times New Roman" w:hAnsi="Times New Roman"/>
          <w:sz w:val="16"/>
          <w:szCs w:val="16"/>
          <w:color w:val="131413"/>
        </w:rPr>
        <w:t>Greco L, Romino R, Coto I, Di Cosmo N, Percopo S, Maglio M, Paparo F, Gasperi V, Limongelli M, Cotichini R (2002) The first large population based twin study of coeliac disease. Gut 50(5):624</w:t>
      </w:r>
      <w:r>
        <w:rPr>
          <w:rFonts w:ascii="Arial" w:cs="Arial" w:eastAsia="Arial" w:hAnsi="Arial"/>
          <w:sz w:val="16"/>
          <w:szCs w:val="16"/>
          <w:color w:val="131413"/>
        </w:rPr>
        <w:t>–</w:t>
      </w:r>
    </w:p>
    <w:p>
      <w:pPr>
        <w:ind w:left="340" w:hanging="338"/>
        <w:spacing w:after="0" w:line="229" w:lineRule="auto"/>
        <w:tabs>
          <w:tab w:leader="none" w:pos="340" w:val="left"/>
        </w:tabs>
        <w:numPr>
          <w:ilvl w:val="0"/>
          <w:numId w:val="7"/>
        </w:numPr>
        <w:rPr>
          <w:rFonts w:ascii="Times New Roman" w:cs="Times New Roman" w:eastAsia="Times New Roman" w:hAnsi="Times New Roman"/>
          <w:sz w:val="17"/>
          <w:szCs w:val="17"/>
          <w:color w:val="0000FF"/>
        </w:rPr>
      </w:pPr>
      <w:hyperlink r:id="rId39">
        <w:r>
          <w:rPr>
            <w:rFonts w:ascii="Times New Roman" w:cs="Times New Roman" w:eastAsia="Times New Roman" w:hAnsi="Times New Roman"/>
            <w:sz w:val="17"/>
            <w:szCs w:val="17"/>
            <w:color w:val="0000FF"/>
          </w:rPr>
          <w:t>https://doi.org/10.1136/gut.50.5.624</w:t>
        </w:r>
      </w:hyperlink>
    </w:p>
    <w:p>
      <w:pPr>
        <w:spacing w:after="0" w:line="16"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Green H, Kehinde O (1975) An established preadipose cell line and its differentiation in culture II. Factors affecting the adipose conversion. Cell 5(1):19</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27. </w:t>
      </w:r>
      <w:hyperlink r:id="rId40">
        <w:r>
          <w:rPr>
            <w:rFonts w:ascii="Times New Roman" w:cs="Times New Roman" w:eastAsia="Times New Roman" w:hAnsi="Times New Roman"/>
            <w:sz w:val="16"/>
            <w:szCs w:val="16"/>
            <w:color w:val="0000FF"/>
          </w:rPr>
          <w:t>https://doi.org/10.1016/0092-8674(75)90087-2</w:t>
        </w:r>
      </w:hyperlink>
    </w:p>
    <w:p>
      <w:pPr>
        <w:spacing w:after="0" w:line="2"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Gregor MF, Hotamisligil GS (2011) Inflammatory mechanisms in obesi-ty. Annu Rev Immunol 29:415</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445. </w:t>
      </w:r>
      <w:hyperlink r:id="rId41">
        <w:r>
          <w:rPr>
            <w:rFonts w:ascii="Times New Roman" w:cs="Times New Roman" w:eastAsia="Times New Roman" w:hAnsi="Times New Roman"/>
            <w:sz w:val="17"/>
            <w:szCs w:val="17"/>
            <w:color w:val="0000FF"/>
          </w:rPr>
          <w:t>https://doi.org/10.1146/</w:t>
        </w:r>
      </w:hyperlink>
      <w:r>
        <w:rPr>
          <w:rFonts w:ascii="Times New Roman" w:cs="Times New Roman" w:eastAsia="Times New Roman" w:hAnsi="Times New Roman"/>
          <w:sz w:val="17"/>
          <w:szCs w:val="17"/>
          <w:color w:val="131413"/>
        </w:rPr>
        <w:t xml:space="preserve"> </w:t>
      </w:r>
      <w:hyperlink r:id="rId41">
        <w:r>
          <w:rPr>
            <w:rFonts w:ascii="Times New Roman" w:cs="Times New Roman" w:eastAsia="Times New Roman" w:hAnsi="Times New Roman"/>
            <w:sz w:val="17"/>
            <w:szCs w:val="17"/>
            <w:color w:val="0000FF"/>
          </w:rPr>
          <w:t>annurev-immunol-031210-101322</w:t>
        </w:r>
      </w:hyperlink>
    </w:p>
    <w:p>
      <w:pPr>
        <w:spacing w:after="0" w:line="18"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Hardy OT, Czech MP, Corvera S (2012) What causes the insulin resis-tance underlying obesity. Curr Opin Endocrinol Diabetes Obes 19(2):81. </w:t>
      </w:r>
      <w:hyperlink r:id="rId42">
        <w:r>
          <w:rPr>
            <w:rFonts w:ascii="Times New Roman" w:cs="Times New Roman" w:eastAsia="Times New Roman" w:hAnsi="Times New Roman"/>
            <w:sz w:val="16"/>
            <w:szCs w:val="16"/>
            <w:color w:val="0000FF"/>
          </w:rPr>
          <w:t>https://doi.org/10.1097/MED.0b013e3283514e13</w:t>
        </w:r>
      </w:hyperlink>
    </w:p>
    <w:p>
      <w:pPr>
        <w:spacing w:after="0" w:line="2"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Huang D, Deng M, Kuang S (2019) Polymeric carriers for controlled drug delivery in obesity treatment. Trends Endocrinol Metab. </w:t>
      </w:r>
      <w:hyperlink r:id="rId43">
        <w:r>
          <w:rPr>
            <w:rFonts w:ascii="Times New Roman" w:cs="Times New Roman" w:eastAsia="Times New Roman" w:hAnsi="Times New Roman"/>
            <w:sz w:val="17"/>
            <w:szCs w:val="17"/>
            <w:color w:val="0000FF"/>
          </w:rPr>
          <w:t>https://doi.org/10.1016/j.tem.2019.09.004</w:t>
        </w:r>
      </w:hyperlink>
    </w:p>
    <w:p>
      <w:pPr>
        <w:spacing w:after="0" w:line="19"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Kang JG, Park C-Y (2012) Anti-obesity drugs: a review about their ef-fects and safety. Diabetes Metab J 36(1):13</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25. </w:t>
      </w:r>
      <w:hyperlink r:id="rId44">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44">
        <w:r>
          <w:rPr>
            <w:rFonts w:ascii="Times New Roman" w:cs="Times New Roman" w:eastAsia="Times New Roman" w:hAnsi="Times New Roman"/>
            <w:sz w:val="17"/>
            <w:szCs w:val="17"/>
            <w:color w:val="0000FF"/>
          </w:rPr>
          <w:t>4093/dmj.2012.36.1.13</w:t>
        </w:r>
      </w:hyperlink>
    </w:p>
    <w:p>
      <w:pPr>
        <w:spacing w:after="0" w:line="18" w:lineRule="exact"/>
        <w:rPr>
          <w:sz w:val="20"/>
          <w:szCs w:val="20"/>
          <w:color w:val="auto"/>
        </w:rPr>
      </w:pPr>
    </w:p>
    <w:p>
      <w:pPr>
        <w:jc w:val="both"/>
        <w:ind w:hanging="338"/>
        <w:spacing w:after="0" w:line="238"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Kershaw EE, Flier JS (2004) Adipose tissue as an endocrine organ. J Clin Endocrinol Metab 89(6):2548</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2556. </w:t>
      </w:r>
      <w:hyperlink r:id="rId45">
        <w:r>
          <w:rPr>
            <w:rFonts w:ascii="Times New Roman" w:cs="Times New Roman" w:eastAsia="Times New Roman" w:hAnsi="Times New Roman"/>
            <w:sz w:val="17"/>
            <w:szCs w:val="17"/>
            <w:color w:val="0000FF"/>
          </w:rPr>
          <w:t>https://doi.org/10.1016/</w:t>
        </w:r>
      </w:hyperlink>
      <w:r>
        <w:rPr>
          <w:rFonts w:ascii="Times New Roman" w:cs="Times New Roman" w:eastAsia="Times New Roman" w:hAnsi="Times New Roman"/>
          <w:sz w:val="17"/>
          <w:szCs w:val="17"/>
          <w:color w:val="131413"/>
        </w:rPr>
        <w:t xml:space="preserve"> </w:t>
      </w:r>
      <w:hyperlink r:id="rId45">
        <w:r>
          <w:rPr>
            <w:rFonts w:ascii="Times New Roman" w:cs="Times New Roman" w:eastAsia="Times New Roman" w:hAnsi="Times New Roman"/>
            <w:sz w:val="17"/>
            <w:szCs w:val="17"/>
            <w:color w:val="0000FF"/>
          </w:rPr>
          <w:t>S1043-2760(00)00301-5</w:t>
        </w:r>
      </w:hyperlink>
    </w:p>
    <w:p>
      <w:pPr>
        <w:spacing w:after="0" w:line="18"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Kim JB, Spiegelman BM (1996) ADD1/SREBP1 promotes adipocyte differentiation and gene expression linked to fatty acid metabolism. Genes Dev 10(9):1096</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1107. </w:t>
      </w:r>
      <w:hyperlink r:id="rId46">
        <w:r>
          <w:rPr>
            <w:rFonts w:ascii="Times New Roman" w:cs="Times New Roman" w:eastAsia="Times New Roman" w:hAnsi="Times New Roman"/>
            <w:sz w:val="17"/>
            <w:szCs w:val="17"/>
            <w:color w:val="0000FF"/>
          </w:rPr>
          <w:t>https://doi.org/10.1101/gad.10.9.</w:t>
        </w:r>
      </w:hyperlink>
      <w:r>
        <w:rPr>
          <w:rFonts w:ascii="Times New Roman" w:cs="Times New Roman" w:eastAsia="Times New Roman" w:hAnsi="Times New Roman"/>
          <w:sz w:val="17"/>
          <w:szCs w:val="17"/>
          <w:color w:val="131413"/>
        </w:rPr>
        <w:t xml:space="preserve"> </w:t>
      </w:r>
      <w:hyperlink r:id="rId46">
        <w:r>
          <w:rPr>
            <w:rFonts w:ascii="Times New Roman" w:cs="Times New Roman" w:eastAsia="Times New Roman" w:hAnsi="Times New Roman"/>
            <w:sz w:val="17"/>
            <w:szCs w:val="17"/>
            <w:color w:val="0000FF"/>
          </w:rPr>
          <w:t>1096</w:t>
        </w:r>
      </w:hyperlink>
    </w:p>
    <w:p>
      <w:pPr>
        <w:spacing w:after="0" w:line="18" w:lineRule="exact"/>
        <w:rPr>
          <w:sz w:val="20"/>
          <w:szCs w:val="20"/>
          <w:color w:val="auto"/>
        </w:rPr>
      </w:pPr>
    </w:p>
    <w:p>
      <w:pPr>
        <w:jc w:val="both"/>
        <w:ind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Lin C, Cai J, Yang X, Hu L, Lin G (2015) Liquid chromatography mass spectrometry simultaneous determination of vindoline and catharanthine in rat plasma and its application to a pharmacokinetic study. Biomed Chromatogr 29(1):97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102. </w:t>
      </w:r>
      <w:hyperlink r:id="rId47">
        <w:r>
          <w:rPr>
            <w:rFonts w:ascii="Times New Roman" w:cs="Times New Roman" w:eastAsia="Times New Roman" w:hAnsi="Times New Roman"/>
            <w:sz w:val="17"/>
            <w:szCs w:val="17"/>
            <w:color w:val="0000FF"/>
          </w:rPr>
          <w:t>https://doi.org/10.1002/</w:t>
        </w:r>
      </w:hyperlink>
      <w:r>
        <w:rPr>
          <w:rFonts w:ascii="Times New Roman" w:cs="Times New Roman" w:eastAsia="Times New Roman" w:hAnsi="Times New Roman"/>
          <w:sz w:val="17"/>
          <w:szCs w:val="17"/>
          <w:color w:val="131413"/>
        </w:rPr>
        <w:t xml:space="preserve"> </w:t>
      </w:r>
      <w:hyperlink r:id="rId47">
        <w:r>
          <w:rPr>
            <w:rFonts w:ascii="Times New Roman" w:cs="Times New Roman" w:eastAsia="Times New Roman" w:hAnsi="Times New Roman"/>
            <w:sz w:val="17"/>
            <w:szCs w:val="17"/>
            <w:color w:val="0000FF"/>
          </w:rPr>
          <w:t>bmc.324</w:t>
        </w:r>
      </w:hyperlink>
    </w:p>
    <w:p>
      <w:pPr>
        <w:spacing w:after="0" w:line="18" w:lineRule="exact"/>
        <w:rPr>
          <w:sz w:val="20"/>
          <w:szCs w:val="20"/>
          <w:color w:val="auto"/>
        </w:rPr>
      </w:pPr>
    </w:p>
    <w:p>
      <w:pPr>
        <w:jc w:val="both"/>
        <w:ind w:hanging="338"/>
        <w:spacing w:after="0" w:line="258" w:lineRule="auto"/>
        <w:rPr>
          <w:sz w:val="20"/>
          <w:szCs w:val="20"/>
          <w:color w:val="auto"/>
        </w:rPr>
      </w:pPr>
      <w:r>
        <w:rPr>
          <w:rFonts w:ascii="Times New Roman" w:cs="Times New Roman" w:eastAsia="Times New Roman" w:hAnsi="Times New Roman"/>
          <w:sz w:val="16"/>
          <w:szCs w:val="16"/>
          <w:color w:val="131413"/>
        </w:rPr>
        <w:t>Lin D, Chun T-H, Kang L (2016) Adipose extracellular matrix remodel-ling in obesity and insulin resistance. Biochem Pharmacol 119:8</w:t>
      </w:r>
      <w:r>
        <w:rPr>
          <w:rFonts w:ascii="Arial" w:cs="Arial" w:eastAsia="Arial" w:hAnsi="Arial"/>
          <w:sz w:val="16"/>
          <w:szCs w:val="16"/>
          <w:color w:val="131413"/>
        </w:rPr>
        <w:t>–</w:t>
      </w:r>
    </w:p>
    <w:p>
      <w:pPr>
        <w:ind w:left="260" w:hanging="258"/>
        <w:spacing w:after="0" w:line="228" w:lineRule="auto"/>
        <w:tabs>
          <w:tab w:leader="none" w:pos="260" w:val="left"/>
        </w:tabs>
        <w:numPr>
          <w:ilvl w:val="0"/>
          <w:numId w:val="8"/>
        </w:numPr>
        <w:rPr>
          <w:rFonts w:ascii="Times New Roman" w:cs="Times New Roman" w:eastAsia="Times New Roman" w:hAnsi="Times New Roman"/>
          <w:sz w:val="17"/>
          <w:szCs w:val="17"/>
          <w:color w:val="0000FF"/>
        </w:rPr>
      </w:pPr>
      <w:hyperlink r:id="rId48">
        <w:r>
          <w:rPr>
            <w:rFonts w:ascii="Times New Roman" w:cs="Times New Roman" w:eastAsia="Times New Roman" w:hAnsi="Times New Roman"/>
            <w:sz w:val="17"/>
            <w:szCs w:val="17"/>
            <w:color w:val="0000FF"/>
          </w:rPr>
          <w:t>https://doi.org/10.1016/j.bcp.2016.05.005</w:t>
        </w:r>
      </w:hyperlink>
    </w:p>
    <w:p>
      <w:pPr>
        <w:spacing w:after="0" w:line="18" w:lineRule="exact"/>
        <w:rPr>
          <w:sz w:val="20"/>
          <w:szCs w:val="20"/>
          <w:color w:val="auto"/>
        </w:rPr>
      </w:pPr>
    </w:p>
    <w:p>
      <w:pPr>
        <w:jc w:val="both"/>
        <w:ind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Liu W, Crott JW, Lyu L, Pfalzer AC, Li J, Choi S-W, Yang Y, Mason JB, Liu Z (2016) Diet-and genetically-induced obesity produces alter-ations in the microbiome, inflammation and Wnt pathway in the intestine of Apc+/1638N mice: comparisons and contrasts. J Cancer 7(13):1780. </w:t>
      </w:r>
      <w:hyperlink r:id="rId49">
        <w:r>
          <w:rPr>
            <w:rFonts w:ascii="Times New Roman" w:cs="Times New Roman" w:eastAsia="Times New Roman" w:hAnsi="Times New Roman"/>
            <w:sz w:val="16"/>
            <w:szCs w:val="16"/>
            <w:color w:val="0000FF"/>
          </w:rPr>
          <w:t>https://doi.org/10.7150/jca.15792</w:t>
        </w:r>
      </w:hyperlink>
    </w:p>
    <w:p>
      <w:pPr>
        <w:spacing w:after="0" w:line="3" w:lineRule="exact"/>
        <w:rPr>
          <w:sz w:val="20"/>
          <w:szCs w:val="20"/>
          <w:color w:val="auto"/>
        </w:rPr>
      </w:pPr>
    </w:p>
    <w:p>
      <w:pPr>
        <w:jc w:val="both"/>
        <w:ind w:hanging="338"/>
        <w:spacing w:after="0" w:line="234" w:lineRule="auto"/>
        <w:rPr>
          <w:sz w:val="20"/>
          <w:szCs w:val="20"/>
          <w:color w:val="auto"/>
        </w:rPr>
      </w:pPr>
      <w:r>
        <w:rPr>
          <w:rFonts w:ascii="Times New Roman" w:cs="Times New Roman" w:eastAsia="Times New Roman" w:hAnsi="Times New Roman"/>
          <w:sz w:val="17"/>
          <w:szCs w:val="17"/>
          <w:color w:val="131413"/>
        </w:rPr>
        <w:t>Mead JR, Irvine SA, Ramji DP (2002) Lipoprotein lipase: structure, function, regulation, and role in disease. J Mol Med 80(12):753</w:t>
      </w:r>
      <w:r>
        <w:rPr>
          <w:rFonts w:ascii="Arial" w:cs="Arial" w:eastAsia="Arial" w:hAnsi="Arial"/>
          <w:sz w:val="17"/>
          <w:szCs w:val="17"/>
          <w:color w:val="131413"/>
        </w:rPr>
        <w:t>–</w:t>
      </w:r>
    </w:p>
    <w:p>
      <w:pPr>
        <w:spacing w:after="0" w:line="5" w:lineRule="exact"/>
        <w:rPr>
          <w:sz w:val="20"/>
          <w:szCs w:val="20"/>
          <w:color w:val="auto"/>
        </w:rPr>
      </w:pPr>
    </w:p>
    <w:p>
      <w:pPr>
        <w:ind w:left="340" w:hanging="338"/>
        <w:spacing w:after="0"/>
        <w:tabs>
          <w:tab w:leader="none" w:pos="340" w:val="left"/>
        </w:tabs>
        <w:numPr>
          <w:ilvl w:val="0"/>
          <w:numId w:val="9"/>
        </w:numPr>
        <w:rPr>
          <w:rFonts w:ascii="Times New Roman" w:cs="Times New Roman" w:eastAsia="Times New Roman" w:hAnsi="Times New Roman"/>
          <w:sz w:val="17"/>
          <w:szCs w:val="17"/>
          <w:color w:val="0000FF"/>
        </w:rPr>
      </w:pPr>
      <w:hyperlink r:id="rId50">
        <w:r>
          <w:rPr>
            <w:rFonts w:ascii="Times New Roman" w:cs="Times New Roman" w:eastAsia="Times New Roman" w:hAnsi="Times New Roman"/>
            <w:sz w:val="17"/>
            <w:szCs w:val="17"/>
            <w:color w:val="0000FF"/>
          </w:rPr>
          <w:t>https://doi.org/10.1007/s00109-002-0384-9</w:t>
        </w:r>
      </w:hyperlink>
    </w:p>
    <w:p>
      <w:pPr>
        <w:spacing w:after="0" w:line="17" w:lineRule="exact"/>
        <w:rPr>
          <w:sz w:val="20"/>
          <w:szCs w:val="20"/>
          <w:color w:val="auto"/>
        </w:rPr>
      </w:pPr>
    </w:p>
    <w:p>
      <w:pPr>
        <w:jc w:val="both"/>
        <w:ind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Moustaid N, Sul H (1991) Regulation of expression of the fatty acid synthase gene in 3T3-L1 cells by differentiation and triiodothyro-nine. J Biol Chem 266(28):18550</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18554. </w:t>
      </w:r>
      <w:hyperlink r:id="rId51">
        <w:r>
          <w:rPr>
            <w:rFonts w:ascii="Times New Roman" w:cs="Times New Roman" w:eastAsia="Times New Roman" w:hAnsi="Times New Roman"/>
            <w:sz w:val="17"/>
            <w:szCs w:val="17"/>
            <w:color w:val="0000FF"/>
          </w:rPr>
          <w:t>https://doi.org/10.1042/</w:t>
        </w:r>
      </w:hyperlink>
      <w:r>
        <w:rPr>
          <w:rFonts w:ascii="Times New Roman" w:cs="Times New Roman" w:eastAsia="Times New Roman" w:hAnsi="Times New Roman"/>
          <w:sz w:val="17"/>
          <w:szCs w:val="17"/>
          <w:color w:val="131413"/>
        </w:rPr>
        <w:t xml:space="preserve"> </w:t>
      </w:r>
      <w:hyperlink r:id="rId51">
        <w:r>
          <w:rPr>
            <w:rFonts w:ascii="Times New Roman" w:cs="Times New Roman" w:eastAsia="Times New Roman" w:hAnsi="Times New Roman"/>
            <w:sz w:val="17"/>
            <w:szCs w:val="17"/>
            <w:color w:val="0000FF"/>
          </w:rPr>
          <w:t>bj2920767</w:t>
        </w:r>
      </w:hyperlink>
    </w:p>
    <w:p>
      <w:pPr>
        <w:spacing w:after="0" w:line="18" w:lineRule="exact"/>
        <w:rPr>
          <w:sz w:val="20"/>
          <w:szCs w:val="20"/>
          <w:color w:val="auto"/>
        </w:rPr>
      </w:pPr>
    </w:p>
    <w:p>
      <w:pPr>
        <w:jc w:val="both"/>
        <w:ind w:hanging="338"/>
        <w:spacing w:after="0" w:line="238" w:lineRule="auto"/>
        <w:rPr>
          <w:sz w:val="20"/>
          <w:szCs w:val="20"/>
          <w:color w:val="auto"/>
        </w:rPr>
      </w:pPr>
      <w:r>
        <w:rPr>
          <w:rFonts w:ascii="Times New Roman" w:cs="Times New Roman" w:eastAsia="Times New Roman" w:hAnsi="Times New Roman"/>
          <w:sz w:val="17"/>
          <w:szCs w:val="17"/>
          <w:color w:val="131413"/>
        </w:rPr>
        <w:t>Muralidharan L (2014) Catharanthus roseus leaves as an anti-diabetic and Hypolipidemic agents in Alloxan-induced diabetic rats. Am J Phytomedicine Clin Ther 2(12):1393</w:t>
      </w:r>
      <w:r>
        <w:rPr>
          <w:rFonts w:ascii="Arial" w:cs="Arial" w:eastAsia="Arial" w:hAnsi="Arial"/>
          <w:sz w:val="17"/>
          <w:szCs w:val="17"/>
          <w:color w:val="131413"/>
        </w:rPr>
        <w:t>–</w:t>
      </w:r>
      <w:r>
        <w:rPr>
          <w:rFonts w:ascii="Times New Roman" w:cs="Times New Roman" w:eastAsia="Times New Roman" w:hAnsi="Times New Roman"/>
          <w:sz w:val="17"/>
          <w:szCs w:val="17"/>
          <w:color w:val="131413"/>
        </w:rPr>
        <w:t>1396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2310130</wp:posOffset>
            </wp:positionH>
            <wp:positionV relativeFrom="paragraph">
              <wp:posOffset>255905</wp:posOffset>
            </wp:positionV>
            <wp:extent cx="483870" cy="13843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ectPr>
          <w:pgSz w:w="11900" w:h="15817" w:orient="portrait"/>
          <w:cols w:equalWidth="0" w:num="2">
            <w:col w:w="4760" w:space="680"/>
            <w:col w:w="4420"/>
          </w:cols>
          <w:pgMar w:left="1020" w:top="649" w:right="1026" w:bottom="925" w:gutter="0" w:footer="0" w:header="0"/>
          <w:type w:val="continuous"/>
        </w:sectPr>
      </w:pPr>
    </w:p>
    <w:bookmarkStart w:id="9" w:name="page10"/>
    <w:bookmarkEnd w:id="9"/>
    <w:p>
      <w:pPr>
        <w:ind w:left="9360"/>
        <w:spacing w:after="0"/>
        <w:rPr>
          <w:sz w:val="20"/>
          <w:szCs w:val="20"/>
          <w:color w:val="auto"/>
        </w:rPr>
      </w:pPr>
      <w:r>
        <w:rPr>
          <w:rFonts w:ascii="Arial" w:cs="Arial" w:eastAsia="Arial" w:hAnsi="Arial"/>
          <w:sz w:val="14"/>
          <w:szCs w:val="14"/>
          <w:color w:val="131413"/>
        </w:rPr>
        <w:t>Biologia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41275</wp:posOffset>
                </wp:positionV>
                <wp:extent cx="0" cy="2603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25pt" to="0pt,5.3pt" o:allowincell="f" strokecolor="#131413" strokeweight="1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54610</wp:posOffset>
                </wp:positionV>
                <wp:extent cx="627634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76340" cy="4763"/>
                        </a:xfrm>
                        <a:prstGeom prst="line">
                          <a:avLst/>
                        </a:prstGeom>
                        <a:solidFill>
                          <a:srgbClr val="FFFFFF"/>
                        </a:solidFill>
                        <a:ln w="25660">
                          <a:solidFill>
                            <a:srgbClr val="131413"/>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3pt" to="493.75pt,4.3pt" o:allowincell="f" strokecolor="#131413" strokeweight="2.0205pt"/>
            </w:pict>
          </mc:Fallback>
        </mc:AlternateContent>
        <mc:AlternateContent>
          <mc:Choice Requires="wps">
            <w:drawing>
              <wp:anchor simplePos="0" relativeHeight="251657728" behindDoc="1" locked="0" layoutInCell="0" allowOverlap="1">
                <wp:simplePos x="0" y="0"/>
                <wp:positionH relativeFrom="column">
                  <wp:posOffset>6264275</wp:posOffset>
                </wp:positionH>
                <wp:positionV relativeFrom="paragraph">
                  <wp:posOffset>41275</wp:posOffset>
                </wp:positionV>
                <wp:extent cx="0" cy="2603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035"/>
                        </a:xfrm>
                        <a:prstGeom prst="line">
                          <a:avLst/>
                        </a:prstGeom>
                        <a:solidFill>
                          <a:srgbClr val="FFFFFF"/>
                        </a:solidFill>
                        <a:ln w="12700">
                          <a:solidFill>
                            <a:srgbClr val="131413"/>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25pt,3.25pt" to="493.25pt,5.3pt" o:allowincell="f" strokecolor="#131413" strokeweight="1pt"/>
            </w:pict>
          </mc:Fallback>
        </mc:AlternateContent>
      </w:r>
    </w:p>
    <w:p>
      <w:pPr>
        <w:sectPr>
          <w:pgSz w:w="11900" w:h="15817" w:orient="portrait"/>
          <w:cols w:equalWidth="0" w:num="1">
            <w:col w:w="9860"/>
          </w:cols>
          <w:pgMar w:left="1020" w:top="649" w:right="1026" w:bottom="1440" w:gutter="0" w:footer="0" w:header="0"/>
        </w:sectPr>
      </w:pPr>
    </w:p>
    <w:p>
      <w:pPr>
        <w:spacing w:after="0" w:line="318" w:lineRule="exact"/>
        <w:rPr>
          <w:sz w:val="20"/>
          <w:szCs w:val="20"/>
          <w:color w:val="auto"/>
        </w:rPr>
      </w:pPr>
    </w:p>
    <w:p>
      <w:pPr>
        <w:jc w:val="both"/>
        <w:ind w:left="340" w:hanging="338"/>
        <w:spacing w:after="0" w:line="261"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National Institutes of Health (NIH) (2020) Image J, Image J download for windows. </w:t>
      </w:r>
      <w:hyperlink r:id="rId16">
        <w:r>
          <w:rPr>
            <w:rFonts w:ascii="Times New Roman" w:cs="Times New Roman" w:eastAsia="Times New Roman" w:hAnsi="Times New Roman"/>
            <w:sz w:val="16"/>
            <w:szCs w:val="16"/>
            <w:color w:val="0000FF"/>
          </w:rPr>
          <w:t>http://rsb.info.nih.gov/ij/download.html</w:t>
        </w:r>
      </w:hyperlink>
      <w:r>
        <w:rPr>
          <w:rFonts w:ascii="Times New Roman" w:cs="Times New Roman" w:eastAsia="Times New Roman" w:hAnsi="Times New Roman"/>
          <w:sz w:val="16"/>
          <w:szCs w:val="16"/>
          <w:color w:val="131413"/>
        </w:rPr>
        <w:t>. Accesed 05</w:t>
      </w:r>
    </w:p>
    <w:p>
      <w:pPr>
        <w:ind w:left="340"/>
        <w:spacing w:after="0" w:line="225" w:lineRule="auto"/>
        <w:rPr>
          <w:sz w:val="20"/>
          <w:szCs w:val="20"/>
          <w:color w:val="auto"/>
        </w:rPr>
      </w:pPr>
      <w:r>
        <w:rPr>
          <w:rFonts w:ascii="Times New Roman" w:cs="Times New Roman" w:eastAsia="Times New Roman" w:hAnsi="Times New Roman"/>
          <w:sz w:val="17"/>
          <w:szCs w:val="17"/>
          <w:color w:val="131413"/>
        </w:rPr>
        <w:t>May 2020</w:t>
      </w:r>
    </w:p>
    <w:p>
      <w:pPr>
        <w:spacing w:after="0" w:line="4" w:lineRule="exact"/>
        <w:rPr>
          <w:sz w:val="20"/>
          <w:szCs w:val="20"/>
          <w:color w:val="auto"/>
        </w:rPr>
      </w:pPr>
    </w:p>
    <w:p>
      <w:pPr>
        <w:jc w:val="both"/>
        <w:ind w:left="340" w:hanging="338"/>
        <w:spacing w:after="0" w:line="266"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 xml:space="preserve">Nayak B, Pereira LMP (2006) </w:t>
      </w:r>
      <w:r>
        <w:rPr>
          <w:rFonts w:ascii="Arial" w:cs="Arial" w:eastAsia="Arial" w:hAnsi="Arial"/>
          <w:sz w:val="16"/>
          <w:szCs w:val="16"/>
          <w:color w:val="131413"/>
        </w:rPr>
        <w:t>Catharanthus roseus</w:t>
      </w:r>
      <w:r>
        <w:rPr>
          <w:rFonts w:ascii="Times New Roman" w:cs="Times New Roman" w:eastAsia="Times New Roman" w:hAnsi="Times New Roman"/>
          <w:sz w:val="16"/>
          <w:szCs w:val="16"/>
          <w:color w:val="131413"/>
        </w:rPr>
        <w:t xml:space="preserve"> flower extract has wound-healing activity in Sprague Dawley rats. BMC Complement Altern Med 6(1):41. </w:t>
      </w:r>
      <w:hyperlink r:id="rId53">
        <w:r>
          <w:rPr>
            <w:rFonts w:ascii="Times New Roman" w:cs="Times New Roman" w:eastAsia="Times New Roman" w:hAnsi="Times New Roman"/>
            <w:sz w:val="16"/>
            <w:szCs w:val="16"/>
            <w:color w:val="0000FF"/>
          </w:rPr>
          <w:t>https://doi.org/10.1186/1472-6882-6-41</w:t>
        </w:r>
      </w:hyperlink>
    </w:p>
    <w:p>
      <w:pPr>
        <w:jc w:val="both"/>
        <w:ind w:left="340" w:hanging="338"/>
        <w:spacing w:after="0" w:line="277" w:lineRule="auto"/>
        <w:rPr>
          <w:sz w:val="20"/>
          <w:szCs w:val="20"/>
          <w:color w:val="auto"/>
        </w:rPr>
      </w:pPr>
      <w:r>
        <w:rPr>
          <w:rFonts w:ascii="Times New Roman" w:cs="Times New Roman" w:eastAsia="Times New Roman" w:hAnsi="Times New Roman"/>
          <w:sz w:val="15"/>
          <w:szCs w:val="15"/>
          <w:color w:val="131413"/>
        </w:rPr>
        <w:t>Nickel A, Blücher C, Al Kadri O, Schwagarus N, Müller S, Schaab M, Thiery J, Burkhardt R, Stadler SC (2018) Adipocytes induce distinct gene expression profiles in mammary tumor cells and enhance in-flammatory signaling in invasive breast cancer cells. Sci Rep 8(1):1</w:t>
      </w:r>
      <w:r>
        <w:rPr>
          <w:rFonts w:ascii="Arial" w:cs="Arial" w:eastAsia="Arial" w:hAnsi="Arial"/>
          <w:sz w:val="15"/>
          <w:szCs w:val="15"/>
          <w:color w:val="131413"/>
        </w:rPr>
        <w:t>–</w:t>
      </w:r>
    </w:p>
    <w:p>
      <w:pPr>
        <w:ind w:left="600" w:hanging="261"/>
        <w:spacing w:after="0" w:line="228" w:lineRule="auto"/>
        <w:tabs>
          <w:tab w:leader="none" w:pos="600" w:val="left"/>
        </w:tabs>
        <w:numPr>
          <w:ilvl w:val="0"/>
          <w:numId w:val="10"/>
        </w:numPr>
        <w:rPr>
          <w:rFonts w:ascii="Times New Roman" w:cs="Times New Roman" w:eastAsia="Times New Roman" w:hAnsi="Times New Roman"/>
          <w:sz w:val="17"/>
          <w:szCs w:val="17"/>
          <w:color w:val="0000FF"/>
        </w:rPr>
      </w:pPr>
      <w:hyperlink r:id="rId54">
        <w:r>
          <w:rPr>
            <w:rFonts w:ascii="Times New Roman" w:cs="Times New Roman" w:eastAsia="Times New Roman" w:hAnsi="Times New Roman"/>
            <w:sz w:val="17"/>
            <w:szCs w:val="17"/>
            <w:color w:val="0000FF"/>
          </w:rPr>
          <w:t>https://doi.org/10.1038/s41598-018-27210-w</w:t>
        </w:r>
      </w:hyperlink>
    </w:p>
    <w:p>
      <w:pPr>
        <w:spacing w:after="0" w:line="16"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16"/>
          <w:szCs w:val="16"/>
          <w:color w:val="131413"/>
        </w:rPr>
        <w:t>Ofei F (2005) Obesity-a preventable disease. Ghana Med J 39(3):98 Olefsky JM (2009) IKK</w:t>
      </w:r>
      <w:r>
        <w:rPr>
          <w:rFonts w:ascii="Arial" w:cs="Arial" w:eastAsia="Arial" w:hAnsi="Arial"/>
          <w:sz w:val="16"/>
          <w:szCs w:val="16"/>
          <w:color w:val="131413"/>
        </w:rPr>
        <w:t>ɛ</w:t>
      </w:r>
      <w:r>
        <w:rPr>
          <w:rFonts w:ascii="Times New Roman" w:cs="Times New Roman" w:eastAsia="Times New Roman" w:hAnsi="Times New Roman"/>
          <w:sz w:val="16"/>
          <w:szCs w:val="16"/>
          <w:color w:val="131413"/>
        </w:rPr>
        <w:t>: a bridge between obesity and inflammation.</w:t>
      </w:r>
    </w:p>
    <w:p>
      <w:pPr>
        <w:spacing w:after="0" w:line="1" w:lineRule="exact"/>
        <w:rPr>
          <w:sz w:val="20"/>
          <w:szCs w:val="20"/>
          <w:color w:val="auto"/>
        </w:rPr>
      </w:pPr>
    </w:p>
    <w:p>
      <w:pPr>
        <w:ind w:firstLine="339"/>
        <w:spacing w:after="0" w:line="234"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Cell 138(5):834</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836. </w:t>
      </w:r>
      <w:hyperlink r:id="rId55">
        <w:r>
          <w:rPr>
            <w:rFonts w:ascii="Times New Roman" w:cs="Times New Roman" w:eastAsia="Times New Roman" w:hAnsi="Times New Roman"/>
            <w:sz w:val="17"/>
            <w:szCs w:val="17"/>
            <w:color w:val="0000FF"/>
          </w:rPr>
          <w:t>https://doi.org/10.1016/j.cell.2009.08.018</w:t>
        </w:r>
      </w:hyperlink>
      <w:r>
        <w:rPr>
          <w:rFonts w:ascii="Times New Roman" w:cs="Times New Roman" w:eastAsia="Times New Roman" w:hAnsi="Times New Roman"/>
          <w:sz w:val="17"/>
          <w:szCs w:val="17"/>
          <w:color w:val="131413"/>
        </w:rPr>
        <w:t xml:space="preserve"> Park HS, Park JY, Yu R (2005) Relationship of obesity and visceral</w:t>
      </w:r>
    </w:p>
    <w:p>
      <w:pPr>
        <w:spacing w:after="0" w:line="15" w:lineRule="exact"/>
        <w:rPr>
          <w:sz w:val="20"/>
          <w:szCs w:val="20"/>
          <w:color w:val="auto"/>
        </w:rPr>
      </w:pPr>
    </w:p>
    <w:p>
      <w:pPr>
        <w:jc w:val="both"/>
        <w:ind w:left="340"/>
        <w:spacing w:after="0" w:line="23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adiposity with serum concentrations of CRP, TNF-</w:t>
      </w:r>
      <w:r>
        <w:rPr>
          <w:rFonts w:ascii="Arial" w:cs="Arial" w:eastAsia="Arial" w:hAnsi="Arial"/>
          <w:sz w:val="17"/>
          <w:szCs w:val="17"/>
          <w:color w:val="131413"/>
        </w:rPr>
        <w:t>α</w:t>
      </w:r>
      <w:r>
        <w:rPr>
          <w:rFonts w:ascii="Times New Roman" w:cs="Times New Roman" w:eastAsia="Times New Roman" w:hAnsi="Times New Roman"/>
          <w:sz w:val="17"/>
          <w:szCs w:val="17"/>
          <w:color w:val="131413"/>
        </w:rPr>
        <w:t xml:space="preserve"> and IL-6. Diabetes Res Clin Pract 69(1):29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35. </w:t>
      </w:r>
      <w:hyperlink r:id="rId56">
        <w:r>
          <w:rPr>
            <w:rFonts w:ascii="Times New Roman" w:cs="Times New Roman" w:eastAsia="Times New Roman" w:hAnsi="Times New Roman"/>
            <w:sz w:val="17"/>
            <w:szCs w:val="17"/>
            <w:color w:val="0000FF"/>
          </w:rPr>
          <w:t>https://doi.org/10.1016/j.</w:t>
        </w:r>
      </w:hyperlink>
      <w:r>
        <w:rPr>
          <w:rFonts w:ascii="Times New Roman" w:cs="Times New Roman" w:eastAsia="Times New Roman" w:hAnsi="Times New Roman"/>
          <w:sz w:val="17"/>
          <w:szCs w:val="17"/>
          <w:color w:val="131413"/>
        </w:rPr>
        <w:t xml:space="preserve"> </w:t>
      </w:r>
      <w:hyperlink r:id="rId56">
        <w:r>
          <w:rPr>
            <w:rFonts w:ascii="Times New Roman" w:cs="Times New Roman" w:eastAsia="Times New Roman" w:hAnsi="Times New Roman"/>
            <w:sz w:val="17"/>
            <w:szCs w:val="17"/>
            <w:color w:val="0000FF"/>
          </w:rPr>
          <w:t>diabres.2004.11.007</w:t>
        </w:r>
      </w:hyperlink>
    </w:p>
    <w:p>
      <w:pPr>
        <w:spacing w:after="0" w:line="17" w:lineRule="exact"/>
        <w:rPr>
          <w:sz w:val="20"/>
          <w:szCs w:val="20"/>
          <w:color w:val="auto"/>
        </w:rPr>
      </w:pPr>
    </w:p>
    <w:p>
      <w:pPr>
        <w:jc w:val="both"/>
        <w:ind w:left="340" w:hanging="338"/>
        <w:spacing w:after="0" w:line="238" w:lineRule="auto"/>
        <w:rPr>
          <w:sz w:val="20"/>
          <w:szCs w:val="20"/>
          <w:color w:val="auto"/>
        </w:rPr>
      </w:pPr>
      <w:r>
        <w:rPr>
          <w:rFonts w:ascii="Times New Roman" w:cs="Times New Roman" w:eastAsia="Times New Roman" w:hAnsi="Times New Roman"/>
          <w:sz w:val="17"/>
          <w:szCs w:val="17"/>
          <w:color w:val="131413"/>
        </w:rPr>
        <w:t>Patel Y, Vadgama V, Baxi S, Tripathi CB (2011) Evaluation of hypolip-idemic activity of leaf juice of Catharanthus roseus (Linn.) G. Donn. In Guinea pigs. Acta Pol Pharm 68(6):927</w:t>
      </w:r>
      <w:r>
        <w:rPr>
          <w:rFonts w:ascii="Arial" w:cs="Arial" w:eastAsia="Arial" w:hAnsi="Arial"/>
          <w:sz w:val="17"/>
          <w:szCs w:val="17"/>
          <w:color w:val="131413"/>
        </w:rPr>
        <w:t>–</w:t>
      </w:r>
      <w:r>
        <w:rPr>
          <w:rFonts w:ascii="Times New Roman" w:cs="Times New Roman" w:eastAsia="Times New Roman" w:hAnsi="Times New Roman"/>
          <w:sz w:val="17"/>
          <w:szCs w:val="17"/>
          <w:color w:val="131413"/>
        </w:rPr>
        <w:t>935</w:t>
      </w:r>
    </w:p>
    <w:p>
      <w:pPr>
        <w:spacing w:after="0" w:line="18" w:lineRule="exact"/>
        <w:rPr>
          <w:sz w:val="20"/>
          <w:szCs w:val="20"/>
          <w:color w:val="auto"/>
        </w:rPr>
      </w:pPr>
    </w:p>
    <w:p>
      <w:pPr>
        <w:jc w:val="both"/>
        <w:ind w:left="340" w:hanging="338"/>
        <w:spacing w:after="0" w:line="277" w:lineRule="auto"/>
        <w:rPr>
          <w:sz w:val="20"/>
          <w:szCs w:val="20"/>
          <w:color w:val="auto"/>
        </w:rPr>
      </w:pPr>
      <w:r>
        <w:rPr>
          <w:rFonts w:ascii="Times New Roman" w:cs="Times New Roman" w:eastAsia="Times New Roman" w:hAnsi="Times New Roman"/>
          <w:sz w:val="15"/>
          <w:szCs w:val="15"/>
          <w:color w:val="131413"/>
        </w:rPr>
        <w:t>Pineda E, Sanchez-Romero LM, Brown M, Jaccard A, Jewell J, Galea G, Webber L, Breda J (2018) Forecasting future trends in obesity across Europe: the value of improving surveillance. Obes Facts 11(5):360</w:t>
      </w:r>
      <w:r>
        <w:rPr>
          <w:rFonts w:ascii="Arial" w:cs="Arial" w:eastAsia="Arial" w:hAnsi="Arial"/>
          <w:sz w:val="15"/>
          <w:szCs w:val="15"/>
          <w:color w:val="131413"/>
        </w:rPr>
        <w:t>–</w:t>
      </w:r>
    </w:p>
    <w:p>
      <w:pPr>
        <w:ind w:left="680" w:hanging="341"/>
        <w:spacing w:after="0" w:line="226" w:lineRule="auto"/>
        <w:tabs>
          <w:tab w:leader="none" w:pos="680" w:val="left"/>
        </w:tabs>
        <w:numPr>
          <w:ilvl w:val="0"/>
          <w:numId w:val="11"/>
        </w:numPr>
        <w:rPr>
          <w:rFonts w:ascii="Times New Roman" w:cs="Times New Roman" w:eastAsia="Times New Roman" w:hAnsi="Times New Roman"/>
          <w:sz w:val="17"/>
          <w:szCs w:val="17"/>
          <w:color w:val="0000FF"/>
        </w:rPr>
      </w:pPr>
      <w:hyperlink r:id="rId57">
        <w:r>
          <w:rPr>
            <w:rFonts w:ascii="Times New Roman" w:cs="Times New Roman" w:eastAsia="Times New Roman" w:hAnsi="Times New Roman"/>
            <w:sz w:val="17"/>
            <w:szCs w:val="17"/>
            <w:color w:val="0000FF"/>
          </w:rPr>
          <w:t>https://doi.org/10.1159/000492115</w:t>
        </w:r>
      </w:hyperlink>
    </w:p>
    <w:p>
      <w:pPr>
        <w:spacing w:after="0" w:line="17" w:lineRule="exact"/>
        <w:rPr>
          <w:sz w:val="20"/>
          <w:szCs w:val="20"/>
          <w:color w:val="auto"/>
        </w:rPr>
      </w:pPr>
    </w:p>
    <w:p>
      <w:pPr>
        <w:jc w:val="both"/>
        <w:ind w:left="340"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Qasim A, Turcotte M, De Souza R, Samaan M, Champredon D, Dushoff J, Speakman J, Meyre D (2018) On the origin of obesity: identifying the biological, environmental and cultural drivers of genetic risk among human populations. Obes Rev 19(2):121</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149. </w:t>
      </w:r>
      <w:hyperlink r:id="rId58">
        <w:r>
          <w:rPr>
            <w:rFonts w:ascii="Times New Roman" w:cs="Times New Roman" w:eastAsia="Times New Roman" w:hAnsi="Times New Roman"/>
            <w:sz w:val="17"/>
            <w:szCs w:val="17"/>
            <w:color w:val="0000FF"/>
          </w:rPr>
          <w:t>https://doi.</w:t>
        </w:r>
      </w:hyperlink>
      <w:r>
        <w:rPr>
          <w:rFonts w:ascii="Times New Roman" w:cs="Times New Roman" w:eastAsia="Times New Roman" w:hAnsi="Times New Roman"/>
          <w:sz w:val="17"/>
          <w:szCs w:val="17"/>
          <w:color w:val="131413"/>
        </w:rPr>
        <w:t xml:space="preserve"> </w:t>
      </w:r>
      <w:hyperlink r:id="rId58">
        <w:r>
          <w:rPr>
            <w:rFonts w:ascii="Times New Roman" w:cs="Times New Roman" w:eastAsia="Times New Roman" w:hAnsi="Times New Roman"/>
            <w:sz w:val="17"/>
            <w:szCs w:val="17"/>
            <w:color w:val="0000FF"/>
          </w:rPr>
          <w:t>org/10.1111/obr.12625</w:t>
        </w:r>
      </w:hyperlink>
    </w:p>
    <w:p>
      <w:pPr>
        <w:spacing w:after="0" w:line="17" w:lineRule="exact"/>
        <w:rPr>
          <w:sz w:val="20"/>
          <w:szCs w:val="20"/>
          <w:color w:val="auto"/>
        </w:rPr>
      </w:pPr>
    </w:p>
    <w:p>
      <w:pPr>
        <w:jc w:val="both"/>
        <w:ind w:left="340"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Rajabi M, Mohaddes G, Farajdokht F, Nayebi Rad S, Mesgari M, Babri S (2018) Impact of loganin on pro-inflammatory cytokines and depression-and anxiety-like behaviors in male diabetic rats. Physiol Int 105(3):199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209. </w:t>
      </w:r>
      <w:hyperlink r:id="rId59">
        <w:r>
          <w:rPr>
            <w:rFonts w:ascii="Times New Roman" w:cs="Times New Roman" w:eastAsia="Times New Roman" w:hAnsi="Times New Roman"/>
            <w:sz w:val="17"/>
            <w:szCs w:val="17"/>
            <w:color w:val="0000FF"/>
          </w:rPr>
          <w:t>https://doi.org/10.1556/2060.105.</w:t>
        </w:r>
      </w:hyperlink>
      <w:r>
        <w:rPr>
          <w:rFonts w:ascii="Times New Roman" w:cs="Times New Roman" w:eastAsia="Times New Roman" w:hAnsi="Times New Roman"/>
          <w:sz w:val="17"/>
          <w:szCs w:val="17"/>
          <w:color w:val="131413"/>
        </w:rPr>
        <w:t xml:space="preserve"> </w:t>
      </w:r>
      <w:hyperlink r:id="rId59">
        <w:r>
          <w:rPr>
            <w:rFonts w:ascii="Times New Roman" w:cs="Times New Roman" w:eastAsia="Times New Roman" w:hAnsi="Times New Roman"/>
            <w:sz w:val="17"/>
            <w:szCs w:val="17"/>
            <w:color w:val="0000FF"/>
          </w:rPr>
          <w:t>2018.1.8</w:t>
        </w:r>
      </w:hyperlink>
    </w:p>
    <w:p>
      <w:pPr>
        <w:spacing w:after="0" w:line="17" w:lineRule="exact"/>
        <w:rPr>
          <w:sz w:val="20"/>
          <w:szCs w:val="20"/>
          <w:color w:val="auto"/>
        </w:rPr>
      </w:pPr>
    </w:p>
    <w:p>
      <w:pPr>
        <w:jc w:val="both"/>
        <w:ind w:left="340"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Rasineni K, Bellamkonda R, Singareddy SR, Desireddy S (2013) Abnormalities in carbohydrate and lipid metabolisms in high-fructose dietfed insulin-resistant rats: amelioration by Catharanthus roseus treatments. J Physiol Biochem 69(3):459</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466. </w:t>
      </w:r>
      <w:hyperlink r:id="rId60">
        <w:r>
          <w:rPr>
            <w:rFonts w:ascii="Times New Roman" w:cs="Times New Roman" w:eastAsia="Times New Roman" w:hAnsi="Times New Roman"/>
            <w:sz w:val="17"/>
            <w:szCs w:val="17"/>
            <w:color w:val="0000FF"/>
          </w:rPr>
          <w:t>https://doi.</w:t>
        </w:r>
      </w:hyperlink>
      <w:r>
        <w:rPr>
          <w:rFonts w:ascii="Times New Roman" w:cs="Times New Roman" w:eastAsia="Times New Roman" w:hAnsi="Times New Roman"/>
          <w:sz w:val="17"/>
          <w:szCs w:val="17"/>
          <w:color w:val="131413"/>
        </w:rPr>
        <w:t xml:space="preserve"> </w:t>
      </w:r>
      <w:hyperlink r:id="rId60">
        <w:r>
          <w:rPr>
            <w:rFonts w:ascii="Times New Roman" w:cs="Times New Roman" w:eastAsia="Times New Roman" w:hAnsi="Times New Roman"/>
            <w:sz w:val="17"/>
            <w:szCs w:val="17"/>
            <w:color w:val="0000FF"/>
          </w:rPr>
          <w:t>org/10.1007/s13105-013-0233-z</w:t>
        </w:r>
      </w:hyperlink>
    </w:p>
    <w:p>
      <w:pPr>
        <w:spacing w:after="0" w:line="17" w:lineRule="exact"/>
        <w:rPr>
          <w:sz w:val="20"/>
          <w:szCs w:val="20"/>
          <w:color w:val="auto"/>
        </w:rPr>
      </w:pPr>
    </w:p>
    <w:p>
      <w:pPr>
        <w:jc w:val="both"/>
        <w:ind w:left="340" w:hanging="338"/>
        <w:spacing w:after="0"/>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 xml:space="preserve">Rodríguez-Hernández H, Simental-Mendía LE, Rodríguez-Ramírez G, Reyes-Romero MA (2013) Obesity and Inflammation: Epidemiology, Risk Factors, and Markers of Inflammation. Int J Endocrinol 2013. </w:t>
      </w:r>
      <w:hyperlink r:id="rId61">
        <w:r>
          <w:rPr>
            <w:rFonts w:ascii="Times New Roman" w:cs="Times New Roman" w:eastAsia="Times New Roman" w:hAnsi="Times New Roman"/>
            <w:sz w:val="17"/>
            <w:szCs w:val="17"/>
            <w:color w:val="0000FF"/>
          </w:rPr>
          <w:t>https://doi.org/10.1155/2013/678159</w:t>
        </w:r>
      </w:hyperlink>
    </w:p>
    <w:p>
      <w:pPr>
        <w:spacing w:after="0" w:line="17" w:lineRule="exact"/>
        <w:rPr>
          <w:sz w:val="20"/>
          <w:szCs w:val="20"/>
          <w:color w:val="auto"/>
        </w:rPr>
      </w:pPr>
    </w:p>
    <w:p>
      <w:pPr>
        <w:jc w:val="both"/>
        <w:ind w:left="340" w:hanging="338"/>
        <w:spacing w:after="0" w:line="251" w:lineRule="auto"/>
        <w:rPr>
          <w:sz w:val="20"/>
          <w:szCs w:val="20"/>
          <w:color w:val="auto"/>
        </w:rPr>
      </w:pPr>
      <w:r>
        <w:rPr>
          <w:rFonts w:ascii="Times New Roman" w:cs="Times New Roman" w:eastAsia="Times New Roman" w:hAnsi="Times New Roman"/>
          <w:sz w:val="16"/>
          <w:szCs w:val="16"/>
          <w:color w:val="131413"/>
        </w:rPr>
        <w:t>Shanmugaraju V, Bhakyaraj R (2016) Antimicrobial potential activity of leaf extracts of Catharanthus roseus against human pathogens under laboratory conditions. Int J Curr Res Biol Med 1:35</w:t>
      </w:r>
      <w:r>
        <w:rPr>
          <w:rFonts w:ascii="Arial" w:cs="Arial" w:eastAsia="Arial" w:hAnsi="Arial"/>
          <w:sz w:val="16"/>
          <w:szCs w:val="16"/>
          <w:color w:val="131413"/>
        </w:rPr>
        <w:t>–</w:t>
      </w:r>
      <w:r>
        <w:rPr>
          <w:rFonts w:ascii="Times New Roman" w:cs="Times New Roman" w:eastAsia="Times New Roman" w:hAnsi="Times New Roman"/>
          <w:sz w:val="16"/>
          <w:szCs w:val="16"/>
          <w:color w:val="131413"/>
        </w:rPr>
        <w:t>51</w:t>
      </w:r>
    </w:p>
    <w:p>
      <w:pPr>
        <w:jc w:val="both"/>
        <w:ind w:left="340" w:hanging="338"/>
        <w:spacing w:after="0" w:line="249"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Smitka K, Marešová D (2015) Adipose tissue as an endocrine organ: an update on pro-inflammatory and anti-inflammatory microenviron-ment. Prague Med Rep 116(2):87</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111. </w:t>
      </w:r>
      <w:hyperlink r:id="rId62">
        <w:r>
          <w:rPr>
            <w:rFonts w:ascii="Times New Roman" w:cs="Times New Roman" w:eastAsia="Times New Roman" w:hAnsi="Times New Roman"/>
            <w:sz w:val="17"/>
            <w:szCs w:val="17"/>
            <w:color w:val="0000FF"/>
          </w:rPr>
          <w:t>https://doi.org/10.14712/</w:t>
        </w:r>
      </w:hyperlink>
      <w:r>
        <w:rPr>
          <w:rFonts w:ascii="Times New Roman" w:cs="Times New Roman" w:eastAsia="Times New Roman" w:hAnsi="Times New Roman"/>
          <w:sz w:val="17"/>
          <w:szCs w:val="17"/>
          <w:color w:val="131413"/>
        </w:rPr>
        <w:t xml:space="preserve"> </w:t>
      </w:r>
      <w:hyperlink r:id="rId62">
        <w:r>
          <w:rPr>
            <w:rFonts w:ascii="Times New Roman" w:cs="Times New Roman" w:eastAsia="Times New Roman" w:hAnsi="Times New Roman"/>
            <w:sz w:val="17"/>
            <w:szCs w:val="17"/>
            <w:color w:val="0000FF"/>
          </w:rPr>
          <w:t>23362936.2015.49</w:t>
        </w:r>
      </w:hyperlink>
    </w:p>
    <w:p>
      <w:pPr>
        <w:spacing w:after="0" w:line="9" w:lineRule="exact"/>
        <w:rPr>
          <w:sz w:val="20"/>
          <w:szCs w:val="20"/>
          <w:color w:val="auto"/>
        </w:rPr>
      </w:pPr>
    </w:p>
    <w:p>
      <w:pPr>
        <w:jc w:val="both"/>
        <w:ind w:left="340" w:hanging="338"/>
        <w:spacing w:after="0" w:line="261" w:lineRule="auto"/>
        <w:rPr>
          <w:sz w:val="20"/>
          <w:szCs w:val="20"/>
          <w:color w:val="auto"/>
        </w:rPr>
      </w:pPr>
      <w:r>
        <w:rPr>
          <w:rFonts w:ascii="Times New Roman" w:cs="Times New Roman" w:eastAsia="Times New Roman" w:hAnsi="Times New Roman"/>
          <w:sz w:val="16"/>
          <w:szCs w:val="16"/>
          <w:color w:val="131413"/>
        </w:rPr>
        <w:t>Spencer M, Unal R, Zhu B, Rasouli N, McGehee RE Jr, Peterson CA, Kern PA (2011) Adipose tissue extracellular matrix and vascular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1901825</wp:posOffset>
            </wp:positionV>
            <wp:extent cx="483870" cy="13843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extLst>
                    </a:blip>
                    <a:srcRect/>
                    <a:stretch>
                      <a:fillRect/>
                    </a:stretch>
                  </pic:blipFill>
                  <pic:spPr bwMode="auto">
                    <a:xfrm>
                      <a:off x="0" y="0"/>
                      <a:ext cx="483870" cy="13843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9" w:lineRule="exact"/>
        <w:rPr>
          <w:sz w:val="20"/>
          <w:szCs w:val="20"/>
          <w:color w:val="auto"/>
        </w:rPr>
      </w:pPr>
    </w:p>
    <w:p>
      <w:pPr>
        <w:jc w:val="right"/>
        <w:spacing w:after="0" w:line="267"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abnormalities in obesity and insulin resistance. J Clin Endocrinol Metab 96(12):E1990</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E1998. </w:t>
      </w:r>
      <w:hyperlink r:id="rId64">
        <w:r>
          <w:rPr>
            <w:rFonts w:ascii="Times New Roman" w:cs="Times New Roman" w:eastAsia="Times New Roman" w:hAnsi="Times New Roman"/>
            <w:sz w:val="16"/>
            <w:szCs w:val="16"/>
            <w:color w:val="0000FF"/>
          </w:rPr>
          <w:t>https://doi.org/10.1210/jc.2011-1567</w:t>
        </w:r>
      </w:hyperlink>
      <w:r>
        <w:rPr>
          <w:rFonts w:ascii="Times New Roman" w:cs="Times New Roman" w:eastAsia="Times New Roman" w:hAnsi="Times New Roman"/>
          <w:sz w:val="16"/>
          <w:szCs w:val="16"/>
          <w:color w:val="131413"/>
        </w:rPr>
        <w:t xml:space="preserve"> Tanaka T, Narazaki M, Kishimoto T (2014) IL-6 in inflammation, immu-nity, and disease. Cold Spring Harb Perspect Biol 6(10):a016295.</w:t>
      </w:r>
    </w:p>
    <w:p>
      <w:pPr>
        <w:ind w:left="340"/>
        <w:spacing w:after="0" w:line="225" w:lineRule="auto"/>
        <w:rPr>
          <w:rFonts w:ascii="Times New Roman" w:cs="Times New Roman" w:eastAsia="Times New Roman" w:hAnsi="Times New Roman"/>
          <w:sz w:val="17"/>
          <w:szCs w:val="17"/>
          <w:color w:val="0000FF"/>
        </w:rPr>
      </w:pPr>
      <w:hyperlink r:id="rId65">
        <w:r>
          <w:rPr>
            <w:rFonts w:ascii="Times New Roman" w:cs="Times New Roman" w:eastAsia="Times New Roman" w:hAnsi="Times New Roman"/>
            <w:sz w:val="17"/>
            <w:szCs w:val="17"/>
            <w:color w:val="0000FF"/>
          </w:rPr>
          <w:t>https://doi.org/10.1101/cshperspect.a016295</w:t>
        </w:r>
      </w:hyperlink>
    </w:p>
    <w:p>
      <w:pPr>
        <w:spacing w:after="0" w:line="37" w:lineRule="exact"/>
        <w:rPr>
          <w:sz w:val="20"/>
          <w:szCs w:val="20"/>
          <w:color w:val="auto"/>
        </w:rPr>
      </w:pPr>
    </w:p>
    <w:p>
      <w:pPr>
        <w:jc w:val="both"/>
        <w:ind w:left="340" w:hanging="338"/>
        <w:spacing w:after="0" w:line="241" w:lineRule="auto"/>
        <w:rPr>
          <w:sz w:val="20"/>
          <w:szCs w:val="20"/>
          <w:color w:val="auto"/>
        </w:rPr>
      </w:pPr>
      <w:r>
        <w:rPr>
          <w:rFonts w:ascii="Times New Roman" w:cs="Times New Roman" w:eastAsia="Times New Roman" w:hAnsi="Times New Roman"/>
          <w:sz w:val="17"/>
          <w:szCs w:val="17"/>
          <w:color w:val="131413"/>
        </w:rPr>
        <w:t>van Tellingen O, Beijnen JH, Nooijen WJ, Bult A (1993) Plasma phar-macokinetics of vinblastine and the investigational Vinca alkaloid N-(deacetyl-O-4-vinblastoyl-23)-L-ethyl isoleucinate in mice as de-termined by high-performance liquid chromatography. Cancer Res 53(9):2061</w:t>
      </w:r>
      <w:r>
        <w:rPr>
          <w:rFonts w:ascii="Arial" w:cs="Arial" w:eastAsia="Arial" w:hAnsi="Arial"/>
          <w:sz w:val="17"/>
          <w:szCs w:val="17"/>
          <w:color w:val="131413"/>
        </w:rPr>
        <w:t>–</w:t>
      </w:r>
      <w:r>
        <w:rPr>
          <w:rFonts w:ascii="Times New Roman" w:cs="Times New Roman" w:eastAsia="Times New Roman" w:hAnsi="Times New Roman"/>
          <w:sz w:val="17"/>
          <w:szCs w:val="17"/>
          <w:color w:val="131413"/>
        </w:rPr>
        <w:t>2065</w:t>
      </w:r>
    </w:p>
    <w:p>
      <w:pPr>
        <w:spacing w:after="0" w:line="37" w:lineRule="exact"/>
        <w:rPr>
          <w:sz w:val="20"/>
          <w:szCs w:val="20"/>
          <w:color w:val="auto"/>
        </w:rPr>
      </w:pPr>
    </w:p>
    <w:p>
      <w:pPr>
        <w:jc w:val="both"/>
        <w:ind w:left="340" w:hanging="338"/>
        <w:spacing w:after="0" w:line="235"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 xml:space="preserve">The National Center for Biotechnology Information (2018) </w:t>
      </w:r>
      <w:hyperlink r:id="rId66">
        <w:r>
          <w:rPr>
            <w:rFonts w:ascii="Times New Roman" w:cs="Times New Roman" w:eastAsia="Times New Roman" w:hAnsi="Times New Roman"/>
            <w:sz w:val="17"/>
            <w:szCs w:val="17"/>
            <w:color w:val="0000FF"/>
          </w:rPr>
          <w:t>https://www.</w:t>
        </w:r>
      </w:hyperlink>
      <w:r>
        <w:rPr>
          <w:rFonts w:ascii="Times New Roman" w:cs="Times New Roman" w:eastAsia="Times New Roman" w:hAnsi="Times New Roman"/>
          <w:sz w:val="17"/>
          <w:szCs w:val="17"/>
          <w:color w:val="131413"/>
        </w:rPr>
        <w:t xml:space="preserve"> </w:t>
      </w:r>
      <w:hyperlink r:id="rId66">
        <w:r>
          <w:rPr>
            <w:rFonts w:ascii="Times New Roman" w:cs="Times New Roman" w:eastAsia="Times New Roman" w:hAnsi="Times New Roman"/>
            <w:sz w:val="17"/>
            <w:szCs w:val="17"/>
            <w:color w:val="0000FF"/>
          </w:rPr>
          <w:t>ncbi.nlm.nih.gov/genbank/</w:t>
        </w:r>
      </w:hyperlink>
      <w:r>
        <w:rPr>
          <w:rFonts w:ascii="Times New Roman" w:cs="Times New Roman" w:eastAsia="Times New Roman" w:hAnsi="Times New Roman"/>
          <w:sz w:val="17"/>
          <w:szCs w:val="17"/>
          <w:color w:val="131413"/>
        </w:rPr>
        <w:t>.</w:t>
      </w:r>
      <w:r>
        <w:rPr>
          <w:rFonts w:ascii="Times New Roman" w:cs="Times New Roman" w:eastAsia="Times New Roman" w:hAnsi="Times New Roman"/>
          <w:sz w:val="17"/>
          <w:szCs w:val="17"/>
          <w:color w:val="0000FF"/>
        </w:rPr>
        <w:t xml:space="preserve"> </w:t>
      </w:r>
      <w:r>
        <w:rPr>
          <w:rFonts w:ascii="Times New Roman" w:cs="Times New Roman" w:eastAsia="Times New Roman" w:hAnsi="Times New Roman"/>
          <w:sz w:val="17"/>
          <w:szCs w:val="17"/>
          <w:color w:val="131413"/>
        </w:rPr>
        <w:t>Accesed 10 Ocak 2018</w:t>
      </w:r>
    </w:p>
    <w:p>
      <w:pPr>
        <w:spacing w:after="0" w:line="37" w:lineRule="exact"/>
        <w:rPr>
          <w:sz w:val="20"/>
          <w:szCs w:val="20"/>
          <w:color w:val="auto"/>
        </w:rPr>
      </w:pPr>
    </w:p>
    <w:p>
      <w:pPr>
        <w:jc w:val="both"/>
        <w:ind w:left="340" w:hanging="338"/>
        <w:spacing w:after="0" w:line="259"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Tiong SH, Looi CY, Arya A, Wong WF, Hazni H, Mustafa MR, Awang K (2015) Vindogentianine, a hypoglycemic alkaloid from Catharanthus roseus (L.) G. Don (Apocynaceae). Fitoterapia 102: 182</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188. </w:t>
      </w:r>
      <w:hyperlink r:id="rId67">
        <w:r>
          <w:rPr>
            <w:rFonts w:ascii="Times New Roman" w:cs="Times New Roman" w:eastAsia="Times New Roman" w:hAnsi="Times New Roman"/>
            <w:sz w:val="16"/>
            <w:szCs w:val="16"/>
            <w:color w:val="0000FF"/>
          </w:rPr>
          <w:t>https://doi.org/10.1016/j.fitote.2015.01.019</w:t>
        </w:r>
      </w:hyperlink>
    </w:p>
    <w:p>
      <w:pPr>
        <w:spacing w:after="0" w:line="24"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Tsai Y-C, Yang B-C, Peng W-H, Lee Y-M, Yen M-H, Cheng P-Y (2017) Heme oxygenase-1 mediates anti-adipogenesis effect of raspberry ketone in 3T3-L1 cells. Phytomedicine 31:11</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17. </w:t>
      </w:r>
      <w:hyperlink r:id="rId68">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68">
        <w:r>
          <w:rPr>
            <w:rFonts w:ascii="Times New Roman" w:cs="Times New Roman" w:eastAsia="Times New Roman" w:hAnsi="Times New Roman"/>
            <w:sz w:val="17"/>
            <w:szCs w:val="17"/>
            <w:color w:val="0000FF"/>
          </w:rPr>
          <w:t>1016/j.phymed.2017.05.005</w:t>
        </w:r>
      </w:hyperlink>
    </w:p>
    <w:p>
      <w:pPr>
        <w:spacing w:after="0" w:line="37" w:lineRule="exact"/>
        <w:rPr>
          <w:sz w:val="20"/>
          <w:szCs w:val="20"/>
          <w:color w:val="auto"/>
        </w:rPr>
      </w:pPr>
    </w:p>
    <w:p>
      <w:pPr>
        <w:jc w:val="both"/>
        <w:ind w:left="340" w:hanging="338"/>
        <w:spacing w:after="0"/>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Uerlich MF, Yumuk V, Finer N, Basdevant A, Visscher TL (2016) Obesity management in Europe: current status and objectives for the future. Obes Facts 9(4):273</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283. </w:t>
      </w:r>
      <w:hyperlink r:id="rId69">
        <w:r>
          <w:rPr>
            <w:rFonts w:ascii="Times New Roman" w:cs="Times New Roman" w:eastAsia="Times New Roman" w:hAnsi="Times New Roman"/>
            <w:sz w:val="17"/>
            <w:szCs w:val="17"/>
            <w:color w:val="0000FF"/>
          </w:rPr>
          <w:t>https://doi.org/10.1159/</w:t>
        </w:r>
      </w:hyperlink>
      <w:r>
        <w:rPr>
          <w:rFonts w:ascii="Times New Roman" w:cs="Times New Roman" w:eastAsia="Times New Roman" w:hAnsi="Times New Roman"/>
          <w:sz w:val="17"/>
          <w:szCs w:val="17"/>
          <w:color w:val="131413"/>
        </w:rPr>
        <w:t xml:space="preserve"> </w:t>
      </w:r>
      <w:hyperlink r:id="rId69">
        <w:r>
          <w:rPr>
            <w:rFonts w:ascii="Times New Roman" w:cs="Times New Roman" w:eastAsia="Times New Roman" w:hAnsi="Times New Roman"/>
            <w:sz w:val="17"/>
            <w:szCs w:val="17"/>
            <w:color w:val="0000FF"/>
          </w:rPr>
          <w:t>000445192</w:t>
        </w:r>
      </w:hyperlink>
    </w:p>
    <w:p>
      <w:pPr>
        <w:spacing w:after="0" w:line="36" w:lineRule="exact"/>
        <w:rPr>
          <w:sz w:val="20"/>
          <w:szCs w:val="20"/>
          <w:color w:val="auto"/>
        </w:rPr>
      </w:pPr>
    </w:p>
    <w:p>
      <w:pPr>
        <w:jc w:val="both"/>
        <w:ind w:left="340" w:hanging="338"/>
        <w:spacing w:after="0" w:line="241" w:lineRule="auto"/>
        <w:rPr>
          <w:rFonts w:ascii="Times New Roman" w:cs="Times New Roman" w:eastAsia="Times New Roman" w:hAnsi="Times New Roman"/>
          <w:sz w:val="17"/>
          <w:szCs w:val="17"/>
          <w:color w:val="0000FF"/>
        </w:rPr>
      </w:pPr>
      <w:r>
        <w:rPr>
          <w:rFonts w:ascii="Times New Roman" w:cs="Times New Roman" w:eastAsia="Times New Roman" w:hAnsi="Times New Roman"/>
          <w:sz w:val="17"/>
          <w:szCs w:val="17"/>
          <w:color w:val="131413"/>
        </w:rPr>
        <w:t>van de Venter M, Roux S, Bungu LC, Louw J, Crouch NR, Grace OM, Maharaj V, Pillay P, Sewnarian P, Bhagwandin N (2008) Antidiabetic screening and scoring of 11 plants traditionally used in South Africa. J Ethnopharmacol 119(1):81</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86. </w:t>
      </w:r>
      <w:hyperlink r:id="rId70">
        <w:r>
          <w:rPr>
            <w:rFonts w:ascii="Times New Roman" w:cs="Times New Roman" w:eastAsia="Times New Roman" w:hAnsi="Times New Roman"/>
            <w:sz w:val="17"/>
            <w:szCs w:val="17"/>
            <w:color w:val="0000FF"/>
          </w:rPr>
          <w:t>https://doi.org/10.</w:t>
        </w:r>
      </w:hyperlink>
      <w:r>
        <w:rPr>
          <w:rFonts w:ascii="Times New Roman" w:cs="Times New Roman" w:eastAsia="Times New Roman" w:hAnsi="Times New Roman"/>
          <w:sz w:val="17"/>
          <w:szCs w:val="17"/>
          <w:color w:val="131413"/>
        </w:rPr>
        <w:t xml:space="preserve"> </w:t>
      </w:r>
      <w:hyperlink r:id="rId70">
        <w:r>
          <w:rPr>
            <w:rFonts w:ascii="Times New Roman" w:cs="Times New Roman" w:eastAsia="Times New Roman" w:hAnsi="Times New Roman"/>
            <w:sz w:val="17"/>
            <w:szCs w:val="17"/>
            <w:color w:val="0000FF"/>
          </w:rPr>
          <w:t>1016/j.jep.2008.05.031</w:t>
        </w:r>
      </w:hyperlink>
    </w:p>
    <w:p>
      <w:pPr>
        <w:spacing w:after="0" w:line="37" w:lineRule="exact"/>
        <w:rPr>
          <w:sz w:val="20"/>
          <w:szCs w:val="20"/>
          <w:color w:val="auto"/>
        </w:rPr>
      </w:pPr>
    </w:p>
    <w:p>
      <w:pPr>
        <w:jc w:val="both"/>
        <w:ind w:left="340" w:hanging="338"/>
        <w:spacing w:after="0" w:line="238" w:lineRule="auto"/>
        <w:rPr>
          <w:rFonts w:ascii="Times New Roman" w:cs="Times New Roman" w:eastAsia="Times New Roman" w:hAnsi="Times New Roman"/>
          <w:sz w:val="17"/>
          <w:szCs w:val="17"/>
          <w:color w:val="131413"/>
        </w:rPr>
      </w:pPr>
      <w:r>
        <w:rPr>
          <w:rFonts w:ascii="Times New Roman" w:cs="Times New Roman" w:eastAsia="Times New Roman" w:hAnsi="Times New Roman"/>
          <w:sz w:val="17"/>
          <w:szCs w:val="17"/>
          <w:color w:val="131413"/>
        </w:rPr>
        <w:t>Vishvanath L, Gupta RK (2019) Contribution of adipogenesis to healthy adipose tissue expansion in obesity. J Clin Investig 129(10):4022</w:t>
      </w:r>
      <w:r>
        <w:rPr>
          <w:rFonts w:ascii="Arial" w:cs="Arial" w:eastAsia="Arial" w:hAnsi="Arial"/>
          <w:sz w:val="17"/>
          <w:szCs w:val="17"/>
          <w:color w:val="131413"/>
        </w:rPr>
        <w:t>–</w:t>
      </w:r>
      <w:r>
        <w:rPr>
          <w:rFonts w:ascii="Times New Roman" w:cs="Times New Roman" w:eastAsia="Times New Roman" w:hAnsi="Times New Roman"/>
          <w:sz w:val="17"/>
          <w:szCs w:val="17"/>
          <w:color w:val="131413"/>
        </w:rPr>
        <w:t xml:space="preserve"> 4031. </w:t>
      </w:r>
      <w:hyperlink r:id="rId71">
        <w:r>
          <w:rPr>
            <w:rFonts w:ascii="Times New Roman" w:cs="Times New Roman" w:eastAsia="Times New Roman" w:hAnsi="Times New Roman"/>
            <w:sz w:val="17"/>
            <w:szCs w:val="17"/>
            <w:color w:val="0000FF"/>
          </w:rPr>
          <w:t>https://doi.org/10.1172/JCI129191</w:t>
        </w:r>
      </w:hyperlink>
    </w:p>
    <w:p>
      <w:pPr>
        <w:spacing w:after="0" w:line="38" w:lineRule="exact"/>
        <w:rPr>
          <w:sz w:val="20"/>
          <w:szCs w:val="20"/>
          <w:color w:val="auto"/>
        </w:rPr>
      </w:pPr>
    </w:p>
    <w:p>
      <w:pPr>
        <w:jc w:val="both"/>
        <w:ind w:left="340" w:hanging="338"/>
        <w:spacing w:after="0" w:line="259"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Wahjuni S, Santi SR, Gunawan AN (2015) Supplementation of Cantharanthus Roseus leaf extract as anti-inflammatory substance to hypercholesterolemic Wistar derived-rats. Pure Appl Chem Sci 3: 1</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9. </w:t>
      </w:r>
      <w:hyperlink r:id="rId72">
        <w:r>
          <w:rPr>
            <w:rFonts w:ascii="Times New Roman" w:cs="Times New Roman" w:eastAsia="Times New Roman" w:hAnsi="Times New Roman"/>
            <w:sz w:val="16"/>
            <w:szCs w:val="16"/>
            <w:color w:val="0000FF"/>
          </w:rPr>
          <w:t>https://doi.org/10.12988/pacs.2015.41011</w:t>
        </w:r>
      </w:hyperlink>
    </w:p>
    <w:p>
      <w:pPr>
        <w:spacing w:after="0" w:line="24" w:lineRule="exact"/>
        <w:rPr>
          <w:sz w:val="20"/>
          <w:szCs w:val="20"/>
          <w:color w:val="auto"/>
        </w:rPr>
      </w:pPr>
    </w:p>
    <w:p>
      <w:pPr>
        <w:jc w:val="both"/>
        <w:ind w:left="340" w:hanging="338"/>
        <w:spacing w:after="0" w:line="260"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Zebisch K, Voigt V, Wabitsch M, Brandsch M (2012) Protocol for effec-tive differentiation of 3T3-L1 cells to adipocytes. Anal Biochem 425(1):88</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90. </w:t>
      </w:r>
      <w:hyperlink r:id="rId73">
        <w:r>
          <w:rPr>
            <w:rFonts w:ascii="Times New Roman" w:cs="Times New Roman" w:eastAsia="Times New Roman" w:hAnsi="Times New Roman"/>
            <w:sz w:val="16"/>
            <w:szCs w:val="16"/>
            <w:color w:val="0000FF"/>
          </w:rPr>
          <w:t>https://doi.org/10.1016/j.ab.2012.03.005</w:t>
        </w:r>
      </w:hyperlink>
    </w:p>
    <w:p>
      <w:pPr>
        <w:spacing w:after="0" w:line="22" w:lineRule="exact"/>
        <w:rPr>
          <w:sz w:val="20"/>
          <w:szCs w:val="20"/>
          <w:color w:val="auto"/>
        </w:rPr>
      </w:pPr>
    </w:p>
    <w:p>
      <w:pPr>
        <w:jc w:val="right"/>
        <w:spacing w:after="0" w:line="263" w:lineRule="auto"/>
        <w:rPr>
          <w:rFonts w:ascii="Times New Roman" w:cs="Times New Roman" w:eastAsia="Times New Roman" w:hAnsi="Times New Roman"/>
          <w:sz w:val="16"/>
          <w:szCs w:val="16"/>
          <w:color w:val="131413"/>
        </w:rPr>
      </w:pPr>
      <w:r>
        <w:rPr>
          <w:rFonts w:ascii="Times New Roman" w:cs="Times New Roman" w:eastAsia="Times New Roman" w:hAnsi="Times New Roman"/>
          <w:sz w:val="16"/>
          <w:szCs w:val="16"/>
          <w:color w:val="131413"/>
        </w:rPr>
        <w:t>Zhang J, Wang L, Zhu X, Bai X, Yin H (2019) Simultaneous quantitation of aconitum alkaloids from you-Gui-yin in rat plasma by UPLC</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 ESI</w:t>
      </w:r>
      <w:r>
        <w:rPr>
          <w:rFonts w:ascii="Arial" w:cs="Arial" w:eastAsia="Arial" w:hAnsi="Arial"/>
          <w:sz w:val="16"/>
          <w:szCs w:val="16"/>
          <w:color w:val="131413"/>
        </w:rPr>
        <w:t>–</w:t>
      </w:r>
      <w:r>
        <w:rPr>
          <w:rFonts w:ascii="Times New Roman" w:cs="Times New Roman" w:eastAsia="Times New Roman" w:hAnsi="Times New Roman"/>
          <w:sz w:val="16"/>
          <w:szCs w:val="16"/>
          <w:color w:val="131413"/>
        </w:rPr>
        <w:t>MS and its application to a pharmacokinetic study. Acta Chromatogr 31(1):23</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27. </w:t>
      </w:r>
      <w:hyperlink r:id="rId74">
        <w:r>
          <w:rPr>
            <w:rFonts w:ascii="Times New Roman" w:cs="Times New Roman" w:eastAsia="Times New Roman" w:hAnsi="Times New Roman"/>
            <w:sz w:val="16"/>
            <w:szCs w:val="16"/>
            <w:color w:val="0000FF"/>
          </w:rPr>
          <w:t>https://doi.org/10.1556/1326.2017.00316</w:t>
        </w:r>
      </w:hyperlink>
      <w:r>
        <w:rPr>
          <w:rFonts w:ascii="Times New Roman" w:cs="Times New Roman" w:eastAsia="Times New Roman" w:hAnsi="Times New Roman"/>
          <w:sz w:val="16"/>
          <w:szCs w:val="16"/>
          <w:color w:val="131413"/>
        </w:rPr>
        <w:t xml:space="preserve"> Zieger K, Weiner J, Krause K, Schwarz M, Kohn M, Stumvoll M, Blüher M, Heiker JT (2018) Vaspin suppresses cytokine-induced inflam-mation in 3T3-L1 adipocytes via inhibition of NF</w:t>
      </w:r>
      <w:r>
        <w:rPr>
          <w:rFonts w:ascii="Arial" w:cs="Arial" w:eastAsia="Arial" w:hAnsi="Arial"/>
          <w:sz w:val="16"/>
          <w:szCs w:val="16"/>
          <w:color w:val="131413"/>
        </w:rPr>
        <w:t>κ</w:t>
      </w:r>
      <w:r>
        <w:rPr>
          <w:rFonts w:ascii="Times New Roman" w:cs="Times New Roman" w:eastAsia="Times New Roman" w:hAnsi="Times New Roman"/>
          <w:sz w:val="16"/>
          <w:szCs w:val="16"/>
          <w:color w:val="131413"/>
        </w:rPr>
        <w:t>B pathway. Mol Cell Endocrinol 460:181</w:t>
      </w:r>
      <w:r>
        <w:rPr>
          <w:rFonts w:ascii="Arial" w:cs="Arial" w:eastAsia="Arial" w:hAnsi="Arial"/>
          <w:sz w:val="16"/>
          <w:szCs w:val="16"/>
          <w:color w:val="131413"/>
        </w:rPr>
        <w:t>–</w:t>
      </w:r>
      <w:r>
        <w:rPr>
          <w:rFonts w:ascii="Times New Roman" w:cs="Times New Roman" w:eastAsia="Times New Roman" w:hAnsi="Times New Roman"/>
          <w:sz w:val="16"/>
          <w:szCs w:val="16"/>
          <w:color w:val="131413"/>
        </w:rPr>
        <w:t xml:space="preserve">188. </w:t>
      </w:r>
      <w:hyperlink r:id="rId75">
        <w:r>
          <w:rPr>
            <w:rFonts w:ascii="Times New Roman" w:cs="Times New Roman" w:eastAsia="Times New Roman" w:hAnsi="Times New Roman"/>
            <w:sz w:val="16"/>
            <w:szCs w:val="16"/>
            <w:color w:val="0000FF"/>
          </w:rPr>
          <w:t>https://doi.org/10.1016/j.mce.2017.</w:t>
        </w:r>
      </w:hyperlink>
    </w:p>
    <w:p>
      <w:pPr>
        <w:ind w:left="340"/>
        <w:spacing w:after="0" w:line="227" w:lineRule="auto"/>
        <w:rPr>
          <w:rFonts w:ascii="Times New Roman" w:cs="Times New Roman" w:eastAsia="Times New Roman" w:hAnsi="Times New Roman"/>
          <w:sz w:val="17"/>
          <w:szCs w:val="17"/>
          <w:color w:val="0000FF"/>
        </w:rPr>
      </w:pPr>
      <w:hyperlink r:id="rId75">
        <w:r>
          <w:rPr>
            <w:rFonts w:ascii="Times New Roman" w:cs="Times New Roman" w:eastAsia="Times New Roman" w:hAnsi="Times New Roman"/>
            <w:sz w:val="17"/>
            <w:szCs w:val="17"/>
            <w:color w:val="0000FF"/>
          </w:rPr>
          <w:t>07.022</w:t>
        </w:r>
      </w:hyperlink>
    </w:p>
    <w:p>
      <w:pPr>
        <w:spacing w:after="0" w:line="284" w:lineRule="exact"/>
        <w:rPr>
          <w:sz w:val="20"/>
          <w:szCs w:val="20"/>
          <w:color w:val="auto"/>
        </w:rPr>
      </w:pPr>
    </w:p>
    <w:p>
      <w:pPr>
        <w:jc w:val="both"/>
        <w:spacing w:after="0" w:line="235" w:lineRule="auto"/>
        <w:rPr>
          <w:sz w:val="20"/>
          <w:szCs w:val="20"/>
          <w:color w:val="auto"/>
        </w:rPr>
      </w:pPr>
      <w:r>
        <w:rPr>
          <w:rFonts w:ascii="Arial" w:cs="Arial" w:eastAsia="Arial" w:hAnsi="Arial"/>
          <w:sz w:val="17"/>
          <w:szCs w:val="17"/>
          <w:color w:val="131413"/>
        </w:rPr>
        <w:t xml:space="preserve">Publisher’s note </w:t>
      </w:r>
      <w:r>
        <w:rPr>
          <w:rFonts w:ascii="Times New Roman" w:cs="Times New Roman" w:eastAsia="Times New Roman" w:hAnsi="Times New Roman"/>
          <w:sz w:val="17"/>
          <w:szCs w:val="17"/>
          <w:color w:val="131413"/>
        </w:rPr>
        <w:t>Springer Nature remains neutral with regard to jurisdic-tional claims in published maps and institutional affiliations.</w:t>
      </w:r>
    </w:p>
    <w:sectPr>
      <w:pgSz w:w="11900" w:h="15817" w:orient="portrait"/>
      <w:cols w:equalWidth="0" w:num="2">
        <w:col w:w="4760" w:space="340"/>
        <w:col w:w="4760"/>
      </w:cols>
      <w:pgMar w:left="1020" w:top="649" w:right="1026"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507ED7AB"/>
    <w:multiLevelType w:val="hybridMultilevel"/>
    <w:lvl w:ilvl="0">
      <w:lvlJc w:val="left"/>
      <w:lvlText w:val="#"/>
      <w:numFmt w:val="bullet"/>
      <w:start w:val="1"/>
    </w:lvl>
  </w:abstractNum>
  <w:abstractNum w:abstractNumId="1">
    <w:nsid w:val="2EB141F2"/>
    <w:multiLevelType w:val="hybridMultilevel"/>
    <w:lvl w:ilvl="0">
      <w:lvlJc w:val="left"/>
      <w:lvlText w:val="*"/>
      <w:numFmt w:val="bullet"/>
      <w:start w:val="1"/>
    </w:lvl>
  </w:abstractNum>
  <w:abstractNum w:abstractNumId="2">
    <w:nsid w:val="41B71EFB"/>
    <w:multiLevelType w:val="hybridMultilevel"/>
    <w:lvl w:ilvl="0">
      <w:lvlJc w:val="left"/>
      <w:lvlText w:val="%1"/>
      <w:numFmt w:val="decimal"/>
      <w:start w:val="1"/>
    </w:lvl>
  </w:abstractNum>
  <w:abstractNum w:abstractNumId="3">
    <w:nsid w:val="79E2A9E3"/>
    <w:multiLevelType w:val="hybridMultilevel"/>
    <w:lvl w:ilvl="0">
      <w:lvlJc w:val="left"/>
      <w:lvlText w:val="%1"/>
      <w:numFmt w:val="decimal"/>
      <w:start w:val="1"/>
    </w:lvl>
  </w:abstractNum>
  <w:abstractNum w:abstractNumId="4">
    <w:nsid w:val="7545E146"/>
    <w:multiLevelType w:val="hybridMultilevel"/>
    <w:lvl w:ilvl="0">
      <w:lvlJc w:val="left"/>
      <w:lvlText w:val="%1."/>
      <w:numFmt w:val="decimal"/>
      <w:start w:val="1"/>
    </w:lvl>
  </w:abstractNum>
  <w:abstractNum w:abstractNumId="5">
    <w:nsid w:val="515F007C"/>
    <w:multiLevelType w:val="hybridMultilevel"/>
    <w:lvl w:ilvl="0">
      <w:lvlJc w:val="left"/>
      <w:lvlText w:val="%1"/>
      <w:numFmt w:val="decimal"/>
      <w:start w:val="48"/>
    </w:lvl>
  </w:abstractNum>
  <w:abstractNum w:abstractNumId="6">
    <w:nsid w:val="5BD062C2"/>
    <w:multiLevelType w:val="hybridMultilevel"/>
    <w:lvl w:ilvl="0">
      <w:lvlJc w:val="left"/>
      <w:lvlText w:val="%1."/>
      <w:numFmt w:val="decimal"/>
      <w:start w:val="628"/>
    </w:lvl>
  </w:abstractNum>
  <w:abstractNum w:abstractNumId="7">
    <w:nsid w:val="12200854"/>
    <w:multiLevelType w:val="hybridMultilevel"/>
    <w:lvl w:ilvl="0">
      <w:lvlJc w:val="left"/>
      <w:lvlText w:val="%1."/>
      <w:numFmt w:val="decimal"/>
      <w:start w:val="16"/>
    </w:lvl>
  </w:abstractNum>
  <w:abstractNum w:abstractNumId="8">
    <w:nsid w:val="4DB127F8"/>
    <w:multiLevelType w:val="hybridMultilevel"/>
    <w:lvl w:ilvl="0">
      <w:lvlJc w:val="left"/>
      <w:lvlText w:val="%1."/>
      <w:numFmt w:val="decimal"/>
      <w:start w:val="769"/>
    </w:lvl>
  </w:abstractNum>
  <w:abstractNum w:abstractNumId="9">
    <w:nsid w:val="216231B"/>
    <w:multiLevelType w:val="hybridMultilevel"/>
    <w:lvl w:ilvl="0">
      <w:lvlJc w:val="left"/>
      <w:lvlText w:val="%1."/>
      <w:numFmt w:val="decimal"/>
      <w:start w:val="13"/>
    </w:lvl>
  </w:abstractNum>
  <w:abstractNum w:abstractNumId="10">
    <w:nsid w:val="1F16E9E8"/>
    <w:multiLevelType w:val="hybridMultilevel"/>
    <w:lvl w:ilvl="0">
      <w:lvlJc w:val="left"/>
      <w:lvlText w:val="%1."/>
      <w:numFmt w:val="decimal"/>
      <w:start w:val="37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52" Type="http://schemas.openxmlformats.org/officeDocument/2006/relationships/image" Target="media/image16.png"/><Relationship Id="rId63" Type="http://schemas.openxmlformats.org/officeDocument/2006/relationships/image" Target="media/image17.png"/><Relationship Id="rId10" Type="http://schemas.openxmlformats.org/officeDocument/2006/relationships/hyperlink" Target="mailto:afiliz@mu.edu.tr" TargetMode="External"/><Relationship Id="rId16" Type="http://schemas.openxmlformats.org/officeDocument/2006/relationships/hyperlink" Target="http://rsb.info.nih.gov/ij/download.html" TargetMode="External"/><Relationship Id="rId25" Type="http://schemas.openxmlformats.org/officeDocument/2006/relationships/hyperlink" Target="https://doi.org/10.1016/S0140-6736(17)32129-3" TargetMode="External"/><Relationship Id="rId26" Type="http://schemas.openxmlformats.org/officeDocument/2006/relationships/hyperlink" Target="https://doi.org/10.3390/molecules20022973" TargetMode="External"/><Relationship Id="rId27" Type="http://schemas.openxmlformats.org/officeDocument/2006/relationships/hyperlink" Target="https://doi.org/10.1186/s12906-015-0899-6" TargetMode="External"/><Relationship Id="rId28" Type="http://schemas.openxmlformats.org/officeDocument/2006/relationships/hyperlink" Target="https://doi.org/10.29133/yyutbd.290146" TargetMode="External"/><Relationship Id="rId29" Type="http://schemas.openxmlformats.org/officeDocument/2006/relationships/hyperlink" Target="https://doi.org/10.3923/jbs.2008.1082.1086" TargetMode="External"/><Relationship Id="rId30" Type="http://schemas.openxmlformats.org/officeDocument/2006/relationships/hyperlink" Target="https://doi.org/10.5772/intechopen.82006" TargetMode="External"/><Relationship Id="rId31" Type="http://schemas.openxmlformats.org/officeDocument/2006/relationships/hyperlink" Target="https://doi.org/10.1186/s12906-019-2754-7" TargetMode="External"/><Relationship Id="rId32" Type="http://schemas.openxmlformats.org/officeDocument/2006/relationships/hyperlink" Target="https://doi.org/10.1210/er.2017-00253" TargetMode="External"/><Relationship Id="rId33" Type="http://schemas.openxmlformats.org/officeDocument/2006/relationships/hyperlink" Target="https://doi.org/10.1016/S2213-8587(14)70134-2" TargetMode="External"/><Relationship Id="rId34" Type="http://schemas.openxmlformats.org/officeDocument/2006/relationships/hyperlink" Target="https://doi.org/10.1007/978-3-319-48382-5_1" TargetMode="External"/><Relationship Id="rId35" Type="http://schemas.openxmlformats.org/officeDocument/2006/relationships/hyperlink" Target="https://doi.org/10.1155/2018/7191035" TargetMode="External"/><Relationship Id="rId36" Type="http://schemas.openxmlformats.org/officeDocument/2006/relationships/hyperlink" Target="https://doi.org/10.1155/2019/1515621" TargetMode="External"/><Relationship Id="rId37" Type="http://schemas.openxmlformats.org/officeDocument/2006/relationships/hyperlink" Target="https://doi.org/10.1016/j.beem.2005.07.010" TargetMode="External"/><Relationship Id="rId38" Type="http://schemas.openxmlformats.org/officeDocument/2006/relationships/hyperlink" Target="https://doi.org/10.1161/CIRCULATIONAHA.111.027813" TargetMode="External"/><Relationship Id="rId39" Type="http://schemas.openxmlformats.org/officeDocument/2006/relationships/hyperlink" Target="https://doi.org/10.1136/gut.50.5.624" TargetMode="External"/><Relationship Id="rId40" Type="http://schemas.openxmlformats.org/officeDocument/2006/relationships/hyperlink" Target="https://doi.org/10.1016/0092-8674(75)90087-2" TargetMode="External"/><Relationship Id="rId41" Type="http://schemas.openxmlformats.org/officeDocument/2006/relationships/hyperlink" Target="https://doi.org/10.1146/annurev-immunol-031210-101322" TargetMode="External"/><Relationship Id="rId42" Type="http://schemas.openxmlformats.org/officeDocument/2006/relationships/hyperlink" Target="https://doi.org/10.1097/MED.0b013e3283514e13" TargetMode="External"/><Relationship Id="rId43" Type="http://schemas.openxmlformats.org/officeDocument/2006/relationships/hyperlink" Target="https://doi.org/10.1016/j.tem.2019.09.004" TargetMode="External"/><Relationship Id="rId44" Type="http://schemas.openxmlformats.org/officeDocument/2006/relationships/hyperlink" Target="https://doi.org/10.4093/dmj.2012.36.1.13" TargetMode="External"/><Relationship Id="rId45" Type="http://schemas.openxmlformats.org/officeDocument/2006/relationships/hyperlink" Target="https://doi.org/10.1016/S1043-2760(00)00301-5" TargetMode="External"/><Relationship Id="rId46" Type="http://schemas.openxmlformats.org/officeDocument/2006/relationships/hyperlink" Target="https://doi.org/10.1101/gad.10.9.1096" TargetMode="External"/><Relationship Id="rId47" Type="http://schemas.openxmlformats.org/officeDocument/2006/relationships/hyperlink" Target="https://doi.org/10.1002/bmc.324" TargetMode="External"/><Relationship Id="rId48" Type="http://schemas.openxmlformats.org/officeDocument/2006/relationships/hyperlink" Target="https://doi.org/10.1016/j.bcp.2016.05.005" TargetMode="External"/><Relationship Id="rId49" Type="http://schemas.openxmlformats.org/officeDocument/2006/relationships/hyperlink" Target="https://doi.org/10.7150/jca.15792" TargetMode="External"/><Relationship Id="rId50" Type="http://schemas.openxmlformats.org/officeDocument/2006/relationships/hyperlink" Target="https://doi.org/10.1007/s00109-002-0384-9" TargetMode="External"/><Relationship Id="rId51" Type="http://schemas.openxmlformats.org/officeDocument/2006/relationships/hyperlink" Target="https://doi.org/10.1042/bj2920767" TargetMode="External"/><Relationship Id="rId53" Type="http://schemas.openxmlformats.org/officeDocument/2006/relationships/hyperlink" Target="https://doi.org/10.1186/1472-6882-6-41" TargetMode="External"/><Relationship Id="rId54" Type="http://schemas.openxmlformats.org/officeDocument/2006/relationships/hyperlink" Target="https://doi.org/10.1038/s41598-018-27210-w" TargetMode="External"/><Relationship Id="rId55" Type="http://schemas.openxmlformats.org/officeDocument/2006/relationships/hyperlink" Target="https://doi.org/10.1016/j.cell.2009.08.018" TargetMode="External"/><Relationship Id="rId56" Type="http://schemas.openxmlformats.org/officeDocument/2006/relationships/hyperlink" Target="https://doi.org/10.1016/j.diabres.2004.11.007" TargetMode="External"/><Relationship Id="rId57" Type="http://schemas.openxmlformats.org/officeDocument/2006/relationships/hyperlink" Target="https://doi.org/10.1159/000492115" TargetMode="External"/><Relationship Id="rId58" Type="http://schemas.openxmlformats.org/officeDocument/2006/relationships/hyperlink" Target="https://doi.org/10.1111/obr.12625" TargetMode="External"/><Relationship Id="rId59" Type="http://schemas.openxmlformats.org/officeDocument/2006/relationships/hyperlink" Target="https://doi.org/10.1556/2060.105.2018.1.8" TargetMode="External"/><Relationship Id="rId60" Type="http://schemas.openxmlformats.org/officeDocument/2006/relationships/hyperlink" Target="https://doi.org/10.1007/s13105-013-0233-z" TargetMode="External"/><Relationship Id="rId61" Type="http://schemas.openxmlformats.org/officeDocument/2006/relationships/hyperlink" Target="https://doi.org/10.1155/2013/678159" TargetMode="External"/><Relationship Id="rId62" Type="http://schemas.openxmlformats.org/officeDocument/2006/relationships/hyperlink" Target="https://doi.org/10.14712/23362936.2015.49" TargetMode="External"/><Relationship Id="rId64" Type="http://schemas.openxmlformats.org/officeDocument/2006/relationships/hyperlink" Target="https://doi.org/10.1210/jc.2011-1567" TargetMode="External"/><Relationship Id="rId65" Type="http://schemas.openxmlformats.org/officeDocument/2006/relationships/hyperlink" Target="https://doi.org/10.1101/cshperspect.a016295" TargetMode="External"/><Relationship Id="rId66" Type="http://schemas.openxmlformats.org/officeDocument/2006/relationships/hyperlink" Target="https://www.ncbi.nlm.nih.gov/genbank/" TargetMode="External"/><Relationship Id="rId67" Type="http://schemas.openxmlformats.org/officeDocument/2006/relationships/hyperlink" Target="https://doi.org/10.1016/j.fitote.2015.01.019" TargetMode="External"/><Relationship Id="rId68" Type="http://schemas.openxmlformats.org/officeDocument/2006/relationships/hyperlink" Target="https://doi.org/10.1016/j.phymed.2017.05.005" TargetMode="External"/><Relationship Id="rId69" Type="http://schemas.openxmlformats.org/officeDocument/2006/relationships/hyperlink" Target="https://doi.org/10.1159/000445192" TargetMode="External"/><Relationship Id="rId70" Type="http://schemas.openxmlformats.org/officeDocument/2006/relationships/hyperlink" Target="https://doi.org/10.1016/j.jep.2008.05.031" TargetMode="External"/><Relationship Id="rId71" Type="http://schemas.openxmlformats.org/officeDocument/2006/relationships/hyperlink" Target="https://doi.org/10.1172/JCI129191" TargetMode="External"/><Relationship Id="rId72" Type="http://schemas.openxmlformats.org/officeDocument/2006/relationships/hyperlink" Target="https://doi.org/10.12988/pacs.2015.41011" TargetMode="External"/><Relationship Id="rId73" Type="http://schemas.openxmlformats.org/officeDocument/2006/relationships/hyperlink" Target="https://doi.org/10.1016/j.ab.2012.03.005" TargetMode="External"/><Relationship Id="rId74" Type="http://schemas.openxmlformats.org/officeDocument/2006/relationships/hyperlink" Target="https://doi.org/10.1556/1326.2017.00316" TargetMode="External"/><Relationship Id="rId75" Type="http://schemas.openxmlformats.org/officeDocument/2006/relationships/hyperlink" Target="https://doi.org/10.1016/j.mce.2017.07.022"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2020-09-15T03:54:47Z</dcterms:created>
  <dcterms:modified xsi:type="dcterms:W3CDTF">2020-09-15T03:54:47Z</dcterms:modified>
</cp:coreProperties>
</file>