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3557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735570" cy="10058400"/>
                    </a:xfrm>
                    <a:prstGeom prst="rect">
                      <a:avLst/>
                    </a:prstGeom>
                    <a:noFill/>
                  </pic:spPr>
                </pic:pic>
              </a:graphicData>
            </a:graphic>
          </wp:anchor>
        </w:drawing>
      </w:r>
    </w:p>
    <w:p>
      <w:pPr>
        <w:sectPr>
          <w:pgSz w:w="12180" w:h="15840" w:orient="portrait"/>
          <w:cols w:equalWidth="1" w:num="1" w:space="0"/>
          <w:pgMar w:left="1440" w:top="1440" w:right="1440" w:bottom="875" w:gutter="0" w:footer="0" w:header="0"/>
        </w:sectPr>
      </w:pPr>
    </w:p>
    <w:bookmarkStart w:id="1" w:name="page2"/>
    <w:bookmarkEnd w:id="1"/>
    <w:tbl>
      <w:tblPr>
        <w:tblLayout w:type="fixed"/>
        <w:tblInd w:w="140" w:type="dxa"/>
        <w:tblCellMar>
          <w:top w:w="0" w:type="dxa"/>
          <w:left w:w="0" w:type="dxa"/>
          <w:bottom w:w="0" w:type="dxa"/>
          <w:right w:w="0" w:type="dxa"/>
        </w:tblCellMar>
      </w:tblPr>
      <w:tr>
        <w:trPr>
          <w:trHeight w:val="49"/>
        </w:trPr>
        <w:tc>
          <w:tcPr>
            <w:tcW w:w="1540" w:type="dxa"/>
            <w:vAlign w:val="bottom"/>
          </w:tcPr>
          <w:p>
            <w:pPr>
              <w:spacing w:after="0"/>
              <w:rPr>
                <w:sz w:val="4"/>
                <w:szCs w:val="4"/>
                <w:color w:val="auto"/>
              </w:rPr>
            </w:pPr>
          </w:p>
        </w:tc>
        <w:tc>
          <w:tcPr>
            <w:tcW w:w="1680" w:type="dxa"/>
            <w:vAlign w:val="bottom"/>
            <w:tcBorders>
              <w:top w:val="single" w:sz="8" w:color="F2F2F2"/>
              <w:bottom w:val="single" w:sz="8" w:color="F2F2F2"/>
            </w:tcBorders>
            <w:shd w:val="clear" w:color="auto" w:fill="F2F2F2"/>
          </w:tcPr>
          <w:p>
            <w:pPr>
              <w:spacing w:after="0"/>
              <w:rPr>
                <w:sz w:val="4"/>
                <w:szCs w:val="4"/>
                <w:color w:val="auto"/>
              </w:rPr>
            </w:pPr>
          </w:p>
        </w:tc>
        <w:tc>
          <w:tcPr>
            <w:tcW w:w="3360" w:type="dxa"/>
            <w:vAlign w:val="bottom"/>
            <w:tcBorders>
              <w:top w:val="single" w:sz="8" w:color="F2F2F2"/>
              <w:bottom w:val="single" w:sz="8" w:color="F2F2F2"/>
            </w:tcBorders>
            <w:shd w:val="clear" w:color="auto" w:fill="F2F2F2"/>
          </w:tcPr>
          <w:p>
            <w:pPr>
              <w:spacing w:after="0"/>
              <w:rPr>
                <w:sz w:val="4"/>
                <w:szCs w:val="4"/>
                <w:color w:val="auto"/>
              </w:rPr>
            </w:pPr>
          </w:p>
        </w:tc>
        <w:tc>
          <w:tcPr>
            <w:tcW w:w="1680" w:type="dxa"/>
            <w:vAlign w:val="bottom"/>
            <w:tcBorders>
              <w:top w:val="single" w:sz="8" w:color="F2F2F2"/>
              <w:bottom w:val="single" w:sz="8" w:color="F2F2F2"/>
            </w:tcBorders>
            <w:shd w:val="clear" w:color="auto" w:fill="F2F2F2"/>
          </w:tcPr>
          <w:p>
            <w:pPr>
              <w:spacing w:after="0"/>
              <w:rPr>
                <w:sz w:val="4"/>
                <w:szCs w:val="4"/>
                <w:color w:val="auto"/>
              </w:rPr>
            </w:pPr>
          </w:p>
        </w:tc>
        <w:tc>
          <w:tcPr>
            <w:tcW w:w="600" w:type="dxa"/>
            <w:vAlign w:val="bottom"/>
          </w:tcPr>
          <w:p>
            <w:pPr>
              <w:spacing w:after="0"/>
              <w:rPr>
                <w:sz w:val="4"/>
                <w:szCs w:val="4"/>
                <w:color w:val="auto"/>
              </w:rPr>
            </w:pPr>
          </w:p>
        </w:tc>
        <w:tc>
          <w:tcPr>
            <w:tcW w:w="1080" w:type="dxa"/>
            <w:vAlign w:val="bottom"/>
            <w:tcBorders>
              <w:top w:val="single" w:sz="8" w:color="auto"/>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6"/>
        </w:trPr>
        <w:tc>
          <w:tcPr>
            <w:tcW w:w="1540" w:type="dxa"/>
            <w:vAlign w:val="bottom"/>
          </w:tcPr>
          <w:p>
            <w:pPr>
              <w:jc w:val="center"/>
              <w:ind w:right="40"/>
              <w:spacing w:after="0"/>
              <w:rPr>
                <w:sz w:val="20"/>
                <w:szCs w:val="20"/>
                <w:color w:val="auto"/>
              </w:rPr>
            </w:pPr>
            <w:r>
              <w:rPr>
                <w:rFonts w:ascii="Cambria" w:cs="Cambria" w:eastAsia="Cambria" w:hAnsi="Cambria"/>
                <w:sz w:val="20"/>
                <w:szCs w:val="20"/>
                <w:b w:val="1"/>
                <w:bCs w:val="1"/>
                <w:color w:val="auto"/>
              </w:rPr>
              <w:t>S</w:t>
            </w:r>
            <w:r>
              <w:rPr>
                <w:rFonts w:ascii="Cambria" w:cs="Cambria" w:eastAsia="Cambria" w:hAnsi="Cambria"/>
                <w:sz w:val="16"/>
                <w:szCs w:val="16"/>
                <w:b w:val="1"/>
                <w:bCs w:val="1"/>
                <w:color w:val="auto"/>
              </w:rPr>
              <w:t>HORT</w:t>
            </w:r>
          </w:p>
        </w:tc>
        <w:tc>
          <w:tcPr>
            <w:tcW w:w="1680" w:type="dxa"/>
            <w:vAlign w:val="bottom"/>
            <w:shd w:val="clear" w:color="auto" w:fill="F2F2F2"/>
          </w:tcPr>
          <w:p>
            <w:pPr>
              <w:spacing w:after="0"/>
              <w:rPr>
                <w:sz w:val="21"/>
                <w:szCs w:val="21"/>
                <w:color w:val="auto"/>
              </w:rPr>
            </w:pPr>
          </w:p>
        </w:tc>
        <w:tc>
          <w:tcPr>
            <w:tcW w:w="3360" w:type="dxa"/>
            <w:vAlign w:val="bottom"/>
            <w:shd w:val="clear" w:color="auto" w:fill="F2F2F2"/>
          </w:tcPr>
          <w:p>
            <w:pPr>
              <w:jc w:val="center"/>
              <w:spacing w:after="0"/>
              <w:rPr>
                <w:sz w:val="20"/>
                <w:szCs w:val="20"/>
                <w:color w:val="auto"/>
              </w:rPr>
            </w:pPr>
            <w:r>
              <w:rPr>
                <w:rFonts w:ascii="Calibri" w:cs="Calibri" w:eastAsia="Calibri" w:hAnsi="Calibri"/>
                <w:sz w:val="16"/>
                <w:szCs w:val="16"/>
                <w:b w:val="1"/>
                <w:bCs w:val="1"/>
                <w:i w:val="1"/>
                <w:iCs w:val="1"/>
                <w:color w:val="auto"/>
                <w:shd w:val="clear" w:color="auto" w:fill="F2F2F2"/>
              </w:rPr>
              <w:t>Veterinary Research Forum. 2020; 11 (1) 83 – 88</w:t>
            </w:r>
          </w:p>
        </w:tc>
        <w:tc>
          <w:tcPr>
            <w:tcW w:w="1680" w:type="dxa"/>
            <w:vAlign w:val="bottom"/>
            <w:shd w:val="clear" w:color="auto" w:fill="F2F2F2"/>
          </w:tcPr>
          <w:p>
            <w:pPr>
              <w:spacing w:after="0"/>
              <w:rPr>
                <w:sz w:val="21"/>
                <w:szCs w:val="21"/>
                <w:color w:val="auto"/>
              </w:rPr>
            </w:pPr>
          </w:p>
        </w:tc>
        <w:tc>
          <w:tcPr>
            <w:tcW w:w="600" w:type="dxa"/>
            <w:vAlign w:val="bottom"/>
          </w:tcPr>
          <w:p>
            <w:pPr>
              <w:spacing w:after="0"/>
              <w:rPr>
                <w:sz w:val="21"/>
                <w:szCs w:val="21"/>
                <w:color w:val="auto"/>
              </w:rPr>
            </w:pPr>
          </w:p>
        </w:tc>
        <w:tc>
          <w:tcPr>
            <w:tcW w:w="1080" w:type="dxa"/>
            <w:vAlign w:val="bottom"/>
          </w:tcPr>
          <w:p>
            <w:pPr>
              <w:jc w:val="center"/>
              <w:spacing w:after="0"/>
              <w:rPr>
                <w:sz w:val="20"/>
                <w:szCs w:val="20"/>
                <w:color w:val="auto"/>
              </w:rPr>
            </w:pPr>
            <w:r>
              <w:rPr>
                <w:rFonts w:ascii="Cambria" w:cs="Cambria" w:eastAsia="Cambria" w:hAnsi="Cambria"/>
                <w:sz w:val="20"/>
                <w:szCs w:val="20"/>
                <w:b w:val="1"/>
                <w:bCs w:val="1"/>
                <w:color w:val="auto"/>
                <w:w w:val="96"/>
              </w:rPr>
              <w:t>Veterinary</w:t>
            </w:r>
          </w:p>
        </w:tc>
        <w:tc>
          <w:tcPr>
            <w:tcW w:w="0" w:type="dxa"/>
            <w:vAlign w:val="bottom"/>
          </w:tcPr>
          <w:p>
            <w:pPr>
              <w:spacing w:after="0"/>
              <w:rPr>
                <w:sz w:val="1"/>
                <w:szCs w:val="1"/>
                <w:color w:val="auto"/>
              </w:rPr>
            </w:pPr>
          </w:p>
        </w:tc>
      </w:tr>
      <w:tr>
        <w:trPr>
          <w:trHeight w:val="240"/>
        </w:trPr>
        <w:tc>
          <w:tcPr>
            <w:tcW w:w="1540" w:type="dxa"/>
            <w:vAlign w:val="bottom"/>
          </w:tcPr>
          <w:p>
            <w:pPr>
              <w:jc w:val="center"/>
              <w:ind w:right="40"/>
              <w:spacing w:after="0"/>
              <w:rPr>
                <w:sz w:val="20"/>
                <w:szCs w:val="20"/>
                <w:color w:val="auto"/>
              </w:rPr>
            </w:pPr>
            <w:r>
              <w:rPr>
                <w:rFonts w:ascii="Cambria" w:cs="Cambria" w:eastAsia="Cambria" w:hAnsi="Cambria"/>
                <w:sz w:val="20"/>
                <w:szCs w:val="20"/>
                <w:b w:val="1"/>
                <w:bCs w:val="1"/>
                <w:color w:val="auto"/>
              </w:rPr>
              <w:t>C</w:t>
            </w:r>
            <w:r>
              <w:rPr>
                <w:rFonts w:ascii="Cambria" w:cs="Cambria" w:eastAsia="Cambria" w:hAnsi="Cambria"/>
                <w:sz w:val="16"/>
                <w:szCs w:val="16"/>
                <w:b w:val="1"/>
                <w:bCs w:val="1"/>
                <w:color w:val="auto"/>
              </w:rPr>
              <w:t>OMMUNICATION</w:t>
            </w:r>
          </w:p>
        </w:tc>
        <w:tc>
          <w:tcPr>
            <w:tcW w:w="1680" w:type="dxa"/>
            <w:vAlign w:val="bottom"/>
            <w:shd w:val="clear" w:color="auto" w:fill="F2F2F2"/>
          </w:tcPr>
          <w:p>
            <w:pPr>
              <w:spacing w:after="0"/>
              <w:rPr>
                <w:sz w:val="20"/>
                <w:szCs w:val="20"/>
                <w:color w:val="auto"/>
              </w:rPr>
            </w:pPr>
          </w:p>
        </w:tc>
        <w:tc>
          <w:tcPr>
            <w:tcW w:w="3360" w:type="dxa"/>
            <w:vAlign w:val="bottom"/>
            <w:shd w:val="clear" w:color="auto" w:fill="F2F2F2"/>
          </w:tcPr>
          <w:p>
            <w:pPr>
              <w:jc w:val="center"/>
              <w:spacing w:after="0"/>
              <w:rPr>
                <w:sz w:val="20"/>
                <w:szCs w:val="20"/>
                <w:color w:val="auto"/>
              </w:rPr>
            </w:pPr>
            <w:r>
              <w:rPr>
                <w:rFonts w:ascii="Calibri" w:cs="Calibri" w:eastAsia="Calibri" w:hAnsi="Calibri"/>
                <w:sz w:val="18"/>
                <w:szCs w:val="18"/>
                <w:color w:val="auto"/>
              </w:rPr>
              <w:t>doi: 10.30466/vrf.2019.92045.2228</w:t>
            </w:r>
          </w:p>
        </w:tc>
        <w:tc>
          <w:tcPr>
            <w:tcW w:w="1680" w:type="dxa"/>
            <w:vAlign w:val="bottom"/>
            <w:shd w:val="clear" w:color="auto" w:fill="F2F2F2"/>
          </w:tcPr>
          <w:p>
            <w:pPr>
              <w:spacing w:after="0"/>
              <w:rPr>
                <w:sz w:val="20"/>
                <w:szCs w:val="20"/>
                <w:color w:val="auto"/>
              </w:rPr>
            </w:pPr>
          </w:p>
        </w:tc>
        <w:tc>
          <w:tcPr>
            <w:tcW w:w="600" w:type="dxa"/>
            <w:vAlign w:val="bottom"/>
          </w:tcPr>
          <w:p>
            <w:pPr>
              <w:spacing w:after="0"/>
              <w:rPr>
                <w:sz w:val="20"/>
                <w:szCs w:val="20"/>
                <w:color w:val="auto"/>
              </w:rPr>
            </w:pPr>
          </w:p>
        </w:tc>
        <w:tc>
          <w:tcPr>
            <w:tcW w:w="1080" w:type="dxa"/>
            <w:vAlign w:val="bottom"/>
          </w:tcPr>
          <w:p>
            <w:pPr>
              <w:jc w:val="center"/>
              <w:spacing w:after="0" w:line="233" w:lineRule="exact"/>
              <w:rPr>
                <w:sz w:val="20"/>
                <w:szCs w:val="20"/>
                <w:color w:val="auto"/>
              </w:rPr>
            </w:pPr>
            <w:r>
              <w:rPr>
                <w:rFonts w:ascii="Cambria" w:cs="Cambria" w:eastAsia="Cambria" w:hAnsi="Cambria"/>
                <w:sz w:val="20"/>
                <w:szCs w:val="20"/>
                <w:b w:val="1"/>
                <w:bCs w:val="1"/>
                <w:color w:val="auto"/>
                <w:w w:val="96"/>
              </w:rPr>
              <w:t>Research</w:t>
            </w:r>
          </w:p>
        </w:tc>
        <w:tc>
          <w:tcPr>
            <w:tcW w:w="0" w:type="dxa"/>
            <w:vAlign w:val="bottom"/>
          </w:tcPr>
          <w:p>
            <w:pPr>
              <w:spacing w:after="0"/>
              <w:rPr>
                <w:sz w:val="1"/>
                <w:szCs w:val="1"/>
                <w:color w:val="auto"/>
              </w:rPr>
            </w:pPr>
          </w:p>
        </w:tc>
      </w:tr>
      <w:tr>
        <w:trPr>
          <w:trHeight w:val="246"/>
        </w:trPr>
        <w:tc>
          <w:tcPr>
            <w:tcW w:w="1540" w:type="dxa"/>
            <w:vAlign w:val="bottom"/>
          </w:tcPr>
          <w:p>
            <w:pPr>
              <w:spacing w:after="0"/>
              <w:rPr>
                <w:sz w:val="21"/>
                <w:szCs w:val="21"/>
                <w:color w:val="auto"/>
              </w:rPr>
            </w:pPr>
          </w:p>
        </w:tc>
        <w:tc>
          <w:tcPr>
            <w:tcW w:w="1680" w:type="dxa"/>
            <w:vAlign w:val="bottom"/>
            <w:tcBorders>
              <w:bottom w:val="single" w:sz="8" w:color="F2F2F2"/>
            </w:tcBorders>
            <w:shd w:val="clear" w:color="auto" w:fill="F2F2F2"/>
          </w:tcPr>
          <w:p>
            <w:pPr>
              <w:spacing w:after="0"/>
              <w:rPr>
                <w:sz w:val="21"/>
                <w:szCs w:val="21"/>
                <w:color w:val="auto"/>
              </w:rPr>
            </w:pPr>
          </w:p>
        </w:tc>
        <w:tc>
          <w:tcPr>
            <w:tcW w:w="3360" w:type="dxa"/>
            <w:vAlign w:val="bottom"/>
            <w:tcBorders>
              <w:bottom w:val="single" w:sz="8" w:color="F2F2F2"/>
            </w:tcBorders>
            <w:vMerge w:val="restart"/>
            <w:shd w:val="clear" w:color="auto" w:fill="F2F2F2"/>
          </w:tcPr>
          <w:p>
            <w:pPr>
              <w:jc w:val="center"/>
              <w:spacing w:after="0"/>
              <w:rPr>
                <w:rFonts w:ascii="Calibri" w:cs="Calibri" w:eastAsia="Calibri" w:hAnsi="Calibri"/>
                <w:sz w:val="18"/>
                <w:szCs w:val="18"/>
                <w:color w:val="auto"/>
                <w:w w:val="99"/>
              </w:rPr>
            </w:pPr>
            <w:r>
              <w:rPr>
                <w:rFonts w:ascii="Calibri" w:cs="Calibri" w:eastAsia="Calibri" w:hAnsi="Calibri"/>
                <w:sz w:val="18"/>
                <w:szCs w:val="18"/>
                <w:color w:val="auto"/>
                <w:w w:val="99"/>
              </w:rPr>
              <w:t xml:space="preserve">Journal Homepage: </w:t>
            </w:r>
            <w:hyperlink r:id="rId9">
              <w:r>
                <w:rPr>
                  <w:rFonts w:ascii="Calibri" w:cs="Calibri" w:eastAsia="Calibri" w:hAnsi="Calibri"/>
                  <w:sz w:val="18"/>
                  <w:szCs w:val="18"/>
                  <w:color w:val="auto"/>
                  <w:w w:val="99"/>
                </w:rPr>
                <w:t>vrf.iranjournals.ir</w:t>
              </w:r>
            </w:hyperlink>
          </w:p>
        </w:tc>
        <w:tc>
          <w:tcPr>
            <w:tcW w:w="1680" w:type="dxa"/>
            <w:vAlign w:val="bottom"/>
            <w:tcBorders>
              <w:bottom w:val="single" w:sz="8" w:color="F2F2F2"/>
            </w:tcBorders>
            <w:shd w:val="clear" w:color="auto" w:fill="F2F2F2"/>
          </w:tcPr>
          <w:p>
            <w:pPr>
              <w:spacing w:after="0"/>
              <w:rPr>
                <w:sz w:val="21"/>
                <w:szCs w:val="21"/>
                <w:color w:val="auto"/>
              </w:rPr>
            </w:pPr>
          </w:p>
        </w:tc>
        <w:tc>
          <w:tcPr>
            <w:tcW w:w="600" w:type="dxa"/>
            <w:vAlign w:val="bottom"/>
          </w:tcPr>
          <w:p>
            <w:pPr>
              <w:spacing w:after="0"/>
              <w:rPr>
                <w:sz w:val="21"/>
                <w:szCs w:val="21"/>
                <w:color w:val="auto"/>
              </w:rPr>
            </w:pPr>
          </w:p>
        </w:tc>
        <w:tc>
          <w:tcPr>
            <w:tcW w:w="1080" w:type="dxa"/>
            <w:vAlign w:val="bottom"/>
            <w:tcBorders>
              <w:bottom w:val="single" w:sz="8" w:color="auto"/>
            </w:tcBorders>
          </w:tcPr>
          <w:p>
            <w:pPr>
              <w:jc w:val="center"/>
              <w:spacing w:after="0" w:line="233" w:lineRule="exact"/>
              <w:rPr>
                <w:sz w:val="20"/>
                <w:szCs w:val="20"/>
                <w:color w:val="auto"/>
              </w:rPr>
            </w:pPr>
            <w:r>
              <w:rPr>
                <w:rFonts w:ascii="Cambria" w:cs="Cambria" w:eastAsia="Cambria" w:hAnsi="Cambria"/>
                <w:sz w:val="20"/>
                <w:szCs w:val="20"/>
                <w:b w:val="1"/>
                <w:bCs w:val="1"/>
                <w:color w:val="auto"/>
                <w:w w:val="97"/>
              </w:rPr>
              <w:t>Forum</w:t>
            </w:r>
          </w:p>
        </w:tc>
        <w:tc>
          <w:tcPr>
            <w:tcW w:w="0" w:type="dxa"/>
            <w:vAlign w:val="bottom"/>
          </w:tcPr>
          <w:p>
            <w:pPr>
              <w:spacing w:after="0"/>
              <w:rPr>
                <w:sz w:val="1"/>
                <w:szCs w:val="1"/>
                <w:color w:val="auto"/>
              </w:rPr>
            </w:pPr>
          </w:p>
        </w:tc>
      </w:tr>
      <w:tr>
        <w:trPr>
          <w:trHeight w:val="23"/>
        </w:trPr>
        <w:tc>
          <w:tcPr>
            <w:tcW w:w="1540" w:type="dxa"/>
            <w:vAlign w:val="bottom"/>
          </w:tcPr>
          <w:p>
            <w:pPr>
              <w:spacing w:after="0"/>
              <w:rPr>
                <w:sz w:val="2"/>
                <w:szCs w:val="2"/>
                <w:color w:val="auto"/>
              </w:rPr>
            </w:pPr>
          </w:p>
        </w:tc>
        <w:tc>
          <w:tcPr>
            <w:tcW w:w="1680" w:type="dxa"/>
            <w:vAlign w:val="bottom"/>
            <w:tcBorders>
              <w:bottom w:val="single" w:sz="8" w:color="F2F2F2"/>
            </w:tcBorders>
            <w:shd w:val="clear" w:color="auto" w:fill="F2F2F2"/>
          </w:tcPr>
          <w:p>
            <w:pPr>
              <w:spacing w:after="0"/>
              <w:rPr>
                <w:sz w:val="2"/>
                <w:szCs w:val="2"/>
                <w:color w:val="auto"/>
              </w:rPr>
            </w:pPr>
          </w:p>
        </w:tc>
        <w:tc>
          <w:tcPr>
            <w:tcW w:w="3360" w:type="dxa"/>
            <w:vAlign w:val="bottom"/>
            <w:tcBorders>
              <w:bottom w:val="single" w:sz="8" w:color="F2F2F2"/>
            </w:tcBorders>
            <w:vMerge w:val="continue"/>
            <w:shd w:val="clear" w:color="auto" w:fill="F2F2F2"/>
          </w:tcPr>
          <w:p>
            <w:pPr>
              <w:spacing w:after="0"/>
              <w:rPr>
                <w:sz w:val="2"/>
                <w:szCs w:val="2"/>
                <w:color w:val="auto"/>
              </w:rPr>
            </w:pPr>
          </w:p>
        </w:tc>
        <w:tc>
          <w:tcPr>
            <w:tcW w:w="1680" w:type="dxa"/>
            <w:vAlign w:val="bottom"/>
            <w:tcBorders>
              <w:bottom w:val="single" w:sz="8" w:color="F2F2F2"/>
            </w:tcBorders>
            <w:shd w:val="clear" w:color="auto" w:fill="F2F2F2"/>
          </w:tcPr>
          <w:p>
            <w:pPr>
              <w:spacing w:after="0"/>
              <w:rPr>
                <w:sz w:val="2"/>
                <w:szCs w:val="2"/>
                <w:color w:val="auto"/>
              </w:rPr>
            </w:pPr>
          </w:p>
        </w:tc>
        <w:tc>
          <w:tcPr>
            <w:tcW w:w="600" w:type="dxa"/>
            <w:vAlign w:val="bottom"/>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4"/>
        </w:trPr>
        <w:tc>
          <w:tcPr>
            <w:tcW w:w="1540" w:type="dxa"/>
            <w:vAlign w:val="bottom"/>
          </w:tcPr>
          <w:p>
            <w:pPr>
              <w:spacing w:after="0"/>
              <w:rPr>
                <w:sz w:val="2"/>
                <w:szCs w:val="2"/>
                <w:color w:val="auto"/>
              </w:rPr>
            </w:pPr>
          </w:p>
        </w:tc>
        <w:tc>
          <w:tcPr>
            <w:tcW w:w="1680" w:type="dxa"/>
            <w:vAlign w:val="bottom"/>
            <w:shd w:val="clear" w:color="auto" w:fill="F2F2F2"/>
          </w:tcPr>
          <w:p>
            <w:pPr>
              <w:spacing w:after="0"/>
              <w:rPr>
                <w:sz w:val="2"/>
                <w:szCs w:val="2"/>
                <w:color w:val="auto"/>
              </w:rPr>
            </w:pPr>
          </w:p>
        </w:tc>
        <w:tc>
          <w:tcPr>
            <w:tcW w:w="3360" w:type="dxa"/>
            <w:vAlign w:val="bottom"/>
            <w:vMerge w:val="continue"/>
            <w:shd w:val="clear" w:color="auto" w:fill="F2F2F2"/>
          </w:tcPr>
          <w:p>
            <w:pPr>
              <w:spacing w:after="0"/>
              <w:rPr>
                <w:sz w:val="2"/>
                <w:szCs w:val="2"/>
                <w:color w:val="auto"/>
              </w:rPr>
            </w:pPr>
          </w:p>
        </w:tc>
        <w:tc>
          <w:tcPr>
            <w:tcW w:w="1680" w:type="dxa"/>
            <w:vAlign w:val="bottom"/>
            <w:shd w:val="clear" w:color="auto" w:fill="F2F2F2"/>
          </w:tcPr>
          <w:p>
            <w:pPr>
              <w:spacing w:after="0"/>
              <w:rPr>
                <w:sz w:val="2"/>
                <w:szCs w:val="2"/>
                <w:color w:val="auto"/>
              </w:rPr>
            </w:pPr>
          </w:p>
        </w:tc>
        <w:tc>
          <w:tcPr>
            <w:tcW w:w="600" w:type="dxa"/>
            <w:vAlign w:val="bottom"/>
          </w:tcPr>
          <w:p>
            <w:pPr>
              <w:spacing w:after="0"/>
              <w:rPr>
                <w:sz w:val="2"/>
                <w:szCs w:val="2"/>
                <w:color w:val="auto"/>
              </w:rPr>
            </w:pPr>
          </w:p>
        </w:tc>
        <w:tc>
          <w:tcPr>
            <w:tcW w:w="1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4"/>
        </w:trPr>
        <w:tc>
          <w:tcPr>
            <w:tcW w:w="1540" w:type="dxa"/>
            <w:vAlign w:val="bottom"/>
          </w:tcPr>
          <w:p>
            <w:pPr>
              <w:spacing w:after="0"/>
              <w:rPr>
                <w:sz w:val="8"/>
                <w:szCs w:val="8"/>
                <w:color w:val="auto"/>
              </w:rPr>
            </w:pPr>
          </w:p>
        </w:tc>
        <w:tc>
          <w:tcPr>
            <w:tcW w:w="1680" w:type="dxa"/>
            <w:vAlign w:val="bottom"/>
            <w:shd w:val="clear" w:color="auto" w:fill="F2F2F2"/>
          </w:tcPr>
          <w:p>
            <w:pPr>
              <w:spacing w:after="0"/>
              <w:rPr>
                <w:sz w:val="8"/>
                <w:szCs w:val="8"/>
                <w:color w:val="auto"/>
              </w:rPr>
            </w:pPr>
          </w:p>
        </w:tc>
        <w:tc>
          <w:tcPr>
            <w:tcW w:w="3360" w:type="dxa"/>
            <w:vAlign w:val="bottom"/>
            <w:shd w:val="clear" w:color="auto" w:fill="F2F2F2"/>
          </w:tcPr>
          <w:p>
            <w:pPr>
              <w:spacing w:after="0"/>
              <w:rPr>
                <w:sz w:val="8"/>
                <w:szCs w:val="8"/>
                <w:color w:val="auto"/>
              </w:rPr>
            </w:pPr>
          </w:p>
        </w:tc>
        <w:tc>
          <w:tcPr>
            <w:tcW w:w="1680" w:type="dxa"/>
            <w:vAlign w:val="bottom"/>
            <w:shd w:val="clear" w:color="auto" w:fill="F2F2F2"/>
          </w:tcPr>
          <w:p>
            <w:pPr>
              <w:spacing w:after="0"/>
              <w:rPr>
                <w:sz w:val="8"/>
                <w:szCs w:val="8"/>
                <w:color w:val="auto"/>
              </w:rPr>
            </w:pPr>
          </w:p>
        </w:tc>
        <w:tc>
          <w:tcPr>
            <w:tcW w:w="600" w:type="dxa"/>
            <w:vAlign w:val="bottom"/>
          </w:tcPr>
          <w:p>
            <w:pPr>
              <w:spacing w:after="0"/>
              <w:rPr>
                <w:sz w:val="8"/>
                <w:szCs w:val="8"/>
                <w:color w:val="auto"/>
              </w:rPr>
            </w:pPr>
          </w:p>
        </w:tc>
        <w:tc>
          <w:tcPr>
            <w:tcW w:w="108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30" w:lineRule="exact"/>
        <w:rPr>
          <w:sz w:val="20"/>
          <w:szCs w:val="20"/>
          <w:color w:val="auto"/>
        </w:rPr>
      </w:pPr>
    </w:p>
    <w:p>
      <w:pPr>
        <w:jc w:val="center"/>
        <w:ind w:left="1100" w:right="100"/>
        <w:spacing w:after="0"/>
        <w:rPr>
          <w:sz w:val="20"/>
          <w:szCs w:val="20"/>
          <w:color w:val="auto"/>
        </w:rPr>
      </w:pPr>
      <w:r>
        <w:rPr>
          <w:rFonts w:ascii="Cambria" w:cs="Cambria" w:eastAsia="Cambria" w:hAnsi="Cambria"/>
          <w:sz w:val="28"/>
          <w:szCs w:val="28"/>
          <w:b w:val="1"/>
          <w:bCs w:val="1"/>
          <w:color w:val="auto"/>
        </w:rPr>
        <w:t xml:space="preserve">Effect of replacement of fish oil with different plant oils in </w:t>
      </w:r>
      <w:r>
        <w:rPr>
          <w:rFonts w:ascii="Cambria" w:cs="Cambria" w:eastAsia="Cambria" w:hAnsi="Cambria"/>
          <w:sz w:val="28"/>
          <w:szCs w:val="28"/>
          <w:b w:val="1"/>
          <w:bCs w:val="1"/>
          <w:i w:val="1"/>
          <w:iCs w:val="1"/>
          <w:color w:val="auto"/>
        </w:rPr>
        <w:t>Oncorhynchus mykiss</w:t>
      </w:r>
      <w:r>
        <w:rPr>
          <w:rFonts w:ascii="Cambria" w:cs="Cambria" w:eastAsia="Cambria" w:hAnsi="Cambria"/>
          <w:sz w:val="28"/>
          <w:szCs w:val="28"/>
          <w:b w:val="1"/>
          <w:bCs w:val="1"/>
          <w:color w:val="auto"/>
        </w:rPr>
        <w:t xml:space="preserve"> broodstocks diets on egg and larval antioxidant defense development</w:t>
      </w:r>
    </w:p>
    <w:p>
      <w:pPr>
        <w:spacing w:after="0" w:line="169" w:lineRule="exact"/>
        <w:rPr>
          <w:sz w:val="20"/>
          <w:szCs w:val="20"/>
          <w:color w:val="auto"/>
        </w:rPr>
      </w:pPr>
    </w:p>
    <w:p>
      <w:pPr>
        <w:jc w:val="center"/>
        <w:ind w:right="40"/>
        <w:spacing w:after="0"/>
        <w:rPr>
          <w:sz w:val="20"/>
          <w:szCs w:val="20"/>
          <w:color w:val="auto"/>
        </w:rPr>
      </w:pPr>
      <w:r>
        <w:rPr>
          <w:rFonts w:ascii="Cambria" w:cs="Cambria" w:eastAsia="Cambria" w:hAnsi="Cambria"/>
          <w:sz w:val="18"/>
          <w:szCs w:val="18"/>
          <w:b w:val="1"/>
          <w:bCs w:val="1"/>
          <w:color w:val="auto"/>
        </w:rPr>
        <w:t>Shima Khezrian</w:t>
      </w:r>
      <w:r>
        <w:rPr>
          <w:rFonts w:ascii="Cambria" w:cs="Cambria" w:eastAsia="Cambria" w:hAnsi="Cambria"/>
          <w:sz w:val="12"/>
          <w:szCs w:val="12"/>
          <w:b w:val="1"/>
          <w:bCs w:val="1"/>
          <w:color w:val="auto"/>
        </w:rPr>
        <w:t>1</w:t>
      </w:r>
      <w:r>
        <w:rPr>
          <w:rFonts w:ascii="Cambria" w:cs="Cambria" w:eastAsia="Cambria" w:hAnsi="Cambria"/>
          <w:sz w:val="18"/>
          <w:szCs w:val="18"/>
          <w:b w:val="1"/>
          <w:bCs w:val="1"/>
          <w:color w:val="auto"/>
        </w:rPr>
        <w:t>, Amir Parviz Salati</w:t>
      </w:r>
      <w:r>
        <w:rPr>
          <w:rFonts w:ascii="Cambria" w:cs="Cambria" w:eastAsia="Cambria" w:hAnsi="Cambria"/>
          <w:sz w:val="12"/>
          <w:szCs w:val="12"/>
          <w:b w:val="1"/>
          <w:bCs w:val="1"/>
          <w:color w:val="auto"/>
        </w:rPr>
        <w:t>1</w:t>
      </w:r>
      <w:r>
        <w:rPr>
          <w:rFonts w:ascii="Cambria" w:cs="Cambria" w:eastAsia="Cambria" w:hAnsi="Cambria"/>
          <w:sz w:val="18"/>
          <w:szCs w:val="18"/>
          <w:b w:val="1"/>
          <w:bCs w:val="1"/>
          <w:color w:val="auto"/>
        </w:rPr>
        <w:t>*, Naser Agh</w:t>
      </w:r>
      <w:r>
        <w:rPr>
          <w:rFonts w:ascii="Cambria" w:cs="Cambria" w:eastAsia="Cambria" w:hAnsi="Cambria"/>
          <w:sz w:val="12"/>
          <w:szCs w:val="12"/>
          <w:b w:val="1"/>
          <w:bCs w:val="1"/>
          <w:color w:val="auto"/>
        </w:rPr>
        <w:t>2</w:t>
      </w:r>
      <w:r>
        <w:rPr>
          <w:rFonts w:ascii="Cambria" w:cs="Cambria" w:eastAsia="Cambria" w:hAnsi="Cambria"/>
          <w:sz w:val="18"/>
          <w:szCs w:val="18"/>
          <w:b w:val="1"/>
          <w:bCs w:val="1"/>
          <w:color w:val="auto"/>
        </w:rPr>
        <w:t>, Hossein Pasha-Zanoosi</w:t>
      </w:r>
      <w:r>
        <w:rPr>
          <w:rFonts w:ascii="Cambria" w:cs="Cambria" w:eastAsia="Cambria" w:hAnsi="Cambria"/>
          <w:sz w:val="12"/>
          <w:szCs w:val="12"/>
          <w:b w:val="1"/>
          <w:bCs w:val="1"/>
          <w:color w:val="auto"/>
        </w:rPr>
        <w:t>3</w:t>
      </w:r>
    </w:p>
    <w:p>
      <w:pPr>
        <w:spacing w:after="0" w:line="204" w:lineRule="exact"/>
        <w:rPr>
          <w:sz w:val="20"/>
          <w:szCs w:val="20"/>
          <w:color w:val="auto"/>
        </w:rPr>
      </w:pPr>
    </w:p>
    <w:p>
      <w:pPr>
        <w:jc w:val="center"/>
        <w:ind w:left="600" w:right="200" w:hanging="84"/>
        <w:spacing w:after="0" w:line="193" w:lineRule="auto"/>
        <w:tabs>
          <w:tab w:leader="none" w:pos="586" w:val="left"/>
        </w:tabs>
        <w:numPr>
          <w:ilvl w:val="0"/>
          <w:numId w:val="1"/>
        </w:numPr>
        <w:rPr>
          <w:rFonts w:ascii="Calibri" w:cs="Calibri" w:eastAsia="Calibri" w:hAnsi="Calibri"/>
          <w:sz w:val="20"/>
          <w:szCs w:val="20"/>
          <w:i w:val="1"/>
          <w:iCs w:val="1"/>
          <w:color w:val="auto"/>
          <w:vertAlign w:val="superscript"/>
        </w:rPr>
      </w:pPr>
      <w:r>
        <w:rPr>
          <w:rFonts w:ascii="Calibri" w:cs="Calibri" w:eastAsia="Calibri" w:hAnsi="Calibri"/>
          <w:sz w:val="16"/>
          <w:szCs w:val="16"/>
          <w:i w:val="1"/>
          <w:iCs w:val="1"/>
          <w:color w:val="auto"/>
        </w:rPr>
        <w:t xml:space="preserve">Department of Fisheries, Faculty of Marine Natural Resources, Khorramshahr University of Marine Science and Technology, Khorramshahr, Iran; </w:t>
      </w:r>
      <w:r>
        <w:rPr>
          <w:rFonts w:ascii="Calibri" w:cs="Calibri" w:eastAsia="Calibri" w:hAnsi="Calibri"/>
          <w:sz w:val="20"/>
          <w:szCs w:val="20"/>
          <w:i w:val="1"/>
          <w:iCs w:val="1"/>
          <w:color w:val="auto"/>
          <w:vertAlign w:val="superscript"/>
        </w:rPr>
        <w:t>2</w:t>
      </w:r>
      <w:r>
        <w:rPr>
          <w:rFonts w:ascii="Calibri" w:cs="Calibri" w:eastAsia="Calibri" w:hAnsi="Calibri"/>
          <w:sz w:val="16"/>
          <w:szCs w:val="16"/>
          <w:i w:val="1"/>
          <w:iCs w:val="1"/>
          <w:color w:val="auto"/>
        </w:rPr>
        <w:t xml:space="preserve"> Department of Biology and Aquaculture, Artemia and Aquaculture Research Institute, Urmia University, Urmia, Iran; </w:t>
      </w:r>
      <w:r>
        <w:rPr>
          <w:rFonts w:ascii="Calibri" w:cs="Calibri" w:eastAsia="Calibri" w:hAnsi="Calibri"/>
          <w:sz w:val="20"/>
          <w:szCs w:val="20"/>
          <w:i w:val="1"/>
          <w:iCs w:val="1"/>
          <w:color w:val="auto"/>
          <w:vertAlign w:val="superscript"/>
        </w:rPr>
        <w:t>3</w:t>
      </w:r>
      <w:r>
        <w:rPr>
          <w:rFonts w:ascii="Calibri" w:cs="Calibri" w:eastAsia="Calibri" w:hAnsi="Calibri"/>
          <w:sz w:val="16"/>
          <w:szCs w:val="16"/>
          <w:i w:val="1"/>
          <w:iCs w:val="1"/>
          <w:color w:val="auto"/>
        </w:rPr>
        <w:t xml:space="preserve"> Department of Physical Oceanography, Faculty of Marine Science, Khorramshahr University of Marine Science and Technology, Khorramshahr, Iran.</w:t>
      </w: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243"/>
        </w:trPr>
        <w:tc>
          <w:tcPr>
            <w:tcW w:w="2880" w:type="dxa"/>
            <w:vAlign w:val="bottom"/>
            <w:tcBorders>
              <w:top w:val="single" w:sz="8" w:color="auto"/>
            </w:tcBorders>
            <w:shd w:val="clear" w:color="auto" w:fill="F2F2F2"/>
          </w:tcPr>
          <w:p>
            <w:pPr>
              <w:ind w:left="60"/>
              <w:spacing w:after="0"/>
              <w:rPr>
                <w:sz w:val="20"/>
                <w:szCs w:val="20"/>
                <w:color w:val="auto"/>
              </w:rPr>
            </w:pPr>
            <w:r>
              <w:rPr>
                <w:rFonts w:ascii="Cambria" w:cs="Cambria" w:eastAsia="Cambria" w:hAnsi="Cambria"/>
                <w:sz w:val="18"/>
                <w:szCs w:val="18"/>
                <w:b w:val="1"/>
                <w:bCs w:val="1"/>
                <w:color w:val="auto"/>
              </w:rPr>
              <w:t>Article Info</w:t>
            </w:r>
          </w:p>
        </w:tc>
        <w:tc>
          <w:tcPr>
            <w:tcW w:w="180" w:type="dxa"/>
            <w:vAlign w:val="bottom"/>
            <w:tcBorders>
              <w:top w:val="single" w:sz="8" w:color="auto"/>
            </w:tcBorders>
          </w:tcPr>
          <w:p>
            <w:pPr>
              <w:spacing w:after="0"/>
              <w:rPr>
                <w:sz w:val="21"/>
                <w:szCs w:val="21"/>
                <w:color w:val="auto"/>
              </w:rPr>
            </w:pPr>
          </w:p>
        </w:tc>
        <w:tc>
          <w:tcPr>
            <w:tcW w:w="7020" w:type="dxa"/>
            <w:vAlign w:val="bottom"/>
            <w:tcBorders>
              <w:top w:val="single" w:sz="8" w:color="auto"/>
            </w:tcBorders>
          </w:tcPr>
          <w:p>
            <w:pPr>
              <w:ind w:left="20"/>
              <w:spacing w:after="0"/>
              <w:rPr>
                <w:sz w:val="20"/>
                <w:szCs w:val="20"/>
                <w:color w:val="auto"/>
              </w:rPr>
            </w:pPr>
            <w:r>
              <w:rPr>
                <w:rFonts w:ascii="Cambria" w:cs="Cambria" w:eastAsia="Cambria" w:hAnsi="Cambria"/>
                <w:sz w:val="20"/>
                <w:szCs w:val="20"/>
                <w:b w:val="1"/>
                <w:bCs w:val="1"/>
                <w:color w:val="auto"/>
              </w:rPr>
              <w:t>Abstract</w:t>
            </w:r>
          </w:p>
        </w:tc>
      </w:tr>
      <w:tr>
        <w:trPr>
          <w:trHeight w:val="122"/>
        </w:trPr>
        <w:tc>
          <w:tcPr>
            <w:tcW w:w="2880" w:type="dxa"/>
            <w:vAlign w:val="bottom"/>
            <w:tcBorders>
              <w:bottom w:val="single" w:sz="8" w:color="auto"/>
            </w:tcBorders>
            <w:shd w:val="clear" w:color="auto" w:fill="F2F2F2"/>
          </w:tcPr>
          <w:p>
            <w:pPr>
              <w:spacing w:after="0"/>
              <w:rPr>
                <w:sz w:val="10"/>
                <w:szCs w:val="10"/>
                <w:color w:val="auto"/>
              </w:rPr>
            </w:pPr>
          </w:p>
        </w:tc>
        <w:tc>
          <w:tcPr>
            <w:tcW w:w="180" w:type="dxa"/>
            <w:vAlign w:val="bottom"/>
          </w:tcPr>
          <w:p>
            <w:pPr>
              <w:spacing w:after="0"/>
              <w:rPr>
                <w:sz w:val="10"/>
                <w:szCs w:val="10"/>
                <w:color w:val="auto"/>
              </w:rPr>
            </w:pPr>
          </w:p>
        </w:tc>
        <w:tc>
          <w:tcPr>
            <w:tcW w:w="7020" w:type="dxa"/>
            <w:vAlign w:val="bottom"/>
            <w:tcBorders>
              <w:bottom w:val="single" w:sz="8" w:color="auto"/>
            </w:tcBorders>
          </w:tcPr>
          <w:p>
            <w:pPr>
              <w:spacing w:after="0"/>
              <w:rPr>
                <w:sz w:val="10"/>
                <w:szCs w:val="10"/>
                <w:color w:val="auto"/>
              </w:rPr>
            </w:pPr>
          </w:p>
        </w:tc>
      </w:tr>
      <w:tr>
        <w:trPr>
          <w:trHeight w:val="198"/>
        </w:trPr>
        <w:tc>
          <w:tcPr>
            <w:tcW w:w="2880" w:type="dxa"/>
            <w:vAlign w:val="bottom"/>
            <w:shd w:val="clear" w:color="auto" w:fill="F2F2F2"/>
          </w:tcPr>
          <w:p>
            <w:pPr>
              <w:ind w:left="60"/>
              <w:spacing w:after="0" w:line="197" w:lineRule="exact"/>
              <w:rPr>
                <w:sz w:val="20"/>
                <w:szCs w:val="20"/>
                <w:color w:val="auto"/>
              </w:rPr>
            </w:pPr>
            <w:r>
              <w:rPr>
                <w:rFonts w:ascii="Cambria" w:cs="Cambria" w:eastAsia="Cambria" w:hAnsi="Cambria"/>
                <w:sz w:val="18"/>
                <w:szCs w:val="18"/>
                <w:b w:val="1"/>
                <w:bCs w:val="1"/>
                <w:color w:val="auto"/>
              </w:rPr>
              <w:t>Article history:</w:t>
            </w:r>
          </w:p>
        </w:tc>
        <w:tc>
          <w:tcPr>
            <w:tcW w:w="180" w:type="dxa"/>
            <w:vAlign w:val="bottom"/>
          </w:tcPr>
          <w:p>
            <w:pPr>
              <w:spacing w:after="0"/>
              <w:rPr>
                <w:sz w:val="17"/>
                <w:szCs w:val="17"/>
                <w:color w:val="auto"/>
              </w:rPr>
            </w:pPr>
          </w:p>
        </w:tc>
        <w:tc>
          <w:tcPr>
            <w:tcW w:w="7020" w:type="dxa"/>
            <w:vAlign w:val="bottom"/>
          </w:tcPr>
          <w:p>
            <w:pPr>
              <w:jc w:val="right"/>
              <w:spacing w:after="0" w:line="197" w:lineRule="exact"/>
              <w:rPr>
                <w:sz w:val="20"/>
                <w:szCs w:val="20"/>
                <w:color w:val="auto"/>
              </w:rPr>
            </w:pPr>
            <w:r>
              <w:rPr>
                <w:rFonts w:ascii="Cambria" w:cs="Cambria" w:eastAsia="Cambria" w:hAnsi="Cambria"/>
                <w:sz w:val="18"/>
                <w:szCs w:val="18"/>
                <w:color w:val="auto"/>
              </w:rPr>
              <w:t>This study was undertaken to investigate the effects of feeding rainbow trout</w:t>
            </w:r>
          </w:p>
        </w:tc>
      </w:tr>
      <w:tr>
        <w:trPr>
          <w:trHeight w:val="209"/>
        </w:trPr>
        <w:tc>
          <w:tcPr>
            <w:tcW w:w="2880" w:type="dxa"/>
            <w:vAlign w:val="bottom"/>
            <w:shd w:val="clear" w:color="auto" w:fill="F2F2F2"/>
          </w:tcPr>
          <w:p>
            <w:pPr>
              <w:spacing w:after="0"/>
              <w:rPr>
                <w:sz w:val="18"/>
                <w:szCs w:val="18"/>
                <w:color w:val="auto"/>
              </w:rPr>
            </w:pPr>
          </w:p>
        </w:tc>
        <w:tc>
          <w:tcPr>
            <w:tcW w:w="180" w:type="dxa"/>
            <w:vAlign w:val="bottom"/>
          </w:tcPr>
          <w:p>
            <w:pPr>
              <w:spacing w:after="0"/>
              <w:rPr>
                <w:sz w:val="18"/>
                <w:szCs w:val="18"/>
                <w:color w:val="auto"/>
              </w:rPr>
            </w:pPr>
          </w:p>
        </w:tc>
        <w:tc>
          <w:tcPr>
            <w:tcW w:w="7020" w:type="dxa"/>
            <w:vAlign w:val="bottom"/>
          </w:tcPr>
          <w:p>
            <w:pPr>
              <w:jc w:val="right"/>
              <w:spacing w:after="0" w:line="209" w:lineRule="exact"/>
              <w:rPr>
                <w:sz w:val="20"/>
                <w:szCs w:val="20"/>
                <w:color w:val="auto"/>
              </w:rPr>
            </w:pPr>
            <w:r>
              <w:rPr>
                <w:rFonts w:ascii="Cambria" w:cs="Cambria" w:eastAsia="Cambria" w:hAnsi="Cambria"/>
                <w:sz w:val="18"/>
                <w:szCs w:val="18"/>
                <w:color w:val="auto"/>
                <w:w w:val="99"/>
              </w:rPr>
              <w:t>(</w:t>
            </w:r>
            <w:r>
              <w:rPr>
                <w:rFonts w:ascii="Cambria" w:cs="Cambria" w:eastAsia="Cambria" w:hAnsi="Cambria"/>
                <w:sz w:val="18"/>
                <w:szCs w:val="18"/>
                <w:i w:val="1"/>
                <w:iCs w:val="1"/>
                <w:color w:val="auto"/>
                <w:w w:val="99"/>
              </w:rPr>
              <w:t>Oncorhynchus mykiss)</w:t>
            </w:r>
            <w:r>
              <w:rPr>
                <w:rFonts w:ascii="Cambria" w:cs="Cambria" w:eastAsia="Cambria" w:hAnsi="Cambria"/>
                <w:sz w:val="18"/>
                <w:szCs w:val="18"/>
                <w:color w:val="auto"/>
                <w:w w:val="99"/>
              </w:rPr>
              <w:t xml:space="preserve"> broodstocks with different ratio of plant oils to evaluate the changes</w:t>
            </w:r>
          </w:p>
        </w:tc>
      </w:tr>
      <w:tr>
        <w:trPr>
          <w:trHeight w:val="211"/>
        </w:trPr>
        <w:tc>
          <w:tcPr>
            <w:tcW w:w="2880" w:type="dxa"/>
            <w:vAlign w:val="bottom"/>
            <w:shd w:val="clear" w:color="auto" w:fill="F2F2F2"/>
          </w:tcPr>
          <w:p>
            <w:pPr>
              <w:ind w:left="60"/>
              <w:spacing w:after="0"/>
              <w:rPr>
                <w:sz w:val="20"/>
                <w:szCs w:val="20"/>
                <w:color w:val="auto"/>
              </w:rPr>
            </w:pPr>
            <w:r>
              <w:rPr>
                <w:rFonts w:ascii="Cambria" w:cs="Cambria" w:eastAsia="Cambria" w:hAnsi="Cambria"/>
                <w:sz w:val="18"/>
                <w:szCs w:val="18"/>
                <w:color w:val="auto"/>
              </w:rPr>
              <w:t>Received: 17 August 2018</w:t>
            </w:r>
          </w:p>
        </w:tc>
        <w:tc>
          <w:tcPr>
            <w:tcW w:w="180" w:type="dxa"/>
            <w:vAlign w:val="bottom"/>
          </w:tcPr>
          <w:p>
            <w:pPr>
              <w:spacing w:after="0"/>
              <w:rPr>
                <w:sz w:val="18"/>
                <w:szCs w:val="18"/>
                <w:color w:val="auto"/>
              </w:rPr>
            </w:pPr>
          </w:p>
        </w:tc>
        <w:tc>
          <w:tcPr>
            <w:tcW w:w="7020" w:type="dxa"/>
            <w:vAlign w:val="bottom"/>
          </w:tcPr>
          <w:p>
            <w:pPr>
              <w:jc w:val="right"/>
              <w:spacing w:after="0"/>
              <w:rPr>
                <w:sz w:val="20"/>
                <w:szCs w:val="20"/>
                <w:color w:val="auto"/>
              </w:rPr>
            </w:pPr>
            <w:r>
              <w:rPr>
                <w:rFonts w:ascii="Cambria" w:cs="Cambria" w:eastAsia="Cambria" w:hAnsi="Cambria"/>
                <w:sz w:val="18"/>
                <w:szCs w:val="18"/>
                <w:color w:val="auto"/>
                <w:w w:val="97"/>
              </w:rPr>
              <w:t>in antioxidant defense status in the progenies. In the experimental diets, fish oil was replaced</w:t>
            </w:r>
          </w:p>
        </w:tc>
      </w:tr>
      <w:tr>
        <w:trPr>
          <w:trHeight w:val="211"/>
        </w:trPr>
        <w:tc>
          <w:tcPr>
            <w:tcW w:w="2880" w:type="dxa"/>
            <w:vAlign w:val="bottom"/>
            <w:shd w:val="clear" w:color="auto" w:fill="F2F2F2"/>
          </w:tcPr>
          <w:p>
            <w:pPr>
              <w:ind w:left="60"/>
              <w:spacing w:after="0"/>
              <w:rPr>
                <w:sz w:val="20"/>
                <w:szCs w:val="20"/>
                <w:color w:val="auto"/>
              </w:rPr>
            </w:pPr>
            <w:r>
              <w:rPr>
                <w:rFonts w:ascii="Cambria" w:cs="Cambria" w:eastAsia="Cambria" w:hAnsi="Cambria"/>
                <w:sz w:val="18"/>
                <w:szCs w:val="18"/>
                <w:color w:val="auto"/>
              </w:rPr>
              <w:t>Accepted: 24 April 2019</w:t>
            </w:r>
          </w:p>
        </w:tc>
        <w:tc>
          <w:tcPr>
            <w:tcW w:w="180" w:type="dxa"/>
            <w:vAlign w:val="bottom"/>
          </w:tcPr>
          <w:p>
            <w:pPr>
              <w:spacing w:after="0"/>
              <w:rPr>
                <w:sz w:val="18"/>
                <w:szCs w:val="18"/>
                <w:color w:val="auto"/>
              </w:rPr>
            </w:pPr>
          </w:p>
        </w:tc>
        <w:tc>
          <w:tcPr>
            <w:tcW w:w="7020" w:type="dxa"/>
            <w:vAlign w:val="bottom"/>
          </w:tcPr>
          <w:p>
            <w:pPr>
              <w:jc w:val="right"/>
              <w:spacing w:after="0"/>
              <w:rPr>
                <w:sz w:val="20"/>
                <w:szCs w:val="20"/>
                <w:color w:val="auto"/>
              </w:rPr>
            </w:pPr>
            <w:r>
              <w:rPr>
                <w:rFonts w:ascii="Cambria" w:cs="Cambria" w:eastAsia="Cambria" w:hAnsi="Cambria"/>
                <w:sz w:val="18"/>
                <w:szCs w:val="18"/>
                <w:color w:val="auto"/>
                <w:w w:val="97"/>
              </w:rPr>
              <w:t>with different combination of plant oils including corn oil, olive oil, sunflower oil, and coconut</w:t>
            </w:r>
          </w:p>
        </w:tc>
      </w:tr>
      <w:tr>
        <w:trPr>
          <w:trHeight w:val="211"/>
        </w:trPr>
        <w:tc>
          <w:tcPr>
            <w:tcW w:w="2880" w:type="dxa"/>
            <w:vAlign w:val="bottom"/>
            <w:shd w:val="clear" w:color="auto" w:fill="F2F2F2"/>
          </w:tcPr>
          <w:p>
            <w:pPr>
              <w:ind w:left="60"/>
              <w:spacing w:after="0"/>
              <w:rPr>
                <w:sz w:val="20"/>
                <w:szCs w:val="20"/>
                <w:color w:val="auto"/>
              </w:rPr>
            </w:pPr>
            <w:r>
              <w:rPr>
                <w:rFonts w:ascii="Cambria" w:cs="Cambria" w:eastAsia="Cambria" w:hAnsi="Cambria"/>
                <w:sz w:val="18"/>
                <w:szCs w:val="18"/>
                <w:color w:val="auto"/>
              </w:rPr>
              <w:t>Available online: 15 March 2020</w:t>
            </w:r>
          </w:p>
        </w:tc>
        <w:tc>
          <w:tcPr>
            <w:tcW w:w="180" w:type="dxa"/>
            <w:vAlign w:val="bottom"/>
          </w:tcPr>
          <w:p>
            <w:pPr>
              <w:spacing w:after="0"/>
              <w:rPr>
                <w:sz w:val="18"/>
                <w:szCs w:val="18"/>
                <w:color w:val="auto"/>
              </w:rPr>
            </w:pPr>
          </w:p>
        </w:tc>
        <w:tc>
          <w:tcPr>
            <w:tcW w:w="7020" w:type="dxa"/>
            <w:vAlign w:val="bottom"/>
          </w:tcPr>
          <w:p>
            <w:pPr>
              <w:jc w:val="right"/>
              <w:spacing w:after="0"/>
              <w:rPr>
                <w:sz w:val="20"/>
                <w:szCs w:val="20"/>
                <w:color w:val="auto"/>
              </w:rPr>
            </w:pPr>
            <w:r>
              <w:rPr>
                <w:rFonts w:ascii="Cambria" w:cs="Cambria" w:eastAsia="Cambria" w:hAnsi="Cambria"/>
                <w:sz w:val="18"/>
                <w:szCs w:val="18"/>
                <w:color w:val="auto"/>
                <w:w w:val="97"/>
              </w:rPr>
              <w:t>oil, to gain different levels of polyunsaturated fatty acids (PUFA) and highly unsaturated fatty</w:t>
            </w:r>
          </w:p>
        </w:tc>
      </w:tr>
      <w:tr>
        <w:trPr>
          <w:trHeight w:val="211"/>
        </w:trPr>
        <w:tc>
          <w:tcPr>
            <w:tcW w:w="2880" w:type="dxa"/>
            <w:vAlign w:val="bottom"/>
            <w:tcBorders>
              <w:bottom w:val="single" w:sz="8" w:color="auto"/>
            </w:tcBorders>
            <w:shd w:val="clear" w:color="auto" w:fill="F2F2F2"/>
          </w:tcPr>
          <w:p>
            <w:pPr>
              <w:spacing w:after="0"/>
              <w:rPr>
                <w:sz w:val="18"/>
                <w:szCs w:val="18"/>
                <w:color w:val="auto"/>
              </w:rPr>
            </w:pPr>
          </w:p>
        </w:tc>
        <w:tc>
          <w:tcPr>
            <w:tcW w:w="180" w:type="dxa"/>
            <w:vAlign w:val="bottom"/>
          </w:tcPr>
          <w:p>
            <w:pPr>
              <w:spacing w:after="0"/>
              <w:rPr>
                <w:sz w:val="18"/>
                <w:szCs w:val="18"/>
                <w:color w:val="auto"/>
              </w:rPr>
            </w:pPr>
          </w:p>
        </w:tc>
        <w:tc>
          <w:tcPr>
            <w:tcW w:w="7020" w:type="dxa"/>
            <w:vAlign w:val="bottom"/>
          </w:tcPr>
          <w:p>
            <w:pPr>
              <w:jc w:val="right"/>
              <w:spacing w:after="0"/>
              <w:rPr>
                <w:sz w:val="20"/>
                <w:szCs w:val="20"/>
                <w:color w:val="auto"/>
              </w:rPr>
            </w:pPr>
            <w:r>
              <w:rPr>
                <w:rFonts w:ascii="Cambria" w:cs="Cambria" w:eastAsia="Cambria" w:hAnsi="Cambria"/>
                <w:sz w:val="18"/>
                <w:szCs w:val="18"/>
                <w:color w:val="auto"/>
                <w:w w:val="99"/>
              </w:rPr>
              <w:t>acids (HUFA) in the experimental diets. Fish fed eight weeks with experimental diets before</w:t>
            </w:r>
          </w:p>
        </w:tc>
      </w:tr>
      <w:tr>
        <w:trPr>
          <w:trHeight w:val="193"/>
        </w:trPr>
        <w:tc>
          <w:tcPr>
            <w:tcW w:w="2880" w:type="dxa"/>
            <w:vAlign w:val="bottom"/>
            <w:shd w:val="clear" w:color="auto" w:fill="F2F2F2"/>
          </w:tcPr>
          <w:p>
            <w:pPr>
              <w:ind w:left="60"/>
              <w:spacing w:after="0" w:line="193" w:lineRule="exact"/>
              <w:rPr>
                <w:sz w:val="20"/>
                <w:szCs w:val="20"/>
                <w:color w:val="auto"/>
              </w:rPr>
            </w:pPr>
            <w:r>
              <w:rPr>
                <w:rFonts w:ascii="Cambria" w:cs="Cambria" w:eastAsia="Cambria" w:hAnsi="Cambria"/>
                <w:sz w:val="18"/>
                <w:szCs w:val="18"/>
                <w:b w:val="1"/>
                <w:bCs w:val="1"/>
                <w:color w:val="auto"/>
              </w:rPr>
              <w:t>Keywords:</w:t>
            </w:r>
          </w:p>
        </w:tc>
        <w:tc>
          <w:tcPr>
            <w:tcW w:w="180" w:type="dxa"/>
            <w:vAlign w:val="bottom"/>
          </w:tcPr>
          <w:p>
            <w:pPr>
              <w:spacing w:after="0"/>
              <w:rPr>
                <w:sz w:val="16"/>
                <w:szCs w:val="16"/>
                <w:color w:val="auto"/>
              </w:rPr>
            </w:pPr>
          </w:p>
        </w:tc>
        <w:tc>
          <w:tcPr>
            <w:tcW w:w="7020" w:type="dxa"/>
            <w:vAlign w:val="bottom"/>
          </w:tcPr>
          <w:p>
            <w:pPr>
              <w:jc w:val="right"/>
              <w:spacing w:after="0" w:line="191" w:lineRule="exact"/>
              <w:rPr>
                <w:sz w:val="20"/>
                <w:szCs w:val="20"/>
                <w:color w:val="auto"/>
              </w:rPr>
            </w:pPr>
            <w:r>
              <w:rPr>
                <w:rFonts w:ascii="Cambria" w:cs="Cambria" w:eastAsia="Cambria" w:hAnsi="Cambria"/>
                <w:sz w:val="18"/>
                <w:szCs w:val="18"/>
                <w:color w:val="auto"/>
                <w:w w:val="97"/>
              </w:rPr>
              <w:t>reproduction. After spawning, samples were taken on days 0, 5, 10, 15, 20, 25, 30 and 35 after</w:t>
            </w:r>
          </w:p>
        </w:tc>
      </w:tr>
      <w:tr>
        <w:trPr>
          <w:trHeight w:val="209"/>
        </w:trPr>
        <w:tc>
          <w:tcPr>
            <w:tcW w:w="2880" w:type="dxa"/>
            <w:vAlign w:val="bottom"/>
            <w:shd w:val="clear" w:color="auto" w:fill="F2F2F2"/>
          </w:tcPr>
          <w:p>
            <w:pPr>
              <w:spacing w:after="0"/>
              <w:rPr>
                <w:sz w:val="18"/>
                <w:szCs w:val="18"/>
                <w:color w:val="auto"/>
              </w:rPr>
            </w:pPr>
          </w:p>
        </w:tc>
        <w:tc>
          <w:tcPr>
            <w:tcW w:w="180" w:type="dxa"/>
            <w:vAlign w:val="bottom"/>
          </w:tcPr>
          <w:p>
            <w:pPr>
              <w:spacing w:after="0"/>
              <w:rPr>
                <w:sz w:val="18"/>
                <w:szCs w:val="18"/>
                <w:color w:val="auto"/>
              </w:rPr>
            </w:pPr>
          </w:p>
        </w:tc>
        <w:tc>
          <w:tcPr>
            <w:tcW w:w="7020" w:type="dxa"/>
            <w:vAlign w:val="bottom"/>
          </w:tcPr>
          <w:p>
            <w:pPr>
              <w:jc w:val="right"/>
              <w:spacing w:after="0" w:line="209" w:lineRule="exact"/>
              <w:rPr>
                <w:sz w:val="20"/>
                <w:szCs w:val="20"/>
                <w:color w:val="auto"/>
              </w:rPr>
            </w:pPr>
            <w:r>
              <w:rPr>
                <w:rFonts w:ascii="Cambria" w:cs="Cambria" w:eastAsia="Cambria" w:hAnsi="Cambria"/>
                <w:sz w:val="18"/>
                <w:szCs w:val="18"/>
                <w:color w:val="auto"/>
                <w:w w:val="98"/>
              </w:rPr>
              <w:t>fertilization. The samples were homogenized, centrifuged and the supernatant was removed</w:t>
            </w:r>
          </w:p>
        </w:tc>
      </w:tr>
      <w:tr>
        <w:trPr>
          <w:trHeight w:val="213"/>
        </w:trPr>
        <w:tc>
          <w:tcPr>
            <w:tcW w:w="2880" w:type="dxa"/>
            <w:vAlign w:val="bottom"/>
            <w:shd w:val="clear" w:color="auto" w:fill="F2F2F2"/>
          </w:tcPr>
          <w:p>
            <w:pPr>
              <w:ind w:left="60"/>
              <w:spacing w:after="0"/>
              <w:rPr>
                <w:sz w:val="20"/>
                <w:szCs w:val="20"/>
                <w:color w:val="auto"/>
              </w:rPr>
            </w:pPr>
            <w:r>
              <w:rPr>
                <w:rFonts w:ascii="Cambria" w:cs="Cambria" w:eastAsia="Cambria" w:hAnsi="Cambria"/>
                <w:sz w:val="18"/>
                <w:szCs w:val="18"/>
                <w:color w:val="auto"/>
              </w:rPr>
              <w:t>Antioxidant defense</w:t>
            </w:r>
          </w:p>
        </w:tc>
        <w:tc>
          <w:tcPr>
            <w:tcW w:w="180" w:type="dxa"/>
            <w:vAlign w:val="bottom"/>
          </w:tcPr>
          <w:p>
            <w:pPr>
              <w:spacing w:after="0"/>
              <w:rPr>
                <w:sz w:val="18"/>
                <w:szCs w:val="18"/>
                <w:color w:val="auto"/>
              </w:rPr>
            </w:pPr>
          </w:p>
        </w:tc>
        <w:tc>
          <w:tcPr>
            <w:tcW w:w="7020" w:type="dxa"/>
            <w:vAlign w:val="bottom"/>
          </w:tcPr>
          <w:p>
            <w:pPr>
              <w:jc w:val="right"/>
              <w:spacing w:after="0"/>
              <w:rPr>
                <w:sz w:val="20"/>
                <w:szCs w:val="20"/>
                <w:color w:val="auto"/>
              </w:rPr>
            </w:pPr>
            <w:r>
              <w:rPr>
                <w:rFonts w:ascii="Cambria" w:cs="Cambria" w:eastAsia="Cambria" w:hAnsi="Cambria"/>
                <w:sz w:val="18"/>
                <w:szCs w:val="18"/>
                <w:color w:val="auto"/>
                <w:w w:val="98"/>
              </w:rPr>
              <w:t>for determination of superoxide dismutase (SOD), catalase (CAT) and glutathione peroxidase</w:t>
            </w:r>
          </w:p>
        </w:tc>
      </w:tr>
      <w:tr>
        <w:trPr>
          <w:trHeight w:val="209"/>
        </w:trPr>
        <w:tc>
          <w:tcPr>
            <w:tcW w:w="2880" w:type="dxa"/>
            <w:vAlign w:val="bottom"/>
            <w:shd w:val="clear" w:color="auto" w:fill="F2F2F2"/>
          </w:tcPr>
          <w:p>
            <w:pPr>
              <w:ind w:left="60"/>
              <w:spacing w:after="0" w:line="209" w:lineRule="exact"/>
              <w:rPr>
                <w:sz w:val="20"/>
                <w:szCs w:val="20"/>
                <w:color w:val="auto"/>
              </w:rPr>
            </w:pPr>
            <w:r>
              <w:rPr>
                <w:rFonts w:ascii="Cambria" w:cs="Cambria" w:eastAsia="Cambria" w:hAnsi="Cambria"/>
                <w:sz w:val="18"/>
                <w:szCs w:val="18"/>
                <w:color w:val="auto"/>
              </w:rPr>
              <w:t>Diet</w:t>
            </w:r>
          </w:p>
        </w:tc>
        <w:tc>
          <w:tcPr>
            <w:tcW w:w="180" w:type="dxa"/>
            <w:vAlign w:val="bottom"/>
          </w:tcPr>
          <w:p>
            <w:pPr>
              <w:spacing w:after="0"/>
              <w:rPr>
                <w:sz w:val="18"/>
                <w:szCs w:val="18"/>
                <w:color w:val="auto"/>
              </w:rPr>
            </w:pPr>
          </w:p>
        </w:tc>
        <w:tc>
          <w:tcPr>
            <w:tcW w:w="7020" w:type="dxa"/>
            <w:vAlign w:val="bottom"/>
          </w:tcPr>
          <w:p>
            <w:pPr>
              <w:jc w:val="right"/>
              <w:spacing w:after="0" w:line="209" w:lineRule="exact"/>
              <w:rPr>
                <w:sz w:val="20"/>
                <w:szCs w:val="20"/>
                <w:color w:val="auto"/>
              </w:rPr>
            </w:pPr>
            <w:r>
              <w:rPr>
                <w:rFonts w:ascii="Cambria" w:cs="Cambria" w:eastAsia="Cambria" w:hAnsi="Cambria"/>
                <w:sz w:val="18"/>
                <w:szCs w:val="18"/>
                <w:color w:val="auto"/>
              </w:rPr>
              <w:t>(GPX) activity and malondialdehyde (MDA) content. Results showed that SOD activity was</w:t>
            </w:r>
          </w:p>
        </w:tc>
      </w:tr>
      <w:tr>
        <w:trPr>
          <w:trHeight w:val="211"/>
        </w:trPr>
        <w:tc>
          <w:tcPr>
            <w:tcW w:w="2880" w:type="dxa"/>
            <w:vAlign w:val="bottom"/>
            <w:shd w:val="clear" w:color="auto" w:fill="F2F2F2"/>
          </w:tcPr>
          <w:p>
            <w:pPr>
              <w:ind w:left="60"/>
              <w:spacing w:after="0"/>
              <w:rPr>
                <w:sz w:val="20"/>
                <w:szCs w:val="20"/>
                <w:color w:val="auto"/>
              </w:rPr>
            </w:pPr>
            <w:r>
              <w:rPr>
                <w:rFonts w:ascii="Cambria" w:cs="Cambria" w:eastAsia="Cambria" w:hAnsi="Cambria"/>
                <w:sz w:val="18"/>
                <w:szCs w:val="18"/>
                <w:color w:val="auto"/>
              </w:rPr>
              <w:t>Larvae</w:t>
            </w:r>
          </w:p>
        </w:tc>
        <w:tc>
          <w:tcPr>
            <w:tcW w:w="180" w:type="dxa"/>
            <w:vAlign w:val="bottom"/>
          </w:tcPr>
          <w:p>
            <w:pPr>
              <w:spacing w:after="0"/>
              <w:rPr>
                <w:sz w:val="18"/>
                <w:szCs w:val="18"/>
                <w:color w:val="auto"/>
              </w:rPr>
            </w:pPr>
          </w:p>
        </w:tc>
        <w:tc>
          <w:tcPr>
            <w:tcW w:w="7020" w:type="dxa"/>
            <w:vAlign w:val="bottom"/>
          </w:tcPr>
          <w:p>
            <w:pPr>
              <w:jc w:val="right"/>
              <w:spacing w:after="0" w:line="209" w:lineRule="exact"/>
              <w:rPr>
                <w:sz w:val="20"/>
                <w:szCs w:val="20"/>
                <w:color w:val="auto"/>
              </w:rPr>
            </w:pPr>
            <w:r>
              <w:rPr>
                <w:rFonts w:ascii="Cambria" w:cs="Cambria" w:eastAsia="Cambria" w:hAnsi="Cambria"/>
                <w:sz w:val="18"/>
                <w:szCs w:val="18"/>
                <w:color w:val="auto"/>
              </w:rPr>
              <w:t>significantly increased from the first sampling to day 35 in all treatment groups. The CAT</w:t>
            </w:r>
          </w:p>
        </w:tc>
      </w:tr>
      <w:tr>
        <w:trPr>
          <w:trHeight w:val="211"/>
        </w:trPr>
        <w:tc>
          <w:tcPr>
            <w:tcW w:w="2880" w:type="dxa"/>
            <w:vAlign w:val="bottom"/>
            <w:shd w:val="clear" w:color="auto" w:fill="F2F2F2"/>
          </w:tcPr>
          <w:p>
            <w:pPr>
              <w:ind w:left="60"/>
              <w:spacing w:after="0"/>
              <w:rPr>
                <w:sz w:val="20"/>
                <w:szCs w:val="20"/>
                <w:color w:val="auto"/>
              </w:rPr>
            </w:pPr>
            <w:r>
              <w:rPr>
                <w:rFonts w:ascii="Cambria" w:cs="Cambria" w:eastAsia="Cambria" w:hAnsi="Cambria"/>
                <w:sz w:val="18"/>
                <w:szCs w:val="18"/>
                <w:color w:val="auto"/>
              </w:rPr>
              <w:t>Plant oil</w:t>
            </w:r>
          </w:p>
        </w:tc>
        <w:tc>
          <w:tcPr>
            <w:tcW w:w="180" w:type="dxa"/>
            <w:vAlign w:val="bottom"/>
          </w:tcPr>
          <w:p>
            <w:pPr>
              <w:spacing w:after="0"/>
              <w:rPr>
                <w:sz w:val="18"/>
                <w:szCs w:val="18"/>
                <w:color w:val="auto"/>
              </w:rPr>
            </w:pPr>
          </w:p>
        </w:tc>
        <w:tc>
          <w:tcPr>
            <w:tcW w:w="7020" w:type="dxa"/>
            <w:vAlign w:val="bottom"/>
          </w:tcPr>
          <w:p>
            <w:pPr>
              <w:jc w:val="right"/>
              <w:spacing w:after="0" w:line="209" w:lineRule="exact"/>
              <w:rPr>
                <w:sz w:val="20"/>
                <w:szCs w:val="20"/>
                <w:color w:val="auto"/>
              </w:rPr>
            </w:pPr>
            <w:r>
              <w:rPr>
                <w:rFonts w:ascii="Cambria" w:cs="Cambria" w:eastAsia="Cambria" w:hAnsi="Cambria"/>
                <w:sz w:val="18"/>
                <w:szCs w:val="18"/>
                <w:color w:val="auto"/>
              </w:rPr>
              <w:t>activity showed a downward trend, as the highest CAT activity was observed in the eggs</w:t>
            </w:r>
          </w:p>
        </w:tc>
      </w:tr>
      <w:tr>
        <w:trPr>
          <w:trHeight w:val="211"/>
        </w:trPr>
        <w:tc>
          <w:tcPr>
            <w:tcW w:w="2880" w:type="dxa"/>
            <w:vAlign w:val="bottom"/>
            <w:shd w:val="clear" w:color="auto" w:fill="F2F2F2"/>
          </w:tcPr>
          <w:p>
            <w:pPr>
              <w:ind w:left="60"/>
              <w:spacing w:after="0"/>
              <w:rPr>
                <w:sz w:val="20"/>
                <w:szCs w:val="20"/>
                <w:color w:val="auto"/>
              </w:rPr>
            </w:pPr>
            <w:r>
              <w:rPr>
                <w:rFonts w:ascii="Cambria" w:cs="Cambria" w:eastAsia="Cambria" w:hAnsi="Cambria"/>
                <w:sz w:val="18"/>
                <w:szCs w:val="18"/>
                <w:color w:val="auto"/>
              </w:rPr>
              <w:t>Rainbow trout</w:t>
            </w:r>
          </w:p>
        </w:tc>
        <w:tc>
          <w:tcPr>
            <w:tcW w:w="180" w:type="dxa"/>
            <w:vAlign w:val="bottom"/>
          </w:tcPr>
          <w:p>
            <w:pPr>
              <w:spacing w:after="0"/>
              <w:rPr>
                <w:sz w:val="18"/>
                <w:szCs w:val="18"/>
                <w:color w:val="auto"/>
              </w:rPr>
            </w:pPr>
          </w:p>
        </w:tc>
        <w:tc>
          <w:tcPr>
            <w:tcW w:w="7020" w:type="dxa"/>
            <w:vAlign w:val="bottom"/>
          </w:tcPr>
          <w:p>
            <w:pPr>
              <w:jc w:val="right"/>
              <w:spacing w:after="0" w:line="209" w:lineRule="exact"/>
              <w:rPr>
                <w:sz w:val="20"/>
                <w:szCs w:val="20"/>
                <w:color w:val="auto"/>
              </w:rPr>
            </w:pPr>
            <w:r>
              <w:rPr>
                <w:rFonts w:ascii="Cambria" w:cs="Cambria" w:eastAsia="Cambria" w:hAnsi="Cambria"/>
                <w:sz w:val="18"/>
                <w:szCs w:val="18"/>
                <w:color w:val="auto"/>
              </w:rPr>
              <w:t>immediately after fertilization. The GPX activity declined until day five and then showed an</w:t>
            </w:r>
          </w:p>
        </w:tc>
      </w:tr>
      <w:tr>
        <w:trPr>
          <w:trHeight w:val="209"/>
        </w:trPr>
        <w:tc>
          <w:tcPr>
            <w:tcW w:w="2880" w:type="dxa"/>
            <w:vAlign w:val="bottom"/>
            <w:shd w:val="clear" w:color="auto" w:fill="F2F2F2"/>
          </w:tcPr>
          <w:p>
            <w:pPr>
              <w:spacing w:after="0"/>
              <w:rPr>
                <w:sz w:val="18"/>
                <w:szCs w:val="18"/>
                <w:color w:val="auto"/>
              </w:rPr>
            </w:pPr>
          </w:p>
        </w:tc>
        <w:tc>
          <w:tcPr>
            <w:tcW w:w="180" w:type="dxa"/>
            <w:vAlign w:val="bottom"/>
          </w:tcPr>
          <w:p>
            <w:pPr>
              <w:spacing w:after="0"/>
              <w:rPr>
                <w:sz w:val="18"/>
                <w:szCs w:val="18"/>
                <w:color w:val="auto"/>
              </w:rPr>
            </w:pPr>
          </w:p>
        </w:tc>
        <w:tc>
          <w:tcPr>
            <w:tcW w:w="7020" w:type="dxa"/>
            <w:vAlign w:val="bottom"/>
          </w:tcPr>
          <w:p>
            <w:pPr>
              <w:jc w:val="right"/>
              <w:spacing w:after="0" w:line="209" w:lineRule="exact"/>
              <w:rPr>
                <w:sz w:val="20"/>
                <w:szCs w:val="20"/>
                <w:color w:val="auto"/>
              </w:rPr>
            </w:pPr>
            <w:r>
              <w:rPr>
                <w:rFonts w:ascii="Cambria" w:cs="Cambria" w:eastAsia="Cambria" w:hAnsi="Cambria"/>
                <w:sz w:val="18"/>
                <w:szCs w:val="18"/>
                <w:color w:val="auto"/>
                <w:w w:val="99"/>
              </w:rPr>
              <w:t>increasing trend. The MDA content did not show significant changes in different groups and</w:t>
            </w:r>
          </w:p>
        </w:tc>
      </w:tr>
      <w:tr>
        <w:trPr>
          <w:trHeight w:val="211"/>
        </w:trPr>
        <w:tc>
          <w:tcPr>
            <w:tcW w:w="2880" w:type="dxa"/>
            <w:vAlign w:val="bottom"/>
            <w:shd w:val="clear" w:color="auto" w:fill="F2F2F2"/>
          </w:tcPr>
          <w:p>
            <w:pPr>
              <w:spacing w:after="0"/>
              <w:rPr>
                <w:sz w:val="18"/>
                <w:szCs w:val="18"/>
                <w:color w:val="auto"/>
              </w:rPr>
            </w:pPr>
          </w:p>
        </w:tc>
        <w:tc>
          <w:tcPr>
            <w:tcW w:w="180" w:type="dxa"/>
            <w:vAlign w:val="bottom"/>
          </w:tcPr>
          <w:p>
            <w:pPr>
              <w:spacing w:after="0"/>
              <w:rPr>
                <w:sz w:val="18"/>
                <w:szCs w:val="18"/>
                <w:color w:val="auto"/>
              </w:rPr>
            </w:pPr>
          </w:p>
        </w:tc>
        <w:tc>
          <w:tcPr>
            <w:tcW w:w="7020" w:type="dxa"/>
            <w:vAlign w:val="bottom"/>
          </w:tcPr>
          <w:p>
            <w:pPr>
              <w:jc w:val="right"/>
              <w:spacing w:after="0"/>
              <w:rPr>
                <w:sz w:val="20"/>
                <w:szCs w:val="20"/>
                <w:color w:val="auto"/>
              </w:rPr>
            </w:pPr>
            <w:r>
              <w:rPr>
                <w:rFonts w:ascii="Cambria" w:cs="Cambria" w:eastAsia="Cambria" w:hAnsi="Cambria"/>
                <w:sz w:val="18"/>
                <w:szCs w:val="18"/>
                <w:color w:val="auto"/>
                <w:w w:val="98"/>
              </w:rPr>
              <w:t>at different sampling times. The antioxidant enzymes activity was significantly influenced by</w:t>
            </w:r>
          </w:p>
        </w:tc>
      </w:tr>
      <w:tr>
        <w:trPr>
          <w:trHeight w:val="212"/>
        </w:trPr>
        <w:tc>
          <w:tcPr>
            <w:tcW w:w="2880" w:type="dxa"/>
            <w:vAlign w:val="bottom"/>
            <w:shd w:val="clear" w:color="auto" w:fill="F2F2F2"/>
          </w:tcPr>
          <w:p>
            <w:pPr>
              <w:spacing w:after="0"/>
              <w:rPr>
                <w:sz w:val="18"/>
                <w:szCs w:val="18"/>
                <w:color w:val="auto"/>
              </w:rPr>
            </w:pPr>
          </w:p>
        </w:tc>
        <w:tc>
          <w:tcPr>
            <w:tcW w:w="180" w:type="dxa"/>
            <w:vAlign w:val="bottom"/>
          </w:tcPr>
          <w:p>
            <w:pPr>
              <w:spacing w:after="0"/>
              <w:rPr>
                <w:sz w:val="18"/>
                <w:szCs w:val="18"/>
                <w:color w:val="auto"/>
              </w:rPr>
            </w:pPr>
          </w:p>
        </w:tc>
        <w:tc>
          <w:tcPr>
            <w:tcW w:w="7020" w:type="dxa"/>
            <w:vAlign w:val="bottom"/>
          </w:tcPr>
          <w:p>
            <w:pPr>
              <w:jc w:val="right"/>
              <w:spacing w:after="0"/>
              <w:rPr>
                <w:sz w:val="20"/>
                <w:szCs w:val="20"/>
                <w:color w:val="auto"/>
              </w:rPr>
            </w:pPr>
            <w:r>
              <w:rPr>
                <w:rFonts w:ascii="Cambria" w:cs="Cambria" w:eastAsia="Cambria" w:hAnsi="Cambria"/>
                <w:sz w:val="18"/>
                <w:szCs w:val="18"/>
                <w:color w:val="auto"/>
              </w:rPr>
              <w:t>the dietary PUFA level in the experimental groups but no change in MDA content was</w:t>
            </w:r>
          </w:p>
        </w:tc>
      </w:tr>
      <w:tr>
        <w:trPr>
          <w:trHeight w:val="211"/>
        </w:trPr>
        <w:tc>
          <w:tcPr>
            <w:tcW w:w="2880" w:type="dxa"/>
            <w:vAlign w:val="bottom"/>
            <w:shd w:val="clear" w:color="auto" w:fill="F2F2F2"/>
          </w:tcPr>
          <w:p>
            <w:pPr>
              <w:spacing w:after="0"/>
              <w:rPr>
                <w:sz w:val="18"/>
                <w:szCs w:val="18"/>
                <w:color w:val="auto"/>
              </w:rPr>
            </w:pPr>
          </w:p>
        </w:tc>
        <w:tc>
          <w:tcPr>
            <w:tcW w:w="180" w:type="dxa"/>
            <w:vAlign w:val="bottom"/>
          </w:tcPr>
          <w:p>
            <w:pPr>
              <w:spacing w:after="0"/>
              <w:rPr>
                <w:sz w:val="18"/>
                <w:szCs w:val="18"/>
                <w:color w:val="auto"/>
              </w:rPr>
            </w:pPr>
          </w:p>
        </w:tc>
        <w:tc>
          <w:tcPr>
            <w:tcW w:w="7020" w:type="dxa"/>
            <w:vAlign w:val="bottom"/>
          </w:tcPr>
          <w:p>
            <w:pPr>
              <w:jc w:val="right"/>
              <w:spacing w:after="0"/>
              <w:rPr>
                <w:sz w:val="20"/>
                <w:szCs w:val="20"/>
                <w:color w:val="auto"/>
              </w:rPr>
            </w:pPr>
            <w:r>
              <w:rPr>
                <w:rFonts w:ascii="Cambria" w:cs="Cambria" w:eastAsia="Cambria" w:hAnsi="Cambria"/>
                <w:sz w:val="18"/>
                <w:szCs w:val="18"/>
                <w:color w:val="auto"/>
                <w:w w:val="98"/>
              </w:rPr>
              <w:t>recorded, suggesting that the different percentages of fish oil replacement used in this study</w:t>
            </w:r>
          </w:p>
        </w:tc>
      </w:tr>
      <w:tr>
        <w:trPr>
          <w:trHeight w:val="211"/>
        </w:trPr>
        <w:tc>
          <w:tcPr>
            <w:tcW w:w="2880" w:type="dxa"/>
            <w:vAlign w:val="bottom"/>
            <w:shd w:val="clear" w:color="auto" w:fill="F2F2F2"/>
          </w:tcPr>
          <w:p>
            <w:pPr>
              <w:spacing w:after="0"/>
              <w:rPr>
                <w:sz w:val="18"/>
                <w:szCs w:val="18"/>
                <w:color w:val="auto"/>
              </w:rPr>
            </w:pPr>
          </w:p>
        </w:tc>
        <w:tc>
          <w:tcPr>
            <w:tcW w:w="180" w:type="dxa"/>
            <w:vAlign w:val="bottom"/>
          </w:tcPr>
          <w:p>
            <w:pPr>
              <w:spacing w:after="0"/>
              <w:rPr>
                <w:sz w:val="18"/>
                <w:szCs w:val="18"/>
                <w:color w:val="auto"/>
              </w:rPr>
            </w:pPr>
          </w:p>
        </w:tc>
        <w:tc>
          <w:tcPr>
            <w:tcW w:w="7020" w:type="dxa"/>
            <w:vAlign w:val="bottom"/>
          </w:tcPr>
          <w:p>
            <w:pPr>
              <w:ind w:left="20"/>
              <w:spacing w:after="0"/>
              <w:rPr>
                <w:sz w:val="20"/>
                <w:szCs w:val="20"/>
                <w:color w:val="auto"/>
              </w:rPr>
            </w:pPr>
            <w:r>
              <w:rPr>
                <w:rFonts w:ascii="Cambria" w:cs="Cambria" w:eastAsia="Cambria" w:hAnsi="Cambria"/>
                <w:sz w:val="18"/>
                <w:szCs w:val="18"/>
                <w:color w:val="auto"/>
              </w:rPr>
              <w:t xml:space="preserve">could not result in oxidative stress in early life stages of </w:t>
            </w:r>
            <w:r>
              <w:rPr>
                <w:rFonts w:ascii="Cambria" w:cs="Cambria" w:eastAsia="Cambria" w:hAnsi="Cambria"/>
                <w:sz w:val="18"/>
                <w:szCs w:val="18"/>
                <w:i w:val="1"/>
                <w:iCs w:val="1"/>
                <w:color w:val="auto"/>
              </w:rPr>
              <w:t>O. mykiss</w:t>
            </w:r>
            <w:r>
              <w:rPr>
                <w:rFonts w:ascii="Cambria" w:cs="Cambria" w:eastAsia="Cambria" w:hAnsi="Cambria"/>
                <w:sz w:val="18"/>
                <w:szCs w:val="18"/>
                <w:color w:val="auto"/>
              </w:rPr>
              <w:t>.</w:t>
            </w:r>
          </w:p>
        </w:tc>
      </w:tr>
      <w:tr>
        <w:trPr>
          <w:trHeight w:val="287"/>
        </w:trPr>
        <w:tc>
          <w:tcPr>
            <w:tcW w:w="2880" w:type="dxa"/>
            <w:vAlign w:val="bottom"/>
            <w:shd w:val="clear" w:color="auto" w:fill="F2F2F2"/>
          </w:tcPr>
          <w:p>
            <w:pPr>
              <w:spacing w:after="0"/>
              <w:rPr>
                <w:sz w:val="24"/>
                <w:szCs w:val="24"/>
                <w:color w:val="auto"/>
              </w:rPr>
            </w:pPr>
          </w:p>
        </w:tc>
        <w:tc>
          <w:tcPr>
            <w:tcW w:w="180" w:type="dxa"/>
            <w:vAlign w:val="bottom"/>
          </w:tcPr>
          <w:p>
            <w:pPr>
              <w:spacing w:after="0"/>
              <w:rPr>
                <w:sz w:val="24"/>
                <w:szCs w:val="24"/>
                <w:color w:val="auto"/>
              </w:rPr>
            </w:pPr>
          </w:p>
        </w:tc>
        <w:tc>
          <w:tcPr>
            <w:tcW w:w="7020" w:type="dxa"/>
            <w:vAlign w:val="bottom"/>
          </w:tcPr>
          <w:p>
            <w:pPr>
              <w:jc w:val="right"/>
              <w:spacing w:after="0"/>
              <w:rPr>
                <w:sz w:val="20"/>
                <w:szCs w:val="20"/>
                <w:color w:val="auto"/>
              </w:rPr>
            </w:pPr>
            <w:r>
              <w:rPr>
                <w:rFonts w:ascii="Cambria" w:cs="Cambria" w:eastAsia="Cambria" w:hAnsi="Cambria"/>
                <w:sz w:val="14"/>
                <w:szCs w:val="14"/>
                <w:b w:val="1"/>
                <w:bCs w:val="1"/>
                <w:color w:val="auto"/>
              </w:rPr>
              <w:t>© 2020 Urmia University. All rights reserved.</w:t>
            </w:r>
          </w:p>
        </w:tc>
      </w:tr>
      <w:tr>
        <w:trPr>
          <w:trHeight w:val="121"/>
        </w:trPr>
        <w:tc>
          <w:tcPr>
            <w:tcW w:w="2880" w:type="dxa"/>
            <w:vAlign w:val="bottom"/>
            <w:tcBorders>
              <w:bottom w:val="single" w:sz="8" w:color="auto"/>
            </w:tcBorders>
            <w:shd w:val="clear" w:color="auto" w:fill="F2F2F2"/>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7020" w:type="dxa"/>
            <w:vAlign w:val="bottom"/>
            <w:tcBorders>
              <w:bottom w:val="single" w:sz="8" w:color="auto"/>
            </w:tcBorders>
          </w:tcPr>
          <w:p>
            <w:pPr>
              <w:spacing w:after="0"/>
              <w:rPr>
                <w:sz w:val="10"/>
                <w:szCs w:val="10"/>
                <w:color w:val="auto"/>
              </w:rPr>
            </w:pPr>
          </w:p>
        </w:tc>
      </w:tr>
    </w:tbl>
    <w:p>
      <w:pPr>
        <w:spacing w:after="0" w:line="200" w:lineRule="exact"/>
        <w:rPr>
          <w:sz w:val="20"/>
          <w:szCs w:val="20"/>
          <w:color w:val="auto"/>
        </w:rPr>
      </w:pPr>
    </w:p>
    <w:p>
      <w:pPr>
        <w:sectPr>
          <w:pgSz w:w="12240" w:h="15840" w:orient="portrait"/>
          <w:cols w:equalWidth="0" w:num="1">
            <w:col w:w="10100"/>
          </w:cols>
          <w:pgMar w:left="1080" w:top="1419" w:right="1060" w:bottom="316" w:gutter="0" w:footer="0" w:header="0"/>
        </w:sectPr>
      </w:pPr>
    </w:p>
    <w:p>
      <w:pPr>
        <w:spacing w:after="0" w:line="44" w:lineRule="exact"/>
        <w:rPr>
          <w:sz w:val="20"/>
          <w:szCs w:val="20"/>
          <w:color w:val="auto"/>
        </w:rPr>
      </w:pPr>
    </w:p>
    <w:p>
      <w:pPr>
        <w:ind w:left="20"/>
        <w:spacing w:after="0"/>
        <w:rPr>
          <w:sz w:val="20"/>
          <w:szCs w:val="20"/>
          <w:color w:val="auto"/>
        </w:rPr>
      </w:pPr>
      <w:r>
        <w:rPr>
          <w:rFonts w:ascii="Cambria" w:cs="Cambria" w:eastAsia="Cambria" w:hAnsi="Cambria"/>
          <w:sz w:val="20"/>
          <w:szCs w:val="20"/>
          <w:b w:val="1"/>
          <w:bCs w:val="1"/>
          <w:color w:val="auto"/>
        </w:rPr>
        <w:t>Introduction</w:t>
      </w:r>
    </w:p>
    <w:p>
      <w:pPr>
        <w:spacing w:after="0" w:line="237" w:lineRule="exact"/>
        <w:rPr>
          <w:sz w:val="20"/>
          <w:szCs w:val="20"/>
          <w:color w:val="auto"/>
        </w:rPr>
      </w:pPr>
    </w:p>
    <w:p>
      <w:pPr>
        <w:jc w:val="both"/>
        <w:ind w:left="20" w:firstLine="288"/>
        <w:spacing w:after="0" w:line="239" w:lineRule="auto"/>
        <w:rPr>
          <w:sz w:val="20"/>
          <w:szCs w:val="20"/>
          <w:color w:val="auto"/>
        </w:rPr>
      </w:pPr>
      <w:r>
        <w:rPr>
          <w:rFonts w:ascii="Cambria" w:cs="Cambria" w:eastAsia="Cambria" w:hAnsi="Cambria"/>
          <w:sz w:val="20"/>
          <w:szCs w:val="20"/>
          <w:color w:val="auto"/>
        </w:rPr>
        <w:t>One of the most important aspects of aquaculture is the improvement of fertilized egg quality, which increase the survival and subsequently the growth rate. Broodstocks nutrition affects the reproduction and egg quality of fish. The importance of dietary lipids in the reproductive processes has been reported for several fish species.</w:t>
      </w:r>
      <w:r>
        <w:rPr>
          <w:rFonts w:ascii="Cambria" w:cs="Cambria" w:eastAsia="Cambria" w:hAnsi="Cambria"/>
          <w:sz w:val="12"/>
          <w:szCs w:val="12"/>
          <w:color w:val="auto"/>
        </w:rPr>
        <w:t>1</w:t>
      </w:r>
      <w:r>
        <w:rPr>
          <w:rFonts w:ascii="Cambria" w:cs="Cambria" w:eastAsia="Cambria" w:hAnsi="Cambria"/>
          <w:sz w:val="20"/>
          <w:szCs w:val="20"/>
          <w:color w:val="auto"/>
        </w:rPr>
        <w:t xml:space="preserve"> The role of n-3 series fatty acids in sexual maturation and reproductive performance of teleost fish has been reported.</w:t>
      </w:r>
      <w:r>
        <w:rPr>
          <w:rFonts w:ascii="Cambria" w:cs="Cambria" w:eastAsia="Cambria" w:hAnsi="Cambria"/>
          <w:sz w:val="12"/>
          <w:szCs w:val="12"/>
          <w:color w:val="auto"/>
        </w:rPr>
        <w:t>2</w:t>
      </w:r>
      <w:r>
        <w:rPr>
          <w:rFonts w:ascii="Cambria" w:cs="Cambria" w:eastAsia="Cambria" w:hAnsi="Cambria"/>
          <w:sz w:val="20"/>
          <w:szCs w:val="20"/>
          <w:color w:val="auto"/>
        </w:rPr>
        <w:t xml:space="preserve"> Sperm and egg quality of fish are affected by dietary fatty acid composition.</w:t>
      </w:r>
      <w:r>
        <w:rPr>
          <w:rFonts w:ascii="Cambria" w:cs="Cambria" w:eastAsia="Cambria" w:hAnsi="Cambria"/>
          <w:sz w:val="12"/>
          <w:szCs w:val="12"/>
          <w:color w:val="auto"/>
        </w:rPr>
        <w:t>3,4</w:t>
      </w:r>
    </w:p>
    <w:p>
      <w:pPr>
        <w:spacing w:after="0" w:line="10" w:lineRule="exact"/>
        <w:rPr>
          <w:sz w:val="20"/>
          <w:szCs w:val="20"/>
          <w:color w:val="auto"/>
        </w:rPr>
      </w:pPr>
    </w:p>
    <w:p>
      <w:pPr>
        <w:jc w:val="both"/>
        <w:ind w:left="20" w:firstLine="288"/>
        <w:spacing w:after="0" w:line="256" w:lineRule="auto"/>
        <w:rPr>
          <w:sz w:val="20"/>
          <w:szCs w:val="20"/>
          <w:color w:val="auto"/>
        </w:rPr>
      </w:pPr>
      <w:r>
        <w:rPr>
          <w:rFonts w:ascii="Cambria" w:cs="Cambria" w:eastAsia="Cambria" w:hAnsi="Cambria"/>
          <w:sz w:val="19"/>
          <w:szCs w:val="19"/>
          <w:color w:val="auto"/>
        </w:rPr>
        <w:t>The limited availability of fish oil sources has led to plant oils being used in the commercial fish diet,</w:t>
      </w:r>
      <w:r>
        <w:rPr>
          <w:rFonts w:ascii="Cambria" w:cs="Cambria" w:eastAsia="Cambria" w:hAnsi="Cambria"/>
          <w:sz w:val="11"/>
          <w:szCs w:val="11"/>
          <w:color w:val="auto"/>
        </w:rPr>
        <w:t>5</w:t>
      </w:r>
      <w:r>
        <w:rPr>
          <w:rFonts w:ascii="Cambria" w:cs="Cambria" w:eastAsia="Cambria" w:hAnsi="Cambria"/>
          <w:sz w:val="19"/>
          <w:szCs w:val="19"/>
          <w:color w:val="auto"/>
        </w:rPr>
        <w:t xml:space="preserve"> thus the other sources of oil have been considered. Plant oils have been successfully used in diets of rainbow trout without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305752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752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240.75pt,10.15pt" o:allowincell="f" strokecolor="#000000" strokeweight="0.96pt"/>
            </w:pict>
          </mc:Fallback>
        </mc:AlternateContent>
      </w:r>
    </w:p>
    <w:p>
      <w:pPr>
        <w:spacing w:after="0" w:line="193" w:lineRule="exact"/>
        <w:rPr>
          <w:sz w:val="20"/>
          <w:szCs w:val="20"/>
          <w:color w:val="auto"/>
        </w:rPr>
      </w:pPr>
    </w:p>
    <w:p>
      <w:pPr>
        <w:spacing w:after="0"/>
        <w:rPr>
          <w:sz w:val="20"/>
          <w:szCs w:val="20"/>
          <w:color w:val="auto"/>
        </w:rPr>
      </w:pPr>
      <w:r>
        <w:rPr>
          <w:rFonts w:ascii="Cambria" w:cs="Cambria" w:eastAsia="Cambria" w:hAnsi="Cambria"/>
          <w:sz w:val="16"/>
          <w:szCs w:val="16"/>
          <w:b w:val="1"/>
          <w:bCs w:val="1"/>
          <w:color w:val="auto"/>
        </w:rPr>
        <w:t>*Correspondence:</w:t>
      </w:r>
    </w:p>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p>
      <w:pPr>
        <w:jc w:val="both"/>
        <w:ind w:right="20"/>
        <w:spacing w:after="0" w:line="252" w:lineRule="auto"/>
        <w:rPr>
          <w:sz w:val="20"/>
          <w:szCs w:val="20"/>
          <w:color w:val="auto"/>
        </w:rPr>
      </w:pPr>
      <w:r>
        <w:rPr>
          <w:rFonts w:ascii="Cambria" w:cs="Cambria" w:eastAsia="Cambria" w:hAnsi="Cambria"/>
          <w:sz w:val="19"/>
          <w:szCs w:val="19"/>
          <w:color w:val="auto"/>
        </w:rPr>
        <w:t>impairing fish growth performance.</w:t>
      </w:r>
      <w:r>
        <w:rPr>
          <w:rFonts w:ascii="Cambria" w:cs="Cambria" w:eastAsia="Cambria" w:hAnsi="Cambria"/>
          <w:sz w:val="11"/>
          <w:szCs w:val="11"/>
          <w:color w:val="auto"/>
        </w:rPr>
        <w:t>6</w:t>
      </w:r>
      <w:r>
        <w:rPr>
          <w:rFonts w:ascii="Cambria" w:cs="Cambria" w:eastAsia="Cambria" w:hAnsi="Cambria"/>
          <w:sz w:val="19"/>
          <w:szCs w:val="19"/>
          <w:color w:val="auto"/>
        </w:rPr>
        <w:t xml:space="preserve"> In Japanese sea bass, (</w:t>
      </w:r>
      <w:r>
        <w:rPr>
          <w:rFonts w:ascii="Cambria" w:cs="Cambria" w:eastAsia="Cambria" w:hAnsi="Cambria"/>
          <w:sz w:val="19"/>
          <w:szCs w:val="19"/>
          <w:i w:val="1"/>
          <w:iCs w:val="1"/>
          <w:color w:val="auto"/>
        </w:rPr>
        <w:t>Lateolabrax japonicas</w:t>
      </w:r>
      <w:r>
        <w:rPr>
          <w:rFonts w:ascii="Cambria" w:cs="Cambria" w:eastAsia="Cambria" w:hAnsi="Cambria"/>
          <w:sz w:val="19"/>
          <w:szCs w:val="19"/>
          <w:color w:val="auto"/>
        </w:rPr>
        <w:t>) the optimal growth did not achieve by plant oils, but fish health status was remained normal.</w:t>
      </w:r>
      <w:r>
        <w:rPr>
          <w:rFonts w:ascii="Cambria" w:cs="Cambria" w:eastAsia="Cambria" w:hAnsi="Cambria"/>
          <w:sz w:val="11"/>
          <w:szCs w:val="11"/>
          <w:color w:val="auto"/>
        </w:rPr>
        <w:t>7</w:t>
      </w:r>
      <w:r>
        <w:rPr>
          <w:rFonts w:ascii="Cambria" w:cs="Cambria" w:eastAsia="Cambria" w:hAnsi="Cambria"/>
          <w:sz w:val="19"/>
          <w:szCs w:val="19"/>
          <w:color w:val="auto"/>
        </w:rPr>
        <w:t xml:space="preserve"> Fatty acids composition of fish oil and vegetable oils are completely different. The fatty acid composition of food is considered to have a very important role in the oxidant-antioxidant equilibrium.</w:t>
      </w:r>
      <w:r>
        <w:rPr>
          <w:rFonts w:ascii="Cambria" w:cs="Cambria" w:eastAsia="Cambria" w:hAnsi="Cambria"/>
          <w:sz w:val="11"/>
          <w:szCs w:val="11"/>
          <w:color w:val="auto"/>
        </w:rPr>
        <w:t>8</w:t>
      </w:r>
      <w:r>
        <w:rPr>
          <w:rFonts w:ascii="Cambria" w:cs="Cambria" w:eastAsia="Cambria" w:hAnsi="Cambria"/>
          <w:sz w:val="19"/>
          <w:szCs w:val="19"/>
          <w:color w:val="auto"/>
        </w:rPr>
        <w:t xml:space="preserve"> For example, the polyunsaturated fatty acids (PUFAs) are causative agents in oxidative stress, and also protective agents in the antioxidant defense against stress. The PUFA are susceptible to oxidation and targets for oxygen radicals, which the resultant could be toxic to the cells.</w:t>
      </w:r>
      <w:r>
        <w:rPr>
          <w:rFonts w:ascii="Cambria" w:cs="Cambria" w:eastAsia="Cambria" w:hAnsi="Cambria"/>
          <w:sz w:val="11"/>
          <w:szCs w:val="11"/>
          <w:color w:val="auto"/>
        </w:rPr>
        <w:t>9</w:t>
      </w:r>
    </w:p>
    <w:p>
      <w:pPr>
        <w:spacing w:after="0" w:line="9" w:lineRule="exact"/>
        <w:rPr>
          <w:sz w:val="20"/>
          <w:szCs w:val="20"/>
          <w:color w:val="auto"/>
        </w:rPr>
      </w:pPr>
    </w:p>
    <w:p>
      <w:pPr>
        <w:jc w:val="both"/>
        <w:ind w:right="20" w:firstLine="288"/>
        <w:spacing w:after="0" w:line="275" w:lineRule="auto"/>
        <w:rPr>
          <w:sz w:val="20"/>
          <w:szCs w:val="20"/>
          <w:color w:val="auto"/>
        </w:rPr>
      </w:pPr>
      <w:r>
        <w:rPr>
          <w:rFonts w:ascii="Cambria" w:cs="Cambria" w:eastAsia="Cambria" w:hAnsi="Cambria"/>
          <w:sz w:val="18"/>
          <w:szCs w:val="18"/>
          <w:color w:val="auto"/>
        </w:rPr>
        <w:t>The production of reactive oxygen species (ROS) induces oxidative stress and could damage cell membranes, inactivate the enzymes, damage the genetic material and the other vital cell components. Therefore, effective anti-</w:t>
      </w:r>
    </w:p>
    <w:p>
      <w:pPr>
        <w:spacing w:after="0" w:line="463" w:lineRule="exact"/>
        <w:rPr>
          <w:sz w:val="20"/>
          <w:szCs w:val="20"/>
          <w:color w:val="auto"/>
        </w:rPr>
      </w:pPr>
    </w:p>
    <w:p>
      <w:pPr>
        <w:sectPr>
          <w:pgSz w:w="12240" w:h="15840" w:orient="portrait"/>
          <w:cols w:equalWidth="0" w:num="2">
            <w:col w:w="4820" w:space="460"/>
            <w:col w:w="4820"/>
          </w:cols>
          <w:pgMar w:left="1080" w:top="1419" w:right="1060" w:bottom="316" w:gutter="0" w:footer="0" w:header="0"/>
          <w:type w:val="continuous"/>
        </w:sectPr>
      </w:pPr>
    </w:p>
    <w:p>
      <w:pPr>
        <w:spacing w:after="0"/>
        <w:rPr>
          <w:sz w:val="20"/>
          <w:szCs w:val="20"/>
          <w:color w:val="auto"/>
        </w:rPr>
      </w:pPr>
      <w:r>
        <w:rPr>
          <w:rFonts w:ascii="Cambria" w:cs="Cambria" w:eastAsia="Cambria" w:hAnsi="Cambria"/>
          <w:sz w:val="16"/>
          <w:szCs w:val="16"/>
          <w:color w:val="auto"/>
        </w:rPr>
        <w:t>Amir Parviz Salati. DVM, DVSc</w:t>
      </w:r>
    </w:p>
    <w:p>
      <w:pPr>
        <w:ind w:right="280"/>
        <w:spacing w:after="0" w:line="239" w:lineRule="auto"/>
        <w:rPr>
          <w:sz w:val="20"/>
          <w:szCs w:val="20"/>
          <w:color w:val="auto"/>
        </w:rPr>
      </w:pPr>
      <w:r>
        <w:rPr>
          <w:rFonts w:ascii="Cambria" w:cs="Cambria" w:eastAsia="Cambria" w:hAnsi="Cambria"/>
          <w:sz w:val="16"/>
          <w:szCs w:val="16"/>
          <w:color w:val="auto"/>
        </w:rPr>
        <w:t xml:space="preserve">Department of Fisheries, Faculty of Marine Natural Resources, Khorramshahr University of Marine Science and Technology, Khorramshahr, Iran </w:t>
      </w:r>
      <w:r>
        <w:rPr>
          <w:rFonts w:ascii="Cambria" w:cs="Cambria" w:eastAsia="Cambria" w:hAnsi="Cambria"/>
          <w:sz w:val="16"/>
          <w:szCs w:val="16"/>
          <w:b w:val="1"/>
          <w:bCs w:val="1"/>
          <w:color w:val="auto"/>
        </w:rPr>
        <w:t xml:space="preserve">E-mail: </w:t>
      </w:r>
      <w:r>
        <w:rPr>
          <w:rFonts w:ascii="Cambria" w:cs="Cambria" w:eastAsia="Cambria" w:hAnsi="Cambria"/>
          <w:sz w:val="16"/>
          <w:szCs w:val="16"/>
          <w:color w:val="auto"/>
        </w:rPr>
        <w:t>apsalati@kmsu.ac.ir</w:t>
      </w:r>
    </w:p>
    <w:p>
      <w:pPr>
        <w:spacing w:after="0" w:line="70" w:lineRule="exact"/>
        <w:rPr>
          <w:sz w:val="20"/>
          <w:szCs w:val="20"/>
          <w:color w:val="auto"/>
        </w:rPr>
      </w:pPr>
    </w:p>
    <w:p>
      <w:pPr>
        <w:jc w:val="both"/>
        <w:ind w:left="1500"/>
        <w:spacing w:after="0" w:line="238" w:lineRule="auto"/>
        <w:rPr>
          <w:rFonts w:ascii="Cambria" w:cs="Cambria" w:eastAsia="Cambria" w:hAnsi="Cambria"/>
          <w:sz w:val="16"/>
          <w:szCs w:val="16"/>
          <w:color w:val="auto"/>
        </w:rPr>
      </w:pPr>
      <w:r>
        <w:rPr>
          <w:rFonts w:ascii="Cambria" w:cs="Cambria" w:eastAsia="Cambria" w:hAnsi="Cambria"/>
          <w:sz w:val="16"/>
          <w:szCs w:val="16"/>
          <w:color w:val="auto"/>
        </w:rPr>
        <w:t xml:space="preserve">This work is licensed under a </w:t>
      </w:r>
      <w:hyperlink r:id="rId10">
        <w:r>
          <w:rPr>
            <w:rFonts w:ascii="Cambria" w:cs="Cambria" w:eastAsia="Cambria" w:hAnsi="Cambria"/>
            <w:sz w:val="16"/>
            <w:szCs w:val="16"/>
            <w:color w:val="auto"/>
          </w:rPr>
          <w:t xml:space="preserve">Creative Commons Attribution-NonCommercial 4.0 International License </w:t>
        </w:r>
      </w:hyperlink>
      <w:r>
        <w:rPr>
          <w:rFonts w:ascii="Cambria" w:cs="Cambria" w:eastAsia="Cambria" w:hAnsi="Cambria"/>
          <w:sz w:val="16"/>
          <w:szCs w:val="16"/>
          <w:color w:val="auto"/>
        </w:rPr>
        <w:t>which allows users to read, copy, distribute and make derivative works for non-commercial purposes from the material, as long as the author of the original work is cited properly.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-335915</wp:posOffset>
            </wp:positionV>
            <wp:extent cx="914400" cy="3206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320675"/>
                    </a:xfrm>
                    <a:prstGeom prst="rect">
                      <a:avLst/>
                    </a:prstGeom>
                    <a:noFill/>
                  </pic:spPr>
                </pic:pic>
              </a:graphicData>
            </a:graphic>
          </wp:anchor>
        </w:drawing>
      </w:r>
    </w:p>
    <w:p>
      <w:pPr>
        <w:sectPr>
          <w:pgSz w:w="12240" w:h="15840" w:orient="portrait"/>
          <w:cols w:equalWidth="0" w:num="1">
            <w:col w:w="10100"/>
          </w:cols>
          <w:pgMar w:left="1080" w:top="1419" w:right="1060" w:bottom="316" w:gutter="0" w:footer="0" w:header="0"/>
          <w:type w:val="continuous"/>
        </w:sectPr>
      </w:pPr>
    </w:p>
    <w:bookmarkStart w:id="2" w:name="page3"/>
    <w:bookmarkEnd w:id="2"/>
    <w:p>
      <w:pPr>
        <w:spacing w:after="0"/>
        <w:tabs>
          <w:tab w:leader="none" w:pos="2880" w:val="left"/>
        </w:tabs>
        <w:rPr>
          <w:sz w:val="20"/>
          <w:szCs w:val="20"/>
          <w:color w:val="auto"/>
        </w:rPr>
      </w:pPr>
      <w:r>
        <w:rPr>
          <w:rFonts w:ascii="Calibri" w:cs="Calibri" w:eastAsia="Calibri" w:hAnsi="Calibri"/>
          <w:sz w:val="15"/>
          <w:szCs w:val="15"/>
          <w:i w:val="1"/>
          <w:iCs w:val="1"/>
          <w:color w:val="auto"/>
        </w:rPr>
        <w:t>84</w:t>
      </w:r>
      <w:r>
        <w:rPr>
          <w:sz w:val="20"/>
          <w:szCs w:val="20"/>
          <w:color w:val="auto"/>
        </w:rPr>
        <w:tab/>
      </w:r>
      <w:r>
        <w:rPr>
          <w:rFonts w:ascii="Calibri" w:cs="Calibri" w:eastAsia="Calibri" w:hAnsi="Calibri"/>
          <w:sz w:val="15"/>
          <w:szCs w:val="15"/>
          <w:b w:val="1"/>
          <w:bCs w:val="1"/>
          <w:i w:val="1"/>
          <w:iCs w:val="1"/>
          <w:color w:val="auto"/>
        </w:rPr>
        <w:t>S. Khezrian et al. Veterinary Research Forum. 2020; 11 (1) 83 - 88</w:t>
      </w:r>
    </w:p>
    <w:p>
      <w:pPr>
        <w:sectPr>
          <w:pgSz w:w="12240" w:h="15840" w:orient="portrait"/>
          <w:cols w:equalWidth="0" w:num="1">
            <w:col w:w="10060"/>
          </w:cols>
          <w:pgMar w:left="1080" w:top="728" w:right="1100" w:bottom="926" w:gutter="0" w:footer="0" w:header="0"/>
        </w:sectPr>
      </w:pPr>
    </w:p>
    <w:p>
      <w:pPr>
        <w:spacing w:after="0" w:line="200" w:lineRule="exact"/>
        <w:rPr>
          <w:sz w:val="20"/>
          <w:szCs w:val="20"/>
          <w:color w:val="auto"/>
        </w:rPr>
      </w:pPr>
    </w:p>
    <w:p>
      <w:pPr>
        <w:spacing w:after="0" w:line="330" w:lineRule="exact"/>
        <w:rPr>
          <w:sz w:val="20"/>
          <w:szCs w:val="20"/>
          <w:color w:val="auto"/>
        </w:rPr>
      </w:pPr>
    </w:p>
    <w:p>
      <w:pPr>
        <w:jc w:val="both"/>
        <w:spacing w:after="0" w:line="239" w:lineRule="auto"/>
        <w:rPr>
          <w:sz w:val="20"/>
          <w:szCs w:val="20"/>
          <w:color w:val="auto"/>
        </w:rPr>
      </w:pPr>
      <w:r>
        <w:rPr>
          <w:rFonts w:ascii="Cambria" w:cs="Cambria" w:eastAsia="Cambria" w:hAnsi="Cambria"/>
          <w:sz w:val="20"/>
          <w:szCs w:val="20"/>
          <w:color w:val="auto"/>
        </w:rPr>
        <w:t>oxidant systems are essential to maintain health in fish.</w:t>
      </w:r>
      <w:r>
        <w:rPr>
          <w:rFonts w:ascii="Cambria" w:cs="Cambria" w:eastAsia="Cambria" w:hAnsi="Cambria"/>
          <w:sz w:val="12"/>
          <w:szCs w:val="12"/>
          <w:color w:val="auto"/>
        </w:rPr>
        <w:t>10</w:t>
      </w:r>
      <w:r>
        <w:rPr>
          <w:rFonts w:ascii="Cambria" w:cs="Cambria" w:eastAsia="Cambria" w:hAnsi="Cambria"/>
          <w:sz w:val="20"/>
          <w:szCs w:val="20"/>
          <w:color w:val="auto"/>
        </w:rPr>
        <w:t xml:space="preserve"> The knowledge of the activity of antioxidant enzymes and of the oxidative state can be the key to understanding the mechanisms involved in the ontogenic development of fish and thus their offspring and survival in farming.</w:t>
      </w:r>
      <w:r>
        <w:rPr>
          <w:rFonts w:ascii="Cambria" w:cs="Cambria" w:eastAsia="Cambria" w:hAnsi="Cambria"/>
          <w:sz w:val="12"/>
          <w:szCs w:val="12"/>
          <w:color w:val="auto"/>
        </w:rPr>
        <w:t>11</w:t>
      </w:r>
      <w:r>
        <w:rPr>
          <w:rFonts w:ascii="Cambria" w:cs="Cambria" w:eastAsia="Cambria" w:hAnsi="Cambria"/>
          <w:sz w:val="20"/>
          <w:szCs w:val="20"/>
          <w:color w:val="auto"/>
        </w:rPr>
        <w:t xml:space="preserve"> Few works have studied the oxidative state of fish in their early life stages.</w:t>
      </w:r>
      <w:r>
        <w:rPr>
          <w:rFonts w:ascii="Cambria" w:cs="Cambria" w:eastAsia="Cambria" w:hAnsi="Cambria"/>
          <w:sz w:val="12"/>
          <w:szCs w:val="12"/>
          <w:color w:val="auto"/>
        </w:rPr>
        <w:t>11-14</w:t>
      </w:r>
      <w:r>
        <w:rPr>
          <w:rFonts w:ascii="Cambria" w:cs="Cambria" w:eastAsia="Cambria" w:hAnsi="Cambria"/>
          <w:sz w:val="20"/>
          <w:szCs w:val="20"/>
          <w:color w:val="auto"/>
        </w:rPr>
        <w:t xml:space="preserve"> The study of catalase (CAT), superoxide dismutase (SOD) and glutathione peroxidase (GPX) as main antioxidant enzymes during embryogenesis in fish is vital to understand the protection mechanisms against ROS and xenobiotics during the early life stages of organisms as fish in their early life stages are especially vulnerable to changes associated to environmental stress such as temperature, oxygen deficiency and pollution.</w:t>
      </w:r>
      <w:r>
        <w:rPr>
          <w:rFonts w:ascii="Cambria" w:cs="Cambria" w:eastAsia="Cambria" w:hAnsi="Cambria"/>
          <w:sz w:val="12"/>
          <w:szCs w:val="12"/>
          <w:color w:val="auto"/>
        </w:rPr>
        <w:t>15</w:t>
      </w:r>
    </w:p>
    <w:p>
      <w:pPr>
        <w:spacing w:after="0" w:line="14" w:lineRule="exact"/>
        <w:rPr>
          <w:sz w:val="20"/>
          <w:szCs w:val="20"/>
          <w:color w:val="auto"/>
        </w:rPr>
      </w:pPr>
    </w:p>
    <w:p>
      <w:pPr>
        <w:jc w:val="both"/>
        <w:ind w:firstLine="288"/>
        <w:spacing w:after="0" w:line="239" w:lineRule="auto"/>
        <w:rPr>
          <w:sz w:val="20"/>
          <w:szCs w:val="20"/>
          <w:color w:val="auto"/>
        </w:rPr>
      </w:pPr>
      <w:r>
        <w:rPr>
          <w:rFonts w:ascii="Cambria" w:cs="Cambria" w:eastAsia="Cambria" w:hAnsi="Cambria"/>
          <w:sz w:val="20"/>
          <w:szCs w:val="20"/>
          <w:color w:val="auto"/>
        </w:rPr>
        <w:t>In several studies, the effects of replacement of fish oil with plant oils on antioxidant defense had been evaluated.</w:t>
      </w:r>
      <w:r>
        <w:rPr>
          <w:rFonts w:ascii="Cambria" w:cs="Cambria" w:eastAsia="Cambria" w:hAnsi="Cambria"/>
          <w:sz w:val="12"/>
          <w:szCs w:val="12"/>
          <w:color w:val="auto"/>
        </w:rPr>
        <w:t>5,10,16,17</w:t>
      </w:r>
      <w:r>
        <w:rPr>
          <w:rFonts w:ascii="Cambria" w:cs="Cambria" w:eastAsia="Cambria" w:hAnsi="Cambria"/>
          <w:sz w:val="20"/>
          <w:szCs w:val="20"/>
          <w:color w:val="auto"/>
        </w:rPr>
        <w:t xml:space="preserve"> It was showed that the broodstocks diet could affect the development of progenies,</w:t>
      </w:r>
      <w:r>
        <w:rPr>
          <w:rFonts w:ascii="Cambria" w:cs="Cambria" w:eastAsia="Cambria" w:hAnsi="Cambria"/>
          <w:sz w:val="12"/>
          <w:szCs w:val="12"/>
          <w:color w:val="auto"/>
        </w:rPr>
        <w:t>3</w:t>
      </w:r>
      <w:r>
        <w:rPr>
          <w:rFonts w:ascii="Cambria" w:cs="Cambria" w:eastAsia="Cambria" w:hAnsi="Cambria"/>
          <w:sz w:val="20"/>
          <w:szCs w:val="20"/>
          <w:color w:val="auto"/>
        </w:rPr>
        <w:t xml:space="preserve"> thus the aim of this work was to examine the antioxidant enzymes (SOD, CAT, and GPX) activities and lipid peroxidation during early stages of development of </w:t>
      </w:r>
      <w:r>
        <w:rPr>
          <w:rFonts w:ascii="Cambria" w:cs="Cambria" w:eastAsia="Cambria" w:hAnsi="Cambria"/>
          <w:sz w:val="20"/>
          <w:szCs w:val="20"/>
          <w:i w:val="1"/>
          <w:iCs w:val="1"/>
          <w:color w:val="auto"/>
        </w:rPr>
        <w:t>O. mykiss</w:t>
      </w:r>
      <w:r>
        <w:rPr>
          <w:rFonts w:ascii="Cambria" w:cs="Cambria" w:eastAsia="Cambria" w:hAnsi="Cambria"/>
          <w:sz w:val="20"/>
          <w:szCs w:val="20"/>
          <w:color w:val="auto"/>
        </w:rPr>
        <w:t xml:space="preserve"> offspring’s collected from broodstocks fed with various levels of plant oils in the diet.</w:t>
      </w:r>
    </w:p>
    <w:p>
      <w:pPr>
        <w:spacing w:after="0" w:line="242"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Materials and Methods</w:t>
      </w:r>
    </w:p>
    <w:p>
      <w:pPr>
        <w:spacing w:after="0" w:line="237" w:lineRule="exact"/>
        <w:rPr>
          <w:sz w:val="20"/>
          <w:szCs w:val="20"/>
          <w:color w:val="auto"/>
        </w:rPr>
      </w:pPr>
    </w:p>
    <w:p>
      <w:pPr>
        <w:jc w:val="both"/>
        <w:ind w:firstLine="288"/>
        <w:spacing w:after="0" w:line="239" w:lineRule="auto"/>
        <w:rPr>
          <w:sz w:val="20"/>
          <w:szCs w:val="20"/>
          <w:color w:val="auto"/>
        </w:rPr>
      </w:pPr>
      <w:r>
        <w:rPr>
          <w:rFonts w:ascii="Cambria" w:cs="Cambria" w:eastAsia="Cambria" w:hAnsi="Cambria"/>
          <w:sz w:val="20"/>
          <w:szCs w:val="20"/>
          <w:b w:val="1"/>
          <w:bCs w:val="1"/>
          <w:color w:val="auto"/>
        </w:rPr>
        <w:t xml:space="preserve">Experimental design. </w:t>
      </w:r>
      <w:r>
        <w:rPr>
          <w:rFonts w:ascii="Cambria" w:cs="Cambria" w:eastAsia="Cambria" w:hAnsi="Cambria"/>
          <w:sz w:val="20"/>
          <w:szCs w:val="20"/>
          <w:color w:val="auto"/>
        </w:rPr>
        <w:t>For preparing experimental</w:t>
      </w:r>
      <w:r>
        <w:rPr>
          <w:rFonts w:ascii="Cambria" w:cs="Cambria" w:eastAsia="Cambria" w:hAnsi="Cambria"/>
          <w:sz w:val="20"/>
          <w:szCs w:val="20"/>
          <w:b w:val="1"/>
          <w:bCs w:val="1"/>
          <w:color w:val="auto"/>
        </w:rPr>
        <w:t xml:space="preserve"> </w:t>
      </w:r>
      <w:r>
        <w:rPr>
          <w:rFonts w:ascii="Cambria" w:cs="Cambria" w:eastAsia="Cambria" w:hAnsi="Cambria"/>
          <w:sz w:val="20"/>
          <w:szCs w:val="20"/>
          <w:color w:val="auto"/>
        </w:rPr>
        <w:t>diets, fish oil as the source of lipids in the control diet was replaced with a combination of different plant oils (Fish oil, Canola oil, Linseed oil, Corn oil, Olive oil, Sunflower oil, and Coconut oil) to decrease the HUFA levels but increase the PUFA content (Table 1). The experimental diets contained four levels of PUFA including 13.98%, 21.49%. 25.75% and 30.15% of the total fatty acids. Other fatty acids were balanced in the experimental diets. All ingredients were thoroughly mixed with distilled water (300 mL kg</w:t>
      </w:r>
      <w:r>
        <w:rPr>
          <w:rFonts w:ascii="Cambria" w:cs="Cambria" w:eastAsia="Cambria" w:hAnsi="Cambria"/>
          <w:sz w:val="12"/>
          <w:szCs w:val="12"/>
          <w:color w:val="auto"/>
        </w:rPr>
        <w:t>-1</w:t>
      </w:r>
      <w:r>
        <w:rPr>
          <w:rFonts w:ascii="Cambria" w:cs="Cambria" w:eastAsia="Cambria" w:hAnsi="Cambria"/>
          <w:sz w:val="20"/>
          <w:szCs w:val="20"/>
          <w:color w:val="auto"/>
        </w:rPr>
        <w:t xml:space="preserve"> dry ingredients mixture), and 4-5 mm pellets were prepared. The pellets were dried at room temperature for 24 hr and broken into desirable particle sizes. All diets were stored at – 20.00 ˚C until used for in the experiment.</w:t>
      </w:r>
    </w:p>
    <w:p>
      <w:pPr>
        <w:spacing w:after="0" w:line="14" w:lineRule="exact"/>
        <w:rPr>
          <w:sz w:val="20"/>
          <w:szCs w:val="20"/>
          <w:color w:val="auto"/>
        </w:rPr>
      </w:pPr>
    </w:p>
    <w:p>
      <w:pPr>
        <w:jc w:val="both"/>
        <w:ind w:firstLine="288"/>
        <w:spacing w:after="0" w:line="253" w:lineRule="auto"/>
        <w:rPr>
          <w:sz w:val="20"/>
          <w:szCs w:val="20"/>
          <w:color w:val="auto"/>
        </w:rPr>
      </w:pPr>
      <w:r>
        <w:rPr>
          <w:rFonts w:ascii="Cambria" w:cs="Cambria" w:eastAsia="Cambria" w:hAnsi="Cambria"/>
          <w:sz w:val="19"/>
          <w:szCs w:val="19"/>
          <w:color w:val="auto"/>
        </w:rPr>
        <w:t>Seventy-two mature female rainbow trout fish, mean weight 566.00 ± 25.00 g were randomly allocated into 12 concrete 10 m</w:t>
      </w:r>
      <w:r>
        <w:rPr>
          <w:rFonts w:ascii="Cambria" w:cs="Cambria" w:eastAsia="Cambria" w:hAnsi="Cambria"/>
          <w:sz w:val="11"/>
          <w:szCs w:val="11"/>
          <w:color w:val="auto"/>
        </w:rPr>
        <w:t>3</w:t>
      </w:r>
      <w:r>
        <w:rPr>
          <w:rFonts w:ascii="Cambria" w:cs="Cambria" w:eastAsia="Cambria" w:hAnsi="Cambria"/>
          <w:sz w:val="19"/>
          <w:szCs w:val="19"/>
          <w:color w:val="auto"/>
        </w:rPr>
        <w:t xml:space="preserve"> tanks (n = 6 each tank) at the Artemia and Aquaculture Research Institute, Urmia University, Urmia, Iran. The experiment was performed in triplicate (three tanks were randomly assigned to one of four treatment groups including the control group receiving diet 1, group 1, 2 and 3 receiving diets 2, 3, and 4 respectively). Fish were fed experimental diets two times daily (8:00 AM and 4:00 PM) for eight weeks. The water quality parameters were monitored daily during the experiment period. Photoperiod was 12 hr light and 12 hr dark, temperature 10.20 ˚C; dissolved oxygen 7.80 mg L</w:t>
      </w:r>
      <w:r>
        <w:rPr>
          <w:rFonts w:ascii="Cambria" w:cs="Cambria" w:eastAsia="Cambria" w:hAnsi="Cambria"/>
          <w:sz w:val="11"/>
          <w:szCs w:val="11"/>
          <w:color w:val="auto"/>
        </w:rPr>
        <w:t>−1</w:t>
      </w:r>
      <w:r>
        <w:rPr>
          <w:rFonts w:ascii="Cambria" w:cs="Cambria" w:eastAsia="Cambria" w:hAnsi="Cambria"/>
          <w:sz w:val="19"/>
          <w:szCs w:val="19"/>
          <w:color w:val="auto"/>
        </w:rPr>
        <w:t xml:space="preserve"> and pH 7.5.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0" w:lineRule="exact"/>
        <w:rPr>
          <w:sz w:val="20"/>
          <w:szCs w:val="20"/>
          <w:color w:val="auto"/>
        </w:rPr>
      </w:pPr>
    </w:p>
    <w:p>
      <w:pPr>
        <w:jc w:val="both"/>
        <w:spacing w:after="0" w:line="252" w:lineRule="auto"/>
        <w:rPr>
          <w:sz w:val="20"/>
          <w:szCs w:val="20"/>
          <w:color w:val="auto"/>
        </w:rPr>
      </w:pPr>
      <w:r>
        <w:rPr>
          <w:rFonts w:ascii="Cambria" w:cs="Cambria" w:eastAsia="Cambria" w:hAnsi="Cambria"/>
          <w:sz w:val="19"/>
          <w:szCs w:val="19"/>
          <w:color w:val="auto"/>
        </w:rPr>
        <w:t>No critical values were recorded for NH</w:t>
      </w:r>
      <w:r>
        <w:rPr>
          <w:rFonts w:ascii="Cambria" w:cs="Cambria" w:eastAsia="Cambria" w:hAnsi="Cambria"/>
          <w:sz w:val="11"/>
          <w:szCs w:val="11"/>
          <w:color w:val="auto"/>
        </w:rPr>
        <w:t>3</w:t>
      </w:r>
      <w:r>
        <w:rPr>
          <w:rFonts w:ascii="Cambria" w:cs="Cambria" w:eastAsia="Cambria" w:hAnsi="Cambria"/>
          <w:sz w:val="19"/>
          <w:szCs w:val="19"/>
          <w:color w:val="auto"/>
        </w:rPr>
        <w:t xml:space="preserve"> concentration. Seven male fish was used in each group. Males were kept in similar condition with females and fed by a basal diet.</w:t>
      </w:r>
    </w:p>
    <w:p>
      <w:pPr>
        <w:spacing w:after="0" w:line="2" w:lineRule="exact"/>
        <w:rPr>
          <w:sz w:val="20"/>
          <w:szCs w:val="20"/>
          <w:color w:val="auto"/>
        </w:rPr>
      </w:pPr>
    </w:p>
    <w:p>
      <w:pPr>
        <w:jc w:val="both"/>
        <w:ind w:firstLine="288"/>
        <w:spacing w:after="0" w:line="253" w:lineRule="auto"/>
        <w:rPr>
          <w:sz w:val="20"/>
          <w:szCs w:val="20"/>
          <w:color w:val="auto"/>
        </w:rPr>
      </w:pPr>
      <w:r>
        <w:rPr>
          <w:rFonts w:ascii="Cambria" w:cs="Cambria" w:eastAsia="Cambria" w:hAnsi="Cambria"/>
          <w:sz w:val="19"/>
          <w:szCs w:val="19"/>
          <w:color w:val="auto"/>
        </w:rPr>
        <w:t>After feeding fish for eight weeks, eggs were obtained from three female fish in each group, and the eggs were mixed and divided into batches (10.00 g eggs). Then, 10 mL of D532 buffer (20.00 mM Tris, 30.00 mM glycine, 125.00 mM NaCl, pH= 9.00) was added to the eggs in a 100-mL plastic cup. The milt samples were immediately added, and the gametes were swirled. After 2 min, the eggs were rinsed with hatchery water, incubated for 5 min to water-harden the eggs, and then incubated in upwelling incubation trays. Triplicate batches of eggs from each group were incubated in separate trays. Egg and larvae samples were sampled with a net washed in distilled water and frozen immediately in liquid nitrogen. The samples were taken on days 0, 5, 10, 15, 20, 25, 30 and 35 after fertilization (3.00 g at each stage). All samples were put in liquid nitrogen and kept at – 80 ˚C until they analyzed.</w:t>
      </w:r>
    </w:p>
    <w:p>
      <w:pPr>
        <w:spacing w:after="0" w:line="230" w:lineRule="exact"/>
        <w:rPr>
          <w:sz w:val="20"/>
          <w:szCs w:val="20"/>
          <w:color w:val="auto"/>
        </w:rPr>
      </w:pPr>
    </w:p>
    <w:p>
      <w:pPr>
        <w:jc w:val="both"/>
        <w:ind w:firstLine="288"/>
        <w:spacing w:after="0" w:line="253" w:lineRule="auto"/>
        <w:rPr>
          <w:sz w:val="20"/>
          <w:szCs w:val="20"/>
          <w:color w:val="auto"/>
        </w:rPr>
      </w:pPr>
      <w:r>
        <w:rPr>
          <w:rFonts w:ascii="Cambria" w:cs="Cambria" w:eastAsia="Cambria" w:hAnsi="Cambria"/>
          <w:sz w:val="19"/>
          <w:szCs w:val="19"/>
          <w:b w:val="1"/>
          <w:bCs w:val="1"/>
          <w:color w:val="auto"/>
        </w:rPr>
        <w:t xml:space="preserve">Biochemical analysis. </w:t>
      </w:r>
      <w:r>
        <w:rPr>
          <w:rFonts w:ascii="Cambria" w:cs="Cambria" w:eastAsia="Cambria" w:hAnsi="Cambria"/>
          <w:sz w:val="19"/>
          <w:szCs w:val="19"/>
          <w:color w:val="auto"/>
        </w:rPr>
        <w:t>Samples (1.00 g × three</w:t>
      </w:r>
      <w:r>
        <w:rPr>
          <w:rFonts w:ascii="Cambria" w:cs="Cambria" w:eastAsia="Cambria" w:hAnsi="Cambria"/>
          <w:sz w:val="19"/>
          <w:szCs w:val="19"/>
          <w:b w:val="1"/>
          <w:bCs w:val="1"/>
          <w:color w:val="auto"/>
        </w:rPr>
        <w:t xml:space="preserve"> </w:t>
      </w:r>
      <w:r>
        <w:rPr>
          <w:rFonts w:ascii="Cambria" w:cs="Cambria" w:eastAsia="Cambria" w:hAnsi="Cambria"/>
          <w:sz w:val="19"/>
          <w:szCs w:val="19"/>
          <w:color w:val="auto"/>
        </w:rPr>
        <w:t xml:space="preserve">replicates) were homogenized in ice-cold buffer (100 mM Tris–HCl, 0.10 mM EDTA and 0.10% Triton X-100 (v/v), pH 7.80) at a ratio of 1:4 (w/v). Homogenates were centrifuged at 16,000 </w:t>
      </w:r>
      <w:r>
        <w:rPr>
          <w:rFonts w:ascii="Cambria" w:cs="Cambria" w:eastAsia="Cambria" w:hAnsi="Cambria"/>
          <w:sz w:val="19"/>
          <w:szCs w:val="19"/>
          <w:i w:val="1"/>
          <w:iCs w:val="1"/>
          <w:color w:val="auto"/>
        </w:rPr>
        <w:t>g</w:t>
      </w:r>
      <w:r>
        <w:rPr>
          <w:rFonts w:ascii="Cambria" w:cs="Cambria" w:eastAsia="Cambria" w:hAnsi="Cambria"/>
          <w:sz w:val="19"/>
          <w:szCs w:val="19"/>
          <w:color w:val="auto"/>
        </w:rPr>
        <w:t xml:space="preserve"> for 30min in a Centrikon H-401 centrifuge. After centrifugation, the supernatant was collected and frozen at – 80 ˚C until analysis.</w:t>
      </w:r>
      <w:r>
        <w:rPr>
          <w:rFonts w:ascii="Cambria" w:cs="Cambria" w:eastAsia="Cambria" w:hAnsi="Cambria"/>
          <w:sz w:val="11"/>
          <w:szCs w:val="11"/>
          <w:color w:val="auto"/>
        </w:rPr>
        <w:t>11</w:t>
      </w:r>
      <w:r>
        <w:rPr>
          <w:rFonts w:ascii="Cambria" w:cs="Cambria" w:eastAsia="Cambria" w:hAnsi="Cambria"/>
          <w:sz w:val="19"/>
          <w:szCs w:val="19"/>
          <w:color w:val="auto"/>
        </w:rPr>
        <w:t xml:space="preserve"> The activity of SOD enzyme was evaluated using SOD detection kit (Randox, Crumlin, UK) according to the manufacturer’s instructions and expressed as unit per milligram of protein (U mg</w:t>
      </w:r>
      <w:r>
        <w:rPr>
          <w:rFonts w:ascii="Cambria" w:cs="Cambria" w:eastAsia="Cambria" w:hAnsi="Cambria"/>
          <w:sz w:val="11"/>
          <w:szCs w:val="11"/>
          <w:color w:val="auto"/>
        </w:rPr>
        <w:t>-1</w:t>
      </w:r>
      <w:r>
        <w:rPr>
          <w:rFonts w:ascii="Cambria" w:cs="Cambria" w:eastAsia="Cambria" w:hAnsi="Cambria"/>
          <w:sz w:val="19"/>
          <w:szCs w:val="19"/>
          <w:color w:val="auto"/>
        </w:rPr>
        <w:t xml:space="preserve"> protein). Briefly, SOD activity was measured at 550 nm as the degree of inhibition of cytochrome C reduction by O</w:t>
      </w:r>
      <w:r>
        <w:rPr>
          <w:rFonts w:ascii="Cambria" w:cs="Cambria" w:eastAsia="Cambria" w:hAnsi="Cambria"/>
          <w:sz w:val="11"/>
          <w:szCs w:val="11"/>
          <w:color w:val="auto"/>
        </w:rPr>
        <w:t>2</w:t>
      </w:r>
      <w:r>
        <w:rPr>
          <w:rFonts w:ascii="Cambria" w:cs="Cambria" w:eastAsia="Cambria" w:hAnsi="Cambria"/>
          <w:sz w:val="19"/>
          <w:szCs w:val="19"/>
          <w:color w:val="auto"/>
        </w:rPr>
        <w:t>-Generated in the xanthine oxidase/hypoxanthine system. The activity of GPX was evaluated using GPX detection kit (Randox) according to the manufacturer’s instructions. The GPX activity was expressed as U mg</w:t>
      </w:r>
      <w:r>
        <w:rPr>
          <w:rFonts w:ascii="Cambria" w:cs="Cambria" w:eastAsia="Cambria" w:hAnsi="Cambria"/>
          <w:sz w:val="11"/>
          <w:szCs w:val="11"/>
          <w:color w:val="auto"/>
        </w:rPr>
        <w:t>-1</w:t>
      </w:r>
      <w:r>
        <w:rPr>
          <w:rFonts w:ascii="Cambria" w:cs="Cambria" w:eastAsia="Cambria" w:hAnsi="Cambria"/>
          <w:sz w:val="19"/>
          <w:szCs w:val="19"/>
          <w:color w:val="auto"/>
        </w:rPr>
        <w:t xml:space="preserve"> protein. GPX catalyzes the oxidation of glutathione (GSH) by cumene hydroperoxide. In the presence of glutathione reductase (GR) and NADPH, the oxidized glutathione (GSSG) is immediately converted into the reduced form with concomitant oxidation of NADPH to NADP</w:t>
      </w:r>
      <w:r>
        <w:rPr>
          <w:rFonts w:ascii="Cambria" w:cs="Cambria" w:eastAsia="Cambria" w:hAnsi="Cambria"/>
          <w:sz w:val="11"/>
          <w:szCs w:val="11"/>
          <w:color w:val="auto"/>
        </w:rPr>
        <w:t>+</w:t>
      </w:r>
      <w:r>
        <w:rPr>
          <w:rFonts w:ascii="Cambria" w:cs="Cambria" w:eastAsia="Cambria" w:hAnsi="Cambria"/>
          <w:sz w:val="19"/>
          <w:szCs w:val="19"/>
          <w:color w:val="auto"/>
        </w:rPr>
        <w:t>. The decrease in the absorbance was measured spectrophotometrically against the blank at 340 nm. The CAT activity was measured according to the method described by Aebi.</w:t>
      </w:r>
      <w:r>
        <w:rPr>
          <w:rFonts w:ascii="Cambria" w:cs="Cambria" w:eastAsia="Cambria" w:hAnsi="Cambria"/>
          <w:sz w:val="11"/>
          <w:szCs w:val="11"/>
          <w:color w:val="auto"/>
        </w:rPr>
        <w:t>18</w:t>
      </w:r>
      <w:r>
        <w:rPr>
          <w:rFonts w:ascii="Cambria" w:cs="Cambria" w:eastAsia="Cambria" w:hAnsi="Cambria"/>
          <w:sz w:val="19"/>
          <w:szCs w:val="19"/>
          <w:color w:val="auto"/>
        </w:rPr>
        <w:t xml:space="preserve"> Briefly, the reaction was initiated by the addition of hydrogen peroxide to the sample and the level of enzyme activity was quantitated according to the decrease in absorbance at 240 nm against a blank contains phosphate buffer instead of substrate. Malondialdehyde (MDA) was measured as described by Buege and Aust.</w:t>
      </w:r>
      <w:r>
        <w:rPr>
          <w:rFonts w:ascii="Cambria" w:cs="Cambria" w:eastAsia="Cambria" w:hAnsi="Cambria"/>
          <w:sz w:val="11"/>
          <w:szCs w:val="11"/>
          <w:color w:val="auto"/>
        </w:rPr>
        <w:t>19</w:t>
      </w:r>
      <w:r>
        <w:rPr>
          <w:rFonts w:ascii="Cambria" w:cs="Cambria" w:eastAsia="Cambria" w:hAnsi="Cambria"/>
          <w:sz w:val="19"/>
          <w:szCs w:val="19"/>
          <w:color w:val="auto"/>
        </w:rPr>
        <w:t xml:space="preserve"> Briefly, one volume of supernatant was mixed with two volumes of a stock solution of 15.00% w/v trichloroacetic acid, 0.37% w/v thiobarbituric acid and 0.25 M HCl thoroughly. The solution heated for 15 min in a boiling water bath.</w:t>
      </w:r>
    </w:p>
    <w:p>
      <w:pPr>
        <w:sectPr>
          <w:pgSz w:w="12240" w:h="15840" w:orient="portrait"/>
          <w:cols w:equalWidth="0" w:num="2">
            <w:col w:w="4800" w:space="460"/>
            <w:col w:w="4800"/>
          </w:cols>
          <w:pgMar w:left="1080" w:top="728" w:right="1100" w:bottom="926" w:gutter="0" w:footer="0" w:header="0"/>
          <w:type w:val="continuous"/>
        </w:sectPr>
      </w:pPr>
    </w:p>
    <w:bookmarkStart w:id="3" w:name="page4"/>
    <w:bookmarkEnd w:id="3"/>
    <w:tbl>
      <w:tblPr>
        <w:tblLayout w:type="fixed"/>
        <w:tblInd w:w="2900" w:type="dxa"/>
        <w:tblCellMar>
          <w:top w:w="0" w:type="dxa"/>
          <w:left w:w="0" w:type="dxa"/>
          <w:bottom w:w="0" w:type="dxa"/>
          <w:right w:w="0" w:type="dxa"/>
        </w:tblCellMar>
      </w:tblPr>
      <w:tr>
        <w:trPr>
          <w:trHeight w:val="203"/>
        </w:trPr>
        <w:tc>
          <w:tcPr>
            <w:tcW w:w="5660" w:type="dxa"/>
            <w:vAlign w:val="bottom"/>
          </w:tcPr>
          <w:p>
            <w:pPr>
              <w:spacing w:after="0"/>
              <w:rPr>
                <w:sz w:val="20"/>
                <w:szCs w:val="20"/>
                <w:color w:val="auto"/>
              </w:rPr>
            </w:pPr>
            <w:r>
              <w:rPr>
                <w:rFonts w:ascii="Calibri" w:cs="Calibri" w:eastAsia="Calibri" w:hAnsi="Calibri"/>
                <w:sz w:val="16"/>
                <w:szCs w:val="16"/>
                <w:b w:val="1"/>
                <w:bCs w:val="1"/>
                <w:i w:val="1"/>
                <w:iCs w:val="1"/>
                <w:color w:val="auto"/>
              </w:rPr>
              <w:t>S. Khezrian et al. Veterinary Research Forum. 2020; 11 (1) 83 - 88</w:t>
            </w:r>
          </w:p>
        </w:tc>
        <w:tc>
          <w:tcPr>
            <w:tcW w:w="1520" w:type="dxa"/>
            <w:vAlign w:val="bottom"/>
          </w:tcPr>
          <w:p>
            <w:pPr>
              <w:jc w:val="right"/>
              <w:spacing w:after="0"/>
              <w:rPr>
                <w:sz w:val="20"/>
                <w:szCs w:val="20"/>
                <w:color w:val="auto"/>
              </w:rPr>
            </w:pPr>
            <w:r>
              <w:rPr>
                <w:rFonts w:ascii="Calibri" w:cs="Calibri" w:eastAsia="Calibri" w:hAnsi="Calibri"/>
                <w:sz w:val="16"/>
                <w:szCs w:val="16"/>
                <w:i w:val="1"/>
                <w:iCs w:val="1"/>
                <w:color w:val="auto"/>
              </w:rPr>
              <w:t>85</w:t>
            </w:r>
          </w:p>
        </w:tc>
      </w:tr>
    </w:tbl>
    <w:p>
      <w:pPr>
        <w:spacing w:after="0" w:line="200" w:lineRule="exact"/>
        <w:rPr>
          <w:sz w:val="20"/>
          <w:szCs w:val="20"/>
          <w:color w:val="auto"/>
        </w:rPr>
      </w:pPr>
    </w:p>
    <w:p>
      <w:pPr>
        <w:spacing w:after="0" w:line="358" w:lineRule="exact"/>
        <w:rPr>
          <w:sz w:val="20"/>
          <w:szCs w:val="20"/>
          <w:color w:val="auto"/>
        </w:rPr>
      </w:pPr>
    </w:p>
    <w:p>
      <w:pPr>
        <w:ind w:left="20"/>
        <w:spacing w:after="0"/>
        <w:rPr>
          <w:sz w:val="20"/>
          <w:szCs w:val="20"/>
          <w:color w:val="auto"/>
        </w:rPr>
      </w:pPr>
      <w:r>
        <w:rPr>
          <w:rFonts w:ascii="Cambria" w:cs="Cambria" w:eastAsia="Cambria" w:hAnsi="Cambria"/>
          <w:sz w:val="18"/>
          <w:szCs w:val="18"/>
          <w:b w:val="1"/>
          <w:bCs w:val="1"/>
          <w:color w:val="auto"/>
        </w:rPr>
        <w:t xml:space="preserve">Table 1. </w:t>
      </w:r>
      <w:r>
        <w:rPr>
          <w:rFonts w:ascii="Cambria" w:cs="Cambria" w:eastAsia="Cambria" w:hAnsi="Cambria"/>
          <w:sz w:val="18"/>
          <w:szCs w:val="18"/>
          <w:color w:val="auto"/>
        </w:rPr>
        <w:t>Source of oil and fatty acid composition of the experimental diets (%).</w:t>
      </w:r>
    </w:p>
    <w:tbl>
      <w:tblPr>
        <w:tblLayout w:type="fixed"/>
        <w:tblInd w:w="0" w:type="dxa"/>
        <w:tblCellMar>
          <w:top w:w="0" w:type="dxa"/>
          <w:left w:w="0" w:type="dxa"/>
          <w:bottom w:w="0" w:type="dxa"/>
          <w:right w:w="0" w:type="dxa"/>
        </w:tblCellMar>
      </w:tblPr>
      <w:tr>
        <w:trPr>
          <w:trHeight w:val="227"/>
        </w:trPr>
        <w:tc>
          <w:tcPr>
            <w:tcW w:w="2500" w:type="dxa"/>
            <w:vAlign w:val="bottom"/>
            <w:tcBorders>
              <w:top w:val="single" w:sz="8" w:color="auto"/>
            </w:tcBorders>
          </w:tcPr>
          <w:p>
            <w:pPr>
              <w:ind w:left="20"/>
              <w:spacing w:after="0"/>
              <w:rPr>
                <w:sz w:val="20"/>
                <w:szCs w:val="20"/>
                <w:color w:val="auto"/>
              </w:rPr>
            </w:pPr>
            <w:r>
              <w:rPr>
                <w:rFonts w:ascii="Cambria" w:cs="Cambria" w:eastAsia="Cambria" w:hAnsi="Cambria"/>
                <w:sz w:val="18"/>
                <w:szCs w:val="18"/>
                <w:b w:val="1"/>
                <w:bCs w:val="1"/>
                <w:color w:val="auto"/>
              </w:rPr>
              <w:t>Sources</w:t>
            </w:r>
          </w:p>
        </w:tc>
        <w:tc>
          <w:tcPr>
            <w:tcW w:w="2640" w:type="dxa"/>
            <w:vAlign w:val="bottom"/>
            <w:tcBorders>
              <w:top w:val="single" w:sz="8" w:color="auto"/>
            </w:tcBorders>
          </w:tcPr>
          <w:p>
            <w:pPr>
              <w:ind w:left="1360"/>
              <w:spacing w:after="0"/>
              <w:rPr>
                <w:sz w:val="20"/>
                <w:szCs w:val="20"/>
                <w:color w:val="auto"/>
              </w:rPr>
            </w:pPr>
            <w:r>
              <w:rPr>
                <w:rFonts w:ascii="Cambria" w:cs="Cambria" w:eastAsia="Cambria" w:hAnsi="Cambria"/>
                <w:sz w:val="18"/>
                <w:szCs w:val="18"/>
                <w:b w:val="1"/>
                <w:bCs w:val="1"/>
                <w:color w:val="auto"/>
              </w:rPr>
              <w:t>Diet 1</w:t>
            </w:r>
          </w:p>
        </w:tc>
        <w:tc>
          <w:tcPr>
            <w:tcW w:w="1840" w:type="dxa"/>
            <w:vAlign w:val="bottom"/>
            <w:tcBorders>
              <w:top w:val="single" w:sz="8" w:color="auto"/>
            </w:tcBorders>
          </w:tcPr>
          <w:p>
            <w:pPr>
              <w:ind w:left="780"/>
              <w:spacing w:after="0"/>
              <w:rPr>
                <w:sz w:val="20"/>
                <w:szCs w:val="20"/>
                <w:color w:val="auto"/>
              </w:rPr>
            </w:pPr>
            <w:r>
              <w:rPr>
                <w:rFonts w:ascii="Cambria" w:cs="Cambria" w:eastAsia="Cambria" w:hAnsi="Cambria"/>
                <w:sz w:val="18"/>
                <w:szCs w:val="18"/>
                <w:b w:val="1"/>
                <w:bCs w:val="1"/>
                <w:color w:val="auto"/>
              </w:rPr>
              <w:t>Diet 2</w:t>
            </w:r>
          </w:p>
        </w:tc>
        <w:tc>
          <w:tcPr>
            <w:tcW w:w="1600" w:type="dxa"/>
            <w:vAlign w:val="bottom"/>
            <w:tcBorders>
              <w:top w:val="single" w:sz="8" w:color="auto"/>
            </w:tcBorders>
          </w:tcPr>
          <w:p>
            <w:pPr>
              <w:ind w:left="580"/>
              <w:spacing w:after="0"/>
              <w:rPr>
                <w:sz w:val="20"/>
                <w:szCs w:val="20"/>
                <w:color w:val="auto"/>
              </w:rPr>
            </w:pPr>
            <w:r>
              <w:rPr>
                <w:rFonts w:ascii="Cambria" w:cs="Cambria" w:eastAsia="Cambria" w:hAnsi="Cambria"/>
                <w:sz w:val="18"/>
                <w:szCs w:val="18"/>
                <w:b w:val="1"/>
                <w:bCs w:val="1"/>
                <w:color w:val="auto"/>
              </w:rPr>
              <w:t>Diet 3</w:t>
            </w:r>
          </w:p>
        </w:tc>
        <w:tc>
          <w:tcPr>
            <w:tcW w:w="1500" w:type="dxa"/>
            <w:vAlign w:val="bottom"/>
            <w:tcBorders>
              <w:top w:val="single" w:sz="8" w:color="auto"/>
            </w:tcBorders>
          </w:tcPr>
          <w:p>
            <w:pPr>
              <w:ind w:left="520"/>
              <w:spacing w:after="0"/>
              <w:rPr>
                <w:sz w:val="20"/>
                <w:szCs w:val="20"/>
                <w:color w:val="auto"/>
              </w:rPr>
            </w:pPr>
            <w:r>
              <w:rPr>
                <w:rFonts w:ascii="Cambria" w:cs="Cambria" w:eastAsia="Cambria" w:hAnsi="Cambria"/>
                <w:sz w:val="18"/>
                <w:szCs w:val="18"/>
                <w:b w:val="1"/>
                <w:bCs w:val="1"/>
                <w:color w:val="auto"/>
              </w:rPr>
              <w:t>Diet 4</w:t>
            </w:r>
          </w:p>
        </w:tc>
      </w:tr>
      <w:tr>
        <w:trPr>
          <w:trHeight w:val="24"/>
        </w:trPr>
        <w:tc>
          <w:tcPr>
            <w:tcW w:w="2500" w:type="dxa"/>
            <w:vAlign w:val="bottom"/>
            <w:tcBorders>
              <w:bottom w:val="single" w:sz="8" w:color="auto"/>
            </w:tcBorders>
          </w:tcPr>
          <w:p>
            <w:pPr>
              <w:spacing w:after="0"/>
              <w:rPr>
                <w:sz w:val="2"/>
                <w:szCs w:val="2"/>
                <w:color w:val="auto"/>
              </w:rPr>
            </w:pPr>
          </w:p>
        </w:tc>
        <w:tc>
          <w:tcPr>
            <w:tcW w:w="2640" w:type="dxa"/>
            <w:vAlign w:val="bottom"/>
            <w:tcBorders>
              <w:bottom w:val="single" w:sz="8" w:color="auto"/>
            </w:tcBorders>
          </w:tcPr>
          <w:p>
            <w:pPr>
              <w:spacing w:after="0"/>
              <w:rPr>
                <w:sz w:val="2"/>
                <w:szCs w:val="2"/>
                <w:color w:val="auto"/>
              </w:rPr>
            </w:pPr>
          </w:p>
        </w:tc>
        <w:tc>
          <w:tcPr>
            <w:tcW w:w="1840" w:type="dxa"/>
            <w:vAlign w:val="bottom"/>
            <w:tcBorders>
              <w:bottom w:val="single" w:sz="8" w:color="auto"/>
            </w:tcBorders>
          </w:tcPr>
          <w:p>
            <w:pPr>
              <w:spacing w:after="0"/>
              <w:rPr>
                <w:sz w:val="2"/>
                <w:szCs w:val="2"/>
                <w:color w:val="auto"/>
              </w:rPr>
            </w:pPr>
          </w:p>
        </w:tc>
        <w:tc>
          <w:tcPr>
            <w:tcW w:w="1600" w:type="dxa"/>
            <w:vAlign w:val="bottom"/>
            <w:tcBorders>
              <w:bottom w:val="single" w:sz="8" w:color="auto"/>
            </w:tcBorders>
          </w:tcPr>
          <w:p>
            <w:pPr>
              <w:spacing w:after="0"/>
              <w:rPr>
                <w:sz w:val="2"/>
                <w:szCs w:val="2"/>
                <w:color w:val="auto"/>
              </w:rPr>
            </w:pPr>
          </w:p>
        </w:tc>
        <w:tc>
          <w:tcPr>
            <w:tcW w:w="1500" w:type="dxa"/>
            <w:vAlign w:val="bottom"/>
            <w:tcBorders>
              <w:bottom w:val="single" w:sz="8" w:color="auto"/>
            </w:tcBorders>
          </w:tcPr>
          <w:p>
            <w:pPr>
              <w:spacing w:after="0"/>
              <w:rPr>
                <w:sz w:val="2"/>
                <w:szCs w:val="2"/>
                <w:color w:val="auto"/>
              </w:rPr>
            </w:pPr>
          </w:p>
        </w:tc>
      </w:tr>
      <w:tr>
        <w:trPr>
          <w:trHeight w:val="202"/>
        </w:trPr>
        <w:tc>
          <w:tcPr>
            <w:tcW w:w="2500" w:type="dxa"/>
            <w:vAlign w:val="bottom"/>
          </w:tcPr>
          <w:p>
            <w:pPr>
              <w:ind w:left="20"/>
              <w:spacing w:after="0" w:line="203" w:lineRule="exact"/>
              <w:rPr>
                <w:sz w:val="20"/>
                <w:szCs w:val="20"/>
                <w:color w:val="auto"/>
              </w:rPr>
            </w:pPr>
            <w:r>
              <w:rPr>
                <w:rFonts w:ascii="Cambria" w:cs="Cambria" w:eastAsia="Cambria" w:hAnsi="Cambria"/>
                <w:sz w:val="18"/>
                <w:szCs w:val="18"/>
                <w:b w:val="1"/>
                <w:bCs w:val="1"/>
                <w:color w:val="auto"/>
              </w:rPr>
              <w:t>Fish oil</w:t>
            </w:r>
          </w:p>
        </w:tc>
        <w:tc>
          <w:tcPr>
            <w:tcW w:w="2640" w:type="dxa"/>
            <w:vAlign w:val="bottom"/>
          </w:tcPr>
          <w:p>
            <w:pPr>
              <w:jc w:val="center"/>
              <w:ind w:left="470"/>
              <w:spacing w:after="0" w:line="203" w:lineRule="exact"/>
              <w:rPr>
                <w:sz w:val="20"/>
                <w:szCs w:val="20"/>
                <w:color w:val="auto"/>
              </w:rPr>
            </w:pPr>
            <w:r>
              <w:rPr>
                <w:rFonts w:ascii="Cambria" w:cs="Cambria" w:eastAsia="Cambria" w:hAnsi="Cambria"/>
                <w:sz w:val="18"/>
                <w:szCs w:val="18"/>
                <w:color w:val="auto"/>
              </w:rPr>
              <w:t>80.00</w:t>
            </w:r>
          </w:p>
        </w:tc>
        <w:tc>
          <w:tcPr>
            <w:tcW w:w="1840" w:type="dxa"/>
            <w:vAlign w:val="bottom"/>
          </w:tcPr>
          <w:p>
            <w:pPr>
              <w:jc w:val="center"/>
              <w:ind w:left="130"/>
              <w:spacing w:after="0" w:line="203" w:lineRule="exact"/>
              <w:rPr>
                <w:sz w:val="20"/>
                <w:szCs w:val="20"/>
                <w:color w:val="auto"/>
              </w:rPr>
            </w:pPr>
            <w:r>
              <w:rPr>
                <w:rFonts w:ascii="Cambria" w:cs="Cambria" w:eastAsia="Cambria" w:hAnsi="Cambria"/>
                <w:sz w:val="18"/>
                <w:szCs w:val="18"/>
                <w:color w:val="auto"/>
                <w:w w:val="96"/>
              </w:rPr>
              <w:t>40.00</w:t>
            </w:r>
          </w:p>
        </w:tc>
        <w:tc>
          <w:tcPr>
            <w:tcW w:w="1600" w:type="dxa"/>
            <w:vAlign w:val="bottom"/>
          </w:tcPr>
          <w:p>
            <w:pPr>
              <w:jc w:val="center"/>
              <w:spacing w:after="0" w:line="203" w:lineRule="exact"/>
              <w:rPr>
                <w:sz w:val="20"/>
                <w:szCs w:val="20"/>
                <w:color w:val="auto"/>
              </w:rPr>
            </w:pPr>
            <w:r>
              <w:rPr>
                <w:rFonts w:ascii="Cambria" w:cs="Cambria" w:eastAsia="Cambria" w:hAnsi="Cambria"/>
                <w:sz w:val="18"/>
                <w:szCs w:val="18"/>
                <w:color w:val="auto"/>
              </w:rPr>
              <w:t>20.00</w:t>
            </w:r>
          </w:p>
        </w:tc>
        <w:tc>
          <w:tcPr>
            <w:tcW w:w="1500" w:type="dxa"/>
            <w:vAlign w:val="bottom"/>
          </w:tcPr>
          <w:p>
            <w:pPr>
              <w:jc w:val="center"/>
              <w:spacing w:after="0" w:line="203" w:lineRule="exact"/>
              <w:rPr>
                <w:sz w:val="20"/>
                <w:szCs w:val="20"/>
                <w:color w:val="auto"/>
              </w:rPr>
            </w:pPr>
            <w:r>
              <w:rPr>
                <w:rFonts w:ascii="Cambria" w:cs="Cambria" w:eastAsia="Cambria" w:hAnsi="Cambria"/>
                <w:sz w:val="18"/>
                <w:szCs w:val="18"/>
                <w:color w:val="auto"/>
              </w:rPr>
              <w:t>0.00</w:t>
            </w:r>
          </w:p>
        </w:tc>
      </w:tr>
      <w:tr>
        <w:trPr>
          <w:trHeight w:val="209"/>
        </w:trPr>
        <w:tc>
          <w:tcPr>
            <w:tcW w:w="2500" w:type="dxa"/>
            <w:vAlign w:val="bottom"/>
          </w:tcPr>
          <w:p>
            <w:pPr>
              <w:ind w:left="20"/>
              <w:spacing w:after="0" w:line="209" w:lineRule="exact"/>
              <w:rPr>
                <w:sz w:val="20"/>
                <w:szCs w:val="20"/>
                <w:color w:val="auto"/>
              </w:rPr>
            </w:pPr>
            <w:r>
              <w:rPr>
                <w:rFonts w:ascii="Cambria" w:cs="Cambria" w:eastAsia="Cambria" w:hAnsi="Cambria"/>
                <w:sz w:val="18"/>
                <w:szCs w:val="18"/>
                <w:b w:val="1"/>
                <w:bCs w:val="1"/>
                <w:color w:val="auto"/>
              </w:rPr>
              <w:t>Canola oil</w:t>
            </w:r>
          </w:p>
        </w:tc>
        <w:tc>
          <w:tcPr>
            <w:tcW w:w="2640" w:type="dxa"/>
            <w:vAlign w:val="bottom"/>
          </w:tcPr>
          <w:p>
            <w:pPr>
              <w:jc w:val="center"/>
              <w:ind w:left="490"/>
              <w:spacing w:after="0" w:line="209" w:lineRule="exact"/>
              <w:rPr>
                <w:sz w:val="20"/>
                <w:szCs w:val="20"/>
                <w:color w:val="auto"/>
              </w:rPr>
            </w:pPr>
            <w:r>
              <w:rPr>
                <w:rFonts w:ascii="Cambria" w:cs="Cambria" w:eastAsia="Cambria" w:hAnsi="Cambria"/>
                <w:sz w:val="18"/>
                <w:szCs w:val="18"/>
                <w:color w:val="auto"/>
              </w:rPr>
              <w:t>0.00</w:t>
            </w:r>
          </w:p>
        </w:tc>
        <w:tc>
          <w:tcPr>
            <w:tcW w:w="1840" w:type="dxa"/>
            <w:vAlign w:val="bottom"/>
          </w:tcPr>
          <w:p>
            <w:pPr>
              <w:jc w:val="center"/>
              <w:ind w:left="130"/>
              <w:spacing w:after="0" w:line="209" w:lineRule="exact"/>
              <w:rPr>
                <w:sz w:val="20"/>
                <w:szCs w:val="20"/>
                <w:color w:val="auto"/>
              </w:rPr>
            </w:pPr>
            <w:r>
              <w:rPr>
                <w:rFonts w:ascii="Cambria" w:cs="Cambria" w:eastAsia="Cambria" w:hAnsi="Cambria"/>
                <w:sz w:val="18"/>
                <w:szCs w:val="18"/>
                <w:color w:val="auto"/>
                <w:w w:val="96"/>
              </w:rPr>
              <w:t>22.50</w:t>
            </w:r>
          </w:p>
        </w:tc>
        <w:tc>
          <w:tcPr>
            <w:tcW w:w="1600" w:type="dxa"/>
            <w:vAlign w:val="bottom"/>
          </w:tcPr>
          <w:p>
            <w:pPr>
              <w:jc w:val="center"/>
              <w:spacing w:after="0" w:line="209" w:lineRule="exact"/>
              <w:rPr>
                <w:sz w:val="20"/>
                <w:szCs w:val="20"/>
                <w:color w:val="auto"/>
              </w:rPr>
            </w:pPr>
            <w:r>
              <w:rPr>
                <w:rFonts w:ascii="Cambria" w:cs="Cambria" w:eastAsia="Cambria" w:hAnsi="Cambria"/>
                <w:sz w:val="18"/>
                <w:szCs w:val="18"/>
                <w:color w:val="auto"/>
              </w:rPr>
              <w:t>25.00</w:t>
            </w:r>
          </w:p>
        </w:tc>
        <w:tc>
          <w:tcPr>
            <w:tcW w:w="1500" w:type="dxa"/>
            <w:vAlign w:val="bottom"/>
          </w:tcPr>
          <w:p>
            <w:pPr>
              <w:jc w:val="center"/>
              <w:spacing w:after="0" w:line="209" w:lineRule="exact"/>
              <w:rPr>
                <w:sz w:val="20"/>
                <w:szCs w:val="20"/>
                <w:color w:val="auto"/>
              </w:rPr>
            </w:pPr>
            <w:r>
              <w:rPr>
                <w:rFonts w:ascii="Cambria" w:cs="Cambria" w:eastAsia="Cambria" w:hAnsi="Cambria"/>
                <w:sz w:val="18"/>
                <w:szCs w:val="18"/>
                <w:color w:val="auto"/>
                <w:w w:val="96"/>
              </w:rPr>
              <w:t>30.00</w:t>
            </w:r>
          </w:p>
        </w:tc>
      </w:tr>
      <w:tr>
        <w:trPr>
          <w:trHeight w:val="211"/>
        </w:trPr>
        <w:tc>
          <w:tcPr>
            <w:tcW w:w="2500" w:type="dxa"/>
            <w:vAlign w:val="bottom"/>
          </w:tcPr>
          <w:p>
            <w:pPr>
              <w:ind w:left="20"/>
              <w:spacing w:after="0"/>
              <w:rPr>
                <w:sz w:val="20"/>
                <w:szCs w:val="20"/>
                <w:color w:val="auto"/>
              </w:rPr>
            </w:pPr>
            <w:r>
              <w:rPr>
                <w:rFonts w:ascii="Cambria" w:cs="Cambria" w:eastAsia="Cambria" w:hAnsi="Cambria"/>
                <w:sz w:val="18"/>
                <w:szCs w:val="18"/>
                <w:b w:val="1"/>
                <w:bCs w:val="1"/>
                <w:color w:val="auto"/>
              </w:rPr>
              <w:t>Linseed oil</w:t>
            </w:r>
          </w:p>
        </w:tc>
        <w:tc>
          <w:tcPr>
            <w:tcW w:w="2640" w:type="dxa"/>
            <w:vAlign w:val="bottom"/>
          </w:tcPr>
          <w:p>
            <w:pPr>
              <w:jc w:val="center"/>
              <w:ind w:left="490"/>
              <w:spacing w:after="0"/>
              <w:rPr>
                <w:sz w:val="20"/>
                <w:szCs w:val="20"/>
                <w:color w:val="auto"/>
              </w:rPr>
            </w:pPr>
            <w:r>
              <w:rPr>
                <w:rFonts w:ascii="Cambria" w:cs="Cambria" w:eastAsia="Cambria" w:hAnsi="Cambria"/>
                <w:sz w:val="18"/>
                <w:szCs w:val="18"/>
                <w:color w:val="auto"/>
              </w:rPr>
              <w:t>2.00</w:t>
            </w:r>
          </w:p>
        </w:tc>
        <w:tc>
          <w:tcPr>
            <w:tcW w:w="1840" w:type="dxa"/>
            <w:vAlign w:val="bottom"/>
          </w:tcPr>
          <w:p>
            <w:pPr>
              <w:jc w:val="center"/>
              <w:ind w:left="130"/>
              <w:spacing w:after="0"/>
              <w:rPr>
                <w:sz w:val="20"/>
                <w:szCs w:val="20"/>
                <w:color w:val="auto"/>
              </w:rPr>
            </w:pPr>
            <w:r>
              <w:rPr>
                <w:rFonts w:ascii="Cambria" w:cs="Cambria" w:eastAsia="Cambria" w:hAnsi="Cambria"/>
                <w:sz w:val="18"/>
                <w:szCs w:val="18"/>
                <w:color w:val="auto"/>
              </w:rPr>
              <w:t>3.00</w:t>
            </w:r>
          </w:p>
        </w:tc>
        <w:tc>
          <w:tcPr>
            <w:tcW w:w="1600" w:type="dxa"/>
            <w:vAlign w:val="bottom"/>
          </w:tcPr>
          <w:p>
            <w:pPr>
              <w:jc w:val="center"/>
              <w:spacing w:after="0"/>
              <w:rPr>
                <w:sz w:val="20"/>
                <w:szCs w:val="20"/>
                <w:color w:val="auto"/>
              </w:rPr>
            </w:pPr>
            <w:r>
              <w:rPr>
                <w:rFonts w:ascii="Cambria" w:cs="Cambria" w:eastAsia="Cambria" w:hAnsi="Cambria"/>
                <w:sz w:val="18"/>
                <w:szCs w:val="18"/>
                <w:color w:val="auto"/>
              </w:rPr>
              <w:t>4.75</w:t>
            </w:r>
          </w:p>
        </w:tc>
        <w:tc>
          <w:tcPr>
            <w:tcW w:w="1500" w:type="dxa"/>
            <w:vAlign w:val="bottom"/>
          </w:tcPr>
          <w:p>
            <w:pPr>
              <w:jc w:val="center"/>
              <w:spacing w:after="0"/>
              <w:rPr>
                <w:sz w:val="20"/>
                <w:szCs w:val="20"/>
                <w:color w:val="auto"/>
              </w:rPr>
            </w:pPr>
            <w:r>
              <w:rPr>
                <w:rFonts w:ascii="Cambria" w:cs="Cambria" w:eastAsia="Cambria" w:hAnsi="Cambria"/>
                <w:sz w:val="18"/>
                <w:szCs w:val="18"/>
                <w:color w:val="auto"/>
              </w:rPr>
              <w:t>6.30</w:t>
            </w:r>
          </w:p>
        </w:tc>
      </w:tr>
      <w:tr>
        <w:trPr>
          <w:trHeight w:val="211"/>
        </w:trPr>
        <w:tc>
          <w:tcPr>
            <w:tcW w:w="2500" w:type="dxa"/>
            <w:vAlign w:val="bottom"/>
          </w:tcPr>
          <w:p>
            <w:pPr>
              <w:ind w:left="20"/>
              <w:spacing w:after="0"/>
              <w:rPr>
                <w:sz w:val="20"/>
                <w:szCs w:val="20"/>
                <w:color w:val="auto"/>
              </w:rPr>
            </w:pPr>
            <w:r>
              <w:rPr>
                <w:rFonts w:ascii="Cambria" w:cs="Cambria" w:eastAsia="Cambria" w:hAnsi="Cambria"/>
                <w:sz w:val="18"/>
                <w:szCs w:val="18"/>
                <w:b w:val="1"/>
                <w:bCs w:val="1"/>
                <w:color w:val="auto"/>
              </w:rPr>
              <w:t>Corn oil</w:t>
            </w:r>
          </w:p>
        </w:tc>
        <w:tc>
          <w:tcPr>
            <w:tcW w:w="2640" w:type="dxa"/>
            <w:vAlign w:val="bottom"/>
          </w:tcPr>
          <w:p>
            <w:pPr>
              <w:jc w:val="center"/>
              <w:ind w:left="470"/>
              <w:spacing w:after="0"/>
              <w:rPr>
                <w:sz w:val="20"/>
                <w:szCs w:val="20"/>
                <w:color w:val="auto"/>
              </w:rPr>
            </w:pPr>
            <w:r>
              <w:rPr>
                <w:rFonts w:ascii="Cambria" w:cs="Cambria" w:eastAsia="Cambria" w:hAnsi="Cambria"/>
                <w:sz w:val="18"/>
                <w:szCs w:val="18"/>
                <w:color w:val="auto"/>
              </w:rPr>
              <w:t>18.00</w:t>
            </w:r>
          </w:p>
        </w:tc>
        <w:tc>
          <w:tcPr>
            <w:tcW w:w="1840" w:type="dxa"/>
            <w:vAlign w:val="bottom"/>
          </w:tcPr>
          <w:p>
            <w:pPr>
              <w:jc w:val="center"/>
              <w:ind w:left="130"/>
              <w:spacing w:after="0"/>
              <w:rPr>
                <w:sz w:val="20"/>
                <w:szCs w:val="20"/>
                <w:color w:val="auto"/>
              </w:rPr>
            </w:pPr>
            <w:r>
              <w:rPr>
                <w:rFonts w:ascii="Cambria" w:cs="Cambria" w:eastAsia="Cambria" w:hAnsi="Cambria"/>
                <w:sz w:val="18"/>
                <w:szCs w:val="18"/>
                <w:color w:val="auto"/>
              </w:rPr>
              <w:t>0.00</w:t>
            </w:r>
          </w:p>
        </w:tc>
        <w:tc>
          <w:tcPr>
            <w:tcW w:w="1600" w:type="dxa"/>
            <w:vAlign w:val="bottom"/>
          </w:tcPr>
          <w:p>
            <w:pPr>
              <w:jc w:val="center"/>
              <w:spacing w:after="0"/>
              <w:rPr>
                <w:sz w:val="20"/>
                <w:szCs w:val="20"/>
                <w:color w:val="auto"/>
              </w:rPr>
            </w:pPr>
            <w:r>
              <w:rPr>
                <w:rFonts w:ascii="Cambria" w:cs="Cambria" w:eastAsia="Cambria" w:hAnsi="Cambria"/>
                <w:sz w:val="18"/>
                <w:szCs w:val="18"/>
                <w:color w:val="auto"/>
              </w:rPr>
              <w:t>0.00</w:t>
            </w:r>
          </w:p>
        </w:tc>
        <w:tc>
          <w:tcPr>
            <w:tcW w:w="1500" w:type="dxa"/>
            <w:vAlign w:val="bottom"/>
          </w:tcPr>
          <w:p>
            <w:pPr>
              <w:jc w:val="center"/>
              <w:spacing w:after="0"/>
              <w:rPr>
                <w:sz w:val="20"/>
                <w:szCs w:val="20"/>
                <w:color w:val="auto"/>
              </w:rPr>
            </w:pPr>
            <w:r>
              <w:rPr>
                <w:rFonts w:ascii="Cambria" w:cs="Cambria" w:eastAsia="Cambria" w:hAnsi="Cambria"/>
                <w:sz w:val="18"/>
                <w:szCs w:val="18"/>
                <w:color w:val="auto"/>
              </w:rPr>
              <w:t>0.00</w:t>
            </w:r>
          </w:p>
        </w:tc>
      </w:tr>
      <w:tr>
        <w:trPr>
          <w:trHeight w:val="211"/>
        </w:trPr>
        <w:tc>
          <w:tcPr>
            <w:tcW w:w="2500" w:type="dxa"/>
            <w:vAlign w:val="bottom"/>
          </w:tcPr>
          <w:p>
            <w:pPr>
              <w:ind w:left="20"/>
              <w:spacing w:after="0"/>
              <w:rPr>
                <w:sz w:val="20"/>
                <w:szCs w:val="20"/>
                <w:color w:val="auto"/>
              </w:rPr>
            </w:pPr>
            <w:r>
              <w:rPr>
                <w:rFonts w:ascii="Cambria" w:cs="Cambria" w:eastAsia="Cambria" w:hAnsi="Cambria"/>
                <w:sz w:val="18"/>
                <w:szCs w:val="18"/>
                <w:b w:val="1"/>
                <w:bCs w:val="1"/>
                <w:color w:val="auto"/>
              </w:rPr>
              <w:t>Olive oil</w:t>
            </w:r>
          </w:p>
        </w:tc>
        <w:tc>
          <w:tcPr>
            <w:tcW w:w="2640" w:type="dxa"/>
            <w:vAlign w:val="bottom"/>
          </w:tcPr>
          <w:p>
            <w:pPr>
              <w:jc w:val="center"/>
              <w:ind w:left="490"/>
              <w:spacing w:after="0"/>
              <w:rPr>
                <w:sz w:val="20"/>
                <w:szCs w:val="20"/>
                <w:color w:val="auto"/>
              </w:rPr>
            </w:pPr>
            <w:r>
              <w:rPr>
                <w:rFonts w:ascii="Cambria" w:cs="Cambria" w:eastAsia="Cambria" w:hAnsi="Cambria"/>
                <w:sz w:val="18"/>
                <w:szCs w:val="18"/>
                <w:color w:val="auto"/>
              </w:rPr>
              <w:t>0.00</w:t>
            </w:r>
          </w:p>
        </w:tc>
        <w:tc>
          <w:tcPr>
            <w:tcW w:w="1840" w:type="dxa"/>
            <w:vAlign w:val="bottom"/>
          </w:tcPr>
          <w:p>
            <w:pPr>
              <w:jc w:val="center"/>
              <w:ind w:left="130"/>
              <w:spacing w:after="0"/>
              <w:rPr>
                <w:sz w:val="20"/>
                <w:szCs w:val="20"/>
                <w:color w:val="auto"/>
              </w:rPr>
            </w:pPr>
            <w:r>
              <w:rPr>
                <w:rFonts w:ascii="Cambria" w:cs="Cambria" w:eastAsia="Cambria" w:hAnsi="Cambria"/>
                <w:sz w:val="18"/>
                <w:szCs w:val="18"/>
                <w:color w:val="auto"/>
              </w:rPr>
              <w:t>0.00</w:t>
            </w:r>
          </w:p>
        </w:tc>
        <w:tc>
          <w:tcPr>
            <w:tcW w:w="1600" w:type="dxa"/>
            <w:vAlign w:val="bottom"/>
          </w:tcPr>
          <w:p>
            <w:pPr>
              <w:jc w:val="center"/>
              <w:spacing w:after="0"/>
              <w:rPr>
                <w:sz w:val="20"/>
                <w:szCs w:val="20"/>
                <w:color w:val="auto"/>
              </w:rPr>
            </w:pPr>
            <w:r>
              <w:rPr>
                <w:rFonts w:ascii="Cambria" w:cs="Cambria" w:eastAsia="Cambria" w:hAnsi="Cambria"/>
                <w:sz w:val="18"/>
                <w:szCs w:val="18"/>
                <w:color w:val="auto"/>
              </w:rPr>
              <w:t>4.00</w:t>
            </w:r>
          </w:p>
        </w:tc>
        <w:tc>
          <w:tcPr>
            <w:tcW w:w="1500" w:type="dxa"/>
            <w:vAlign w:val="bottom"/>
          </w:tcPr>
          <w:p>
            <w:pPr>
              <w:jc w:val="center"/>
              <w:spacing w:after="0"/>
              <w:rPr>
                <w:sz w:val="20"/>
                <w:szCs w:val="20"/>
                <w:color w:val="auto"/>
              </w:rPr>
            </w:pPr>
            <w:r>
              <w:rPr>
                <w:rFonts w:ascii="Cambria" w:cs="Cambria" w:eastAsia="Cambria" w:hAnsi="Cambria"/>
                <w:sz w:val="18"/>
                <w:szCs w:val="18"/>
                <w:color w:val="auto"/>
              </w:rPr>
              <w:t>5.50</w:t>
            </w:r>
          </w:p>
        </w:tc>
      </w:tr>
      <w:tr>
        <w:trPr>
          <w:trHeight w:val="211"/>
        </w:trPr>
        <w:tc>
          <w:tcPr>
            <w:tcW w:w="2500" w:type="dxa"/>
            <w:vAlign w:val="bottom"/>
          </w:tcPr>
          <w:p>
            <w:pPr>
              <w:ind w:left="20"/>
              <w:spacing w:after="0"/>
              <w:rPr>
                <w:sz w:val="20"/>
                <w:szCs w:val="20"/>
                <w:color w:val="auto"/>
              </w:rPr>
            </w:pPr>
            <w:r>
              <w:rPr>
                <w:rFonts w:ascii="Cambria" w:cs="Cambria" w:eastAsia="Cambria" w:hAnsi="Cambria"/>
                <w:sz w:val="18"/>
                <w:szCs w:val="18"/>
                <w:b w:val="1"/>
                <w:bCs w:val="1"/>
                <w:color w:val="auto"/>
              </w:rPr>
              <w:t>Sunflower oil</w:t>
            </w:r>
          </w:p>
        </w:tc>
        <w:tc>
          <w:tcPr>
            <w:tcW w:w="2640" w:type="dxa"/>
            <w:vAlign w:val="bottom"/>
          </w:tcPr>
          <w:p>
            <w:pPr>
              <w:jc w:val="center"/>
              <w:ind w:left="490"/>
              <w:spacing w:after="0"/>
              <w:rPr>
                <w:sz w:val="20"/>
                <w:szCs w:val="20"/>
                <w:color w:val="auto"/>
              </w:rPr>
            </w:pPr>
            <w:r>
              <w:rPr>
                <w:rFonts w:ascii="Cambria" w:cs="Cambria" w:eastAsia="Cambria" w:hAnsi="Cambria"/>
                <w:sz w:val="18"/>
                <w:szCs w:val="18"/>
                <w:color w:val="auto"/>
              </w:rPr>
              <w:t>0.00</w:t>
            </w:r>
          </w:p>
        </w:tc>
        <w:tc>
          <w:tcPr>
            <w:tcW w:w="1840" w:type="dxa"/>
            <w:vAlign w:val="bottom"/>
          </w:tcPr>
          <w:p>
            <w:pPr>
              <w:jc w:val="center"/>
              <w:ind w:left="130"/>
              <w:spacing w:after="0"/>
              <w:rPr>
                <w:sz w:val="20"/>
                <w:szCs w:val="20"/>
                <w:color w:val="auto"/>
              </w:rPr>
            </w:pPr>
            <w:r>
              <w:rPr>
                <w:rFonts w:ascii="Cambria" w:cs="Cambria" w:eastAsia="Cambria" w:hAnsi="Cambria"/>
                <w:sz w:val="18"/>
                <w:szCs w:val="18"/>
                <w:color w:val="auto"/>
                <w:w w:val="96"/>
              </w:rPr>
              <w:t>19.00</w:t>
            </w:r>
          </w:p>
        </w:tc>
        <w:tc>
          <w:tcPr>
            <w:tcW w:w="1600" w:type="dxa"/>
            <w:vAlign w:val="bottom"/>
          </w:tcPr>
          <w:p>
            <w:pPr>
              <w:jc w:val="center"/>
              <w:spacing w:after="0"/>
              <w:rPr>
                <w:sz w:val="20"/>
                <w:szCs w:val="20"/>
                <w:color w:val="auto"/>
              </w:rPr>
            </w:pPr>
            <w:r>
              <w:rPr>
                <w:rFonts w:ascii="Cambria" w:cs="Cambria" w:eastAsia="Cambria" w:hAnsi="Cambria"/>
                <w:sz w:val="18"/>
                <w:szCs w:val="18"/>
                <w:color w:val="auto"/>
              </w:rPr>
              <w:t>23.75</w:t>
            </w:r>
          </w:p>
        </w:tc>
        <w:tc>
          <w:tcPr>
            <w:tcW w:w="1500" w:type="dxa"/>
            <w:vAlign w:val="bottom"/>
          </w:tcPr>
          <w:p>
            <w:pPr>
              <w:jc w:val="center"/>
              <w:spacing w:after="0"/>
              <w:rPr>
                <w:sz w:val="20"/>
                <w:szCs w:val="20"/>
                <w:color w:val="auto"/>
              </w:rPr>
            </w:pPr>
            <w:r>
              <w:rPr>
                <w:rFonts w:ascii="Cambria" w:cs="Cambria" w:eastAsia="Cambria" w:hAnsi="Cambria"/>
                <w:sz w:val="18"/>
                <w:szCs w:val="18"/>
                <w:color w:val="auto"/>
                <w:w w:val="96"/>
              </w:rPr>
              <w:t>28.20</w:t>
            </w:r>
          </w:p>
        </w:tc>
      </w:tr>
      <w:tr>
        <w:trPr>
          <w:trHeight w:val="214"/>
        </w:trPr>
        <w:tc>
          <w:tcPr>
            <w:tcW w:w="2500" w:type="dxa"/>
            <w:vAlign w:val="bottom"/>
            <w:tcBorders>
              <w:bottom w:val="single" w:sz="8" w:color="auto"/>
            </w:tcBorders>
          </w:tcPr>
          <w:p>
            <w:pPr>
              <w:ind w:left="20"/>
              <w:spacing w:after="0"/>
              <w:rPr>
                <w:sz w:val="20"/>
                <w:szCs w:val="20"/>
                <w:color w:val="auto"/>
              </w:rPr>
            </w:pPr>
            <w:r>
              <w:rPr>
                <w:rFonts w:ascii="Cambria" w:cs="Cambria" w:eastAsia="Cambria" w:hAnsi="Cambria"/>
                <w:sz w:val="18"/>
                <w:szCs w:val="18"/>
                <w:b w:val="1"/>
                <w:bCs w:val="1"/>
                <w:color w:val="auto"/>
              </w:rPr>
              <w:t>Coconut oil</w:t>
            </w:r>
          </w:p>
        </w:tc>
        <w:tc>
          <w:tcPr>
            <w:tcW w:w="2640" w:type="dxa"/>
            <w:vAlign w:val="bottom"/>
            <w:tcBorders>
              <w:bottom w:val="single" w:sz="8" w:color="auto"/>
            </w:tcBorders>
          </w:tcPr>
          <w:p>
            <w:pPr>
              <w:jc w:val="center"/>
              <w:ind w:left="490"/>
              <w:spacing w:after="0"/>
              <w:rPr>
                <w:sz w:val="20"/>
                <w:szCs w:val="20"/>
                <w:color w:val="auto"/>
              </w:rPr>
            </w:pPr>
            <w:r>
              <w:rPr>
                <w:rFonts w:ascii="Cambria" w:cs="Cambria" w:eastAsia="Cambria" w:hAnsi="Cambria"/>
                <w:sz w:val="18"/>
                <w:szCs w:val="18"/>
                <w:color w:val="auto"/>
              </w:rPr>
              <w:t>0.00</w:t>
            </w:r>
          </w:p>
        </w:tc>
        <w:tc>
          <w:tcPr>
            <w:tcW w:w="1840" w:type="dxa"/>
            <w:vAlign w:val="bottom"/>
            <w:tcBorders>
              <w:bottom w:val="single" w:sz="8" w:color="auto"/>
            </w:tcBorders>
          </w:tcPr>
          <w:p>
            <w:pPr>
              <w:jc w:val="center"/>
              <w:ind w:left="130"/>
              <w:spacing w:after="0"/>
              <w:rPr>
                <w:sz w:val="20"/>
                <w:szCs w:val="20"/>
                <w:color w:val="auto"/>
              </w:rPr>
            </w:pPr>
            <w:r>
              <w:rPr>
                <w:rFonts w:ascii="Cambria" w:cs="Cambria" w:eastAsia="Cambria" w:hAnsi="Cambria"/>
                <w:sz w:val="18"/>
                <w:szCs w:val="18"/>
                <w:color w:val="auto"/>
                <w:w w:val="96"/>
              </w:rPr>
              <w:t>15.50</w:t>
            </w:r>
          </w:p>
        </w:tc>
        <w:tc>
          <w:tcPr>
            <w:tcW w:w="1600" w:type="dxa"/>
            <w:vAlign w:val="bottom"/>
            <w:tcBorders>
              <w:bottom w:val="single" w:sz="8" w:color="auto"/>
            </w:tcBorders>
          </w:tcPr>
          <w:p>
            <w:pPr>
              <w:jc w:val="center"/>
              <w:spacing w:after="0"/>
              <w:rPr>
                <w:sz w:val="20"/>
                <w:szCs w:val="20"/>
                <w:color w:val="auto"/>
              </w:rPr>
            </w:pPr>
            <w:r>
              <w:rPr>
                <w:rFonts w:ascii="Cambria" w:cs="Cambria" w:eastAsia="Cambria" w:hAnsi="Cambria"/>
                <w:sz w:val="18"/>
                <w:szCs w:val="18"/>
                <w:color w:val="auto"/>
              </w:rPr>
              <w:t>22.50</w:t>
            </w:r>
          </w:p>
        </w:tc>
        <w:tc>
          <w:tcPr>
            <w:tcW w:w="1500" w:type="dxa"/>
            <w:vAlign w:val="bottom"/>
            <w:tcBorders>
              <w:bottom w:val="single" w:sz="8" w:color="auto"/>
            </w:tcBorders>
          </w:tcPr>
          <w:p>
            <w:pPr>
              <w:jc w:val="center"/>
              <w:spacing w:after="0"/>
              <w:rPr>
                <w:sz w:val="20"/>
                <w:szCs w:val="20"/>
                <w:color w:val="auto"/>
              </w:rPr>
            </w:pPr>
            <w:r>
              <w:rPr>
                <w:rFonts w:ascii="Cambria" w:cs="Cambria" w:eastAsia="Cambria" w:hAnsi="Cambria"/>
                <w:sz w:val="18"/>
                <w:szCs w:val="18"/>
                <w:color w:val="auto"/>
                <w:w w:val="96"/>
              </w:rPr>
              <w:t>30.00</w:t>
            </w:r>
          </w:p>
        </w:tc>
      </w:tr>
      <w:tr>
        <w:trPr>
          <w:trHeight w:val="225"/>
        </w:trPr>
        <w:tc>
          <w:tcPr>
            <w:tcW w:w="2500" w:type="dxa"/>
            <w:vAlign w:val="bottom"/>
          </w:tcPr>
          <w:p>
            <w:pPr>
              <w:ind w:left="20"/>
              <w:spacing w:after="0"/>
              <w:rPr>
                <w:sz w:val="20"/>
                <w:szCs w:val="20"/>
                <w:color w:val="auto"/>
              </w:rPr>
            </w:pPr>
            <w:r>
              <w:rPr>
                <w:rFonts w:ascii="Cambria" w:cs="Cambria" w:eastAsia="Cambria" w:hAnsi="Cambria"/>
                <w:sz w:val="18"/>
                <w:szCs w:val="18"/>
                <w:b w:val="1"/>
                <w:bCs w:val="1"/>
                <w:i w:val="1"/>
                <w:iCs w:val="1"/>
                <w:color w:val="auto"/>
              </w:rPr>
              <w:t>Composition</w:t>
            </w:r>
          </w:p>
        </w:tc>
        <w:tc>
          <w:tcPr>
            <w:tcW w:w="2640" w:type="dxa"/>
            <w:vAlign w:val="bottom"/>
          </w:tcPr>
          <w:p>
            <w:pPr>
              <w:ind w:left="1360"/>
              <w:spacing w:after="0"/>
              <w:rPr>
                <w:sz w:val="20"/>
                <w:szCs w:val="20"/>
                <w:color w:val="auto"/>
              </w:rPr>
            </w:pPr>
            <w:r>
              <w:rPr>
                <w:rFonts w:ascii="Cambria" w:cs="Cambria" w:eastAsia="Cambria" w:hAnsi="Cambria"/>
                <w:sz w:val="18"/>
                <w:szCs w:val="18"/>
                <w:b w:val="1"/>
                <w:bCs w:val="1"/>
                <w:color w:val="auto"/>
              </w:rPr>
              <w:t>Diet 1</w:t>
            </w:r>
          </w:p>
        </w:tc>
        <w:tc>
          <w:tcPr>
            <w:tcW w:w="1840" w:type="dxa"/>
            <w:vAlign w:val="bottom"/>
          </w:tcPr>
          <w:p>
            <w:pPr>
              <w:ind w:left="780"/>
              <w:spacing w:after="0"/>
              <w:rPr>
                <w:sz w:val="20"/>
                <w:szCs w:val="20"/>
                <w:color w:val="auto"/>
              </w:rPr>
            </w:pPr>
            <w:r>
              <w:rPr>
                <w:rFonts w:ascii="Cambria" w:cs="Cambria" w:eastAsia="Cambria" w:hAnsi="Cambria"/>
                <w:sz w:val="18"/>
                <w:szCs w:val="18"/>
                <w:b w:val="1"/>
                <w:bCs w:val="1"/>
                <w:color w:val="auto"/>
              </w:rPr>
              <w:t>Diet 2</w:t>
            </w:r>
          </w:p>
        </w:tc>
        <w:tc>
          <w:tcPr>
            <w:tcW w:w="1600" w:type="dxa"/>
            <w:vAlign w:val="bottom"/>
          </w:tcPr>
          <w:p>
            <w:pPr>
              <w:ind w:left="580"/>
              <w:spacing w:after="0"/>
              <w:rPr>
                <w:sz w:val="20"/>
                <w:szCs w:val="20"/>
                <w:color w:val="auto"/>
              </w:rPr>
            </w:pPr>
            <w:r>
              <w:rPr>
                <w:rFonts w:ascii="Cambria" w:cs="Cambria" w:eastAsia="Cambria" w:hAnsi="Cambria"/>
                <w:sz w:val="18"/>
                <w:szCs w:val="18"/>
                <w:b w:val="1"/>
                <w:bCs w:val="1"/>
                <w:color w:val="auto"/>
              </w:rPr>
              <w:t>Diet 3</w:t>
            </w:r>
          </w:p>
        </w:tc>
        <w:tc>
          <w:tcPr>
            <w:tcW w:w="1500" w:type="dxa"/>
            <w:vAlign w:val="bottom"/>
          </w:tcPr>
          <w:p>
            <w:pPr>
              <w:ind w:left="520"/>
              <w:spacing w:after="0"/>
              <w:rPr>
                <w:sz w:val="20"/>
                <w:szCs w:val="20"/>
                <w:color w:val="auto"/>
              </w:rPr>
            </w:pPr>
            <w:r>
              <w:rPr>
                <w:rFonts w:ascii="Cambria" w:cs="Cambria" w:eastAsia="Cambria" w:hAnsi="Cambria"/>
                <w:sz w:val="18"/>
                <w:szCs w:val="18"/>
                <w:b w:val="1"/>
                <w:bCs w:val="1"/>
                <w:color w:val="auto"/>
              </w:rPr>
              <w:t>Diet 4</w:t>
            </w:r>
          </w:p>
        </w:tc>
      </w:tr>
      <w:tr>
        <w:trPr>
          <w:trHeight w:val="22"/>
        </w:trPr>
        <w:tc>
          <w:tcPr>
            <w:tcW w:w="2500" w:type="dxa"/>
            <w:vAlign w:val="bottom"/>
            <w:tcBorders>
              <w:bottom w:val="single" w:sz="8" w:color="auto"/>
            </w:tcBorders>
          </w:tcPr>
          <w:p>
            <w:pPr>
              <w:spacing w:after="0" w:line="20" w:lineRule="exact"/>
              <w:rPr>
                <w:sz w:val="1"/>
                <w:szCs w:val="1"/>
                <w:color w:val="auto"/>
              </w:rPr>
            </w:pPr>
          </w:p>
        </w:tc>
        <w:tc>
          <w:tcPr>
            <w:tcW w:w="2640" w:type="dxa"/>
            <w:vAlign w:val="bottom"/>
            <w:tcBorders>
              <w:bottom w:val="single" w:sz="8" w:color="auto"/>
            </w:tcBorders>
          </w:tcPr>
          <w:p>
            <w:pPr>
              <w:spacing w:after="0" w:line="20" w:lineRule="exact"/>
              <w:rPr>
                <w:sz w:val="1"/>
                <w:szCs w:val="1"/>
                <w:color w:val="auto"/>
              </w:rPr>
            </w:pPr>
          </w:p>
        </w:tc>
        <w:tc>
          <w:tcPr>
            <w:tcW w:w="1840" w:type="dxa"/>
            <w:vAlign w:val="bottom"/>
            <w:tcBorders>
              <w:bottom w:val="single" w:sz="8" w:color="auto"/>
            </w:tcBorders>
          </w:tcPr>
          <w:p>
            <w:pPr>
              <w:spacing w:after="0" w:line="20" w:lineRule="exact"/>
              <w:rPr>
                <w:sz w:val="1"/>
                <w:szCs w:val="1"/>
                <w:color w:val="auto"/>
              </w:rPr>
            </w:pPr>
          </w:p>
        </w:tc>
        <w:tc>
          <w:tcPr>
            <w:tcW w:w="1600" w:type="dxa"/>
            <w:vAlign w:val="bottom"/>
            <w:tcBorders>
              <w:bottom w:val="single" w:sz="8" w:color="auto"/>
            </w:tcBorders>
          </w:tcPr>
          <w:p>
            <w:pPr>
              <w:spacing w:after="0" w:line="20" w:lineRule="exact"/>
              <w:rPr>
                <w:sz w:val="1"/>
                <w:szCs w:val="1"/>
                <w:color w:val="auto"/>
              </w:rPr>
            </w:pPr>
          </w:p>
        </w:tc>
        <w:tc>
          <w:tcPr>
            <w:tcW w:w="1500" w:type="dxa"/>
            <w:vAlign w:val="bottom"/>
            <w:tcBorders>
              <w:bottom w:val="single" w:sz="8" w:color="auto"/>
            </w:tcBorders>
          </w:tcPr>
          <w:p>
            <w:pPr>
              <w:spacing w:after="0" w:line="20" w:lineRule="exact"/>
              <w:rPr>
                <w:sz w:val="1"/>
                <w:szCs w:val="1"/>
                <w:color w:val="auto"/>
              </w:rPr>
            </w:pPr>
          </w:p>
        </w:tc>
      </w:tr>
      <w:tr>
        <w:trPr>
          <w:trHeight w:val="203"/>
        </w:trPr>
        <w:tc>
          <w:tcPr>
            <w:tcW w:w="2500" w:type="dxa"/>
            <w:vAlign w:val="bottom"/>
          </w:tcPr>
          <w:p>
            <w:pPr>
              <w:ind w:left="20"/>
              <w:spacing w:after="0" w:line="203" w:lineRule="exact"/>
              <w:rPr>
                <w:sz w:val="20"/>
                <w:szCs w:val="20"/>
                <w:color w:val="auto"/>
              </w:rPr>
            </w:pPr>
            <w:r>
              <w:rPr>
                <w:rFonts w:ascii="Cambria" w:cs="Cambria" w:eastAsia="Cambria" w:hAnsi="Cambria"/>
                <w:sz w:val="18"/>
                <w:szCs w:val="18"/>
                <w:b w:val="1"/>
                <w:bCs w:val="1"/>
                <w:color w:val="auto"/>
              </w:rPr>
              <w:t>SFA</w:t>
            </w:r>
          </w:p>
        </w:tc>
        <w:tc>
          <w:tcPr>
            <w:tcW w:w="2640" w:type="dxa"/>
            <w:vAlign w:val="bottom"/>
          </w:tcPr>
          <w:p>
            <w:pPr>
              <w:jc w:val="center"/>
              <w:ind w:left="470"/>
              <w:spacing w:after="0" w:line="203" w:lineRule="exact"/>
              <w:rPr>
                <w:sz w:val="20"/>
                <w:szCs w:val="20"/>
                <w:color w:val="auto"/>
              </w:rPr>
            </w:pPr>
            <w:r>
              <w:rPr>
                <w:rFonts w:ascii="Cambria" w:cs="Cambria" w:eastAsia="Cambria" w:hAnsi="Cambria"/>
                <w:sz w:val="18"/>
                <w:szCs w:val="18"/>
                <w:color w:val="auto"/>
              </w:rPr>
              <w:t>23.70</w:t>
            </w:r>
          </w:p>
        </w:tc>
        <w:tc>
          <w:tcPr>
            <w:tcW w:w="1840" w:type="dxa"/>
            <w:vAlign w:val="bottom"/>
          </w:tcPr>
          <w:p>
            <w:pPr>
              <w:jc w:val="center"/>
              <w:ind w:left="130"/>
              <w:spacing w:after="0" w:line="203" w:lineRule="exact"/>
              <w:rPr>
                <w:sz w:val="20"/>
                <w:szCs w:val="20"/>
                <w:color w:val="auto"/>
              </w:rPr>
            </w:pPr>
            <w:r>
              <w:rPr>
                <w:rFonts w:ascii="Cambria" w:cs="Cambria" w:eastAsia="Cambria" w:hAnsi="Cambria"/>
                <w:sz w:val="18"/>
                <w:szCs w:val="18"/>
                <w:color w:val="auto"/>
                <w:w w:val="96"/>
              </w:rPr>
              <w:t>24.08</w:t>
            </w:r>
          </w:p>
        </w:tc>
        <w:tc>
          <w:tcPr>
            <w:tcW w:w="1600" w:type="dxa"/>
            <w:vAlign w:val="bottom"/>
          </w:tcPr>
          <w:p>
            <w:pPr>
              <w:jc w:val="center"/>
              <w:spacing w:after="0" w:line="203" w:lineRule="exact"/>
              <w:rPr>
                <w:sz w:val="20"/>
                <w:szCs w:val="20"/>
                <w:color w:val="auto"/>
              </w:rPr>
            </w:pPr>
            <w:r>
              <w:rPr>
                <w:rFonts w:ascii="Cambria" w:cs="Cambria" w:eastAsia="Cambria" w:hAnsi="Cambria"/>
                <w:sz w:val="18"/>
                <w:szCs w:val="18"/>
                <w:color w:val="auto"/>
              </w:rPr>
              <w:t>23.81</w:t>
            </w:r>
          </w:p>
        </w:tc>
        <w:tc>
          <w:tcPr>
            <w:tcW w:w="1500" w:type="dxa"/>
            <w:vAlign w:val="bottom"/>
          </w:tcPr>
          <w:p>
            <w:pPr>
              <w:jc w:val="center"/>
              <w:spacing w:after="0" w:line="203" w:lineRule="exact"/>
              <w:rPr>
                <w:sz w:val="20"/>
                <w:szCs w:val="20"/>
                <w:color w:val="auto"/>
              </w:rPr>
            </w:pPr>
            <w:r>
              <w:rPr>
                <w:rFonts w:ascii="Cambria" w:cs="Cambria" w:eastAsia="Cambria" w:hAnsi="Cambria"/>
                <w:sz w:val="18"/>
                <w:szCs w:val="18"/>
                <w:color w:val="auto"/>
                <w:w w:val="96"/>
              </w:rPr>
              <w:t>23.73</w:t>
            </w:r>
          </w:p>
        </w:tc>
      </w:tr>
      <w:tr>
        <w:trPr>
          <w:trHeight w:val="211"/>
        </w:trPr>
        <w:tc>
          <w:tcPr>
            <w:tcW w:w="2500" w:type="dxa"/>
            <w:vAlign w:val="bottom"/>
          </w:tcPr>
          <w:p>
            <w:pPr>
              <w:ind w:left="20"/>
              <w:spacing w:after="0"/>
              <w:rPr>
                <w:sz w:val="20"/>
                <w:szCs w:val="20"/>
                <w:color w:val="auto"/>
              </w:rPr>
            </w:pPr>
            <w:r>
              <w:rPr>
                <w:rFonts w:ascii="Cambria" w:cs="Cambria" w:eastAsia="Cambria" w:hAnsi="Cambria"/>
                <w:sz w:val="18"/>
                <w:szCs w:val="18"/>
                <w:b w:val="1"/>
                <w:bCs w:val="1"/>
                <w:color w:val="auto"/>
              </w:rPr>
              <w:t>MUFA</w:t>
            </w:r>
          </w:p>
        </w:tc>
        <w:tc>
          <w:tcPr>
            <w:tcW w:w="2640" w:type="dxa"/>
            <w:vAlign w:val="bottom"/>
          </w:tcPr>
          <w:p>
            <w:pPr>
              <w:jc w:val="center"/>
              <w:ind w:left="470"/>
              <w:spacing w:after="0"/>
              <w:rPr>
                <w:sz w:val="20"/>
                <w:szCs w:val="20"/>
                <w:color w:val="auto"/>
              </w:rPr>
            </w:pPr>
            <w:r>
              <w:rPr>
                <w:rFonts w:ascii="Cambria" w:cs="Cambria" w:eastAsia="Cambria" w:hAnsi="Cambria"/>
                <w:sz w:val="18"/>
                <w:szCs w:val="18"/>
                <w:color w:val="auto"/>
              </w:rPr>
              <w:t>41.23</w:t>
            </w:r>
          </w:p>
        </w:tc>
        <w:tc>
          <w:tcPr>
            <w:tcW w:w="1840" w:type="dxa"/>
            <w:vAlign w:val="bottom"/>
          </w:tcPr>
          <w:p>
            <w:pPr>
              <w:jc w:val="center"/>
              <w:ind w:left="130"/>
              <w:spacing w:after="0"/>
              <w:rPr>
                <w:sz w:val="20"/>
                <w:szCs w:val="20"/>
                <w:color w:val="auto"/>
              </w:rPr>
            </w:pPr>
            <w:r>
              <w:rPr>
                <w:rFonts w:ascii="Cambria" w:cs="Cambria" w:eastAsia="Cambria" w:hAnsi="Cambria"/>
                <w:sz w:val="18"/>
                <w:szCs w:val="18"/>
                <w:color w:val="auto"/>
                <w:w w:val="96"/>
              </w:rPr>
              <w:t>41.42</w:t>
            </w:r>
          </w:p>
        </w:tc>
        <w:tc>
          <w:tcPr>
            <w:tcW w:w="1600" w:type="dxa"/>
            <w:vAlign w:val="bottom"/>
          </w:tcPr>
          <w:p>
            <w:pPr>
              <w:jc w:val="center"/>
              <w:spacing w:after="0"/>
              <w:rPr>
                <w:sz w:val="20"/>
                <w:szCs w:val="20"/>
                <w:color w:val="auto"/>
              </w:rPr>
            </w:pPr>
            <w:r>
              <w:rPr>
                <w:rFonts w:ascii="Cambria" w:cs="Cambria" w:eastAsia="Cambria" w:hAnsi="Cambria"/>
                <w:sz w:val="18"/>
                <w:szCs w:val="18"/>
                <w:color w:val="auto"/>
              </w:rPr>
              <w:t>41.46</w:t>
            </w:r>
          </w:p>
        </w:tc>
        <w:tc>
          <w:tcPr>
            <w:tcW w:w="1500" w:type="dxa"/>
            <w:vAlign w:val="bottom"/>
          </w:tcPr>
          <w:p>
            <w:pPr>
              <w:jc w:val="center"/>
              <w:spacing w:after="0"/>
              <w:rPr>
                <w:sz w:val="20"/>
                <w:szCs w:val="20"/>
                <w:color w:val="auto"/>
              </w:rPr>
            </w:pPr>
            <w:r>
              <w:rPr>
                <w:rFonts w:ascii="Cambria" w:cs="Cambria" w:eastAsia="Cambria" w:hAnsi="Cambria"/>
                <w:sz w:val="18"/>
                <w:szCs w:val="18"/>
                <w:color w:val="auto"/>
                <w:w w:val="96"/>
              </w:rPr>
              <w:t>41.18</w:t>
            </w:r>
          </w:p>
        </w:tc>
      </w:tr>
      <w:tr>
        <w:trPr>
          <w:trHeight w:val="211"/>
        </w:trPr>
        <w:tc>
          <w:tcPr>
            <w:tcW w:w="2500" w:type="dxa"/>
            <w:vAlign w:val="bottom"/>
          </w:tcPr>
          <w:p>
            <w:pPr>
              <w:ind w:left="20"/>
              <w:spacing w:after="0"/>
              <w:rPr>
                <w:sz w:val="20"/>
                <w:szCs w:val="20"/>
                <w:color w:val="auto"/>
              </w:rPr>
            </w:pPr>
            <w:r>
              <w:rPr>
                <w:rFonts w:ascii="Cambria" w:cs="Cambria" w:eastAsia="Cambria" w:hAnsi="Cambria"/>
                <w:sz w:val="18"/>
                <w:szCs w:val="18"/>
                <w:b w:val="1"/>
                <w:bCs w:val="1"/>
                <w:color w:val="auto"/>
              </w:rPr>
              <w:t>PUFA</w:t>
            </w:r>
          </w:p>
        </w:tc>
        <w:tc>
          <w:tcPr>
            <w:tcW w:w="2640" w:type="dxa"/>
            <w:vAlign w:val="bottom"/>
          </w:tcPr>
          <w:p>
            <w:pPr>
              <w:jc w:val="center"/>
              <w:ind w:left="470"/>
              <w:spacing w:after="0"/>
              <w:rPr>
                <w:sz w:val="20"/>
                <w:szCs w:val="20"/>
                <w:color w:val="auto"/>
              </w:rPr>
            </w:pPr>
            <w:r>
              <w:rPr>
                <w:rFonts w:ascii="Cambria" w:cs="Cambria" w:eastAsia="Cambria" w:hAnsi="Cambria"/>
                <w:sz w:val="18"/>
                <w:szCs w:val="18"/>
                <w:color w:val="auto"/>
              </w:rPr>
              <w:t>13.98</w:t>
            </w:r>
          </w:p>
        </w:tc>
        <w:tc>
          <w:tcPr>
            <w:tcW w:w="1840" w:type="dxa"/>
            <w:vAlign w:val="bottom"/>
          </w:tcPr>
          <w:p>
            <w:pPr>
              <w:jc w:val="center"/>
              <w:ind w:left="130"/>
              <w:spacing w:after="0"/>
              <w:rPr>
                <w:sz w:val="20"/>
                <w:szCs w:val="20"/>
                <w:color w:val="auto"/>
              </w:rPr>
            </w:pPr>
            <w:r>
              <w:rPr>
                <w:rFonts w:ascii="Cambria" w:cs="Cambria" w:eastAsia="Cambria" w:hAnsi="Cambria"/>
                <w:sz w:val="18"/>
                <w:szCs w:val="18"/>
                <w:color w:val="auto"/>
                <w:w w:val="96"/>
              </w:rPr>
              <w:t>21.49</w:t>
            </w:r>
          </w:p>
        </w:tc>
        <w:tc>
          <w:tcPr>
            <w:tcW w:w="1600" w:type="dxa"/>
            <w:vAlign w:val="bottom"/>
          </w:tcPr>
          <w:p>
            <w:pPr>
              <w:jc w:val="center"/>
              <w:spacing w:after="0"/>
              <w:rPr>
                <w:sz w:val="20"/>
                <w:szCs w:val="20"/>
                <w:color w:val="auto"/>
              </w:rPr>
            </w:pPr>
            <w:r>
              <w:rPr>
                <w:rFonts w:ascii="Cambria" w:cs="Cambria" w:eastAsia="Cambria" w:hAnsi="Cambria"/>
                <w:sz w:val="18"/>
                <w:szCs w:val="18"/>
                <w:color w:val="auto"/>
              </w:rPr>
              <w:t>25.75</w:t>
            </w:r>
          </w:p>
        </w:tc>
        <w:tc>
          <w:tcPr>
            <w:tcW w:w="1500" w:type="dxa"/>
            <w:vAlign w:val="bottom"/>
          </w:tcPr>
          <w:p>
            <w:pPr>
              <w:jc w:val="center"/>
              <w:spacing w:after="0"/>
              <w:rPr>
                <w:sz w:val="20"/>
                <w:szCs w:val="20"/>
                <w:color w:val="auto"/>
              </w:rPr>
            </w:pPr>
            <w:r>
              <w:rPr>
                <w:rFonts w:ascii="Cambria" w:cs="Cambria" w:eastAsia="Cambria" w:hAnsi="Cambria"/>
                <w:sz w:val="18"/>
                <w:szCs w:val="18"/>
                <w:color w:val="auto"/>
                <w:w w:val="96"/>
              </w:rPr>
              <w:t>30.15</w:t>
            </w:r>
          </w:p>
        </w:tc>
      </w:tr>
      <w:tr>
        <w:trPr>
          <w:trHeight w:val="209"/>
        </w:trPr>
        <w:tc>
          <w:tcPr>
            <w:tcW w:w="2500" w:type="dxa"/>
            <w:vAlign w:val="bottom"/>
          </w:tcPr>
          <w:p>
            <w:pPr>
              <w:ind w:left="20"/>
              <w:spacing w:after="0" w:line="209" w:lineRule="exact"/>
              <w:rPr>
                <w:sz w:val="20"/>
                <w:szCs w:val="20"/>
                <w:color w:val="auto"/>
              </w:rPr>
            </w:pPr>
            <w:r>
              <w:rPr>
                <w:rFonts w:ascii="Cambria" w:cs="Cambria" w:eastAsia="Cambria" w:hAnsi="Cambria"/>
                <w:sz w:val="18"/>
                <w:szCs w:val="18"/>
                <w:b w:val="1"/>
                <w:bCs w:val="1"/>
                <w:color w:val="auto"/>
              </w:rPr>
              <w:t>HUFA</w:t>
            </w:r>
          </w:p>
        </w:tc>
        <w:tc>
          <w:tcPr>
            <w:tcW w:w="2640" w:type="dxa"/>
            <w:vAlign w:val="bottom"/>
          </w:tcPr>
          <w:p>
            <w:pPr>
              <w:jc w:val="center"/>
              <w:ind w:left="470"/>
              <w:spacing w:after="0" w:line="209" w:lineRule="exact"/>
              <w:rPr>
                <w:sz w:val="20"/>
                <w:szCs w:val="20"/>
                <w:color w:val="auto"/>
              </w:rPr>
            </w:pPr>
            <w:r>
              <w:rPr>
                <w:rFonts w:ascii="Cambria" w:cs="Cambria" w:eastAsia="Cambria" w:hAnsi="Cambria"/>
                <w:sz w:val="18"/>
                <w:szCs w:val="18"/>
                <w:color w:val="auto"/>
              </w:rPr>
              <w:t>15.90</w:t>
            </w:r>
          </w:p>
        </w:tc>
        <w:tc>
          <w:tcPr>
            <w:tcW w:w="1840" w:type="dxa"/>
            <w:vAlign w:val="bottom"/>
          </w:tcPr>
          <w:p>
            <w:pPr>
              <w:jc w:val="center"/>
              <w:ind w:left="130"/>
              <w:spacing w:after="0" w:line="209" w:lineRule="exact"/>
              <w:rPr>
                <w:sz w:val="20"/>
                <w:szCs w:val="20"/>
                <w:color w:val="auto"/>
              </w:rPr>
            </w:pPr>
            <w:r>
              <w:rPr>
                <w:rFonts w:ascii="Cambria" w:cs="Cambria" w:eastAsia="Cambria" w:hAnsi="Cambria"/>
                <w:sz w:val="18"/>
                <w:szCs w:val="18"/>
                <w:color w:val="auto"/>
              </w:rPr>
              <w:t>7.95</w:t>
            </w:r>
          </w:p>
        </w:tc>
        <w:tc>
          <w:tcPr>
            <w:tcW w:w="1600" w:type="dxa"/>
            <w:vAlign w:val="bottom"/>
          </w:tcPr>
          <w:p>
            <w:pPr>
              <w:jc w:val="center"/>
              <w:spacing w:after="0" w:line="209" w:lineRule="exact"/>
              <w:rPr>
                <w:sz w:val="20"/>
                <w:szCs w:val="20"/>
                <w:color w:val="auto"/>
              </w:rPr>
            </w:pPr>
            <w:r>
              <w:rPr>
                <w:rFonts w:ascii="Cambria" w:cs="Cambria" w:eastAsia="Cambria" w:hAnsi="Cambria"/>
                <w:sz w:val="18"/>
                <w:szCs w:val="18"/>
                <w:color w:val="auto"/>
              </w:rPr>
              <w:t>3.98</w:t>
            </w:r>
          </w:p>
        </w:tc>
        <w:tc>
          <w:tcPr>
            <w:tcW w:w="1500" w:type="dxa"/>
            <w:vAlign w:val="bottom"/>
          </w:tcPr>
          <w:p>
            <w:pPr>
              <w:jc w:val="center"/>
              <w:spacing w:after="0" w:line="209" w:lineRule="exact"/>
              <w:rPr>
                <w:sz w:val="20"/>
                <w:szCs w:val="20"/>
                <w:color w:val="auto"/>
              </w:rPr>
            </w:pPr>
            <w:r>
              <w:rPr>
                <w:rFonts w:ascii="Cambria" w:cs="Cambria" w:eastAsia="Cambria" w:hAnsi="Cambria"/>
                <w:sz w:val="18"/>
                <w:szCs w:val="18"/>
                <w:color w:val="auto"/>
              </w:rPr>
              <w:t>0.00</w:t>
            </w:r>
          </w:p>
        </w:tc>
      </w:tr>
      <w:tr>
        <w:trPr>
          <w:trHeight w:val="211"/>
        </w:trPr>
        <w:tc>
          <w:tcPr>
            <w:tcW w:w="2500" w:type="dxa"/>
            <w:vAlign w:val="bottom"/>
          </w:tcPr>
          <w:p>
            <w:pPr>
              <w:ind w:left="20"/>
              <w:spacing w:after="0"/>
              <w:rPr>
                <w:sz w:val="20"/>
                <w:szCs w:val="20"/>
                <w:color w:val="auto"/>
              </w:rPr>
            </w:pPr>
            <w:r>
              <w:rPr>
                <w:rFonts w:ascii="Cambria" w:cs="Cambria" w:eastAsia="Cambria" w:hAnsi="Cambria"/>
                <w:sz w:val="18"/>
                <w:szCs w:val="18"/>
                <w:b w:val="1"/>
                <w:bCs w:val="1"/>
                <w:color w:val="auto"/>
              </w:rPr>
              <w:t>HUFA/PUFA</w:t>
            </w:r>
          </w:p>
        </w:tc>
        <w:tc>
          <w:tcPr>
            <w:tcW w:w="2640" w:type="dxa"/>
            <w:vAlign w:val="bottom"/>
          </w:tcPr>
          <w:p>
            <w:pPr>
              <w:jc w:val="center"/>
              <w:ind w:left="490"/>
              <w:spacing w:after="0"/>
              <w:rPr>
                <w:sz w:val="20"/>
                <w:szCs w:val="20"/>
                <w:color w:val="auto"/>
              </w:rPr>
            </w:pPr>
            <w:r>
              <w:rPr>
                <w:rFonts w:ascii="Cambria" w:cs="Cambria" w:eastAsia="Cambria" w:hAnsi="Cambria"/>
                <w:sz w:val="18"/>
                <w:szCs w:val="18"/>
                <w:color w:val="auto"/>
              </w:rPr>
              <w:t>1.14</w:t>
            </w:r>
          </w:p>
        </w:tc>
        <w:tc>
          <w:tcPr>
            <w:tcW w:w="1840" w:type="dxa"/>
            <w:vAlign w:val="bottom"/>
          </w:tcPr>
          <w:p>
            <w:pPr>
              <w:jc w:val="center"/>
              <w:ind w:left="130"/>
              <w:spacing w:after="0"/>
              <w:rPr>
                <w:sz w:val="20"/>
                <w:szCs w:val="20"/>
                <w:color w:val="auto"/>
              </w:rPr>
            </w:pPr>
            <w:r>
              <w:rPr>
                <w:rFonts w:ascii="Cambria" w:cs="Cambria" w:eastAsia="Cambria" w:hAnsi="Cambria"/>
                <w:sz w:val="18"/>
                <w:szCs w:val="18"/>
                <w:color w:val="auto"/>
              </w:rPr>
              <w:t>0.37</w:t>
            </w:r>
          </w:p>
        </w:tc>
        <w:tc>
          <w:tcPr>
            <w:tcW w:w="1600" w:type="dxa"/>
            <w:vAlign w:val="bottom"/>
          </w:tcPr>
          <w:p>
            <w:pPr>
              <w:jc w:val="center"/>
              <w:spacing w:after="0"/>
              <w:rPr>
                <w:sz w:val="20"/>
                <w:szCs w:val="20"/>
                <w:color w:val="auto"/>
              </w:rPr>
            </w:pPr>
            <w:r>
              <w:rPr>
                <w:rFonts w:ascii="Cambria" w:cs="Cambria" w:eastAsia="Cambria" w:hAnsi="Cambria"/>
                <w:sz w:val="18"/>
                <w:szCs w:val="18"/>
                <w:color w:val="auto"/>
              </w:rPr>
              <w:t>0.15</w:t>
            </w:r>
          </w:p>
        </w:tc>
        <w:tc>
          <w:tcPr>
            <w:tcW w:w="1500" w:type="dxa"/>
            <w:vAlign w:val="bottom"/>
          </w:tcPr>
          <w:p>
            <w:pPr>
              <w:jc w:val="center"/>
              <w:spacing w:after="0"/>
              <w:rPr>
                <w:sz w:val="20"/>
                <w:szCs w:val="20"/>
                <w:color w:val="auto"/>
              </w:rPr>
            </w:pPr>
            <w:r>
              <w:rPr>
                <w:rFonts w:ascii="Cambria" w:cs="Cambria" w:eastAsia="Cambria" w:hAnsi="Cambria"/>
                <w:sz w:val="18"/>
                <w:szCs w:val="18"/>
                <w:color w:val="auto"/>
              </w:rPr>
              <w:t>0.00</w:t>
            </w:r>
          </w:p>
        </w:tc>
      </w:tr>
      <w:tr>
        <w:trPr>
          <w:trHeight w:val="212"/>
        </w:trPr>
        <w:tc>
          <w:tcPr>
            <w:tcW w:w="2500" w:type="dxa"/>
            <w:vAlign w:val="bottom"/>
          </w:tcPr>
          <w:p>
            <w:pPr>
              <w:ind w:left="20"/>
              <w:spacing w:after="0"/>
              <w:rPr>
                <w:sz w:val="20"/>
                <w:szCs w:val="20"/>
                <w:color w:val="auto"/>
              </w:rPr>
            </w:pPr>
            <w:r>
              <w:rPr>
                <w:rFonts w:ascii="Cambria" w:cs="Cambria" w:eastAsia="Cambria" w:hAnsi="Cambria"/>
                <w:sz w:val="18"/>
                <w:szCs w:val="18"/>
                <w:b w:val="1"/>
                <w:bCs w:val="1"/>
                <w:color w:val="auto"/>
              </w:rPr>
              <w:t>HUFA/MUFA</w:t>
            </w:r>
          </w:p>
        </w:tc>
        <w:tc>
          <w:tcPr>
            <w:tcW w:w="2640" w:type="dxa"/>
            <w:vAlign w:val="bottom"/>
          </w:tcPr>
          <w:p>
            <w:pPr>
              <w:jc w:val="center"/>
              <w:ind w:left="490"/>
              <w:spacing w:after="0"/>
              <w:rPr>
                <w:sz w:val="20"/>
                <w:szCs w:val="20"/>
                <w:color w:val="auto"/>
              </w:rPr>
            </w:pPr>
            <w:r>
              <w:rPr>
                <w:rFonts w:ascii="Cambria" w:cs="Cambria" w:eastAsia="Cambria" w:hAnsi="Cambria"/>
                <w:sz w:val="18"/>
                <w:szCs w:val="18"/>
                <w:color w:val="auto"/>
              </w:rPr>
              <w:t>0.39</w:t>
            </w:r>
          </w:p>
        </w:tc>
        <w:tc>
          <w:tcPr>
            <w:tcW w:w="1840" w:type="dxa"/>
            <w:vAlign w:val="bottom"/>
          </w:tcPr>
          <w:p>
            <w:pPr>
              <w:jc w:val="center"/>
              <w:ind w:left="130"/>
              <w:spacing w:after="0"/>
              <w:rPr>
                <w:sz w:val="20"/>
                <w:szCs w:val="20"/>
                <w:color w:val="auto"/>
              </w:rPr>
            </w:pPr>
            <w:r>
              <w:rPr>
                <w:rFonts w:ascii="Cambria" w:cs="Cambria" w:eastAsia="Cambria" w:hAnsi="Cambria"/>
                <w:sz w:val="18"/>
                <w:szCs w:val="18"/>
                <w:color w:val="auto"/>
              </w:rPr>
              <w:t>0.19</w:t>
            </w:r>
          </w:p>
        </w:tc>
        <w:tc>
          <w:tcPr>
            <w:tcW w:w="1600" w:type="dxa"/>
            <w:vAlign w:val="bottom"/>
          </w:tcPr>
          <w:p>
            <w:pPr>
              <w:jc w:val="center"/>
              <w:spacing w:after="0"/>
              <w:rPr>
                <w:sz w:val="20"/>
                <w:szCs w:val="20"/>
                <w:color w:val="auto"/>
              </w:rPr>
            </w:pPr>
            <w:r>
              <w:rPr>
                <w:rFonts w:ascii="Cambria" w:cs="Cambria" w:eastAsia="Cambria" w:hAnsi="Cambria"/>
                <w:sz w:val="18"/>
                <w:szCs w:val="18"/>
                <w:color w:val="auto"/>
              </w:rPr>
              <w:t>0.10</w:t>
            </w:r>
          </w:p>
        </w:tc>
        <w:tc>
          <w:tcPr>
            <w:tcW w:w="1500" w:type="dxa"/>
            <w:vAlign w:val="bottom"/>
          </w:tcPr>
          <w:p>
            <w:pPr>
              <w:jc w:val="center"/>
              <w:spacing w:after="0"/>
              <w:rPr>
                <w:sz w:val="20"/>
                <w:szCs w:val="20"/>
                <w:color w:val="auto"/>
              </w:rPr>
            </w:pPr>
            <w:r>
              <w:rPr>
                <w:rFonts w:ascii="Cambria" w:cs="Cambria" w:eastAsia="Cambria" w:hAnsi="Cambria"/>
                <w:sz w:val="18"/>
                <w:szCs w:val="18"/>
                <w:color w:val="auto"/>
              </w:rPr>
              <w:t>0.00</w:t>
            </w:r>
          </w:p>
        </w:tc>
      </w:tr>
      <w:tr>
        <w:trPr>
          <w:trHeight w:val="211"/>
        </w:trPr>
        <w:tc>
          <w:tcPr>
            <w:tcW w:w="2500" w:type="dxa"/>
            <w:vAlign w:val="bottom"/>
          </w:tcPr>
          <w:p>
            <w:pPr>
              <w:ind w:left="20"/>
              <w:spacing w:after="0"/>
              <w:rPr>
                <w:sz w:val="20"/>
                <w:szCs w:val="20"/>
                <w:color w:val="auto"/>
              </w:rPr>
            </w:pPr>
            <w:r>
              <w:rPr>
                <w:rFonts w:ascii="Cambria" w:cs="Cambria" w:eastAsia="Cambria" w:hAnsi="Cambria"/>
                <w:sz w:val="18"/>
                <w:szCs w:val="18"/>
                <w:b w:val="1"/>
                <w:bCs w:val="1"/>
                <w:color w:val="auto"/>
              </w:rPr>
              <w:t>HUFA/SFA</w:t>
            </w:r>
          </w:p>
        </w:tc>
        <w:tc>
          <w:tcPr>
            <w:tcW w:w="2640" w:type="dxa"/>
            <w:vAlign w:val="bottom"/>
          </w:tcPr>
          <w:p>
            <w:pPr>
              <w:jc w:val="center"/>
              <w:ind w:left="490"/>
              <w:spacing w:after="0"/>
              <w:rPr>
                <w:sz w:val="20"/>
                <w:szCs w:val="20"/>
                <w:color w:val="auto"/>
              </w:rPr>
            </w:pPr>
            <w:r>
              <w:rPr>
                <w:rFonts w:ascii="Cambria" w:cs="Cambria" w:eastAsia="Cambria" w:hAnsi="Cambria"/>
                <w:sz w:val="18"/>
                <w:szCs w:val="18"/>
                <w:color w:val="auto"/>
              </w:rPr>
              <w:t>0.67</w:t>
            </w:r>
          </w:p>
        </w:tc>
        <w:tc>
          <w:tcPr>
            <w:tcW w:w="1840" w:type="dxa"/>
            <w:vAlign w:val="bottom"/>
          </w:tcPr>
          <w:p>
            <w:pPr>
              <w:jc w:val="center"/>
              <w:ind w:left="130"/>
              <w:spacing w:after="0"/>
              <w:rPr>
                <w:sz w:val="20"/>
                <w:szCs w:val="20"/>
                <w:color w:val="auto"/>
              </w:rPr>
            </w:pPr>
            <w:r>
              <w:rPr>
                <w:rFonts w:ascii="Cambria" w:cs="Cambria" w:eastAsia="Cambria" w:hAnsi="Cambria"/>
                <w:sz w:val="18"/>
                <w:szCs w:val="18"/>
                <w:color w:val="auto"/>
              </w:rPr>
              <w:t>0.33</w:t>
            </w:r>
          </w:p>
        </w:tc>
        <w:tc>
          <w:tcPr>
            <w:tcW w:w="1600" w:type="dxa"/>
            <w:vAlign w:val="bottom"/>
          </w:tcPr>
          <w:p>
            <w:pPr>
              <w:jc w:val="center"/>
              <w:spacing w:after="0"/>
              <w:rPr>
                <w:sz w:val="20"/>
                <w:szCs w:val="20"/>
                <w:color w:val="auto"/>
              </w:rPr>
            </w:pPr>
            <w:r>
              <w:rPr>
                <w:rFonts w:ascii="Cambria" w:cs="Cambria" w:eastAsia="Cambria" w:hAnsi="Cambria"/>
                <w:sz w:val="18"/>
                <w:szCs w:val="18"/>
                <w:color w:val="auto"/>
              </w:rPr>
              <w:t>0.17</w:t>
            </w:r>
          </w:p>
        </w:tc>
        <w:tc>
          <w:tcPr>
            <w:tcW w:w="1500" w:type="dxa"/>
            <w:vAlign w:val="bottom"/>
          </w:tcPr>
          <w:p>
            <w:pPr>
              <w:jc w:val="center"/>
              <w:spacing w:after="0"/>
              <w:rPr>
                <w:sz w:val="20"/>
                <w:szCs w:val="20"/>
                <w:color w:val="auto"/>
              </w:rPr>
            </w:pPr>
            <w:r>
              <w:rPr>
                <w:rFonts w:ascii="Cambria" w:cs="Cambria" w:eastAsia="Cambria" w:hAnsi="Cambria"/>
                <w:sz w:val="18"/>
                <w:szCs w:val="18"/>
                <w:color w:val="auto"/>
              </w:rPr>
              <w:t>0.00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wp:posOffset>
            </wp:positionH>
            <wp:positionV relativeFrom="paragraph">
              <wp:posOffset>3175</wp:posOffset>
            </wp:positionV>
            <wp:extent cx="6412865" cy="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412865" cy="8890"/>
                    </a:xfrm>
                    <a:prstGeom prst="rect">
                      <a:avLst/>
                    </a:prstGeom>
                    <a:noFill/>
                  </pic:spPr>
                </pic:pic>
              </a:graphicData>
            </a:graphic>
          </wp:anchor>
        </w:drawing>
      </w:r>
    </w:p>
    <w:p>
      <w:pPr>
        <w:ind w:left="20"/>
        <w:spacing w:after="0"/>
        <w:rPr>
          <w:sz w:val="20"/>
          <w:szCs w:val="20"/>
          <w:color w:val="auto"/>
        </w:rPr>
      </w:pPr>
      <w:r>
        <w:rPr>
          <w:rFonts w:ascii="Cambria" w:cs="Cambria" w:eastAsia="Cambria" w:hAnsi="Cambria"/>
          <w:sz w:val="17"/>
          <w:szCs w:val="17"/>
          <w:color w:val="auto"/>
        </w:rPr>
        <w:t>SFA: Saturated fatty acids, MUFA: Monounsaturated fatty acids, PUFA: Polyunsaturated fatty acids, HUFA: Highly unsaturated fatty acids.</w:t>
      </w:r>
    </w:p>
    <w:p>
      <w:pPr>
        <w:sectPr>
          <w:pgSz w:w="12240" w:h="15840" w:orient="portrait"/>
          <w:cols w:equalWidth="0" w:num="1">
            <w:col w:w="10080"/>
          </w:cols>
          <w:pgMar w:left="1080" w:top="715" w:right="1080" w:bottom="919" w:gutter="0" w:footer="0" w:header="0"/>
        </w:sectPr>
      </w:pPr>
    </w:p>
    <w:p>
      <w:pPr>
        <w:spacing w:after="0" w:line="234" w:lineRule="exact"/>
        <w:rPr>
          <w:sz w:val="20"/>
          <w:szCs w:val="20"/>
          <w:color w:val="auto"/>
        </w:rPr>
      </w:pPr>
    </w:p>
    <w:p>
      <w:pPr>
        <w:jc w:val="both"/>
        <w:ind w:left="20"/>
        <w:spacing w:after="0" w:line="239" w:lineRule="auto"/>
        <w:rPr>
          <w:sz w:val="20"/>
          <w:szCs w:val="20"/>
          <w:color w:val="auto"/>
        </w:rPr>
      </w:pPr>
      <w:r>
        <w:rPr>
          <w:rFonts w:ascii="Cambria" w:cs="Cambria" w:eastAsia="Cambria" w:hAnsi="Cambria"/>
          <w:sz w:val="20"/>
          <w:szCs w:val="20"/>
          <w:color w:val="auto"/>
        </w:rPr>
        <w:t xml:space="preserve">After cooling, the precipitate was removed by centrifugation at 1000 </w:t>
      </w:r>
      <w:r>
        <w:rPr>
          <w:rFonts w:ascii="Cambria" w:cs="Cambria" w:eastAsia="Cambria" w:hAnsi="Cambria"/>
          <w:sz w:val="20"/>
          <w:szCs w:val="20"/>
          <w:i w:val="1"/>
          <w:iCs w:val="1"/>
          <w:color w:val="auto"/>
        </w:rPr>
        <w:t>g</w:t>
      </w:r>
      <w:r>
        <w:rPr>
          <w:rFonts w:ascii="Cambria" w:cs="Cambria" w:eastAsia="Cambria" w:hAnsi="Cambria"/>
          <w:sz w:val="20"/>
          <w:szCs w:val="20"/>
          <w:color w:val="auto"/>
        </w:rPr>
        <w:t xml:space="preserve"> for 10 min and the absorbance of the clear supernatant determined at 535 nm. The protein content of the supernatants for enzyme analysis was determined using Lowry colorimetric method using bovine albumin as the standard.</w:t>
      </w:r>
      <w:r>
        <w:rPr>
          <w:rFonts w:ascii="Cambria" w:cs="Cambria" w:eastAsia="Cambria" w:hAnsi="Cambria"/>
          <w:sz w:val="12"/>
          <w:szCs w:val="12"/>
          <w:color w:val="auto"/>
        </w:rPr>
        <w:t>20</w:t>
      </w:r>
    </w:p>
    <w:p>
      <w:pPr>
        <w:spacing w:after="0" w:line="5" w:lineRule="exact"/>
        <w:rPr>
          <w:sz w:val="20"/>
          <w:szCs w:val="20"/>
          <w:color w:val="auto"/>
        </w:rPr>
      </w:pPr>
    </w:p>
    <w:p>
      <w:pPr>
        <w:jc w:val="both"/>
        <w:ind w:left="20" w:firstLine="288"/>
        <w:spacing w:after="0" w:line="253" w:lineRule="auto"/>
        <w:rPr>
          <w:sz w:val="20"/>
          <w:szCs w:val="20"/>
          <w:color w:val="auto"/>
        </w:rPr>
      </w:pPr>
      <w:r>
        <w:rPr>
          <w:rFonts w:ascii="Cambria" w:cs="Cambria" w:eastAsia="Cambria" w:hAnsi="Cambria"/>
          <w:sz w:val="19"/>
          <w:szCs w:val="19"/>
          <w:b w:val="1"/>
          <w:bCs w:val="1"/>
          <w:color w:val="auto"/>
        </w:rPr>
        <w:t xml:space="preserve">Statistical analysis. </w:t>
      </w:r>
      <w:r>
        <w:rPr>
          <w:rFonts w:ascii="Cambria" w:cs="Cambria" w:eastAsia="Cambria" w:hAnsi="Cambria"/>
          <w:sz w:val="19"/>
          <w:szCs w:val="19"/>
          <w:color w:val="auto"/>
        </w:rPr>
        <w:t>Statistical analysis was performed</w:t>
      </w:r>
      <w:r>
        <w:rPr>
          <w:rFonts w:ascii="Cambria" w:cs="Cambria" w:eastAsia="Cambria" w:hAnsi="Cambria"/>
          <w:sz w:val="19"/>
          <w:szCs w:val="19"/>
          <w:b w:val="1"/>
          <w:bCs w:val="1"/>
          <w:color w:val="auto"/>
        </w:rPr>
        <w:t xml:space="preserve"> </w:t>
      </w:r>
      <w:r>
        <w:rPr>
          <w:rFonts w:ascii="Cambria" w:cs="Cambria" w:eastAsia="Cambria" w:hAnsi="Cambria"/>
          <w:sz w:val="19"/>
          <w:szCs w:val="19"/>
          <w:color w:val="auto"/>
        </w:rPr>
        <w:t>using SPSS Software (version 16.0; IBM Corp., Armonk, USA). The results were presented as means ± standard error. Data were tested for normality using Shapiro-wilk test. Analysis of variance (ANOVA) was employed to reveal significant differences in measured variables among experimental groups in each sampling time. Duncan multiple comparison test was used to discriminate significant differences between the treatments.</w:t>
      </w:r>
    </w:p>
    <w:p>
      <w:pPr>
        <w:spacing w:after="0" w:line="231" w:lineRule="exact"/>
        <w:rPr>
          <w:sz w:val="20"/>
          <w:szCs w:val="20"/>
          <w:color w:val="auto"/>
        </w:rPr>
      </w:pPr>
    </w:p>
    <w:p>
      <w:pPr>
        <w:ind w:left="20"/>
        <w:spacing w:after="0"/>
        <w:rPr>
          <w:sz w:val="20"/>
          <w:szCs w:val="20"/>
          <w:color w:val="auto"/>
        </w:rPr>
      </w:pPr>
      <w:r>
        <w:rPr>
          <w:rFonts w:ascii="Cambria" w:cs="Cambria" w:eastAsia="Cambria" w:hAnsi="Cambria"/>
          <w:sz w:val="20"/>
          <w:szCs w:val="20"/>
          <w:b w:val="1"/>
          <w:bCs w:val="1"/>
          <w:color w:val="auto"/>
        </w:rPr>
        <w:t>Results</w:t>
      </w:r>
    </w:p>
    <w:p>
      <w:pPr>
        <w:spacing w:after="0" w:line="235" w:lineRule="exact"/>
        <w:rPr>
          <w:sz w:val="20"/>
          <w:szCs w:val="20"/>
          <w:color w:val="auto"/>
        </w:rPr>
      </w:pPr>
    </w:p>
    <w:p>
      <w:pPr>
        <w:jc w:val="both"/>
        <w:ind w:left="20" w:right="20" w:firstLine="288"/>
        <w:spacing w:after="0" w:line="239" w:lineRule="auto"/>
        <w:rPr>
          <w:sz w:val="20"/>
          <w:szCs w:val="20"/>
          <w:color w:val="auto"/>
        </w:rPr>
      </w:pPr>
      <w:r>
        <w:rPr>
          <w:rFonts w:ascii="Cambria" w:cs="Cambria" w:eastAsia="Cambria" w:hAnsi="Cambria"/>
          <w:sz w:val="20"/>
          <w:szCs w:val="20"/>
          <w:color w:val="auto"/>
        </w:rPr>
        <w:t>The activity of various enzymes of the antioxidant system in the examined fish showed different patterns during the period of study. The SOD activity showed an increasing pattern in all experimental groups (Fig. 1).</w:t>
      </w:r>
    </w:p>
    <w:p>
      <w:pPr>
        <w:spacing w:after="0" w:line="4" w:lineRule="exact"/>
        <w:rPr>
          <w:sz w:val="20"/>
          <w:szCs w:val="20"/>
          <w:color w:val="auto"/>
        </w:rPr>
      </w:pPr>
    </w:p>
    <w:p>
      <w:pPr>
        <w:jc w:val="both"/>
        <w:ind w:left="20" w:firstLine="288"/>
        <w:spacing w:after="0" w:line="253" w:lineRule="auto"/>
        <w:rPr>
          <w:sz w:val="20"/>
          <w:szCs w:val="20"/>
          <w:color w:val="auto"/>
        </w:rPr>
      </w:pPr>
      <w:r>
        <w:rPr>
          <w:rFonts w:ascii="Cambria" w:cs="Cambria" w:eastAsia="Cambria" w:hAnsi="Cambria"/>
          <w:sz w:val="19"/>
          <w:szCs w:val="19"/>
          <w:color w:val="auto"/>
        </w:rPr>
        <w:t>The lowest value for SOD was recorded on day 0 while its highest value was recorded on day 35 in all groups. The SOD activity was significantly affected by dietary oil source and PUFA content, as SOD activity was lower in the group fed by 30.15% PUFA and no HUFA than the other groups. GPX activity was low in all groups and remained relatively constant until day 5, then the activity markedly increased by approximately two-fold and this was continued as the highest value was recorded on day 35 (Fig. 1A). The activity of CAT decreased significantly over the period of the study with the largest decrease occurred over days 0– 5 (</w:t>
      </w:r>
      <w:r>
        <w:rPr>
          <w:rFonts w:ascii="Cambria" w:cs="Cambria" w:eastAsia="Cambria" w:hAnsi="Cambria"/>
          <w:sz w:val="19"/>
          <w:szCs w:val="19"/>
          <w:i w:val="1"/>
          <w:iCs w:val="1"/>
          <w:color w:val="auto"/>
        </w:rPr>
        <w:t>p</w:t>
      </w:r>
      <w:r>
        <w:rPr>
          <w:rFonts w:ascii="Cambria" w:cs="Cambria" w:eastAsia="Cambria" w:hAnsi="Cambria"/>
          <w:sz w:val="19"/>
          <w:szCs w:val="19"/>
          <w:color w:val="auto"/>
        </w:rPr>
        <w:t xml:space="preserve"> &lt; 0.05), (Fig. 1B). This change was effected by the fatty acid content of the diet as the highest decrease was seen in the control group which their broodstocks were fed by basal diet, while in the groups that HUFA/PUFA ratio was</w:t>
      </w:r>
    </w:p>
    <w:p>
      <w:pPr>
        <w:spacing w:after="0" w:line="20" w:lineRule="exact"/>
        <w:rPr>
          <w:sz w:val="20"/>
          <w:szCs w:val="20"/>
          <w:color w:val="auto"/>
        </w:rPr>
      </w:pPr>
      <w:r>
        <w:rPr>
          <w:sz w:val="20"/>
          <w:szCs w:val="20"/>
          <w:color w:val="auto"/>
        </w:rPr>
        <w:br w:type="column"/>
      </w:r>
    </w:p>
    <w:p>
      <w:pPr>
        <w:spacing w:after="0" w:line="235" w:lineRule="exact"/>
        <w:rPr>
          <w:sz w:val="20"/>
          <w:szCs w:val="20"/>
          <w:color w:val="auto"/>
        </w:rPr>
      </w:pPr>
    </w:p>
    <w:p>
      <w:pPr>
        <w:jc w:val="both"/>
        <w:spacing w:after="0"/>
        <w:rPr>
          <w:sz w:val="20"/>
          <w:szCs w:val="20"/>
          <w:color w:val="auto"/>
        </w:rPr>
      </w:pPr>
      <w:r>
        <w:rPr>
          <w:rFonts w:ascii="Cambria" w:cs="Cambria" w:eastAsia="Cambria" w:hAnsi="Cambria"/>
          <w:sz w:val="20"/>
          <w:szCs w:val="20"/>
          <w:color w:val="auto"/>
        </w:rPr>
        <w:t>0.37 the least difference was recorded (</w:t>
      </w:r>
      <w:r>
        <w:rPr>
          <w:rFonts w:ascii="Cambria" w:cs="Cambria" w:eastAsia="Cambria" w:hAnsi="Cambria"/>
          <w:sz w:val="20"/>
          <w:szCs w:val="20"/>
          <w:i w:val="1"/>
          <w:iCs w:val="1"/>
          <w:color w:val="auto"/>
        </w:rPr>
        <w:t>p</w:t>
      </w:r>
      <w:r>
        <w:rPr>
          <w:rFonts w:ascii="Cambria" w:cs="Cambria" w:eastAsia="Cambria" w:hAnsi="Cambria"/>
          <w:sz w:val="20"/>
          <w:szCs w:val="20"/>
          <w:color w:val="auto"/>
        </w:rPr>
        <w:t xml:space="preserve"> &lt; 0.05). Also, the final activity of CAT was significantly different in the experimental groups. The highest value of CAT was seen on day 35, in the group that HUFA/PUFA ratio was 0.37 while in the group received only PUFA, the lowest activity of CAT was recorded (</w:t>
      </w:r>
      <w:r>
        <w:rPr>
          <w:rFonts w:ascii="Cambria" w:cs="Cambria" w:eastAsia="Cambria" w:hAnsi="Cambria"/>
          <w:sz w:val="20"/>
          <w:szCs w:val="20"/>
          <w:i w:val="1"/>
          <w:iCs w:val="1"/>
          <w:color w:val="auto"/>
        </w:rPr>
        <w:t>p</w:t>
      </w:r>
      <w:r>
        <w:rPr>
          <w:rFonts w:ascii="Cambria" w:cs="Cambria" w:eastAsia="Cambria" w:hAnsi="Cambria"/>
          <w:sz w:val="20"/>
          <w:szCs w:val="20"/>
          <w:color w:val="auto"/>
        </w:rPr>
        <w:t xml:space="preserve"> &lt; 0.05)</w:t>
      </w:r>
      <w:r>
        <w:rPr>
          <w:rFonts w:ascii="Cambria" w:cs="Cambria" w:eastAsia="Cambria" w:hAnsi="Cambria"/>
          <w:sz w:val="20"/>
          <w:szCs w:val="20"/>
          <w:i w:val="1"/>
          <w:iCs w:val="1"/>
          <w:color w:val="auto"/>
        </w:rPr>
        <w:t>.</w:t>
      </w:r>
      <w:r>
        <w:rPr>
          <w:rFonts w:ascii="Cambria" w:cs="Cambria" w:eastAsia="Cambria" w:hAnsi="Cambria"/>
          <w:sz w:val="20"/>
          <w:szCs w:val="20"/>
          <w:color w:val="auto"/>
        </w:rPr>
        <w:t xml:space="preserve"> In contrast, GPX activity (Fig. 1C) was dependent to oil replacement in broodstocks diet, as in the groups which received lower HUFA/PUFA level it was higher compared to the other groups (</w:t>
      </w:r>
      <w:r>
        <w:rPr>
          <w:rFonts w:ascii="Cambria" w:cs="Cambria" w:eastAsia="Cambria" w:hAnsi="Cambria"/>
          <w:sz w:val="20"/>
          <w:szCs w:val="20"/>
          <w:i w:val="1"/>
          <w:iCs w:val="1"/>
          <w:color w:val="auto"/>
        </w:rPr>
        <w:t>p</w:t>
      </w:r>
      <w:r>
        <w:rPr>
          <w:rFonts w:ascii="Cambria" w:cs="Cambria" w:eastAsia="Cambria" w:hAnsi="Cambria"/>
          <w:sz w:val="20"/>
          <w:szCs w:val="20"/>
          <w:color w:val="auto"/>
        </w:rPr>
        <w:t xml:space="preserve"> &lt; 0.05).</w:t>
      </w:r>
    </w:p>
    <w:p>
      <w:pPr>
        <w:jc w:val="both"/>
        <w:ind w:firstLine="288"/>
        <w:spacing w:after="0"/>
        <w:rPr>
          <w:sz w:val="20"/>
          <w:szCs w:val="20"/>
          <w:color w:val="auto"/>
        </w:rPr>
      </w:pPr>
      <w:r>
        <w:rPr>
          <w:rFonts w:ascii="Cambria" w:cs="Cambria" w:eastAsia="Cambria" w:hAnsi="Cambria"/>
          <w:sz w:val="20"/>
          <w:szCs w:val="20"/>
          <w:color w:val="auto"/>
        </w:rPr>
        <w:t>Comparing the levels of MDA showed a similar pattern in all the experimental groups (Fig. 1D). The MDA was increased during days 0-5, then reduced sharply and remained unchanged till day 35. The MDA content was not affected by the dietary fatty acid content as its value did not show significant changes between different groups at each sampling time.</w:t>
      </w:r>
    </w:p>
    <w:p>
      <w:pPr>
        <w:spacing w:after="0" w:line="235"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Discussion</w:t>
      </w:r>
    </w:p>
    <w:p>
      <w:pPr>
        <w:spacing w:after="0" w:line="235" w:lineRule="exact"/>
        <w:rPr>
          <w:sz w:val="20"/>
          <w:szCs w:val="20"/>
          <w:color w:val="auto"/>
        </w:rPr>
      </w:pPr>
    </w:p>
    <w:p>
      <w:pPr>
        <w:jc w:val="both"/>
        <w:ind w:firstLine="288"/>
        <w:spacing w:after="0" w:line="253" w:lineRule="auto"/>
        <w:rPr>
          <w:sz w:val="20"/>
          <w:szCs w:val="20"/>
          <w:color w:val="auto"/>
        </w:rPr>
      </w:pPr>
      <w:r>
        <w:rPr>
          <w:rFonts w:ascii="Cambria" w:cs="Cambria" w:eastAsia="Cambria" w:hAnsi="Cambria"/>
          <w:sz w:val="19"/>
          <w:szCs w:val="19"/>
          <w:color w:val="auto"/>
        </w:rPr>
        <w:t>The characterization of the antioxidant defense system and oxidative status reveals the mechanisms involved in the early development and survival of fish and their progeny in farms. Also, perception of the effects of PUFA on the antioxidant defense helps to prepare proper diet formulations for broodstocks in order to improve the immune system in their early life stages. Only few works have evaluated the development of antioxidant defense system in early life stages of fish.</w:t>
      </w:r>
      <w:r>
        <w:rPr>
          <w:rFonts w:ascii="Cambria" w:cs="Cambria" w:eastAsia="Cambria" w:hAnsi="Cambria"/>
          <w:sz w:val="11"/>
          <w:szCs w:val="11"/>
          <w:color w:val="auto"/>
        </w:rPr>
        <w:t>11,12,17</w:t>
      </w:r>
      <w:r>
        <w:rPr>
          <w:rFonts w:ascii="Cambria" w:cs="Cambria" w:eastAsia="Cambria" w:hAnsi="Cambria"/>
          <w:sz w:val="19"/>
          <w:szCs w:val="19"/>
          <w:color w:val="auto"/>
        </w:rPr>
        <w:t xml:space="preserve"> The quantifiable values of antioxidant system enzymes activity was measured in </w:t>
      </w:r>
      <w:r>
        <w:rPr>
          <w:rFonts w:ascii="Cambria" w:cs="Cambria" w:eastAsia="Cambria" w:hAnsi="Cambria"/>
          <w:sz w:val="19"/>
          <w:szCs w:val="19"/>
          <w:i w:val="1"/>
          <w:iCs w:val="1"/>
          <w:color w:val="auto"/>
        </w:rPr>
        <w:t>O. mykiss</w:t>
      </w:r>
      <w:r>
        <w:rPr>
          <w:rFonts w:ascii="Cambria" w:cs="Cambria" w:eastAsia="Cambria" w:hAnsi="Cambria"/>
          <w:sz w:val="19"/>
          <w:szCs w:val="19"/>
          <w:color w:val="auto"/>
        </w:rPr>
        <w:t xml:space="preserve"> eggs prior to hatching, suggesting that the eggs are well protected against peroxidation, despite the high levels of polyunsaturated fatty acids (PUFAs) incorporated in their structure.</w:t>
      </w:r>
      <w:r>
        <w:rPr>
          <w:rFonts w:ascii="Cambria" w:cs="Cambria" w:eastAsia="Cambria" w:hAnsi="Cambria"/>
          <w:sz w:val="11"/>
          <w:szCs w:val="11"/>
          <w:color w:val="auto"/>
        </w:rPr>
        <w:t>15</w:t>
      </w:r>
      <w:r>
        <w:rPr>
          <w:rFonts w:ascii="Cambria" w:cs="Cambria" w:eastAsia="Cambria" w:hAnsi="Cambria"/>
          <w:sz w:val="19"/>
          <w:szCs w:val="19"/>
          <w:color w:val="auto"/>
        </w:rPr>
        <w:t xml:space="preserve"> GPX showed little activity in the first days but decreased until day 5 and increased from day 10 till the end of the period of the study. Similar findings have been reported in </w:t>
      </w:r>
      <w:r>
        <w:rPr>
          <w:rFonts w:ascii="Cambria" w:cs="Cambria" w:eastAsia="Cambria" w:hAnsi="Cambria"/>
          <w:sz w:val="19"/>
          <w:szCs w:val="19"/>
          <w:i w:val="1"/>
          <w:iCs w:val="1"/>
          <w:color w:val="auto"/>
        </w:rPr>
        <w:t>O. mykiss</w:t>
      </w:r>
    </w:p>
    <w:p>
      <w:pPr>
        <w:sectPr>
          <w:pgSz w:w="12240" w:h="15840" w:orient="portrait"/>
          <w:cols w:equalWidth="0" w:num="2">
            <w:col w:w="4820" w:space="460"/>
            <w:col w:w="4800"/>
          </w:cols>
          <w:pgMar w:left="1080" w:top="715" w:right="1080" w:bottom="919" w:gutter="0" w:footer="0" w:header="0"/>
          <w:type w:val="continuous"/>
        </w:sectPr>
      </w:pPr>
    </w:p>
    <w:bookmarkStart w:id="4" w:name="page5"/>
    <w:bookmarkEnd w:id="4"/>
    <w:p>
      <w:pPr>
        <w:spacing w:after="0"/>
        <w:tabs>
          <w:tab w:leader="none" w:pos="2880" w:val="left"/>
        </w:tabs>
        <w:rPr>
          <w:sz w:val="20"/>
          <w:szCs w:val="20"/>
          <w:color w:val="auto"/>
        </w:rPr>
      </w:pPr>
      <w:r>
        <w:rPr>
          <w:rFonts w:ascii="Calibri" w:cs="Calibri" w:eastAsia="Calibri" w:hAnsi="Calibri"/>
          <w:sz w:val="16"/>
          <w:szCs w:val="16"/>
          <w:i w:val="1"/>
          <w:iCs w:val="1"/>
          <w:color w:val="auto"/>
        </w:rPr>
        <w:t>86</w:t>
      </w:r>
      <w:r>
        <w:rPr>
          <w:sz w:val="20"/>
          <w:szCs w:val="20"/>
          <w:color w:val="auto"/>
        </w:rPr>
        <w:tab/>
      </w:r>
      <w:r>
        <w:rPr>
          <w:rFonts w:ascii="Calibri" w:cs="Calibri" w:eastAsia="Calibri" w:hAnsi="Calibri"/>
          <w:sz w:val="16"/>
          <w:szCs w:val="16"/>
          <w:b w:val="1"/>
          <w:bCs w:val="1"/>
          <w:i w:val="1"/>
          <w:iCs w:val="1"/>
          <w:color w:val="auto"/>
        </w:rPr>
        <w:t>S. Khezrian et al. Veterinary Research Forum. 2020; 11 (1) 83 - 88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335915</wp:posOffset>
            </wp:positionV>
            <wp:extent cx="5829300" cy="8229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5829300" cy="8229600"/>
                    </a:xfrm>
                    <a:prstGeom prst="rect">
                      <a:avLst/>
                    </a:prstGeom>
                    <a:noFill/>
                  </pic:spPr>
                </pic:pic>
              </a:graphicData>
            </a:graphic>
          </wp:anchor>
        </w:drawing>
      </w:r>
    </w:p>
    <w:p>
      <w:pPr>
        <w:spacing w:after="0" w:line="200" w:lineRule="exact"/>
        <w:rPr>
          <w:sz w:val="20"/>
          <w:szCs w:val="20"/>
          <w:color w:val="auto"/>
        </w:rPr>
      </w:pPr>
    </w:p>
    <w:p>
      <w:pPr>
        <w:spacing w:after="0" w:line="389" w:lineRule="exact"/>
        <w:rPr>
          <w:sz w:val="20"/>
          <w:szCs w:val="20"/>
          <w:color w:val="auto"/>
        </w:rPr>
      </w:pPr>
    </w:p>
    <w:tbl>
      <w:tblPr>
        <w:tblLayout w:type="fixed"/>
        <w:tblInd w:w="9249" w:type="dxa"/>
        <w:tblCellMar>
          <w:top w:w="0" w:type="dxa"/>
          <w:left w:w="0" w:type="dxa"/>
          <w:bottom w:w="0" w:type="dxa"/>
          <w:right w:w="0" w:type="dxa"/>
        </w:tblCellMar>
      </w:tblPr>
      <w:tr>
        <w:trPr>
          <w:trHeight w:val="12800"/>
        </w:trPr>
        <w:tc>
          <w:tcPr>
            <w:tcW w:w="862" w:type="dxa"/>
            <w:vAlign w:val="bottom"/>
            <w:textDirection w:val="btLr"/>
          </w:tcPr>
          <w:p>
            <w:pPr>
              <w:spacing w:after="0" w:line="245" w:lineRule="auto"/>
              <w:rPr>
                <w:sz w:val="20"/>
                <w:szCs w:val="20"/>
                <w:color w:val="auto"/>
              </w:rPr>
            </w:pPr>
            <w:r>
              <w:rPr>
                <w:rFonts w:ascii="Cambria" w:cs="Cambria" w:eastAsia="Cambria" w:hAnsi="Cambria"/>
                <w:sz w:val="18"/>
                <w:szCs w:val="18"/>
                <w:color w:val="auto"/>
              </w:rPr>
              <w:t xml:space="preserve">different sampling times. significant differences among treatments within sampling time and the same lower case letters indicate no significant differences among the same treatment in </w:t>
            </w:r>
            <w:r>
              <w:rPr>
                <w:rFonts w:ascii="Cambria" w:cs="Cambria" w:eastAsia="Cambria" w:hAnsi="Cambria"/>
                <w:sz w:val="18"/>
                <w:szCs w:val="18"/>
                <w:b w:val="1"/>
                <w:bCs w:val="1"/>
                <w:color w:val="auto"/>
              </w:rPr>
              <w:t xml:space="preserve">C) </w:t>
            </w:r>
            <w:r>
              <w:rPr>
                <w:rFonts w:ascii="Cambria" w:cs="Cambria" w:eastAsia="Cambria" w:hAnsi="Cambria"/>
                <w:sz w:val="18"/>
                <w:szCs w:val="18"/>
                <w:color w:val="auto"/>
              </w:rPr>
              <w:t>glutathione peroxidase (GPX; mU mg</w:t>
            </w:r>
            <w:r>
              <w:rPr>
                <w:rFonts w:ascii="Cambria" w:cs="Cambria" w:eastAsia="Cambria" w:hAnsi="Cambria"/>
                <w:sz w:val="12"/>
                <w:szCs w:val="12"/>
                <w:color w:val="auto"/>
              </w:rPr>
              <w:t>-1</w:t>
            </w:r>
            <w:r>
              <w:rPr>
                <w:rFonts w:ascii="Cambria" w:cs="Cambria" w:eastAsia="Cambria" w:hAnsi="Cambria"/>
                <w:sz w:val="18"/>
                <w:szCs w:val="18"/>
                <w:b w:val="1"/>
                <w:bCs w:val="1"/>
                <w:color w:val="auto"/>
              </w:rPr>
              <w:t xml:space="preserve"> </w:t>
            </w:r>
            <w:r>
              <w:rPr>
                <w:rFonts w:ascii="Cambria" w:cs="Cambria" w:eastAsia="Cambria" w:hAnsi="Cambria"/>
                <w:sz w:val="18"/>
                <w:szCs w:val="18"/>
                <w:color w:val="auto"/>
              </w:rPr>
              <w:t>protein) and</w:t>
            </w:r>
            <w:r>
              <w:rPr>
                <w:rFonts w:ascii="Cambria" w:cs="Cambria" w:eastAsia="Cambria" w:hAnsi="Cambria"/>
                <w:sz w:val="18"/>
                <w:szCs w:val="18"/>
                <w:b w:val="1"/>
                <w:bCs w:val="1"/>
                <w:color w:val="auto"/>
              </w:rPr>
              <w:t xml:space="preserve"> D) </w:t>
            </w:r>
            <w:r>
              <w:rPr>
                <w:rFonts w:ascii="Cambria" w:cs="Cambria" w:eastAsia="Cambria" w:hAnsi="Cambria"/>
                <w:sz w:val="18"/>
                <w:szCs w:val="18"/>
                <w:color w:val="auto"/>
              </w:rPr>
              <w:t>malondialdehyde (MDA) content (µM per mg</w:t>
            </w:r>
            <w:r>
              <w:rPr>
                <w:rFonts w:ascii="Cambria" w:cs="Cambria" w:eastAsia="Cambria" w:hAnsi="Cambria"/>
                <w:sz w:val="12"/>
                <w:szCs w:val="12"/>
                <w:color w:val="auto"/>
              </w:rPr>
              <w:t>-1</w:t>
            </w:r>
            <w:r>
              <w:rPr>
                <w:rFonts w:ascii="Cambria" w:cs="Cambria" w:eastAsia="Cambria" w:hAnsi="Cambria"/>
                <w:sz w:val="18"/>
                <w:szCs w:val="18"/>
                <w:b w:val="1"/>
                <w:bCs w:val="1"/>
                <w:color w:val="auto"/>
              </w:rPr>
              <w:t xml:space="preserve"> </w:t>
            </w:r>
            <w:r>
              <w:rPr>
                <w:rFonts w:ascii="Cambria" w:cs="Cambria" w:eastAsia="Cambria" w:hAnsi="Cambria"/>
                <w:sz w:val="18"/>
                <w:szCs w:val="18"/>
                <w:color w:val="auto"/>
              </w:rPr>
              <w:t>protein) in their progeny. The same capital letters indicate no</w:t>
            </w:r>
            <w:r>
              <w:rPr>
                <w:rFonts w:ascii="Cambria" w:cs="Cambria" w:eastAsia="Cambria" w:hAnsi="Cambria"/>
                <w:sz w:val="18"/>
                <w:szCs w:val="18"/>
                <w:b w:val="1"/>
                <w:bCs w:val="1"/>
                <w:color w:val="auto"/>
              </w:rPr>
              <w:t xml:space="preserve"> Fig. 1. </w:t>
            </w:r>
            <w:r>
              <w:rPr>
                <w:rFonts w:ascii="Cambria" w:cs="Cambria" w:eastAsia="Cambria" w:hAnsi="Cambria"/>
                <w:sz w:val="18"/>
                <w:szCs w:val="18"/>
                <w:color w:val="auto"/>
              </w:rPr>
              <w:t>Effect of different levels of plant oils in broodstocks diets on Activity of A</w:t>
            </w:r>
            <w:r>
              <w:rPr>
                <w:rFonts w:ascii="Cambria" w:cs="Cambria" w:eastAsia="Cambria" w:hAnsi="Cambria"/>
                <w:sz w:val="18"/>
                <w:szCs w:val="18"/>
                <w:b w:val="1"/>
                <w:bCs w:val="1"/>
                <w:color w:val="auto"/>
              </w:rPr>
              <w:t xml:space="preserve">) </w:t>
            </w:r>
            <w:r>
              <w:rPr>
                <w:rFonts w:ascii="Cambria" w:cs="Cambria" w:eastAsia="Cambria" w:hAnsi="Cambria"/>
                <w:sz w:val="18"/>
                <w:szCs w:val="18"/>
                <w:color w:val="auto"/>
              </w:rPr>
              <w:t>Superoxide dismutase (SOD; mU mg</w:t>
            </w:r>
            <w:r>
              <w:rPr>
                <w:rFonts w:ascii="Cambria" w:cs="Cambria" w:eastAsia="Cambria" w:hAnsi="Cambria"/>
                <w:sz w:val="12"/>
                <w:szCs w:val="12"/>
                <w:color w:val="auto"/>
              </w:rPr>
              <w:t>-1</w:t>
            </w:r>
            <w:r>
              <w:rPr>
                <w:rFonts w:ascii="Cambria" w:cs="Cambria" w:eastAsia="Cambria" w:hAnsi="Cambria"/>
                <w:sz w:val="18"/>
                <w:szCs w:val="18"/>
                <w:b w:val="1"/>
                <w:bCs w:val="1"/>
                <w:color w:val="auto"/>
              </w:rPr>
              <w:t xml:space="preserve"> </w:t>
            </w:r>
            <w:r>
              <w:rPr>
                <w:rFonts w:ascii="Cambria" w:cs="Cambria" w:eastAsia="Cambria" w:hAnsi="Cambria"/>
                <w:sz w:val="18"/>
                <w:szCs w:val="18"/>
                <w:color w:val="auto"/>
              </w:rPr>
              <w:t>protein),</w:t>
            </w:r>
            <w:r>
              <w:rPr>
                <w:rFonts w:ascii="Cambria" w:cs="Cambria" w:eastAsia="Cambria" w:hAnsi="Cambria"/>
                <w:sz w:val="18"/>
                <w:szCs w:val="18"/>
                <w:b w:val="1"/>
                <w:bCs w:val="1"/>
                <w:color w:val="auto"/>
              </w:rPr>
              <w:t xml:space="preserve"> B) </w:t>
            </w:r>
            <w:r>
              <w:rPr>
                <w:rFonts w:ascii="Cambria" w:cs="Cambria" w:eastAsia="Cambria" w:hAnsi="Cambria"/>
                <w:sz w:val="18"/>
                <w:szCs w:val="18"/>
                <w:color w:val="auto"/>
              </w:rPr>
              <w:t>Catalase (CAT; mU mg</w:t>
            </w:r>
            <w:r>
              <w:rPr>
                <w:rFonts w:ascii="Cambria" w:cs="Cambria" w:eastAsia="Cambria" w:hAnsi="Cambria"/>
                <w:sz w:val="12"/>
                <w:szCs w:val="12"/>
                <w:color w:val="auto"/>
              </w:rPr>
              <w:t>-1</w:t>
            </w:r>
            <w:r>
              <w:rPr>
                <w:rFonts w:ascii="Cambria" w:cs="Cambria" w:eastAsia="Cambria" w:hAnsi="Cambria"/>
                <w:sz w:val="18"/>
                <w:szCs w:val="18"/>
                <w:b w:val="1"/>
                <w:bCs w:val="1"/>
                <w:color w:val="auto"/>
              </w:rPr>
              <w:t xml:space="preserve"> </w:t>
            </w:r>
            <w:r>
              <w:rPr>
                <w:rFonts w:ascii="Cambria" w:cs="Cambria" w:eastAsia="Cambria" w:hAnsi="Cambria"/>
                <w:sz w:val="18"/>
                <w:szCs w:val="18"/>
                <w:color w:val="auto"/>
              </w:rPr>
              <w:t>protein),</w:t>
            </w:r>
          </w:p>
        </w:tc>
      </w:tr>
    </w:tbl>
    <w:p>
      <w:pPr>
        <w:sectPr>
          <w:pgSz w:w="12240" w:h="15840" w:orient="portrait"/>
          <w:cols w:equalWidth="0" w:num="1">
            <w:col w:w="10120"/>
          </w:cols>
          <w:pgMar w:left="1080" w:top="715" w:right="1040" w:bottom="955" w:gutter="0" w:footer="0" w:header="0"/>
        </w:sectPr>
      </w:pPr>
    </w:p>
    <w:bookmarkStart w:id="5" w:name="page6"/>
    <w:bookmarkEnd w:id="5"/>
    <w:p>
      <w:pPr>
        <w:spacing w:after="0" w:line="1" w:lineRule="exact"/>
        <w:rPr>
          <w:sz w:val="20"/>
          <w:szCs w:val="20"/>
          <w:color w:val="auto"/>
        </w:rPr>
      </w:pPr>
    </w:p>
    <w:tbl>
      <w:tblPr>
        <w:tblLayout w:type="fixed"/>
        <w:tblInd w:w="2900" w:type="dxa"/>
        <w:tblCellMar>
          <w:top w:w="0" w:type="dxa"/>
          <w:left w:w="0" w:type="dxa"/>
          <w:bottom w:w="0" w:type="dxa"/>
          <w:right w:w="0" w:type="dxa"/>
        </w:tblCellMar>
      </w:tblPr>
      <w:tr>
        <w:trPr>
          <w:trHeight w:val="203"/>
        </w:trPr>
        <w:tc>
          <w:tcPr>
            <w:tcW w:w="5660" w:type="dxa"/>
            <w:vAlign w:val="bottom"/>
          </w:tcPr>
          <w:p>
            <w:pPr>
              <w:spacing w:after="0"/>
              <w:rPr>
                <w:sz w:val="20"/>
                <w:szCs w:val="20"/>
                <w:color w:val="auto"/>
              </w:rPr>
            </w:pPr>
            <w:r>
              <w:rPr>
                <w:rFonts w:ascii="Calibri" w:cs="Calibri" w:eastAsia="Calibri" w:hAnsi="Calibri"/>
                <w:sz w:val="16"/>
                <w:szCs w:val="16"/>
                <w:b w:val="1"/>
                <w:bCs w:val="1"/>
                <w:i w:val="1"/>
                <w:iCs w:val="1"/>
                <w:color w:val="auto"/>
              </w:rPr>
              <w:t>S. Khezrian et al. Veterinary Research Forum. 2020; 11 (1) 83 - 88</w:t>
            </w:r>
          </w:p>
        </w:tc>
        <w:tc>
          <w:tcPr>
            <w:tcW w:w="1520" w:type="dxa"/>
            <w:vAlign w:val="bottom"/>
          </w:tcPr>
          <w:p>
            <w:pPr>
              <w:jc w:val="right"/>
              <w:spacing w:after="0"/>
              <w:rPr>
                <w:sz w:val="20"/>
                <w:szCs w:val="20"/>
                <w:color w:val="auto"/>
              </w:rPr>
            </w:pPr>
            <w:r>
              <w:rPr>
                <w:rFonts w:ascii="Calibri" w:cs="Calibri" w:eastAsia="Calibri" w:hAnsi="Calibri"/>
                <w:sz w:val="16"/>
                <w:szCs w:val="16"/>
                <w:i w:val="1"/>
                <w:iCs w:val="1"/>
                <w:color w:val="auto"/>
              </w:rPr>
              <w:t>87</w:t>
            </w:r>
          </w:p>
        </w:tc>
      </w:tr>
    </w:tbl>
    <w:p>
      <w:pPr>
        <w:spacing w:after="0" w:line="200" w:lineRule="exact"/>
        <w:rPr>
          <w:sz w:val="20"/>
          <w:szCs w:val="20"/>
          <w:color w:val="auto"/>
        </w:rPr>
      </w:pPr>
    </w:p>
    <w:p>
      <w:pPr>
        <w:sectPr>
          <w:pgSz w:w="12240" w:h="15840" w:orient="portrait"/>
          <w:cols w:equalWidth="0" w:num="1">
            <w:col w:w="10080"/>
          </w:cols>
          <w:pgMar w:left="1080" w:top="715" w:right="1080" w:bottom="926" w:gutter="0" w:footer="0" w:header="0"/>
        </w:sectPr>
      </w:pPr>
    </w:p>
    <w:p>
      <w:pPr>
        <w:spacing w:after="0" w:line="337" w:lineRule="exact"/>
        <w:rPr>
          <w:sz w:val="20"/>
          <w:szCs w:val="20"/>
          <w:color w:val="auto"/>
        </w:rPr>
      </w:pPr>
    </w:p>
    <w:p>
      <w:pPr>
        <w:jc w:val="both"/>
        <w:spacing w:after="0" w:line="239" w:lineRule="auto"/>
        <w:rPr>
          <w:sz w:val="20"/>
          <w:szCs w:val="20"/>
          <w:color w:val="auto"/>
        </w:rPr>
      </w:pPr>
      <w:r>
        <w:rPr>
          <w:rFonts w:ascii="Cambria" w:cs="Cambria" w:eastAsia="Cambria" w:hAnsi="Cambria"/>
          <w:sz w:val="20"/>
          <w:szCs w:val="20"/>
          <w:color w:val="auto"/>
        </w:rPr>
        <w:t>reared in different stocking density.</w:t>
      </w:r>
      <w:r>
        <w:rPr>
          <w:rFonts w:ascii="Cambria" w:cs="Cambria" w:eastAsia="Cambria" w:hAnsi="Cambria"/>
          <w:sz w:val="12"/>
          <w:szCs w:val="12"/>
          <w:color w:val="auto"/>
        </w:rPr>
        <w:t>13</w:t>
      </w:r>
      <w:r>
        <w:rPr>
          <w:rFonts w:ascii="Cambria" w:cs="Cambria" w:eastAsia="Cambria" w:hAnsi="Cambria"/>
          <w:sz w:val="20"/>
          <w:szCs w:val="20"/>
          <w:color w:val="auto"/>
        </w:rPr>
        <w:t xml:space="preserve"> The GPX decreased until day 5, which was similar to the findings reported for Asian seabass, </w:t>
      </w:r>
      <w:r>
        <w:rPr>
          <w:rFonts w:ascii="Cambria" w:cs="Cambria" w:eastAsia="Cambria" w:hAnsi="Cambria"/>
          <w:sz w:val="20"/>
          <w:szCs w:val="20"/>
          <w:i w:val="1"/>
          <w:iCs w:val="1"/>
          <w:color w:val="auto"/>
        </w:rPr>
        <w:t>Lates calcarifer</w:t>
      </w:r>
      <w:r>
        <w:rPr>
          <w:rFonts w:ascii="Cambria" w:cs="Cambria" w:eastAsia="Cambria" w:hAnsi="Cambria"/>
          <w:sz w:val="20"/>
          <w:szCs w:val="20"/>
          <w:color w:val="auto"/>
        </w:rPr>
        <w:t>.</w:t>
      </w:r>
      <w:r>
        <w:rPr>
          <w:rFonts w:ascii="Cambria" w:cs="Cambria" w:eastAsia="Cambria" w:hAnsi="Cambria"/>
          <w:sz w:val="12"/>
          <w:szCs w:val="12"/>
          <w:color w:val="auto"/>
        </w:rPr>
        <w:t>14</w:t>
      </w:r>
      <w:r>
        <w:rPr>
          <w:rFonts w:ascii="Cambria" w:cs="Cambria" w:eastAsia="Cambria" w:hAnsi="Cambria"/>
          <w:sz w:val="20"/>
          <w:szCs w:val="20"/>
          <w:color w:val="auto"/>
        </w:rPr>
        <w:t xml:space="preserve"> They reported that GPX activity was high at gastrulation, which may be contributed to the high metabolic activity, after that its activity gradually decreased. In this study, GPX activity was higher in the group which broodstocks fed with a higher PUFA/HUFA level diet than the other groups. In </w:t>
      </w:r>
      <w:r>
        <w:rPr>
          <w:rFonts w:ascii="Cambria" w:cs="Cambria" w:eastAsia="Cambria" w:hAnsi="Cambria"/>
          <w:sz w:val="20"/>
          <w:szCs w:val="20"/>
          <w:i w:val="1"/>
          <w:iCs w:val="1"/>
          <w:color w:val="auto"/>
        </w:rPr>
        <w:t>O.</w:t>
      </w:r>
      <w:r>
        <w:rPr>
          <w:rFonts w:ascii="Cambria" w:cs="Cambria" w:eastAsia="Cambria" w:hAnsi="Cambria"/>
          <w:sz w:val="20"/>
          <w:szCs w:val="20"/>
          <w:color w:val="auto"/>
        </w:rPr>
        <w:t xml:space="preserve"> </w:t>
      </w:r>
      <w:r>
        <w:rPr>
          <w:rFonts w:ascii="Cambria" w:cs="Cambria" w:eastAsia="Cambria" w:hAnsi="Cambria"/>
          <w:sz w:val="20"/>
          <w:szCs w:val="20"/>
          <w:i w:val="1"/>
          <w:iCs w:val="1"/>
          <w:color w:val="auto"/>
        </w:rPr>
        <w:t xml:space="preserve">mykiss </w:t>
      </w:r>
      <w:r>
        <w:rPr>
          <w:rFonts w:ascii="Cambria" w:cs="Cambria" w:eastAsia="Cambria" w:hAnsi="Cambria"/>
          <w:sz w:val="20"/>
          <w:szCs w:val="20"/>
          <w:color w:val="auto"/>
        </w:rPr>
        <w:t>fed with n-3 PUFA, an increase in blood antioxidant</w:t>
      </w:r>
      <w:r>
        <w:rPr>
          <w:rFonts w:ascii="Cambria" w:cs="Cambria" w:eastAsia="Cambria" w:hAnsi="Cambria"/>
          <w:sz w:val="20"/>
          <w:szCs w:val="20"/>
          <w:i w:val="1"/>
          <w:iCs w:val="1"/>
          <w:color w:val="auto"/>
        </w:rPr>
        <w:t xml:space="preserve"> </w:t>
      </w:r>
      <w:r>
        <w:rPr>
          <w:rFonts w:ascii="Cambria" w:cs="Cambria" w:eastAsia="Cambria" w:hAnsi="Cambria"/>
          <w:sz w:val="20"/>
          <w:szCs w:val="20"/>
          <w:color w:val="auto"/>
        </w:rPr>
        <w:t>capacity protection from free radical damage was reported.</w:t>
      </w:r>
      <w:r>
        <w:rPr>
          <w:rFonts w:ascii="Cambria" w:cs="Cambria" w:eastAsia="Cambria" w:hAnsi="Cambria"/>
          <w:sz w:val="12"/>
          <w:szCs w:val="12"/>
          <w:color w:val="auto"/>
        </w:rPr>
        <w:t>21</w:t>
      </w:r>
      <w:r>
        <w:rPr>
          <w:rFonts w:ascii="Cambria" w:cs="Cambria" w:eastAsia="Cambria" w:hAnsi="Cambria"/>
          <w:sz w:val="20"/>
          <w:szCs w:val="20"/>
          <w:color w:val="auto"/>
        </w:rPr>
        <w:t xml:space="preserve"> This antioxidant activity could act as a homeostatic mechanism counteracting the increased oxidative stress.</w:t>
      </w:r>
    </w:p>
    <w:p>
      <w:pPr>
        <w:spacing w:after="0" w:line="13" w:lineRule="exact"/>
        <w:rPr>
          <w:sz w:val="20"/>
          <w:szCs w:val="20"/>
          <w:color w:val="auto"/>
        </w:rPr>
      </w:pPr>
    </w:p>
    <w:p>
      <w:pPr>
        <w:jc w:val="both"/>
        <w:ind w:firstLine="288"/>
        <w:spacing w:after="0" w:line="253" w:lineRule="auto"/>
        <w:rPr>
          <w:sz w:val="20"/>
          <w:szCs w:val="20"/>
          <w:color w:val="auto"/>
        </w:rPr>
      </w:pPr>
      <w:r>
        <w:rPr>
          <w:rFonts w:ascii="Cambria" w:cs="Cambria" w:eastAsia="Cambria" w:hAnsi="Cambria"/>
          <w:sz w:val="19"/>
          <w:szCs w:val="19"/>
          <w:color w:val="auto"/>
        </w:rPr>
        <w:t>The SOD and CAT are responsible for the inactivation of superoxide and hydrogen peroxide respectively. The SOD, by converting superoxide to hydrogen peroxide, provides a substrate for CAT.</w:t>
      </w:r>
      <w:r>
        <w:rPr>
          <w:rFonts w:ascii="Cambria" w:cs="Cambria" w:eastAsia="Cambria" w:hAnsi="Cambria"/>
          <w:sz w:val="11"/>
          <w:szCs w:val="11"/>
          <w:color w:val="auto"/>
        </w:rPr>
        <w:t>21</w:t>
      </w:r>
      <w:r>
        <w:rPr>
          <w:rFonts w:ascii="Cambria" w:cs="Cambria" w:eastAsia="Cambria" w:hAnsi="Cambria"/>
          <w:sz w:val="19"/>
          <w:szCs w:val="19"/>
          <w:color w:val="auto"/>
        </w:rPr>
        <w:t xml:space="preserve"> SOD activity showed an incremental pattern while decreasing pattern was recorded for CAT. Peters and Livingstone and Mourente </w:t>
      </w:r>
      <w:r>
        <w:rPr>
          <w:rFonts w:ascii="Cambria" w:cs="Cambria" w:eastAsia="Cambria" w:hAnsi="Cambria"/>
          <w:sz w:val="19"/>
          <w:szCs w:val="19"/>
          <w:i w:val="1"/>
          <w:iCs w:val="1"/>
          <w:color w:val="auto"/>
        </w:rPr>
        <w:t>et al</w:t>
      </w:r>
      <w:r>
        <w:rPr>
          <w:rFonts w:ascii="Cambria" w:cs="Cambria" w:eastAsia="Cambria" w:hAnsi="Cambria"/>
          <w:sz w:val="19"/>
          <w:szCs w:val="19"/>
          <w:color w:val="auto"/>
        </w:rPr>
        <w:t>. showed that SOD decreased throughout larval</w:t>
      </w:r>
      <w:r>
        <w:rPr>
          <w:rFonts w:ascii="Cambria" w:cs="Cambria" w:eastAsia="Cambria" w:hAnsi="Cambria"/>
          <w:sz w:val="19"/>
          <w:szCs w:val="19"/>
          <w:i w:val="1"/>
          <w:iCs w:val="1"/>
          <w:color w:val="auto"/>
        </w:rPr>
        <w:t xml:space="preserve"> </w:t>
      </w:r>
      <w:r>
        <w:rPr>
          <w:rFonts w:ascii="Cambria" w:cs="Cambria" w:eastAsia="Cambria" w:hAnsi="Cambria"/>
          <w:sz w:val="19"/>
          <w:szCs w:val="19"/>
          <w:color w:val="auto"/>
        </w:rPr>
        <w:t xml:space="preserve">development from the egg in </w:t>
      </w:r>
      <w:r>
        <w:rPr>
          <w:rFonts w:ascii="Cambria" w:cs="Cambria" w:eastAsia="Cambria" w:hAnsi="Cambria"/>
          <w:sz w:val="19"/>
          <w:szCs w:val="19"/>
          <w:i w:val="1"/>
          <w:iCs w:val="1"/>
          <w:color w:val="auto"/>
        </w:rPr>
        <w:t>S. maximus</w:t>
      </w:r>
      <w:r>
        <w:rPr>
          <w:rFonts w:ascii="Cambria" w:cs="Cambria" w:eastAsia="Cambria" w:hAnsi="Cambria"/>
          <w:sz w:val="19"/>
          <w:szCs w:val="19"/>
          <w:color w:val="auto"/>
        </w:rPr>
        <w:t xml:space="preserve"> and </w:t>
      </w:r>
      <w:r>
        <w:rPr>
          <w:rFonts w:ascii="Cambria" w:cs="Cambria" w:eastAsia="Cambria" w:hAnsi="Cambria"/>
          <w:sz w:val="19"/>
          <w:szCs w:val="19"/>
          <w:i w:val="1"/>
          <w:iCs w:val="1"/>
          <w:color w:val="auto"/>
        </w:rPr>
        <w:t>Dentex</w:t>
      </w:r>
      <w:r>
        <w:rPr>
          <w:rFonts w:ascii="Cambria" w:cs="Cambria" w:eastAsia="Cambria" w:hAnsi="Cambria"/>
          <w:sz w:val="19"/>
          <w:szCs w:val="19"/>
          <w:color w:val="auto"/>
        </w:rPr>
        <w:t xml:space="preserve"> </w:t>
      </w:r>
      <w:r>
        <w:rPr>
          <w:rFonts w:ascii="Cambria" w:cs="Cambria" w:eastAsia="Cambria" w:hAnsi="Cambria"/>
          <w:sz w:val="19"/>
          <w:szCs w:val="19"/>
          <w:i w:val="1"/>
          <w:iCs w:val="1"/>
          <w:color w:val="auto"/>
        </w:rPr>
        <w:t>dentex</w:t>
      </w:r>
      <w:r>
        <w:rPr>
          <w:rFonts w:ascii="Cambria" w:cs="Cambria" w:eastAsia="Cambria" w:hAnsi="Cambria"/>
          <w:sz w:val="19"/>
          <w:szCs w:val="19"/>
          <w:color w:val="auto"/>
        </w:rPr>
        <w:t>, respectively. Increase in SOD activity</w:t>
      </w:r>
      <w:r>
        <w:rPr>
          <w:rFonts w:ascii="Cambria" w:cs="Cambria" w:eastAsia="Cambria" w:hAnsi="Cambria"/>
          <w:sz w:val="11"/>
          <w:szCs w:val="11"/>
          <w:color w:val="auto"/>
        </w:rPr>
        <w:t>14</w:t>
      </w:r>
      <w:r>
        <w:rPr>
          <w:rFonts w:ascii="Cambria" w:cs="Cambria" w:eastAsia="Cambria" w:hAnsi="Cambria"/>
          <w:sz w:val="19"/>
          <w:szCs w:val="19"/>
          <w:i w:val="1"/>
          <w:iCs w:val="1"/>
          <w:color w:val="auto"/>
        </w:rPr>
        <w:t xml:space="preserve"> </w:t>
      </w:r>
      <w:r>
        <w:rPr>
          <w:rFonts w:ascii="Cambria" w:cs="Cambria" w:eastAsia="Cambria" w:hAnsi="Cambria"/>
          <w:sz w:val="19"/>
          <w:szCs w:val="19"/>
          <w:color w:val="auto"/>
        </w:rPr>
        <w:t>and no</w:t>
      </w:r>
      <w:r>
        <w:rPr>
          <w:rFonts w:ascii="Cambria" w:cs="Cambria" w:eastAsia="Cambria" w:hAnsi="Cambria"/>
          <w:sz w:val="19"/>
          <w:szCs w:val="19"/>
          <w:i w:val="1"/>
          <w:iCs w:val="1"/>
          <w:color w:val="auto"/>
        </w:rPr>
        <w:t xml:space="preserve"> </w:t>
      </w:r>
      <w:r>
        <w:rPr>
          <w:rFonts w:ascii="Cambria" w:cs="Cambria" w:eastAsia="Cambria" w:hAnsi="Cambria"/>
          <w:sz w:val="19"/>
          <w:szCs w:val="19"/>
          <w:color w:val="auto"/>
        </w:rPr>
        <w:t>changes</w:t>
      </w:r>
      <w:r>
        <w:rPr>
          <w:rFonts w:ascii="Cambria" w:cs="Cambria" w:eastAsia="Cambria" w:hAnsi="Cambria"/>
          <w:sz w:val="11"/>
          <w:szCs w:val="11"/>
          <w:color w:val="auto"/>
        </w:rPr>
        <w:t>15</w:t>
      </w:r>
      <w:r>
        <w:rPr>
          <w:rFonts w:ascii="Cambria" w:cs="Cambria" w:eastAsia="Cambria" w:hAnsi="Cambria"/>
          <w:sz w:val="19"/>
          <w:szCs w:val="19"/>
          <w:color w:val="auto"/>
        </w:rPr>
        <w:t xml:space="preserve"> were also reported. CAT activity decreased during the period of this study, while previous reports in different species are controversial. Kalaimani </w:t>
      </w:r>
      <w:r>
        <w:rPr>
          <w:rFonts w:ascii="Cambria" w:cs="Cambria" w:eastAsia="Cambria" w:hAnsi="Cambria"/>
          <w:sz w:val="19"/>
          <w:szCs w:val="19"/>
          <w:i w:val="1"/>
          <w:iCs w:val="1"/>
          <w:color w:val="auto"/>
        </w:rPr>
        <w:t>et al.</w:t>
      </w:r>
      <w:r>
        <w:rPr>
          <w:rFonts w:ascii="Cambria" w:cs="Cambria" w:eastAsia="Cambria" w:hAnsi="Cambria"/>
          <w:sz w:val="19"/>
          <w:szCs w:val="19"/>
          <w:color w:val="auto"/>
        </w:rPr>
        <w:t xml:space="preserve"> (2008) found similar results in Asian seabass. They reported that CAT activity decreased on day 5 till day 25, but CAT activity was increased in </w:t>
      </w:r>
      <w:r>
        <w:rPr>
          <w:rFonts w:ascii="Cambria" w:cs="Cambria" w:eastAsia="Cambria" w:hAnsi="Cambria"/>
          <w:sz w:val="19"/>
          <w:szCs w:val="19"/>
          <w:i w:val="1"/>
          <w:iCs w:val="1"/>
          <w:color w:val="auto"/>
        </w:rPr>
        <w:t>Acipenser naccarii</w:t>
      </w:r>
      <w:r>
        <w:rPr>
          <w:rFonts w:ascii="Cambria" w:cs="Cambria" w:eastAsia="Cambria" w:hAnsi="Cambria"/>
          <w:sz w:val="19"/>
          <w:szCs w:val="19"/>
          <w:color w:val="auto"/>
        </w:rPr>
        <w:t xml:space="preserve"> during early life stages.</w:t>
      </w:r>
      <w:r>
        <w:rPr>
          <w:rFonts w:ascii="Cambria" w:cs="Cambria" w:eastAsia="Cambria" w:hAnsi="Cambria"/>
          <w:sz w:val="11"/>
          <w:szCs w:val="11"/>
          <w:color w:val="auto"/>
        </w:rPr>
        <w:t>11</w:t>
      </w:r>
      <w:r>
        <w:rPr>
          <w:rFonts w:ascii="Cambria" w:cs="Cambria" w:eastAsia="Cambria" w:hAnsi="Cambria"/>
          <w:sz w:val="19"/>
          <w:szCs w:val="19"/>
          <w:color w:val="auto"/>
        </w:rPr>
        <w:t xml:space="preserve"> This could be related to the changes in the protein levels during the ontogenic development in different species.</w:t>
      </w:r>
      <w:r>
        <w:rPr>
          <w:rFonts w:ascii="Cambria" w:cs="Cambria" w:eastAsia="Cambria" w:hAnsi="Cambria"/>
          <w:sz w:val="11"/>
          <w:szCs w:val="11"/>
          <w:color w:val="auto"/>
        </w:rPr>
        <w:t>22</w:t>
      </w:r>
    </w:p>
    <w:p>
      <w:pPr>
        <w:spacing w:after="0" w:line="228" w:lineRule="exact"/>
        <w:rPr>
          <w:sz w:val="20"/>
          <w:szCs w:val="20"/>
          <w:color w:val="auto"/>
        </w:rPr>
      </w:pPr>
    </w:p>
    <w:p>
      <w:pPr>
        <w:jc w:val="both"/>
        <w:ind w:firstLine="288"/>
        <w:spacing w:after="0"/>
        <w:rPr>
          <w:sz w:val="20"/>
          <w:szCs w:val="20"/>
          <w:color w:val="auto"/>
        </w:rPr>
      </w:pPr>
      <w:r>
        <w:rPr>
          <w:rFonts w:ascii="Cambria" w:cs="Cambria" w:eastAsia="Cambria" w:hAnsi="Cambria"/>
          <w:sz w:val="20"/>
          <w:szCs w:val="20"/>
          <w:color w:val="auto"/>
        </w:rPr>
        <w:t>The increase in antioxidant enzymes activity helped to maintain the MDA content constant in all sampling times, as no significant changes were recorded in experimental groups and control at different times. This situation reflecting no change in accumulation through enhanced antioxidant systems and/or increased excretion rate.</w:t>
      </w:r>
      <w:r>
        <w:rPr>
          <w:rFonts w:ascii="Cambria" w:cs="Cambria" w:eastAsia="Cambria" w:hAnsi="Cambria"/>
          <w:sz w:val="12"/>
          <w:szCs w:val="12"/>
          <w:color w:val="auto"/>
        </w:rPr>
        <w:t>10</w:t>
      </w:r>
    </w:p>
    <w:p>
      <w:pPr>
        <w:jc w:val="both"/>
        <w:ind w:firstLine="288"/>
        <w:spacing w:after="0" w:line="255" w:lineRule="auto"/>
        <w:rPr>
          <w:sz w:val="20"/>
          <w:szCs w:val="20"/>
          <w:color w:val="auto"/>
        </w:rPr>
      </w:pPr>
      <w:r>
        <w:rPr>
          <w:rFonts w:ascii="Cambria" w:cs="Cambria" w:eastAsia="Cambria" w:hAnsi="Cambria"/>
          <w:sz w:val="19"/>
          <w:szCs w:val="19"/>
          <w:color w:val="auto"/>
        </w:rPr>
        <w:t xml:space="preserve">Our findings showed that </w:t>
      </w:r>
      <w:r>
        <w:rPr>
          <w:rFonts w:ascii="Cambria" w:cs="Cambria" w:eastAsia="Cambria" w:hAnsi="Cambria"/>
          <w:sz w:val="19"/>
          <w:szCs w:val="19"/>
          <w:i w:val="1"/>
          <w:iCs w:val="1"/>
          <w:color w:val="auto"/>
        </w:rPr>
        <w:t>O. mykiss</w:t>
      </w:r>
      <w:r>
        <w:rPr>
          <w:rFonts w:ascii="Cambria" w:cs="Cambria" w:eastAsia="Cambria" w:hAnsi="Cambria"/>
          <w:sz w:val="19"/>
          <w:szCs w:val="19"/>
          <w:color w:val="auto"/>
        </w:rPr>
        <w:t xml:space="preserve"> offspring are protected from the dangers of free radicals as enzymes activities were recorded immediately after fertilization. Different PUFA/HUFA levels added to broodstocks diets had no adverse effects on oxidant-antioxidant equilibrium during the early life stages of the examined fish.</w:t>
      </w:r>
    </w:p>
    <w:p>
      <w:pPr>
        <w:spacing w:after="0" w:line="221"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Acknowledgments</w:t>
      </w:r>
    </w:p>
    <w:p>
      <w:pPr>
        <w:spacing w:after="0" w:line="237" w:lineRule="exact"/>
        <w:rPr>
          <w:sz w:val="20"/>
          <w:szCs w:val="20"/>
          <w:color w:val="auto"/>
        </w:rPr>
      </w:pPr>
    </w:p>
    <w:p>
      <w:pPr>
        <w:jc w:val="both"/>
        <w:ind w:firstLine="288"/>
        <w:spacing w:after="0" w:line="256" w:lineRule="auto"/>
        <w:rPr>
          <w:sz w:val="20"/>
          <w:szCs w:val="20"/>
          <w:color w:val="auto"/>
        </w:rPr>
      </w:pPr>
      <w:r>
        <w:rPr>
          <w:rFonts w:ascii="Cambria" w:cs="Cambria" w:eastAsia="Cambria" w:hAnsi="Cambria"/>
          <w:sz w:val="19"/>
          <w:szCs w:val="19"/>
          <w:color w:val="auto"/>
        </w:rPr>
        <w:t>The authors gratefully acknowledge Urmia University for providing the facilities for undertaking this project and Khorramshahr University of Marine Science and Technology for the financial support of the project.</w:t>
      </w:r>
    </w:p>
    <w:p>
      <w:pPr>
        <w:spacing w:after="0" w:line="220"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Conflict of interest</w:t>
      </w:r>
    </w:p>
    <w:p>
      <w:pPr>
        <w:spacing w:after="0" w:line="233" w:lineRule="exact"/>
        <w:rPr>
          <w:sz w:val="20"/>
          <w:szCs w:val="20"/>
          <w:color w:val="auto"/>
        </w:rPr>
      </w:pPr>
    </w:p>
    <w:p>
      <w:pPr>
        <w:ind w:left="280"/>
        <w:spacing w:after="0"/>
        <w:rPr>
          <w:sz w:val="20"/>
          <w:szCs w:val="20"/>
          <w:color w:val="auto"/>
        </w:rPr>
      </w:pPr>
      <w:r>
        <w:rPr>
          <w:rFonts w:ascii="Cambria" w:cs="Cambria" w:eastAsia="Cambria" w:hAnsi="Cambria"/>
          <w:sz w:val="20"/>
          <w:szCs w:val="20"/>
          <w:color w:val="auto"/>
        </w:rPr>
        <w:t>Authors declare that they have no conflict of interest.</w:t>
      </w:r>
    </w:p>
    <w:p>
      <w:pPr>
        <w:spacing w:after="0" w:line="20" w:lineRule="exact"/>
        <w:rPr>
          <w:sz w:val="20"/>
          <w:szCs w:val="20"/>
          <w:color w:val="auto"/>
        </w:rPr>
      </w:pPr>
      <w:r>
        <w:rPr>
          <w:sz w:val="20"/>
          <w:szCs w:val="20"/>
          <w:color w:val="auto"/>
        </w:rPr>
        <w:br w:type="column"/>
      </w:r>
    </w:p>
    <w:p>
      <w:pPr>
        <w:spacing w:after="0" w:line="316" w:lineRule="exact"/>
        <w:rPr>
          <w:sz w:val="20"/>
          <w:szCs w:val="20"/>
          <w:color w:val="auto"/>
        </w:rPr>
      </w:pPr>
    </w:p>
    <w:p>
      <w:pPr>
        <w:ind w:left="3"/>
        <w:spacing w:after="0"/>
        <w:rPr>
          <w:sz w:val="20"/>
          <w:szCs w:val="20"/>
          <w:color w:val="auto"/>
        </w:rPr>
      </w:pPr>
      <w:r>
        <w:rPr>
          <w:rFonts w:ascii="Cambria" w:cs="Cambria" w:eastAsia="Cambria" w:hAnsi="Cambria"/>
          <w:sz w:val="20"/>
          <w:szCs w:val="20"/>
          <w:b w:val="1"/>
          <w:bCs w:val="1"/>
          <w:color w:val="auto"/>
        </w:rPr>
        <w:t>References</w:t>
      </w:r>
    </w:p>
    <w:p>
      <w:pPr>
        <w:spacing w:after="0" w:line="235" w:lineRule="exact"/>
        <w:rPr>
          <w:sz w:val="20"/>
          <w:szCs w:val="20"/>
          <w:color w:val="auto"/>
        </w:rPr>
      </w:pPr>
    </w:p>
    <w:p>
      <w:pPr>
        <w:jc w:val="both"/>
        <w:ind w:left="283" w:right="20" w:hanging="283"/>
        <w:spacing w:after="0" w:line="239" w:lineRule="auto"/>
        <w:tabs>
          <w:tab w:leader="none" w:pos="283" w:val="left"/>
        </w:tabs>
        <w:numPr>
          <w:ilvl w:val="0"/>
          <w:numId w:val="2"/>
        </w:numPr>
        <w:rPr>
          <w:rFonts w:ascii="Cambria" w:cs="Cambria" w:eastAsia="Cambria" w:hAnsi="Cambria"/>
          <w:sz w:val="20"/>
          <w:szCs w:val="20"/>
          <w:color w:val="auto"/>
        </w:rPr>
      </w:pPr>
      <w:r>
        <w:rPr>
          <w:rFonts w:ascii="Cambria" w:cs="Cambria" w:eastAsia="Cambria" w:hAnsi="Cambria"/>
          <w:sz w:val="20"/>
          <w:szCs w:val="20"/>
          <w:color w:val="auto"/>
        </w:rPr>
        <w:t>Watanabe T, Arakawa T, Kitajima C, et al. Effect of nutritional quality of broodstocks diets on reproduction of red sea bream. Bull Jap Soc Sci Fish 1984; 50(3): 495-501.</w:t>
      </w:r>
    </w:p>
    <w:p>
      <w:pPr>
        <w:spacing w:after="0" w:line="4" w:lineRule="exact"/>
        <w:rPr>
          <w:rFonts w:ascii="Cambria" w:cs="Cambria" w:eastAsia="Cambria" w:hAnsi="Cambria"/>
          <w:sz w:val="20"/>
          <w:szCs w:val="20"/>
          <w:color w:val="auto"/>
        </w:rPr>
      </w:pPr>
    </w:p>
    <w:p>
      <w:pPr>
        <w:jc w:val="both"/>
        <w:ind w:left="283" w:right="20" w:hanging="283"/>
        <w:spacing w:after="0" w:line="252" w:lineRule="auto"/>
        <w:tabs>
          <w:tab w:leader="none" w:pos="283" w:val="left"/>
        </w:tabs>
        <w:numPr>
          <w:ilvl w:val="0"/>
          <w:numId w:val="2"/>
        </w:numPr>
        <w:rPr>
          <w:rFonts w:ascii="Cambria" w:cs="Cambria" w:eastAsia="Cambria" w:hAnsi="Cambria"/>
          <w:sz w:val="19"/>
          <w:szCs w:val="19"/>
          <w:color w:val="auto"/>
        </w:rPr>
      </w:pPr>
      <w:r>
        <w:rPr>
          <w:rFonts w:ascii="Cambria" w:cs="Cambria" w:eastAsia="Cambria" w:hAnsi="Cambria"/>
          <w:sz w:val="19"/>
          <w:szCs w:val="19"/>
          <w:color w:val="auto"/>
        </w:rPr>
        <w:t>Izquierdo MS, Fernandez-Palacios H, Tacon AGJ. Effect of broodstocks nutrition on reproductive performance of fish. Aquaculture 2001; 197(1-4): 25-42.</w:t>
      </w:r>
    </w:p>
    <w:p>
      <w:pPr>
        <w:spacing w:after="0" w:line="1" w:lineRule="exact"/>
        <w:rPr>
          <w:rFonts w:ascii="Cambria" w:cs="Cambria" w:eastAsia="Cambria" w:hAnsi="Cambria"/>
          <w:sz w:val="19"/>
          <w:szCs w:val="19"/>
          <w:color w:val="auto"/>
        </w:rPr>
      </w:pPr>
    </w:p>
    <w:p>
      <w:pPr>
        <w:jc w:val="both"/>
        <w:ind w:left="283" w:right="20" w:hanging="283"/>
        <w:spacing w:after="0" w:line="239" w:lineRule="auto"/>
        <w:tabs>
          <w:tab w:leader="none" w:pos="283" w:val="left"/>
        </w:tabs>
        <w:numPr>
          <w:ilvl w:val="0"/>
          <w:numId w:val="2"/>
        </w:numPr>
        <w:rPr>
          <w:rFonts w:ascii="Cambria" w:cs="Cambria" w:eastAsia="Cambria" w:hAnsi="Cambria"/>
          <w:sz w:val="20"/>
          <w:szCs w:val="20"/>
          <w:color w:val="auto"/>
        </w:rPr>
      </w:pPr>
      <w:r>
        <w:rPr>
          <w:rFonts w:ascii="Cambria" w:cs="Cambria" w:eastAsia="Cambria" w:hAnsi="Cambria"/>
          <w:sz w:val="20"/>
          <w:szCs w:val="20"/>
          <w:color w:val="auto"/>
        </w:rPr>
        <w:t>Lahnsteiner F, Mansour N, McNiven MA, et al. Fatty acids of rainbow trout (</w:t>
      </w:r>
      <w:r>
        <w:rPr>
          <w:rFonts w:ascii="Cambria" w:cs="Cambria" w:eastAsia="Cambria" w:hAnsi="Cambria"/>
          <w:sz w:val="20"/>
          <w:szCs w:val="20"/>
          <w:i w:val="1"/>
          <w:iCs w:val="1"/>
          <w:color w:val="auto"/>
        </w:rPr>
        <w:t>Oncorhynchus mykiss</w:t>
      </w:r>
      <w:r>
        <w:rPr>
          <w:rFonts w:ascii="Cambria" w:cs="Cambria" w:eastAsia="Cambria" w:hAnsi="Cambria"/>
          <w:sz w:val="20"/>
          <w:szCs w:val="20"/>
          <w:color w:val="auto"/>
        </w:rPr>
        <w:t>) semen: composition and effects on sperm functionality. Aquaculture 2009; 298(1-2): 118-124.</w:t>
      </w:r>
    </w:p>
    <w:p>
      <w:pPr>
        <w:spacing w:after="0" w:line="4" w:lineRule="exact"/>
        <w:rPr>
          <w:rFonts w:ascii="Cambria" w:cs="Cambria" w:eastAsia="Cambria" w:hAnsi="Cambria"/>
          <w:sz w:val="20"/>
          <w:szCs w:val="20"/>
          <w:color w:val="auto"/>
        </w:rPr>
      </w:pPr>
    </w:p>
    <w:p>
      <w:pPr>
        <w:jc w:val="both"/>
        <w:ind w:left="283" w:right="20" w:hanging="283"/>
        <w:spacing w:after="0" w:line="252" w:lineRule="auto"/>
        <w:tabs>
          <w:tab w:leader="none" w:pos="283" w:val="left"/>
        </w:tabs>
        <w:numPr>
          <w:ilvl w:val="0"/>
          <w:numId w:val="2"/>
        </w:numPr>
        <w:rPr>
          <w:rFonts w:ascii="Cambria" w:cs="Cambria" w:eastAsia="Cambria" w:hAnsi="Cambria"/>
          <w:sz w:val="19"/>
          <w:szCs w:val="19"/>
          <w:color w:val="auto"/>
        </w:rPr>
      </w:pPr>
      <w:r>
        <w:rPr>
          <w:rFonts w:ascii="Cambria" w:cs="Cambria" w:eastAsia="Cambria" w:hAnsi="Cambria"/>
          <w:sz w:val="19"/>
          <w:szCs w:val="19"/>
          <w:color w:val="auto"/>
        </w:rPr>
        <w:t>Vassallo-Agius R, Watanabe T, Yoshizaki G, et al. Quality of eggs and spermatozoa of rainbow trout fed an n-3 essential fatty acid deficient diet and its effects on the lipid and fatty acid components of eggs, semen and livers. Fisheries Sci 2001;67(5): 818-827.</w:t>
      </w:r>
    </w:p>
    <w:p>
      <w:pPr>
        <w:spacing w:after="0" w:line="2" w:lineRule="exact"/>
        <w:rPr>
          <w:rFonts w:ascii="Cambria" w:cs="Cambria" w:eastAsia="Cambria" w:hAnsi="Cambria"/>
          <w:sz w:val="19"/>
          <w:szCs w:val="19"/>
          <w:color w:val="auto"/>
        </w:rPr>
      </w:pPr>
    </w:p>
    <w:p>
      <w:pPr>
        <w:jc w:val="both"/>
        <w:ind w:left="283" w:right="20" w:hanging="283"/>
        <w:spacing w:after="0" w:line="239" w:lineRule="auto"/>
        <w:tabs>
          <w:tab w:leader="none" w:pos="283" w:val="left"/>
        </w:tabs>
        <w:numPr>
          <w:ilvl w:val="0"/>
          <w:numId w:val="2"/>
        </w:numPr>
        <w:rPr>
          <w:rFonts w:ascii="Cambria" w:cs="Cambria" w:eastAsia="Cambria" w:hAnsi="Cambria"/>
          <w:sz w:val="20"/>
          <w:szCs w:val="20"/>
          <w:color w:val="auto"/>
        </w:rPr>
      </w:pPr>
      <w:r>
        <w:rPr>
          <w:rFonts w:ascii="Cambria" w:cs="Cambria" w:eastAsia="Cambria" w:hAnsi="Cambria"/>
          <w:sz w:val="20"/>
          <w:szCs w:val="20"/>
          <w:color w:val="auto"/>
        </w:rPr>
        <w:t>Kjaer MA, Aursnes IA, Berge GM, et al. The influence of different dietary oil qualities on growth rate, feed utilization and oxidative stress in Atlantic cod. Aquac Nutr 2014; 20(2): 192-204.</w:t>
      </w:r>
    </w:p>
    <w:p>
      <w:pPr>
        <w:spacing w:after="0" w:line="4" w:lineRule="exact"/>
        <w:rPr>
          <w:rFonts w:ascii="Cambria" w:cs="Cambria" w:eastAsia="Cambria" w:hAnsi="Cambria"/>
          <w:sz w:val="20"/>
          <w:szCs w:val="20"/>
          <w:color w:val="auto"/>
        </w:rPr>
      </w:pPr>
    </w:p>
    <w:p>
      <w:pPr>
        <w:jc w:val="both"/>
        <w:ind w:left="283" w:right="20" w:hanging="283"/>
        <w:spacing w:after="0" w:line="239" w:lineRule="auto"/>
        <w:tabs>
          <w:tab w:leader="none" w:pos="283" w:val="left"/>
        </w:tabs>
        <w:numPr>
          <w:ilvl w:val="0"/>
          <w:numId w:val="2"/>
        </w:numPr>
        <w:rPr>
          <w:rFonts w:ascii="Cambria" w:cs="Cambria" w:eastAsia="Cambria" w:hAnsi="Cambria"/>
          <w:sz w:val="20"/>
          <w:szCs w:val="20"/>
          <w:color w:val="auto"/>
        </w:rPr>
      </w:pPr>
      <w:r>
        <w:rPr>
          <w:rFonts w:ascii="Cambria" w:cs="Cambria" w:eastAsia="Cambria" w:hAnsi="Cambria"/>
          <w:sz w:val="20"/>
          <w:szCs w:val="20"/>
          <w:color w:val="auto"/>
        </w:rPr>
        <w:t xml:space="preserve">Caballero MJ, Obach A, Rosenlund G, et al. Impact of different dietary lipid sources on growth, lipid digestibility, tissue fatty acid composition and histology of rainbow trout, </w:t>
      </w:r>
      <w:r>
        <w:rPr>
          <w:rFonts w:ascii="Cambria" w:cs="Cambria" w:eastAsia="Cambria" w:hAnsi="Cambria"/>
          <w:sz w:val="20"/>
          <w:szCs w:val="20"/>
          <w:i w:val="1"/>
          <w:iCs w:val="1"/>
          <w:color w:val="auto"/>
        </w:rPr>
        <w:t>Oncorhynchus mykiss</w:t>
      </w:r>
      <w:r>
        <w:rPr>
          <w:rFonts w:ascii="Cambria" w:cs="Cambria" w:eastAsia="Cambria" w:hAnsi="Cambria"/>
          <w:sz w:val="20"/>
          <w:szCs w:val="20"/>
          <w:color w:val="auto"/>
        </w:rPr>
        <w:t>. Aquaculture 2002; 214(1-4): 253-271</w:t>
      </w:r>
    </w:p>
    <w:p>
      <w:pPr>
        <w:spacing w:after="0" w:line="6" w:lineRule="exact"/>
        <w:rPr>
          <w:rFonts w:ascii="Cambria" w:cs="Cambria" w:eastAsia="Cambria" w:hAnsi="Cambria"/>
          <w:sz w:val="20"/>
          <w:szCs w:val="20"/>
          <w:color w:val="auto"/>
        </w:rPr>
      </w:pPr>
    </w:p>
    <w:p>
      <w:pPr>
        <w:jc w:val="both"/>
        <w:ind w:left="283" w:right="20" w:hanging="283"/>
        <w:spacing w:after="0" w:line="239" w:lineRule="auto"/>
        <w:tabs>
          <w:tab w:leader="none" w:pos="283" w:val="left"/>
        </w:tabs>
        <w:numPr>
          <w:ilvl w:val="0"/>
          <w:numId w:val="2"/>
        </w:numPr>
        <w:rPr>
          <w:rFonts w:ascii="Cambria" w:cs="Cambria" w:eastAsia="Cambria" w:hAnsi="Cambria"/>
          <w:sz w:val="20"/>
          <w:szCs w:val="20"/>
          <w:color w:val="auto"/>
        </w:rPr>
      </w:pPr>
      <w:r>
        <w:rPr>
          <w:rFonts w:ascii="Cambria" w:cs="Cambria" w:eastAsia="Cambria" w:hAnsi="Cambria"/>
          <w:sz w:val="20"/>
          <w:szCs w:val="20"/>
          <w:color w:val="auto"/>
        </w:rPr>
        <w:t>Peng X, Li F, Lin S, et al. Effects of total replacement of fish oil on growth performance, lipid metabolism and antioxidant capacity in tilapia (</w:t>
      </w:r>
      <w:r>
        <w:rPr>
          <w:rFonts w:ascii="Cambria" w:cs="Cambria" w:eastAsia="Cambria" w:hAnsi="Cambria"/>
          <w:sz w:val="20"/>
          <w:szCs w:val="20"/>
          <w:i w:val="1"/>
          <w:iCs w:val="1"/>
          <w:color w:val="auto"/>
        </w:rPr>
        <w:t>Oreochromis niloticus</w:t>
      </w:r>
      <w:r>
        <w:rPr>
          <w:rFonts w:ascii="Cambria" w:cs="Cambria" w:eastAsia="Cambria" w:hAnsi="Cambria"/>
          <w:sz w:val="20"/>
          <w:szCs w:val="20"/>
          <w:color w:val="auto"/>
        </w:rPr>
        <w:t>). Aquac Int 2016; 24(1): 145-156.</w:t>
      </w:r>
    </w:p>
    <w:p>
      <w:pPr>
        <w:spacing w:after="0" w:line="2" w:lineRule="exact"/>
        <w:rPr>
          <w:rFonts w:ascii="Cambria" w:cs="Cambria" w:eastAsia="Cambria" w:hAnsi="Cambria"/>
          <w:sz w:val="20"/>
          <w:szCs w:val="20"/>
          <w:color w:val="auto"/>
        </w:rPr>
      </w:pPr>
    </w:p>
    <w:p>
      <w:pPr>
        <w:jc w:val="both"/>
        <w:ind w:left="283" w:right="20" w:hanging="283"/>
        <w:spacing w:after="0" w:line="239" w:lineRule="auto"/>
        <w:tabs>
          <w:tab w:leader="none" w:pos="283" w:val="left"/>
        </w:tabs>
        <w:numPr>
          <w:ilvl w:val="0"/>
          <w:numId w:val="2"/>
        </w:numPr>
        <w:rPr>
          <w:rFonts w:ascii="Cambria" w:cs="Cambria" w:eastAsia="Cambria" w:hAnsi="Cambria"/>
          <w:sz w:val="20"/>
          <w:szCs w:val="20"/>
          <w:color w:val="auto"/>
        </w:rPr>
      </w:pPr>
      <w:r>
        <w:rPr>
          <w:rFonts w:ascii="Cambria" w:cs="Cambria" w:eastAsia="Cambria" w:hAnsi="Cambria"/>
          <w:sz w:val="20"/>
          <w:szCs w:val="20"/>
          <w:color w:val="auto"/>
        </w:rPr>
        <w:t>Kiron V, Puangkaew J, Ishizaka K, et al. Antioxidant status and nonspecific immune responses in rainbow trout (</w:t>
      </w:r>
      <w:r>
        <w:rPr>
          <w:rFonts w:ascii="Cambria" w:cs="Cambria" w:eastAsia="Cambria" w:hAnsi="Cambria"/>
          <w:sz w:val="20"/>
          <w:szCs w:val="20"/>
          <w:i w:val="1"/>
          <w:iCs w:val="1"/>
          <w:color w:val="auto"/>
        </w:rPr>
        <w:t>Oncorhynchus mykiss</w:t>
      </w:r>
      <w:r>
        <w:rPr>
          <w:rFonts w:ascii="Cambria" w:cs="Cambria" w:eastAsia="Cambria" w:hAnsi="Cambria"/>
          <w:sz w:val="20"/>
          <w:szCs w:val="20"/>
          <w:color w:val="auto"/>
        </w:rPr>
        <w:t>) fed two levels of vitamin E along with three lipid sources. Aquaculture 2004; 234(1-4): 361-379.</w:t>
      </w:r>
    </w:p>
    <w:p>
      <w:pPr>
        <w:spacing w:after="0" w:line="6" w:lineRule="exact"/>
        <w:rPr>
          <w:rFonts w:ascii="Cambria" w:cs="Cambria" w:eastAsia="Cambria" w:hAnsi="Cambria"/>
          <w:sz w:val="20"/>
          <w:szCs w:val="20"/>
          <w:color w:val="auto"/>
        </w:rPr>
      </w:pPr>
    </w:p>
    <w:p>
      <w:pPr>
        <w:jc w:val="both"/>
        <w:ind w:left="283" w:right="20" w:hanging="283"/>
        <w:spacing w:after="0" w:line="252" w:lineRule="auto"/>
        <w:tabs>
          <w:tab w:leader="none" w:pos="283" w:val="left"/>
        </w:tabs>
        <w:numPr>
          <w:ilvl w:val="0"/>
          <w:numId w:val="2"/>
        </w:numPr>
        <w:rPr>
          <w:rFonts w:ascii="Cambria" w:cs="Cambria" w:eastAsia="Cambria" w:hAnsi="Cambria"/>
          <w:sz w:val="19"/>
          <w:szCs w:val="19"/>
          <w:color w:val="auto"/>
        </w:rPr>
      </w:pPr>
      <w:r>
        <w:rPr>
          <w:rFonts w:ascii="Cambria" w:cs="Cambria" w:eastAsia="Cambria" w:hAnsi="Cambria"/>
          <w:sz w:val="19"/>
          <w:szCs w:val="19"/>
          <w:color w:val="auto"/>
        </w:rPr>
        <w:t>Kiron V, Thawosuwan J, Panigrahi A, et al. Antioxidant and immune defense of rainbow trout (</w:t>
      </w:r>
      <w:r>
        <w:rPr>
          <w:rFonts w:ascii="Cambria" w:cs="Cambria" w:eastAsia="Cambria" w:hAnsi="Cambria"/>
          <w:sz w:val="19"/>
          <w:szCs w:val="19"/>
          <w:i w:val="1"/>
          <w:iCs w:val="1"/>
          <w:color w:val="auto"/>
        </w:rPr>
        <w:t>Oncorhynchus</w:t>
      </w:r>
      <w:r>
        <w:rPr>
          <w:rFonts w:ascii="Cambria" w:cs="Cambria" w:eastAsia="Cambria" w:hAnsi="Cambria"/>
          <w:sz w:val="19"/>
          <w:szCs w:val="19"/>
          <w:color w:val="auto"/>
        </w:rPr>
        <w:t xml:space="preserve"> </w:t>
      </w:r>
      <w:r>
        <w:rPr>
          <w:rFonts w:ascii="Cambria" w:cs="Cambria" w:eastAsia="Cambria" w:hAnsi="Cambria"/>
          <w:sz w:val="19"/>
          <w:szCs w:val="19"/>
          <w:i w:val="1"/>
          <w:iCs w:val="1"/>
          <w:color w:val="auto"/>
        </w:rPr>
        <w:t>mykiss</w:t>
      </w:r>
      <w:r>
        <w:rPr>
          <w:rFonts w:ascii="Cambria" w:cs="Cambria" w:eastAsia="Cambria" w:hAnsi="Cambria"/>
          <w:sz w:val="19"/>
          <w:szCs w:val="19"/>
          <w:color w:val="auto"/>
        </w:rPr>
        <w:t>) offered plant oils differing in fatty acid profiles</w:t>
      </w:r>
      <w:r>
        <w:rPr>
          <w:rFonts w:ascii="Cambria" w:cs="Cambria" w:eastAsia="Cambria" w:hAnsi="Cambria"/>
          <w:sz w:val="19"/>
          <w:szCs w:val="19"/>
          <w:i w:val="1"/>
          <w:iCs w:val="1"/>
          <w:color w:val="auto"/>
        </w:rPr>
        <w:t xml:space="preserve"> </w:t>
      </w:r>
      <w:r>
        <w:rPr>
          <w:rFonts w:ascii="Cambria" w:cs="Cambria" w:eastAsia="Cambria" w:hAnsi="Cambria"/>
          <w:sz w:val="19"/>
          <w:szCs w:val="19"/>
          <w:color w:val="auto"/>
        </w:rPr>
        <w:t>from early stages. Aquac Nutr 2011; 17(2): 636-643.</w:t>
      </w:r>
    </w:p>
    <w:p>
      <w:pPr>
        <w:spacing w:after="0" w:line="2" w:lineRule="exact"/>
        <w:rPr>
          <w:rFonts w:ascii="Cambria" w:cs="Cambria" w:eastAsia="Cambria" w:hAnsi="Cambria"/>
          <w:sz w:val="19"/>
          <w:szCs w:val="19"/>
          <w:color w:val="auto"/>
        </w:rPr>
      </w:pPr>
    </w:p>
    <w:p>
      <w:pPr>
        <w:jc w:val="both"/>
        <w:ind w:left="283" w:right="20" w:hanging="283"/>
        <w:spacing w:after="0" w:line="239" w:lineRule="auto"/>
        <w:tabs>
          <w:tab w:leader="none" w:pos="283" w:val="left"/>
        </w:tabs>
        <w:numPr>
          <w:ilvl w:val="0"/>
          <w:numId w:val="2"/>
        </w:numPr>
        <w:rPr>
          <w:rFonts w:ascii="Cambria" w:cs="Cambria" w:eastAsia="Cambria" w:hAnsi="Cambria"/>
          <w:sz w:val="20"/>
          <w:szCs w:val="20"/>
          <w:color w:val="auto"/>
        </w:rPr>
      </w:pPr>
      <w:r>
        <w:rPr>
          <w:rFonts w:ascii="Cambria" w:cs="Cambria" w:eastAsia="Cambria" w:hAnsi="Cambria"/>
          <w:sz w:val="20"/>
          <w:szCs w:val="20"/>
          <w:color w:val="auto"/>
        </w:rPr>
        <w:t xml:space="preserve">Mourente G, Tocher DR, Diaz E, et al. Relationship between antioxidants, antioxidant enzyme activities and lipid peroxidation products during early development in </w:t>
      </w:r>
      <w:r>
        <w:rPr>
          <w:rFonts w:ascii="Cambria" w:cs="Cambria" w:eastAsia="Cambria" w:hAnsi="Cambria"/>
          <w:sz w:val="20"/>
          <w:szCs w:val="20"/>
          <w:i w:val="1"/>
          <w:iCs w:val="1"/>
          <w:color w:val="auto"/>
        </w:rPr>
        <w:t>Dentax dentax</w:t>
      </w:r>
      <w:r>
        <w:rPr>
          <w:rFonts w:ascii="Cambria" w:cs="Cambria" w:eastAsia="Cambria" w:hAnsi="Cambria"/>
          <w:sz w:val="20"/>
          <w:szCs w:val="20"/>
          <w:color w:val="auto"/>
        </w:rPr>
        <w:t xml:space="preserve"> eggs and larvae. Aquaculture 1999; 179(1-4): 309-324.</w:t>
      </w:r>
    </w:p>
    <w:p>
      <w:pPr>
        <w:spacing w:after="0" w:line="4" w:lineRule="exact"/>
        <w:rPr>
          <w:rFonts w:ascii="Cambria" w:cs="Cambria" w:eastAsia="Cambria" w:hAnsi="Cambria"/>
          <w:sz w:val="20"/>
          <w:szCs w:val="20"/>
          <w:color w:val="auto"/>
        </w:rPr>
      </w:pPr>
    </w:p>
    <w:p>
      <w:pPr>
        <w:jc w:val="both"/>
        <w:ind w:left="283" w:right="20" w:hanging="283"/>
        <w:spacing w:after="0" w:line="239" w:lineRule="auto"/>
        <w:tabs>
          <w:tab w:leader="none" w:pos="283" w:val="left"/>
        </w:tabs>
        <w:numPr>
          <w:ilvl w:val="0"/>
          <w:numId w:val="2"/>
        </w:numPr>
        <w:rPr>
          <w:rFonts w:ascii="Cambria" w:cs="Cambria" w:eastAsia="Cambria" w:hAnsi="Cambria"/>
          <w:sz w:val="20"/>
          <w:szCs w:val="20"/>
          <w:color w:val="auto"/>
        </w:rPr>
      </w:pPr>
      <w:r>
        <w:rPr>
          <w:rFonts w:ascii="Cambria" w:cs="Cambria" w:eastAsia="Cambria" w:hAnsi="Cambria"/>
          <w:sz w:val="20"/>
          <w:szCs w:val="20"/>
          <w:color w:val="auto"/>
        </w:rPr>
        <w:t>Díaz ME, Sanz A, Furné M, et al. Antioxidant defences in the first life phases of the sturgeon (</w:t>
      </w:r>
      <w:r>
        <w:rPr>
          <w:rFonts w:ascii="Cambria" w:cs="Cambria" w:eastAsia="Cambria" w:hAnsi="Cambria"/>
          <w:sz w:val="20"/>
          <w:szCs w:val="20"/>
          <w:i w:val="1"/>
          <w:iCs w:val="1"/>
          <w:color w:val="auto"/>
        </w:rPr>
        <w:t>Acipenser naccarii</w:t>
      </w:r>
      <w:r>
        <w:rPr>
          <w:rFonts w:ascii="Cambria" w:cs="Cambria" w:eastAsia="Cambria" w:hAnsi="Cambria"/>
          <w:sz w:val="20"/>
          <w:szCs w:val="20"/>
          <w:color w:val="auto"/>
        </w:rPr>
        <w:t>). Aquaculture 2010; 307(1-2): 123-129.</w:t>
      </w:r>
    </w:p>
    <w:p>
      <w:pPr>
        <w:spacing w:after="0" w:line="2" w:lineRule="exact"/>
        <w:rPr>
          <w:rFonts w:ascii="Cambria" w:cs="Cambria" w:eastAsia="Cambria" w:hAnsi="Cambria"/>
          <w:sz w:val="20"/>
          <w:szCs w:val="20"/>
          <w:color w:val="auto"/>
        </w:rPr>
      </w:pPr>
    </w:p>
    <w:p>
      <w:pPr>
        <w:jc w:val="both"/>
        <w:ind w:left="283" w:right="20" w:hanging="283"/>
        <w:spacing w:after="0" w:line="252" w:lineRule="auto"/>
        <w:tabs>
          <w:tab w:leader="none" w:pos="283" w:val="left"/>
        </w:tabs>
        <w:numPr>
          <w:ilvl w:val="0"/>
          <w:numId w:val="2"/>
        </w:numPr>
        <w:rPr>
          <w:rFonts w:ascii="Cambria" w:cs="Cambria" w:eastAsia="Cambria" w:hAnsi="Cambria"/>
          <w:sz w:val="19"/>
          <w:szCs w:val="19"/>
          <w:color w:val="auto"/>
        </w:rPr>
      </w:pPr>
      <w:r>
        <w:rPr>
          <w:rFonts w:ascii="Cambria" w:cs="Cambria" w:eastAsia="Cambria" w:hAnsi="Cambria"/>
          <w:sz w:val="19"/>
          <w:szCs w:val="19"/>
          <w:color w:val="auto"/>
        </w:rPr>
        <w:t>Taghipoor K, Keyvanshokooh S, Salati AP, et al. Effects of triploidy induction on antioxidant defense status in rainbow trout (</w:t>
      </w:r>
      <w:r>
        <w:rPr>
          <w:rFonts w:ascii="Cambria" w:cs="Cambria" w:eastAsia="Cambria" w:hAnsi="Cambria"/>
          <w:sz w:val="19"/>
          <w:szCs w:val="19"/>
          <w:i w:val="1"/>
          <w:iCs w:val="1"/>
          <w:color w:val="auto"/>
        </w:rPr>
        <w:t>Oncorhynchus mykiss</w:t>
      </w:r>
      <w:r>
        <w:rPr>
          <w:rFonts w:ascii="Cambria" w:cs="Cambria" w:eastAsia="Cambria" w:hAnsi="Cambria"/>
          <w:sz w:val="19"/>
          <w:szCs w:val="19"/>
          <w:color w:val="auto"/>
        </w:rPr>
        <w:t>) during early development. Anim Reprod Sci 2016; 171: 108-113.</w:t>
      </w:r>
    </w:p>
    <w:p>
      <w:pPr>
        <w:spacing w:after="0" w:line="2" w:lineRule="exact"/>
        <w:rPr>
          <w:rFonts w:ascii="Cambria" w:cs="Cambria" w:eastAsia="Cambria" w:hAnsi="Cambria"/>
          <w:sz w:val="19"/>
          <w:szCs w:val="19"/>
          <w:color w:val="auto"/>
        </w:rPr>
      </w:pPr>
    </w:p>
    <w:p>
      <w:pPr>
        <w:jc w:val="both"/>
        <w:ind w:left="283" w:right="20" w:hanging="283"/>
        <w:spacing w:after="0" w:line="239" w:lineRule="auto"/>
        <w:tabs>
          <w:tab w:leader="none" w:pos="283" w:val="left"/>
        </w:tabs>
        <w:numPr>
          <w:ilvl w:val="0"/>
          <w:numId w:val="2"/>
        </w:numPr>
        <w:rPr>
          <w:rFonts w:ascii="Cambria" w:cs="Cambria" w:eastAsia="Cambria" w:hAnsi="Cambria"/>
          <w:sz w:val="20"/>
          <w:szCs w:val="20"/>
          <w:color w:val="auto"/>
        </w:rPr>
      </w:pPr>
      <w:r>
        <w:rPr>
          <w:rFonts w:ascii="Cambria" w:cs="Cambria" w:eastAsia="Cambria" w:hAnsi="Cambria"/>
          <w:sz w:val="20"/>
          <w:szCs w:val="20"/>
          <w:color w:val="auto"/>
        </w:rPr>
        <w:t>Sharifi S, Salati AP, Asadian P, et al. Alterations to antioxidative enzymes in early life stages of rainbow trout (</w:t>
      </w:r>
      <w:r>
        <w:rPr>
          <w:rFonts w:ascii="Cambria" w:cs="Cambria" w:eastAsia="Cambria" w:hAnsi="Cambria"/>
          <w:sz w:val="20"/>
          <w:szCs w:val="20"/>
          <w:i w:val="1"/>
          <w:iCs w:val="1"/>
          <w:color w:val="auto"/>
        </w:rPr>
        <w:t>Oncorhynchus mykiss</w:t>
      </w:r>
      <w:r>
        <w:rPr>
          <w:rFonts w:ascii="Cambria" w:cs="Cambria" w:eastAsia="Cambria" w:hAnsi="Cambria"/>
          <w:sz w:val="20"/>
          <w:szCs w:val="20"/>
          <w:color w:val="auto"/>
        </w:rPr>
        <w:t>) reared in different</w:t>
      </w:r>
    </w:p>
    <w:p>
      <w:pPr>
        <w:sectPr>
          <w:pgSz w:w="12240" w:h="15840" w:orient="portrait"/>
          <w:cols w:equalWidth="0" w:num="2">
            <w:col w:w="4800" w:space="457"/>
            <w:col w:w="4823"/>
          </w:cols>
          <w:pgMar w:left="1080" w:top="715" w:right="1080" w:bottom="926" w:gutter="0" w:footer="0" w:header="0"/>
          <w:type w:val="continuous"/>
        </w:sectPr>
      </w:pPr>
    </w:p>
    <w:bookmarkStart w:id="6" w:name="page7"/>
    <w:bookmarkEnd w:id="6"/>
    <w:p>
      <w:pPr>
        <w:spacing w:after="0"/>
        <w:tabs>
          <w:tab w:leader="none" w:pos="2880" w:val="left"/>
        </w:tabs>
        <w:rPr>
          <w:sz w:val="20"/>
          <w:szCs w:val="20"/>
          <w:color w:val="auto"/>
        </w:rPr>
      </w:pPr>
      <w:r>
        <w:rPr>
          <w:rFonts w:ascii="Calibri" w:cs="Calibri" w:eastAsia="Calibri" w:hAnsi="Calibri"/>
          <w:sz w:val="15"/>
          <w:szCs w:val="15"/>
          <w:i w:val="1"/>
          <w:iCs w:val="1"/>
          <w:color w:val="auto"/>
        </w:rPr>
        <w:t>88</w:t>
      </w:r>
      <w:r>
        <w:rPr>
          <w:sz w:val="20"/>
          <w:szCs w:val="20"/>
          <w:color w:val="auto"/>
        </w:rPr>
        <w:tab/>
      </w:r>
      <w:r>
        <w:rPr>
          <w:rFonts w:ascii="Calibri" w:cs="Calibri" w:eastAsia="Calibri" w:hAnsi="Calibri"/>
          <w:sz w:val="15"/>
          <w:szCs w:val="15"/>
          <w:b w:val="1"/>
          <w:bCs w:val="1"/>
          <w:i w:val="1"/>
          <w:iCs w:val="1"/>
          <w:color w:val="auto"/>
        </w:rPr>
        <w:t>S. Khezrian et al. Veterinary Research Forum. 2020; 11 (1) 83 - 88</w:t>
      </w:r>
    </w:p>
    <w:p>
      <w:pPr>
        <w:sectPr>
          <w:pgSz w:w="12240" w:h="15840" w:orient="portrait"/>
          <w:cols w:equalWidth="0" w:num="1">
            <w:col w:w="10060"/>
          </w:cols>
          <w:pgMar w:left="1080" w:top="728" w:right="1100" w:bottom="1440" w:gutter="0" w:footer="0" w:header="0"/>
        </w:sectPr>
      </w:pPr>
    </w:p>
    <w:p>
      <w:pPr>
        <w:spacing w:after="0" w:line="200" w:lineRule="exact"/>
        <w:rPr>
          <w:sz w:val="20"/>
          <w:szCs w:val="20"/>
          <w:color w:val="auto"/>
        </w:rPr>
      </w:pPr>
    </w:p>
    <w:p>
      <w:pPr>
        <w:spacing w:after="0" w:line="343" w:lineRule="exact"/>
        <w:rPr>
          <w:sz w:val="20"/>
          <w:szCs w:val="20"/>
          <w:color w:val="auto"/>
        </w:rPr>
      </w:pPr>
    </w:p>
    <w:p>
      <w:pPr>
        <w:ind w:left="280"/>
        <w:spacing w:after="0"/>
        <w:rPr>
          <w:sz w:val="20"/>
          <w:szCs w:val="20"/>
          <w:color w:val="auto"/>
        </w:rPr>
      </w:pPr>
      <w:r>
        <w:rPr>
          <w:rFonts w:ascii="Cambria" w:cs="Cambria" w:eastAsia="Cambria" w:hAnsi="Cambria"/>
          <w:sz w:val="20"/>
          <w:szCs w:val="20"/>
          <w:color w:val="auto"/>
        </w:rPr>
        <w:t>densities. J Vet Res 2014; 69(4): 389-395.</w:t>
      </w:r>
    </w:p>
    <w:p>
      <w:pPr>
        <w:spacing w:after="0" w:line="2" w:lineRule="exact"/>
        <w:rPr>
          <w:sz w:val="20"/>
          <w:szCs w:val="20"/>
          <w:color w:val="auto"/>
        </w:rPr>
      </w:pPr>
    </w:p>
    <w:p>
      <w:pPr>
        <w:jc w:val="both"/>
        <w:ind w:left="280" w:hanging="280"/>
        <w:spacing w:after="0" w:line="239" w:lineRule="auto"/>
        <w:tabs>
          <w:tab w:leader="none" w:pos="280" w:val="left"/>
        </w:tabs>
        <w:numPr>
          <w:ilvl w:val="0"/>
          <w:numId w:val="3"/>
        </w:numPr>
        <w:rPr>
          <w:rFonts w:ascii="Cambria" w:cs="Cambria" w:eastAsia="Cambria" w:hAnsi="Cambria"/>
          <w:sz w:val="20"/>
          <w:szCs w:val="20"/>
          <w:color w:val="auto"/>
        </w:rPr>
      </w:pPr>
      <w:r>
        <w:rPr>
          <w:rFonts w:ascii="Cambria" w:cs="Cambria" w:eastAsia="Cambria" w:hAnsi="Cambria"/>
          <w:sz w:val="20"/>
          <w:szCs w:val="20"/>
          <w:color w:val="auto"/>
        </w:rPr>
        <w:t>Kalaimani N, Chakravarthy N, Shanmugham R, et al. Anti-oxidant status in embryonic, post-hatch and larval stages of Asian seabass (</w:t>
      </w:r>
      <w:r>
        <w:rPr>
          <w:rFonts w:ascii="Cambria" w:cs="Cambria" w:eastAsia="Cambria" w:hAnsi="Cambria"/>
          <w:sz w:val="20"/>
          <w:szCs w:val="20"/>
          <w:i w:val="1"/>
          <w:iCs w:val="1"/>
          <w:color w:val="auto"/>
        </w:rPr>
        <w:t>Lates calcarifer</w:t>
      </w:r>
      <w:r>
        <w:rPr>
          <w:rFonts w:ascii="Cambria" w:cs="Cambria" w:eastAsia="Cambria" w:hAnsi="Cambria"/>
          <w:sz w:val="20"/>
          <w:szCs w:val="20"/>
          <w:color w:val="auto"/>
        </w:rPr>
        <w:t>). Fish Physiol Biochem 2008; 34(2): 151-158.</w:t>
      </w:r>
    </w:p>
    <w:p>
      <w:pPr>
        <w:spacing w:after="0" w:line="2" w:lineRule="exact"/>
        <w:rPr>
          <w:rFonts w:ascii="Cambria" w:cs="Cambria" w:eastAsia="Cambria" w:hAnsi="Cambria"/>
          <w:sz w:val="20"/>
          <w:szCs w:val="20"/>
          <w:color w:val="auto"/>
        </w:rPr>
      </w:pPr>
    </w:p>
    <w:p>
      <w:pPr>
        <w:jc w:val="both"/>
        <w:ind w:left="280" w:hanging="280"/>
        <w:spacing w:after="0" w:line="252" w:lineRule="auto"/>
        <w:tabs>
          <w:tab w:leader="none" w:pos="280" w:val="left"/>
        </w:tabs>
        <w:numPr>
          <w:ilvl w:val="0"/>
          <w:numId w:val="3"/>
        </w:numPr>
        <w:rPr>
          <w:rFonts w:ascii="Cambria" w:cs="Cambria" w:eastAsia="Cambria" w:hAnsi="Cambria"/>
          <w:sz w:val="19"/>
          <w:szCs w:val="19"/>
          <w:color w:val="auto"/>
        </w:rPr>
      </w:pPr>
      <w:r>
        <w:rPr>
          <w:rFonts w:ascii="Cambria" w:cs="Cambria" w:eastAsia="Cambria" w:hAnsi="Cambria"/>
          <w:sz w:val="19"/>
          <w:szCs w:val="19"/>
          <w:color w:val="auto"/>
        </w:rPr>
        <w:t>Aceto A, Amicarelli F, Sacchetta P, et al. Developmental aspects of detoxifying enzymes in fish (</w:t>
      </w:r>
      <w:r>
        <w:rPr>
          <w:rFonts w:ascii="Cambria" w:cs="Cambria" w:eastAsia="Cambria" w:hAnsi="Cambria"/>
          <w:sz w:val="19"/>
          <w:szCs w:val="19"/>
          <w:i w:val="1"/>
          <w:iCs w:val="1"/>
          <w:color w:val="auto"/>
        </w:rPr>
        <w:t>Salmo iridaeus</w:t>
      </w:r>
      <w:r>
        <w:rPr>
          <w:rFonts w:ascii="Cambria" w:cs="Cambria" w:eastAsia="Cambria" w:hAnsi="Cambria"/>
          <w:sz w:val="19"/>
          <w:szCs w:val="19"/>
          <w:color w:val="auto"/>
        </w:rPr>
        <w:t>). Free Radic Res 1994; 21(5): 285-294.</w:t>
      </w:r>
    </w:p>
    <w:p>
      <w:pPr>
        <w:spacing w:after="0" w:line="1" w:lineRule="exact"/>
        <w:rPr>
          <w:rFonts w:ascii="Cambria" w:cs="Cambria" w:eastAsia="Cambria" w:hAnsi="Cambria"/>
          <w:sz w:val="19"/>
          <w:szCs w:val="19"/>
          <w:color w:val="auto"/>
        </w:rPr>
      </w:pPr>
    </w:p>
    <w:p>
      <w:pPr>
        <w:jc w:val="both"/>
        <w:ind w:left="280" w:hanging="280"/>
        <w:spacing w:after="0" w:line="239" w:lineRule="auto"/>
        <w:tabs>
          <w:tab w:leader="none" w:pos="280" w:val="left"/>
        </w:tabs>
        <w:numPr>
          <w:ilvl w:val="0"/>
          <w:numId w:val="3"/>
        </w:numPr>
        <w:rPr>
          <w:rFonts w:ascii="Cambria" w:cs="Cambria" w:eastAsia="Cambria" w:hAnsi="Cambria"/>
          <w:sz w:val="20"/>
          <w:szCs w:val="20"/>
          <w:color w:val="auto"/>
        </w:rPr>
      </w:pPr>
      <w:r>
        <w:rPr>
          <w:rFonts w:ascii="Cambria" w:cs="Cambria" w:eastAsia="Cambria" w:hAnsi="Cambria"/>
          <w:sz w:val="20"/>
          <w:szCs w:val="20"/>
          <w:color w:val="auto"/>
        </w:rPr>
        <w:t>Kutluy</w:t>
      </w:r>
      <w:r>
        <w:rPr>
          <w:rFonts w:ascii="Cambria" w:cs="Cambria" w:eastAsia="Cambria" w:hAnsi="Cambria"/>
          <w:sz w:val="20"/>
          <w:szCs w:val="20"/>
          <w:color w:val="auto"/>
        </w:rPr>
        <w:t>er F, Sirkecioğlu AN, Aksakal E, et al. Effect of</w:t>
      </w:r>
      <w:r>
        <w:rPr>
          <w:rFonts w:ascii="Cambria" w:cs="Cambria" w:eastAsia="Cambria" w:hAnsi="Cambria"/>
          <w:sz w:val="20"/>
          <w:szCs w:val="20"/>
          <w:color w:val="auto"/>
        </w:rPr>
        <w:t xml:space="preserve"> dietary fish oil replacement with plants oils on growth performance and genes expression in juvenile rainbow trout (</w:t>
      </w:r>
      <w:r>
        <w:rPr>
          <w:rFonts w:ascii="Cambria" w:cs="Cambria" w:eastAsia="Cambria" w:hAnsi="Cambria"/>
          <w:sz w:val="20"/>
          <w:szCs w:val="20"/>
          <w:i w:val="1"/>
          <w:iCs w:val="1"/>
          <w:color w:val="auto"/>
        </w:rPr>
        <w:t>Oncorhynchus mykiss</w:t>
      </w:r>
      <w:r>
        <w:rPr>
          <w:rFonts w:ascii="Cambria" w:cs="Cambria" w:eastAsia="Cambria" w:hAnsi="Cambria"/>
          <w:sz w:val="20"/>
          <w:szCs w:val="20"/>
          <w:color w:val="auto"/>
        </w:rPr>
        <w:t>). Ann Anim Sci 2017; 17(4): 1135-1153.</w:t>
      </w:r>
    </w:p>
    <w:p>
      <w:pPr>
        <w:spacing w:after="0" w:line="6" w:lineRule="exact"/>
        <w:rPr>
          <w:rFonts w:ascii="Cambria" w:cs="Cambria" w:eastAsia="Cambria" w:hAnsi="Cambria"/>
          <w:sz w:val="20"/>
          <w:szCs w:val="20"/>
          <w:color w:val="auto"/>
        </w:rPr>
      </w:pPr>
    </w:p>
    <w:p>
      <w:pPr>
        <w:jc w:val="both"/>
        <w:ind w:left="280" w:hanging="280"/>
        <w:spacing w:after="0" w:line="239" w:lineRule="auto"/>
        <w:tabs>
          <w:tab w:leader="none" w:pos="280" w:val="left"/>
        </w:tabs>
        <w:numPr>
          <w:ilvl w:val="0"/>
          <w:numId w:val="3"/>
        </w:numPr>
        <w:rPr>
          <w:rFonts w:ascii="Cambria" w:cs="Cambria" w:eastAsia="Cambria" w:hAnsi="Cambria"/>
          <w:sz w:val="20"/>
          <w:szCs w:val="20"/>
          <w:color w:val="auto"/>
        </w:rPr>
      </w:pPr>
      <w:r>
        <w:rPr>
          <w:rFonts w:ascii="Cambria" w:cs="Cambria" w:eastAsia="Cambria" w:hAnsi="Cambria"/>
          <w:sz w:val="20"/>
          <w:szCs w:val="20"/>
          <w:color w:val="auto"/>
        </w:rPr>
        <w:t>Castro C, Perez-Jimenez A, Coutinho F, et al. Dietary carbohydrate and lipid sources affect differently the oxidative status of European sea bass (</w:t>
      </w:r>
      <w:r>
        <w:rPr>
          <w:rFonts w:ascii="Cambria" w:cs="Cambria" w:eastAsia="Cambria" w:hAnsi="Cambria"/>
          <w:sz w:val="20"/>
          <w:szCs w:val="20"/>
          <w:i w:val="1"/>
          <w:iCs w:val="1"/>
          <w:color w:val="auto"/>
        </w:rPr>
        <w:t>Dicentrarchus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4" w:lineRule="exact"/>
        <w:rPr>
          <w:sz w:val="20"/>
          <w:szCs w:val="20"/>
          <w:color w:val="auto"/>
        </w:rPr>
      </w:pPr>
    </w:p>
    <w:p>
      <w:pPr>
        <w:ind w:left="283"/>
        <w:spacing w:after="0"/>
        <w:rPr>
          <w:sz w:val="20"/>
          <w:szCs w:val="20"/>
          <w:color w:val="auto"/>
        </w:rPr>
      </w:pPr>
      <w:r>
        <w:rPr>
          <w:rFonts w:ascii="Cambria" w:cs="Cambria" w:eastAsia="Cambria" w:hAnsi="Cambria"/>
          <w:sz w:val="19"/>
          <w:szCs w:val="19"/>
          <w:i w:val="1"/>
          <w:iCs w:val="1"/>
          <w:color w:val="auto"/>
        </w:rPr>
        <w:t>labrax</w:t>
      </w:r>
      <w:r>
        <w:rPr>
          <w:rFonts w:ascii="Cambria" w:cs="Cambria" w:eastAsia="Cambria" w:hAnsi="Cambria"/>
          <w:sz w:val="19"/>
          <w:szCs w:val="19"/>
          <w:color w:val="auto"/>
        </w:rPr>
        <w:t>) juveniles. Br J Nutr 2015; 114(10): 1584-1593.</w:t>
      </w:r>
    </w:p>
    <w:p>
      <w:pPr>
        <w:spacing w:after="0" w:line="12" w:lineRule="exact"/>
        <w:rPr>
          <w:sz w:val="20"/>
          <w:szCs w:val="20"/>
          <w:color w:val="auto"/>
        </w:rPr>
      </w:pPr>
    </w:p>
    <w:p>
      <w:pPr>
        <w:ind w:left="283" w:hanging="283"/>
        <w:spacing w:after="0" w:line="238" w:lineRule="auto"/>
        <w:tabs>
          <w:tab w:leader="none" w:pos="283" w:val="left"/>
        </w:tabs>
        <w:numPr>
          <w:ilvl w:val="0"/>
          <w:numId w:val="4"/>
        </w:numPr>
        <w:rPr>
          <w:rFonts w:ascii="Cambria" w:cs="Cambria" w:eastAsia="Cambria" w:hAnsi="Cambria"/>
          <w:sz w:val="20"/>
          <w:szCs w:val="20"/>
          <w:color w:val="auto"/>
        </w:rPr>
      </w:pPr>
      <w:r>
        <w:rPr>
          <w:rFonts w:ascii="Cambria" w:cs="Cambria" w:eastAsia="Cambria" w:hAnsi="Cambria"/>
          <w:sz w:val="20"/>
          <w:szCs w:val="20"/>
          <w:color w:val="auto"/>
        </w:rPr>
        <w:t xml:space="preserve">Aebi H. Catalase </w:t>
      </w:r>
      <w:r>
        <w:rPr>
          <w:rFonts w:ascii="Cambria" w:cs="Cambria" w:eastAsia="Cambria" w:hAnsi="Cambria"/>
          <w:sz w:val="20"/>
          <w:szCs w:val="20"/>
          <w:i w:val="1"/>
          <w:iCs w:val="1"/>
          <w:color w:val="auto"/>
        </w:rPr>
        <w:t>in vitro</w:t>
      </w:r>
      <w:r>
        <w:rPr>
          <w:rFonts w:ascii="Cambria" w:cs="Cambria" w:eastAsia="Cambria" w:hAnsi="Cambria"/>
          <w:sz w:val="20"/>
          <w:szCs w:val="20"/>
          <w:color w:val="auto"/>
        </w:rPr>
        <w:t>. Methods Enzymol 1984; 105: 121-126.</w:t>
      </w:r>
    </w:p>
    <w:p>
      <w:pPr>
        <w:spacing w:after="0" w:line="2" w:lineRule="exact"/>
        <w:rPr>
          <w:rFonts w:ascii="Cambria" w:cs="Cambria" w:eastAsia="Cambria" w:hAnsi="Cambria"/>
          <w:sz w:val="20"/>
          <w:szCs w:val="20"/>
          <w:color w:val="auto"/>
        </w:rPr>
      </w:pPr>
    </w:p>
    <w:p>
      <w:pPr>
        <w:ind w:left="283" w:hanging="283"/>
        <w:spacing w:after="0" w:line="239" w:lineRule="auto"/>
        <w:tabs>
          <w:tab w:leader="none" w:pos="283" w:val="left"/>
        </w:tabs>
        <w:numPr>
          <w:ilvl w:val="0"/>
          <w:numId w:val="4"/>
        </w:numPr>
        <w:rPr>
          <w:rFonts w:ascii="Cambria" w:cs="Cambria" w:eastAsia="Cambria" w:hAnsi="Cambria"/>
          <w:sz w:val="20"/>
          <w:szCs w:val="20"/>
          <w:color w:val="auto"/>
        </w:rPr>
      </w:pPr>
      <w:r>
        <w:rPr>
          <w:rFonts w:ascii="Cambria" w:cs="Cambria" w:eastAsia="Cambria" w:hAnsi="Cambria"/>
          <w:sz w:val="20"/>
          <w:szCs w:val="20"/>
          <w:color w:val="auto"/>
        </w:rPr>
        <w:t>Buege JA, Aust SD. Microsomal lipid peroxidation. Methods Enzymol 1978; 52: 302-310.</w:t>
      </w:r>
    </w:p>
    <w:p>
      <w:pPr>
        <w:spacing w:after="0" w:line="1" w:lineRule="exact"/>
        <w:rPr>
          <w:rFonts w:ascii="Cambria" w:cs="Cambria" w:eastAsia="Cambria" w:hAnsi="Cambria"/>
          <w:sz w:val="20"/>
          <w:szCs w:val="20"/>
          <w:color w:val="auto"/>
        </w:rPr>
      </w:pPr>
    </w:p>
    <w:p>
      <w:pPr>
        <w:jc w:val="both"/>
        <w:ind w:left="283" w:hanging="283"/>
        <w:spacing w:after="0" w:line="239" w:lineRule="auto"/>
        <w:tabs>
          <w:tab w:leader="none" w:pos="283" w:val="left"/>
        </w:tabs>
        <w:numPr>
          <w:ilvl w:val="0"/>
          <w:numId w:val="4"/>
        </w:numPr>
        <w:rPr>
          <w:rFonts w:ascii="Cambria" w:cs="Cambria" w:eastAsia="Cambria" w:hAnsi="Cambria"/>
          <w:sz w:val="20"/>
          <w:szCs w:val="20"/>
          <w:color w:val="auto"/>
        </w:rPr>
      </w:pPr>
      <w:r>
        <w:rPr>
          <w:rFonts w:ascii="Cambria" w:cs="Cambria" w:eastAsia="Cambria" w:hAnsi="Cambria"/>
          <w:sz w:val="20"/>
          <w:szCs w:val="20"/>
          <w:color w:val="auto"/>
        </w:rPr>
        <w:t>Lowry OH, Rosebrough NJ, Farr AL, et al. Protein measurement with Folin phenol reagent. J Biol Chem 1951; 193(1): 265-275.</w:t>
      </w:r>
    </w:p>
    <w:p>
      <w:pPr>
        <w:spacing w:after="0" w:line="2" w:lineRule="exact"/>
        <w:rPr>
          <w:rFonts w:ascii="Cambria" w:cs="Cambria" w:eastAsia="Cambria" w:hAnsi="Cambria"/>
          <w:sz w:val="20"/>
          <w:szCs w:val="20"/>
          <w:color w:val="auto"/>
        </w:rPr>
      </w:pPr>
    </w:p>
    <w:p>
      <w:pPr>
        <w:jc w:val="both"/>
        <w:ind w:left="283" w:hanging="283"/>
        <w:spacing w:after="0" w:line="239" w:lineRule="auto"/>
        <w:tabs>
          <w:tab w:leader="none" w:pos="283" w:val="left"/>
        </w:tabs>
        <w:numPr>
          <w:ilvl w:val="0"/>
          <w:numId w:val="4"/>
        </w:numPr>
        <w:rPr>
          <w:rFonts w:ascii="Cambria" w:cs="Cambria" w:eastAsia="Cambria" w:hAnsi="Cambria"/>
          <w:sz w:val="20"/>
          <w:szCs w:val="20"/>
          <w:color w:val="auto"/>
        </w:rPr>
      </w:pPr>
      <w:r>
        <w:rPr>
          <w:rFonts w:ascii="Cambria" w:cs="Cambria" w:eastAsia="Cambria" w:hAnsi="Cambria"/>
          <w:sz w:val="20"/>
          <w:szCs w:val="20"/>
          <w:color w:val="auto"/>
        </w:rPr>
        <w:t>Koprucu K, Yonar ME, Ozcan S. Effect of dietary n-3 polyunsaturated fatty acids on antioxidant defense and sperm quality in rainbow trout (</w:t>
      </w:r>
      <w:r>
        <w:rPr>
          <w:rFonts w:ascii="Cambria" w:cs="Cambria" w:eastAsia="Cambria" w:hAnsi="Cambria"/>
          <w:sz w:val="20"/>
          <w:szCs w:val="20"/>
          <w:i w:val="1"/>
          <w:iCs w:val="1"/>
          <w:color w:val="auto"/>
        </w:rPr>
        <w:t>Oncorhynchus mykiss</w:t>
      </w:r>
      <w:r>
        <w:rPr>
          <w:rFonts w:ascii="Cambria" w:cs="Cambria" w:eastAsia="Cambria" w:hAnsi="Cambria"/>
          <w:sz w:val="20"/>
          <w:szCs w:val="20"/>
          <w:color w:val="auto"/>
        </w:rPr>
        <w:t>) under regular stripping conditions. Anim Reprod Sci 2015; 163: 135-143.</w:t>
      </w:r>
    </w:p>
    <w:p>
      <w:pPr>
        <w:spacing w:after="0" w:line="6" w:lineRule="exact"/>
        <w:rPr>
          <w:rFonts w:ascii="Cambria" w:cs="Cambria" w:eastAsia="Cambria" w:hAnsi="Cambria"/>
          <w:sz w:val="20"/>
          <w:szCs w:val="20"/>
          <w:color w:val="auto"/>
        </w:rPr>
      </w:pPr>
    </w:p>
    <w:p>
      <w:pPr>
        <w:jc w:val="both"/>
        <w:ind w:left="283" w:hanging="283"/>
        <w:spacing w:after="0" w:line="239" w:lineRule="auto"/>
        <w:tabs>
          <w:tab w:leader="none" w:pos="283" w:val="left"/>
        </w:tabs>
        <w:numPr>
          <w:ilvl w:val="0"/>
          <w:numId w:val="4"/>
        </w:numPr>
        <w:rPr>
          <w:rFonts w:ascii="Cambria" w:cs="Cambria" w:eastAsia="Cambria" w:hAnsi="Cambria"/>
          <w:sz w:val="20"/>
          <w:szCs w:val="20"/>
          <w:color w:val="auto"/>
        </w:rPr>
      </w:pPr>
      <w:r>
        <w:rPr>
          <w:rFonts w:ascii="Cambria" w:cs="Cambria" w:eastAsia="Cambria" w:hAnsi="Cambria"/>
          <w:sz w:val="20"/>
          <w:szCs w:val="20"/>
          <w:color w:val="auto"/>
        </w:rPr>
        <w:t>Peters LD, Livingstone DR. Antioxidant enzyme activities in embryologic and early larval stages of turbot. J Fish Biol 1996; 49(5): 986-997.</w:t>
      </w:r>
    </w:p>
    <w:sectPr>
      <w:pgSz w:w="12240" w:h="15840" w:orient="portrait"/>
      <w:cols w:equalWidth="0" w:num="2">
        <w:col w:w="4800" w:space="457"/>
        <w:col w:w="4803"/>
      </w:cols>
      <w:pgMar w:left="1080" w:top="728" w:right="110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14"/>
    </w:lvl>
  </w:abstractNum>
  <w:abstractNum w:abstractNumId="3">
    <w:nsid w:val="625558EC"/>
    <w:multiLevelType w:val="hybridMultilevel"/>
    <w:lvl w:ilvl="0">
      <w:lvlJc w:val="left"/>
      <w:lvlText w:val="%1."/>
      <w:numFmt w:val="decimal"/>
      <w:start w:val="18"/>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jpeg"/><Relationship Id="rId9" Type="http://schemas.openxmlformats.org/officeDocument/2006/relationships/hyperlink" Target="http://vrf.iranjournals.ir/" TargetMode="External"/><Relationship Id="rId10" Type="http://schemas.openxmlformats.org/officeDocument/2006/relationships/hyperlink" Target="http://creativecommons.org/licenses/by-nc/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2020-09-15T03:55:02Z</dcterms:created>
  <dcterms:modified xsi:type="dcterms:W3CDTF">2020-09-15T03:55:02Z</dcterms:modified>
</cp:coreProperties>
</file>