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17"/>
          <w:szCs w:val="17"/>
          <w:color w:val="131413"/>
        </w:rPr>
        <w:t>Urban Ecosystems</w:t>
      </w:r>
    </w:p>
    <w:p>
      <w:pPr>
        <w:spacing w:after="0" w:line="34" w:lineRule="exact"/>
        <w:rPr>
          <w:sz w:val="24"/>
          <w:szCs w:val="24"/>
          <w:color w:val="auto"/>
        </w:rPr>
      </w:pPr>
    </w:p>
    <w:p>
      <w:pPr>
        <w:spacing w:after="0"/>
        <w:rPr>
          <w:sz w:val="20"/>
          <w:szCs w:val="20"/>
          <w:color w:val="auto"/>
        </w:rPr>
      </w:pPr>
      <w:r>
        <w:rPr>
          <w:rFonts w:ascii="Arial" w:cs="Arial" w:eastAsia="Arial" w:hAnsi="Arial"/>
          <w:sz w:val="17"/>
          <w:szCs w:val="17"/>
          <w:color w:val="auto"/>
        </w:rPr>
        <w:t>https://doi.org/10.1007/s11252-020-01040-z</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-5715</wp:posOffset>
            </wp:positionH>
            <wp:positionV relativeFrom="paragraph">
              <wp:posOffset>72390</wp:posOffset>
            </wp:positionV>
            <wp:extent cx="6276975" cy="7905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6276975" cy="7905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9" w:lineRule="exact"/>
        <w:rPr>
          <w:sz w:val="24"/>
          <w:szCs w:val="24"/>
          <w:color w:val="auto"/>
        </w:rPr>
      </w:pPr>
    </w:p>
    <w:p>
      <w:pPr>
        <w:ind w:right="1440"/>
        <w:spacing w:after="0" w:line="234" w:lineRule="auto"/>
        <w:rPr>
          <w:sz w:val="20"/>
          <w:szCs w:val="20"/>
          <w:color w:val="auto"/>
        </w:rPr>
      </w:pPr>
      <w:r>
        <w:rPr>
          <w:rFonts w:ascii="Arial" w:cs="Arial" w:eastAsia="Arial" w:hAnsi="Arial"/>
          <w:sz w:val="32"/>
          <w:szCs w:val="32"/>
          <w:color w:val="131413"/>
        </w:rPr>
        <w:t>Impacts of the remnant sizes, forest types, and landscape patterns of surrounding areas on woody plant diversity of urban remnant forest patches</w:t>
      </w:r>
    </w:p>
    <w:p>
      <w:pPr>
        <w:spacing w:after="0" w:line="308" w:lineRule="exact"/>
        <w:rPr>
          <w:sz w:val="24"/>
          <w:szCs w:val="24"/>
          <w:color w:val="auto"/>
        </w:rPr>
      </w:pPr>
    </w:p>
    <w:p>
      <w:pPr>
        <w:spacing w:after="0"/>
        <w:rPr>
          <w:sz w:val="20"/>
          <w:szCs w:val="20"/>
          <w:color w:val="auto"/>
        </w:rPr>
      </w:pPr>
      <w:r>
        <w:rPr>
          <w:rFonts w:ascii="Arial" w:cs="Arial" w:eastAsia="Arial" w:hAnsi="Arial"/>
          <w:sz w:val="19"/>
          <w:szCs w:val="19"/>
          <w:color w:val="131413"/>
        </w:rPr>
        <w:t>Jingyi Yang</w:t>
      </w:r>
      <w:r>
        <w:rPr>
          <w:rFonts w:ascii="Arial" w:cs="Arial" w:eastAsia="Arial" w:hAnsi="Arial"/>
          <w:sz w:val="25"/>
          <w:szCs w:val="25"/>
          <w:color w:val="131413"/>
          <w:vertAlign w:val="superscript"/>
        </w:rPr>
        <w:t>1,2,3</w:t>
      </w:r>
      <w:r>
        <w:rPr>
          <w:rFonts w:ascii="Arial" w:cs="Arial" w:eastAsia="Arial" w:hAnsi="Arial"/>
          <w:sz w:val="19"/>
          <w:szCs w:val="19"/>
          <w:color w:val="131413"/>
        </w:rPr>
        <w:t xml:space="preserve"> </w:t>
      </w:r>
      <w:r>
        <w:rPr>
          <w:rFonts w:ascii="Arial" w:cs="Arial" w:eastAsia="Arial" w:hAnsi="Arial"/>
          <w:sz w:val="15"/>
          <w:szCs w:val="15"/>
          <w:color w:val="131413"/>
        </w:rPr>
        <w:t>&amp;</w:t>
      </w:r>
      <w:r>
        <w:rPr>
          <w:rFonts w:ascii="Arial" w:cs="Arial" w:eastAsia="Arial" w:hAnsi="Arial"/>
          <w:sz w:val="19"/>
          <w:szCs w:val="19"/>
          <w:color w:val="131413"/>
        </w:rPr>
        <w:t xml:space="preserve"> Jun Yang</w:t>
      </w:r>
      <w:r>
        <w:rPr>
          <w:rFonts w:ascii="Arial" w:cs="Arial" w:eastAsia="Arial" w:hAnsi="Arial"/>
          <w:sz w:val="25"/>
          <w:szCs w:val="25"/>
          <w:color w:val="131413"/>
          <w:vertAlign w:val="superscript"/>
        </w:rPr>
        <w:t xml:space="preserve">1,2 </w:t>
      </w:r>
      <w:r>
        <w:rPr>
          <w:sz w:val="1"/>
          <w:szCs w:val="1"/>
          <w:color w:val="auto"/>
        </w:rPr>
        <w:drawing>
          <wp:inline distT="0" distB="0" distL="0" distR="0">
            <wp:extent cx="111760" cy="111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11760" cy="111760"/>
                    </a:xfrm>
                    <a:prstGeom prst="rect">
                      <a:avLst/>
                    </a:prstGeom>
                    <a:noFill/>
                    <a:ln>
                      <a:noFill/>
                    </a:ln>
                  </pic:spPr>
                </pic:pic>
              </a:graphicData>
            </a:graphic>
          </wp:inline>
        </w:drawing>
      </w:r>
      <w:r>
        <w:rPr>
          <w:rFonts w:ascii="Arial" w:cs="Arial" w:eastAsia="Arial" w:hAnsi="Arial"/>
          <w:sz w:val="15"/>
          <w:szCs w:val="15"/>
          <w:color w:val="131413"/>
        </w:rPr>
        <w:t xml:space="preserve"> &amp; </w:t>
      </w:r>
      <w:r>
        <w:rPr>
          <w:rFonts w:ascii="Arial" w:cs="Arial" w:eastAsia="Arial" w:hAnsi="Arial"/>
          <w:sz w:val="18"/>
          <w:szCs w:val="18"/>
          <w:color w:val="131413"/>
        </w:rPr>
        <w:t>Danqi Xing</w:t>
      </w:r>
      <w:r>
        <w:rPr>
          <w:rFonts w:ascii="Arial" w:cs="Arial" w:eastAsia="Arial" w:hAnsi="Arial"/>
          <w:sz w:val="25"/>
          <w:szCs w:val="25"/>
          <w:color w:val="131413"/>
          <w:vertAlign w:val="superscript"/>
        </w:rPr>
        <w:t>1,2</w:t>
      </w:r>
      <w:r>
        <w:rPr>
          <w:rFonts w:ascii="Arial" w:cs="Arial" w:eastAsia="Arial" w:hAnsi="Arial"/>
          <w:sz w:val="15"/>
          <w:szCs w:val="15"/>
          <w:color w:val="131413"/>
        </w:rPr>
        <w:t xml:space="preserve"> &amp; </w:t>
      </w:r>
      <w:r>
        <w:rPr>
          <w:rFonts w:ascii="Arial" w:cs="Arial" w:eastAsia="Arial" w:hAnsi="Arial"/>
          <w:sz w:val="18"/>
          <w:szCs w:val="18"/>
          <w:color w:val="131413"/>
        </w:rPr>
        <w:t>Xiangyu Luo</w:t>
      </w:r>
      <w:r>
        <w:rPr>
          <w:rFonts w:ascii="Arial" w:cs="Arial" w:eastAsia="Arial" w:hAnsi="Arial"/>
          <w:sz w:val="25"/>
          <w:szCs w:val="25"/>
          <w:color w:val="131413"/>
          <w:vertAlign w:val="superscript"/>
        </w:rPr>
        <w:t>1,2</w:t>
      </w:r>
      <w:r>
        <w:rPr>
          <w:rFonts w:ascii="Arial" w:cs="Arial" w:eastAsia="Arial" w:hAnsi="Arial"/>
          <w:sz w:val="15"/>
          <w:szCs w:val="15"/>
          <w:color w:val="131413"/>
        </w:rPr>
        <w:t xml:space="preserve"> &amp; </w:t>
      </w:r>
      <w:r>
        <w:rPr>
          <w:rFonts w:ascii="Arial" w:cs="Arial" w:eastAsia="Arial" w:hAnsi="Arial"/>
          <w:sz w:val="18"/>
          <w:szCs w:val="18"/>
          <w:color w:val="131413"/>
        </w:rPr>
        <w:t>Siran Lu</w:t>
      </w:r>
      <w:r>
        <w:rPr>
          <w:rFonts w:ascii="Arial" w:cs="Arial" w:eastAsia="Arial" w:hAnsi="Arial"/>
          <w:sz w:val="25"/>
          <w:szCs w:val="25"/>
          <w:color w:val="131413"/>
          <w:vertAlign w:val="superscript"/>
        </w:rPr>
        <w:t>1,2</w:t>
      </w:r>
      <w:r>
        <w:rPr>
          <w:rFonts w:ascii="Arial" w:cs="Arial" w:eastAsia="Arial" w:hAnsi="Arial"/>
          <w:sz w:val="15"/>
          <w:szCs w:val="15"/>
          <w:color w:val="131413"/>
        </w:rPr>
        <w:t xml:space="preserve"> &amp; </w:t>
      </w:r>
      <w:r>
        <w:rPr>
          <w:rFonts w:ascii="Arial" w:cs="Arial" w:eastAsia="Arial" w:hAnsi="Arial"/>
          <w:sz w:val="18"/>
          <w:szCs w:val="18"/>
          <w:color w:val="131413"/>
        </w:rPr>
        <w:t>Conghong Huang</w:t>
      </w:r>
      <w:r>
        <w:rPr>
          <w:rFonts w:ascii="Arial" w:cs="Arial" w:eastAsia="Arial" w:hAnsi="Arial"/>
          <w:sz w:val="25"/>
          <w:szCs w:val="25"/>
          <w:color w:val="131413"/>
          <w:vertAlign w:val="superscript"/>
        </w:rPr>
        <w:t>1,2</w:t>
      </w:r>
      <w:r>
        <w:rPr>
          <w:rFonts w:ascii="Arial" w:cs="Arial" w:eastAsia="Arial" w:hAnsi="Arial"/>
          <w:sz w:val="15"/>
          <w:szCs w:val="15"/>
          <w:color w:val="131413"/>
        </w:rPr>
        <w:t xml:space="preserve"> &amp; </w:t>
      </w:r>
      <w:r>
        <w:rPr>
          <w:rFonts w:ascii="Arial" w:cs="Arial" w:eastAsia="Arial" w:hAnsi="Arial"/>
          <w:sz w:val="18"/>
          <w:szCs w:val="18"/>
          <w:color w:val="131413"/>
        </w:rPr>
        <w:t>Amy K. Hahs</w:t>
      </w:r>
      <w:r>
        <w:rPr>
          <w:rFonts w:ascii="Arial" w:cs="Arial" w:eastAsia="Arial" w:hAnsi="Arial"/>
          <w:sz w:val="25"/>
          <w:szCs w:val="25"/>
          <w:color w:val="131413"/>
          <w:vertAlign w:val="superscript"/>
        </w:rPr>
        <w:t>4</w:t>
      </w:r>
    </w:p>
    <w:p>
      <w:pPr>
        <w:spacing w:after="0" w:line="200" w:lineRule="exact"/>
        <w:rPr>
          <w:sz w:val="24"/>
          <w:szCs w:val="24"/>
          <w:color w:val="auto"/>
        </w:rPr>
      </w:pPr>
    </w:p>
    <w:p>
      <w:pPr>
        <w:spacing w:after="0" w:line="343" w:lineRule="exact"/>
        <w:rPr>
          <w:sz w:val="24"/>
          <w:szCs w:val="24"/>
          <w:color w:val="auto"/>
        </w:rPr>
      </w:pPr>
    </w:p>
    <w:p>
      <w:pPr>
        <w:ind w:left="220" w:hanging="220"/>
        <w:spacing w:after="0"/>
        <w:tabs>
          <w:tab w:leader="none" w:pos="220" w:val="left"/>
        </w:tabs>
        <w:numPr>
          <w:ilvl w:val="0"/>
          <w:numId w:val="1"/>
        </w:numPr>
        <w:rPr>
          <w:rFonts w:ascii="Arial" w:cs="Arial" w:eastAsia="Arial" w:hAnsi="Arial"/>
          <w:sz w:val="17"/>
          <w:szCs w:val="17"/>
          <w:color w:val="131413"/>
        </w:rPr>
      </w:pPr>
      <w:r>
        <w:rPr>
          <w:rFonts w:ascii="Arial" w:cs="Arial" w:eastAsia="Arial" w:hAnsi="Arial"/>
          <w:sz w:val="17"/>
          <w:szCs w:val="17"/>
          <w:color w:val="131413"/>
        </w:rPr>
        <w:t>Springer Science+Business Media, LLC, part of Springer Nature 2020</w:t>
      </w:r>
    </w:p>
    <w:p>
      <w:pPr>
        <w:spacing w:after="0" w:line="264" w:lineRule="exact"/>
        <w:rPr>
          <w:sz w:val="24"/>
          <w:szCs w:val="24"/>
          <w:color w:val="auto"/>
        </w:rPr>
      </w:pPr>
    </w:p>
    <w:p>
      <w:pPr>
        <w:spacing w:after="0"/>
        <w:rPr>
          <w:sz w:val="20"/>
          <w:szCs w:val="20"/>
          <w:color w:val="auto"/>
        </w:rPr>
      </w:pPr>
      <w:r>
        <w:rPr>
          <w:rFonts w:ascii="Arial" w:cs="Arial" w:eastAsia="Arial" w:hAnsi="Arial"/>
          <w:sz w:val="20"/>
          <w:szCs w:val="20"/>
          <w:color w:val="131413"/>
        </w:rPr>
        <w:t>Abstract</w:t>
      </w:r>
    </w:p>
    <w:p>
      <w:pPr>
        <w:spacing w:after="0" w:line="27" w:lineRule="exact"/>
        <w:rPr>
          <w:sz w:val="24"/>
          <w:szCs w:val="24"/>
          <w:color w:val="auto"/>
        </w:rPr>
      </w:pPr>
    </w:p>
    <w:p>
      <w:pPr>
        <w:jc w:val="both"/>
        <w:spacing w:after="0" w:line="289" w:lineRule="auto"/>
        <w:rPr>
          <w:sz w:val="20"/>
          <w:szCs w:val="20"/>
          <w:color w:val="auto"/>
        </w:rPr>
      </w:pPr>
      <w:r>
        <w:rPr>
          <w:rFonts w:ascii="Times New Roman" w:cs="Times New Roman" w:eastAsia="Times New Roman" w:hAnsi="Times New Roman"/>
          <w:sz w:val="18"/>
          <w:szCs w:val="18"/>
          <w:color w:val="131413"/>
        </w:rPr>
        <w:t xml:space="preserve">Remnant forests in urban areas are hotspots of urban biodiversity. However, the survival and integrity of many remnant forests are currently at risk. Better knowledge of the interactions between remnant forests and urban environments is urgently needed for guiding the conservation effort. In this study, we intend to answer the question: how do patch attributes and landscape patterns of surrounding environments affect the taxonomic diversity of woody plants in urban forest remnants? We surveyed the woody plant species in 240 sample plots in 54 remnant forest patches in Guiyang City, China. We analyzed the taxonomic diversity of woody plants and the effects of influencing factors using multi-level taxonomic diversity indicators and the generalized dissimilarity modeling. The results showed that shrubs had higher within-patch </w:t>
      </w:r>
      <w:r>
        <w:rPr>
          <w:rFonts w:ascii="Arial" w:cs="Arial" w:eastAsia="Arial" w:hAnsi="Arial"/>
          <w:sz w:val="18"/>
          <w:szCs w:val="18"/>
          <w:color w:val="131413"/>
        </w:rPr>
        <w:t>α</w:t>
      </w:r>
      <w:r>
        <w:rPr>
          <w:rFonts w:ascii="Times New Roman" w:cs="Times New Roman" w:eastAsia="Times New Roman" w:hAnsi="Times New Roman"/>
          <w:sz w:val="18"/>
          <w:szCs w:val="18"/>
          <w:color w:val="131413"/>
        </w:rPr>
        <w:t xml:space="preserve">-diversity than that of trees. However, adult trees had higher among-group </w:t>
      </w:r>
      <w:r>
        <w:rPr>
          <w:rFonts w:ascii="Arial" w:cs="Arial" w:eastAsia="Arial" w:hAnsi="Arial"/>
          <w:sz w:val="18"/>
          <w:szCs w:val="18"/>
          <w:color w:val="131413"/>
        </w:rPr>
        <w:t>β</w:t>
      </w:r>
      <w:r>
        <w:rPr>
          <w:rFonts w:ascii="Times New Roman" w:cs="Times New Roman" w:eastAsia="Times New Roman" w:hAnsi="Times New Roman"/>
          <w:sz w:val="18"/>
          <w:szCs w:val="18"/>
          <w:color w:val="131413"/>
        </w:rPr>
        <w:t>-diversity than those of shrubs and saplings/seedlings. The vegetation type of the patch had more influence than other factors on the compositional dissimilarity of adult trees and sapling/seedling among patches. The patch size had the highest impact on the compositional dissimilarity of shrubs. Besides, small patches had a higher rate of compositional turnover in all woody plants. The percentage of impervious surfaces in surrounding areas and the spatial distance from each other were the main influencing factors for adult trees and saplings/ seedlings, respectively. Based on our results, we recommend that more attention should be paid to preserve the small remnant forest patches and protect sampling/seedlings to maintain the taxonomic diversity of urban remnant forests.</w:t>
      </w:r>
    </w:p>
    <w:p>
      <w:pPr>
        <w:spacing w:after="0" w:line="179" w:lineRule="exact"/>
        <w:rPr>
          <w:sz w:val="24"/>
          <w:szCs w:val="24"/>
          <w:color w:val="auto"/>
        </w:rPr>
      </w:pPr>
    </w:p>
    <w:p>
      <w:pPr>
        <w:spacing w:after="0"/>
        <w:rPr>
          <w:sz w:val="20"/>
          <w:szCs w:val="20"/>
          <w:color w:val="auto"/>
        </w:rPr>
      </w:pPr>
      <w:r>
        <w:rPr>
          <w:rFonts w:ascii="Arial" w:cs="Arial" w:eastAsia="Arial" w:hAnsi="Arial"/>
          <w:sz w:val="20"/>
          <w:szCs w:val="20"/>
          <w:color w:val="131413"/>
        </w:rPr>
        <w:t xml:space="preserve">Keywords </w:t>
      </w:r>
      <w:r>
        <w:rPr>
          <w:rFonts w:ascii="Times New Roman" w:cs="Times New Roman" w:eastAsia="Times New Roman" w:hAnsi="Times New Roman"/>
          <w:sz w:val="20"/>
          <w:szCs w:val="20"/>
          <w:color w:val="131413"/>
        </w:rPr>
        <w:t>Remnant forests</w:t>
      </w:r>
      <w:r>
        <w:rPr>
          <w:rFonts w:ascii="Arial" w:cs="Arial" w:eastAsia="Arial" w:hAnsi="Arial"/>
          <w:sz w:val="20"/>
          <w:szCs w:val="20"/>
          <w:color w:val="131413"/>
        </w:rPr>
        <w:t xml:space="preserve"> </w:t>
      </w:r>
      <w:r>
        <w:rPr>
          <w:rFonts w:ascii="Times New Roman" w:cs="Times New Roman" w:eastAsia="Times New Roman" w:hAnsi="Times New Roman"/>
          <w:sz w:val="39"/>
          <w:szCs w:val="39"/>
          <w:color w:val="131413"/>
          <w:vertAlign w:val="superscript"/>
        </w:rPr>
        <w:t>.</w:t>
      </w:r>
      <w:r>
        <w:rPr>
          <w:rFonts w:ascii="Arial" w:cs="Arial" w:eastAsia="Arial" w:hAnsi="Arial"/>
          <w:sz w:val="20"/>
          <w:szCs w:val="20"/>
          <w:color w:val="131413"/>
        </w:rPr>
        <w:t xml:space="preserve"> </w:t>
      </w:r>
      <w:r>
        <w:rPr>
          <w:rFonts w:ascii="Times New Roman" w:cs="Times New Roman" w:eastAsia="Times New Roman" w:hAnsi="Times New Roman"/>
          <w:sz w:val="20"/>
          <w:szCs w:val="20"/>
          <w:color w:val="131413"/>
        </w:rPr>
        <w:t>Woody plants</w:t>
      </w:r>
      <w:r>
        <w:rPr>
          <w:rFonts w:ascii="Arial" w:cs="Arial" w:eastAsia="Arial" w:hAnsi="Arial"/>
          <w:sz w:val="20"/>
          <w:szCs w:val="20"/>
          <w:color w:val="131413"/>
        </w:rPr>
        <w:t xml:space="preserve"> </w:t>
      </w:r>
      <w:r>
        <w:rPr>
          <w:rFonts w:ascii="Times New Roman" w:cs="Times New Roman" w:eastAsia="Times New Roman" w:hAnsi="Times New Roman"/>
          <w:sz w:val="39"/>
          <w:szCs w:val="39"/>
          <w:color w:val="131413"/>
          <w:vertAlign w:val="superscript"/>
        </w:rPr>
        <w:t>.</w:t>
      </w:r>
      <w:r>
        <w:rPr>
          <w:rFonts w:ascii="Arial" w:cs="Arial" w:eastAsia="Arial" w:hAnsi="Arial"/>
          <w:sz w:val="20"/>
          <w:szCs w:val="20"/>
          <w:color w:val="131413"/>
        </w:rPr>
        <w:t xml:space="preserve"> </w:t>
      </w:r>
      <w:r>
        <w:rPr>
          <w:rFonts w:ascii="Times New Roman" w:cs="Times New Roman" w:eastAsia="Times New Roman" w:hAnsi="Times New Roman"/>
          <w:sz w:val="20"/>
          <w:szCs w:val="20"/>
          <w:color w:val="131413"/>
        </w:rPr>
        <w:t>Taxonomic diversity</w:t>
      </w:r>
      <w:r>
        <w:rPr>
          <w:rFonts w:ascii="Arial" w:cs="Arial" w:eastAsia="Arial" w:hAnsi="Arial"/>
          <w:sz w:val="20"/>
          <w:szCs w:val="20"/>
          <w:color w:val="131413"/>
        </w:rPr>
        <w:t xml:space="preserve"> </w:t>
      </w:r>
      <w:r>
        <w:rPr>
          <w:rFonts w:ascii="Times New Roman" w:cs="Times New Roman" w:eastAsia="Times New Roman" w:hAnsi="Times New Roman"/>
          <w:sz w:val="39"/>
          <w:szCs w:val="39"/>
          <w:color w:val="131413"/>
          <w:vertAlign w:val="superscript"/>
        </w:rPr>
        <w:t>.</w:t>
      </w:r>
      <w:r>
        <w:rPr>
          <w:rFonts w:ascii="Arial" w:cs="Arial" w:eastAsia="Arial" w:hAnsi="Arial"/>
          <w:sz w:val="20"/>
          <w:szCs w:val="20"/>
          <w:color w:val="131413"/>
        </w:rPr>
        <w:t xml:space="preserve"> </w:t>
      </w:r>
      <w:r>
        <w:rPr>
          <w:rFonts w:ascii="Times New Roman" w:cs="Times New Roman" w:eastAsia="Times New Roman" w:hAnsi="Times New Roman"/>
          <w:sz w:val="20"/>
          <w:szCs w:val="20"/>
          <w:color w:val="131413"/>
        </w:rPr>
        <w:t>Compositional dissimilarity</w:t>
      </w:r>
      <w:r>
        <w:rPr>
          <w:rFonts w:ascii="Arial" w:cs="Arial" w:eastAsia="Arial" w:hAnsi="Arial"/>
          <w:sz w:val="20"/>
          <w:szCs w:val="20"/>
          <w:color w:val="131413"/>
        </w:rPr>
        <w:t xml:space="preserve"> </w:t>
      </w:r>
      <w:r>
        <w:rPr>
          <w:rFonts w:ascii="Times New Roman" w:cs="Times New Roman" w:eastAsia="Times New Roman" w:hAnsi="Times New Roman"/>
          <w:sz w:val="39"/>
          <w:szCs w:val="39"/>
          <w:color w:val="131413"/>
          <w:vertAlign w:val="superscript"/>
        </w:rPr>
        <w:t>.</w:t>
      </w:r>
      <w:r>
        <w:rPr>
          <w:rFonts w:ascii="Arial" w:cs="Arial" w:eastAsia="Arial" w:hAnsi="Arial"/>
          <w:sz w:val="20"/>
          <w:szCs w:val="20"/>
          <w:color w:val="131413"/>
        </w:rPr>
        <w:t xml:space="preserve"> </w:t>
      </w:r>
      <w:r>
        <w:rPr>
          <w:rFonts w:ascii="Times New Roman" w:cs="Times New Roman" w:eastAsia="Times New Roman" w:hAnsi="Times New Roman"/>
          <w:sz w:val="20"/>
          <w:szCs w:val="20"/>
          <w:color w:val="131413"/>
        </w:rPr>
        <w:t>Urban matrix</w:t>
      </w:r>
    </w:p>
    <w:p>
      <w:pPr>
        <w:sectPr>
          <w:pgSz w:w="11900" w:h="15817" w:orient="portrait"/>
          <w:cols w:equalWidth="0" w:num="1">
            <w:col w:w="9860"/>
          </w:cols>
          <w:pgMar w:left="1020" w:top="640" w:right="1026" w:bottom="936" w:gutter="0" w:footer="0" w:header="0"/>
        </w:sectPr>
      </w:pPr>
    </w:p>
    <w:p>
      <w:pPr>
        <w:spacing w:after="0" w:line="359" w:lineRule="exact"/>
        <w:rPr>
          <w:sz w:val="24"/>
          <w:szCs w:val="24"/>
          <w:color w:val="auto"/>
        </w:rPr>
      </w:pPr>
    </w:p>
    <w:p>
      <w:pPr>
        <w:spacing w:after="0"/>
        <w:rPr>
          <w:sz w:val="20"/>
          <w:szCs w:val="20"/>
          <w:color w:val="auto"/>
        </w:rPr>
      </w:pPr>
      <w:r>
        <w:rPr>
          <w:rFonts w:ascii="Arial" w:cs="Arial" w:eastAsia="Arial" w:hAnsi="Arial"/>
          <w:sz w:val="24"/>
          <w:szCs w:val="24"/>
          <w:color w:val="131413"/>
        </w:rPr>
        <w:t>Introduction</w:t>
      </w:r>
    </w:p>
    <w:p>
      <w:pPr>
        <w:spacing w:after="0" w:line="267" w:lineRule="exact"/>
        <w:rPr>
          <w:sz w:val="24"/>
          <w:szCs w:val="24"/>
          <w:color w:val="auto"/>
        </w:rPr>
      </w:pPr>
    </w:p>
    <w:p>
      <w:pPr>
        <w:spacing w:after="0" w:line="244" w:lineRule="auto"/>
        <w:rPr>
          <w:sz w:val="20"/>
          <w:szCs w:val="20"/>
          <w:color w:val="auto"/>
        </w:rPr>
      </w:pPr>
      <w:r>
        <w:rPr>
          <w:rFonts w:ascii="Times New Roman" w:cs="Times New Roman" w:eastAsia="Times New Roman" w:hAnsi="Times New Roman"/>
          <w:sz w:val="20"/>
          <w:szCs w:val="20"/>
          <w:color w:val="131413"/>
        </w:rPr>
        <w:t>Remnant forests in urban areas are natural or semi-natural forests that remained through the urbanization process that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259080</wp:posOffset>
                </wp:positionV>
                <wp:extent cx="303022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30220" cy="4763"/>
                        </a:xfrm>
                        <a:prstGeom prst="line">
                          <a:avLst/>
                        </a:prstGeom>
                        <a:solidFill>
                          <a:srgbClr val="FFFFFF"/>
                        </a:solidFill>
                        <a:ln w="18465">
                          <a:solidFill>
                            <a:srgbClr val="131413"/>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0.4pt" to="238.6pt,20.4pt" o:allowincell="f" strokecolor="#131413" strokeweight="1.4539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259080</wp:posOffset>
                </wp:positionV>
                <wp:extent cx="1206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5765">
                          <a:solidFill>
                            <a:srgbClr val="131413"/>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20.4pt" to="0.5pt,20.4pt" o:allowincell="f" strokecolor="#131413" strokeweight="0.4539pt"/>
            </w:pict>
          </mc:Fallback>
        </mc:AlternateContent>
      </w:r>
    </w:p>
    <w:p>
      <w:pPr>
        <w:spacing w:after="0" w:line="200" w:lineRule="exact"/>
        <w:rPr>
          <w:sz w:val="24"/>
          <w:szCs w:val="24"/>
          <w:color w:val="auto"/>
        </w:rPr>
      </w:pPr>
    </w:p>
    <w:p>
      <w:pPr>
        <w:spacing w:after="0" w:line="244" w:lineRule="exact"/>
        <w:rPr>
          <w:sz w:val="24"/>
          <w:szCs w:val="24"/>
          <w:color w:val="auto"/>
        </w:rPr>
      </w:pPr>
    </w:p>
    <w:p>
      <w:pPr>
        <w:jc w:val="both"/>
        <w:ind w:right="100"/>
        <w:spacing w:after="0" w:line="238" w:lineRule="auto"/>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Electronic supplementary material The online version of this article (</w:t>
      </w:r>
      <w:hyperlink r:id="rId10">
        <w:r>
          <w:rPr>
            <w:rFonts w:ascii="Times New Roman" w:cs="Times New Roman" w:eastAsia="Times New Roman" w:hAnsi="Times New Roman"/>
            <w:sz w:val="17"/>
            <w:szCs w:val="17"/>
            <w:color w:val="0000FF"/>
          </w:rPr>
          <w:t>https://doi.org/10.1007/s11252-020-01040-z</w:t>
        </w:r>
      </w:hyperlink>
      <w:r>
        <w:rPr>
          <w:rFonts w:ascii="Times New Roman" w:cs="Times New Roman" w:eastAsia="Times New Roman" w:hAnsi="Times New Roman"/>
          <w:sz w:val="17"/>
          <w:szCs w:val="17"/>
          <w:color w:val="131413"/>
        </w:rPr>
        <w:t>) contains supplementary material, which is available to authorized users.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52705</wp:posOffset>
                </wp:positionV>
                <wp:extent cx="303022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30220" cy="4763"/>
                        </a:xfrm>
                        <a:prstGeom prst="line">
                          <a:avLst/>
                        </a:prstGeom>
                        <a:solidFill>
                          <a:srgbClr val="FFFFFF"/>
                        </a:solidFill>
                        <a:ln w="19176">
                          <a:solidFill>
                            <a:srgbClr val="131413"/>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15pt" to="238.6pt,4.15pt" o:allowincell="f" strokecolor="#131413" strokeweight="1.5099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52705</wp:posOffset>
                </wp:positionV>
                <wp:extent cx="1206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6476">
                          <a:solidFill>
                            <a:srgbClr val="131413"/>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15pt" to="0.5pt,4.15pt" o:allowincell="f" strokecolor="#131413" strokeweight="0.5099pt"/>
            </w:pict>
          </mc:Fallback>
        </mc:AlternateContent>
      </w:r>
    </w:p>
    <w:p>
      <w:pPr>
        <w:spacing w:after="0" w:line="279" w:lineRule="exact"/>
        <w:rPr>
          <w:sz w:val="24"/>
          <w:szCs w:val="24"/>
          <w:color w:val="auto"/>
        </w:rPr>
      </w:pPr>
    </w:p>
    <w:p>
      <w:pPr>
        <w:ind w:left="320" w:right="2980" w:hanging="320"/>
        <w:spacing w:after="0" w:line="258" w:lineRule="auto"/>
        <w:tabs>
          <w:tab w:leader="none" w:pos="320" w:val="left"/>
        </w:tabs>
        <w:numPr>
          <w:ilvl w:val="0"/>
          <w:numId w:val="2"/>
        </w:numPr>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 xml:space="preserve">Jun Yang </w:t>
      </w:r>
      <w:hyperlink r:id="rId11">
        <w:r>
          <w:rPr>
            <w:rFonts w:ascii="Times New Roman" w:cs="Times New Roman" w:eastAsia="Times New Roman" w:hAnsi="Times New Roman"/>
            <w:sz w:val="16"/>
            <w:szCs w:val="16"/>
            <w:color w:val="131413"/>
          </w:rPr>
          <w:t>larix@tsinghua.edu.cn</w:t>
        </w:r>
      </w:hyperlink>
    </w:p>
    <w:p>
      <w:pPr>
        <w:spacing w:after="0" w:line="251" w:lineRule="exact"/>
        <w:rPr>
          <w:rFonts w:ascii="Times New Roman" w:cs="Times New Roman" w:eastAsia="Times New Roman" w:hAnsi="Times New Roman"/>
          <w:sz w:val="16"/>
          <w:szCs w:val="16"/>
          <w:color w:val="131413"/>
        </w:rPr>
      </w:pPr>
    </w:p>
    <w:p>
      <w:pPr>
        <w:ind w:left="300" w:right="2280"/>
        <w:spacing w:after="0" w:line="259"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Jingyi Yang yangjy17@mails.tsinghua.edu.cn</w:t>
      </w:r>
    </w:p>
    <w:p>
      <w:pPr>
        <w:spacing w:after="0" w:line="220" w:lineRule="exact"/>
        <w:rPr>
          <w:rFonts w:ascii="Times New Roman" w:cs="Times New Roman" w:eastAsia="Times New Roman" w:hAnsi="Times New Roman"/>
          <w:sz w:val="16"/>
          <w:szCs w:val="16"/>
          <w:color w:val="131413"/>
        </w:rPr>
      </w:pPr>
    </w:p>
    <w:p>
      <w:pPr>
        <w:ind w:left="300" w:right="2260"/>
        <w:spacing w:after="0" w:line="259"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Danqi Xing xingdq17@mails.tsinghua.edu.cn</w:t>
      </w:r>
    </w:p>
    <w:p>
      <w:pPr>
        <w:spacing w:after="0" w:line="220" w:lineRule="exact"/>
        <w:rPr>
          <w:rFonts w:ascii="Times New Roman" w:cs="Times New Roman" w:eastAsia="Times New Roman" w:hAnsi="Times New Roman"/>
          <w:sz w:val="16"/>
          <w:szCs w:val="16"/>
          <w:color w:val="131413"/>
        </w:rPr>
      </w:pPr>
    </w:p>
    <w:p>
      <w:pPr>
        <w:ind w:left="300" w:right="2340"/>
        <w:spacing w:after="0" w:line="259"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Xiangyu Luo luoxy17@mails.tsinghua.edu.cn</w:t>
      </w:r>
    </w:p>
    <w:p>
      <w:pPr>
        <w:spacing w:after="0" w:line="220" w:lineRule="exact"/>
        <w:rPr>
          <w:rFonts w:ascii="Times New Roman" w:cs="Times New Roman" w:eastAsia="Times New Roman" w:hAnsi="Times New Roman"/>
          <w:sz w:val="16"/>
          <w:szCs w:val="16"/>
          <w:color w:val="131413"/>
        </w:rPr>
      </w:pPr>
    </w:p>
    <w:p>
      <w:pPr>
        <w:ind w:left="300" w:right="2480"/>
        <w:spacing w:after="0" w:line="258"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Siran Lu lusr16@mails.tsinghua.edu.cn</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309880</wp:posOffset>
            </wp:positionV>
            <wp:extent cx="1676400" cy="136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extLst>
                    </a:blip>
                    <a:srcRect/>
                    <a:stretch>
                      <a:fillRect/>
                    </a:stretch>
                  </pic:blipFill>
                  <pic:spPr bwMode="auto">
                    <a:xfrm>
                      <a:off x="0" y="0"/>
                      <a:ext cx="1676400" cy="136525"/>
                    </a:xfrm>
                    <a:prstGeom prst="rect">
                      <a:avLst/>
                    </a:prstGeom>
                    <a:noFill/>
                  </pic:spPr>
                </pic:pic>
              </a:graphicData>
            </a:graphic>
          </wp:anchor>
        </w:drawing>
      </w:r>
    </w:p>
    <w:p>
      <w:pPr>
        <w:spacing w:after="0" w:line="20" w:lineRule="exact"/>
        <w:rPr>
          <w:sz w:val="24"/>
          <w:szCs w:val="24"/>
          <w:color w:val="auto"/>
        </w:rPr>
      </w:pPr>
      <w:r>
        <w:rPr>
          <w:sz w:val="24"/>
          <w:szCs w:val="24"/>
          <w:color w:val="auto"/>
        </w:rPr>
        <w:br w:type="column"/>
      </w:r>
    </w:p>
    <w:p>
      <w:pPr>
        <w:spacing w:after="0" w:line="383" w:lineRule="exact"/>
        <w:rPr>
          <w:sz w:val="24"/>
          <w:szCs w:val="24"/>
          <w:color w:val="auto"/>
        </w:rPr>
      </w:pPr>
    </w:p>
    <w:p>
      <w:pPr>
        <w:jc w:val="both"/>
        <w:spacing w:after="0" w:line="272"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has never been cleared for urban use (Zipperer </w:t>
      </w:r>
      <w:hyperlink w:anchor="page9">
        <w:r>
          <w:rPr>
            <w:rFonts w:ascii="Times New Roman" w:cs="Times New Roman" w:eastAsia="Times New Roman" w:hAnsi="Times New Roman"/>
            <w:sz w:val="19"/>
            <w:szCs w:val="19"/>
            <w:color w:val="0000FF"/>
          </w:rPr>
          <w:t>2002</w:t>
        </w:r>
      </w:hyperlink>
      <w:r>
        <w:rPr>
          <w:rFonts w:ascii="Times New Roman" w:cs="Times New Roman" w:eastAsia="Times New Roman" w:hAnsi="Times New Roman"/>
          <w:sz w:val="19"/>
          <w:szCs w:val="19"/>
          <w:color w:val="131413"/>
        </w:rPr>
        <w:t xml:space="preserve">). Urban remnant forests are hotspots of biodiversity. They help to pre-serve native plant species (Kowarik and von der Lippe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and provide food and shelter to urban wildlife (Barth et al.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7"/>
          <w:szCs w:val="17"/>
          <w:color w:val="131413"/>
        </w:rPr>
        <w:t>Conghong Huang</w:t>
      </w:r>
    </w:p>
    <w:p>
      <w:pPr>
        <w:spacing w:after="0" w:line="3"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7"/>
          <w:szCs w:val="17"/>
          <w:color w:val="131413"/>
        </w:rPr>
        <w:t>conghong@126.com</w:t>
      </w:r>
    </w:p>
    <w:p>
      <w:pPr>
        <w:spacing w:after="0" w:line="133"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7"/>
          <w:szCs w:val="17"/>
          <w:color w:val="131413"/>
        </w:rPr>
        <w:t>Amy K. Hahs</w:t>
      </w:r>
    </w:p>
    <w:p>
      <w:pPr>
        <w:spacing w:after="0" w:line="4"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7"/>
          <w:szCs w:val="17"/>
          <w:color w:val="131413"/>
        </w:rPr>
        <w:t>hahsa@unimelb.edu.au</w:t>
      </w:r>
    </w:p>
    <w:p>
      <w:pPr>
        <w:spacing w:after="0" w:line="264" w:lineRule="exact"/>
        <w:rPr>
          <w:sz w:val="20"/>
          <w:szCs w:val="20"/>
          <w:color w:val="auto"/>
        </w:rPr>
      </w:pPr>
    </w:p>
    <w:p>
      <w:pPr>
        <w:ind w:left="280" w:right="40" w:hanging="277"/>
        <w:spacing w:after="0" w:line="213" w:lineRule="auto"/>
        <w:tabs>
          <w:tab w:leader="none" w:pos="280" w:val="left"/>
        </w:tabs>
        <w:numPr>
          <w:ilvl w:val="0"/>
          <w:numId w:val="3"/>
        </w:numPr>
        <w:rPr>
          <w:rFonts w:ascii="Times New Roman" w:cs="Times New Roman" w:eastAsia="Times New Roman" w:hAnsi="Times New Roman"/>
          <w:sz w:val="23"/>
          <w:szCs w:val="23"/>
          <w:color w:val="131413"/>
          <w:vertAlign w:val="superscript"/>
        </w:rPr>
      </w:pPr>
      <w:r>
        <w:rPr>
          <w:rFonts w:ascii="Times New Roman" w:cs="Times New Roman" w:eastAsia="Times New Roman" w:hAnsi="Times New Roman"/>
          <w:sz w:val="17"/>
          <w:szCs w:val="17"/>
          <w:color w:val="131413"/>
        </w:rPr>
        <w:t>Ministry of Education Key Laboratory for Earth System Modeling, Department of Earth System Science, Tsinghua University, Beijing 100084, China</w:t>
      </w:r>
    </w:p>
    <w:p>
      <w:pPr>
        <w:spacing w:after="0" w:line="34" w:lineRule="exact"/>
        <w:rPr>
          <w:rFonts w:ascii="Times New Roman" w:cs="Times New Roman" w:eastAsia="Times New Roman" w:hAnsi="Times New Roman"/>
          <w:sz w:val="23"/>
          <w:szCs w:val="23"/>
          <w:color w:val="131413"/>
          <w:vertAlign w:val="superscript"/>
        </w:rPr>
      </w:pPr>
    </w:p>
    <w:p>
      <w:pPr>
        <w:ind w:left="280" w:hanging="277"/>
        <w:spacing w:after="0"/>
        <w:tabs>
          <w:tab w:leader="none" w:pos="280" w:val="left"/>
        </w:tabs>
        <w:numPr>
          <w:ilvl w:val="0"/>
          <w:numId w:val="3"/>
        </w:numPr>
        <w:rPr>
          <w:rFonts w:ascii="Times New Roman" w:cs="Times New Roman" w:eastAsia="Times New Roman" w:hAnsi="Times New Roman"/>
          <w:sz w:val="23"/>
          <w:szCs w:val="23"/>
          <w:color w:val="131413"/>
          <w:vertAlign w:val="superscript"/>
        </w:rPr>
      </w:pPr>
      <w:r>
        <w:rPr>
          <w:rFonts w:ascii="Times New Roman" w:cs="Times New Roman" w:eastAsia="Times New Roman" w:hAnsi="Times New Roman"/>
          <w:sz w:val="17"/>
          <w:szCs w:val="17"/>
          <w:color w:val="131413"/>
        </w:rPr>
        <w:t>Tsinghua Urban Institute, Beijing 100084, China</w:t>
      </w:r>
    </w:p>
    <w:p>
      <w:pPr>
        <w:spacing w:after="0" w:line="34" w:lineRule="exact"/>
        <w:rPr>
          <w:rFonts w:ascii="Times New Roman" w:cs="Times New Roman" w:eastAsia="Times New Roman" w:hAnsi="Times New Roman"/>
          <w:sz w:val="23"/>
          <w:szCs w:val="23"/>
          <w:color w:val="131413"/>
          <w:vertAlign w:val="superscript"/>
        </w:rPr>
      </w:pPr>
    </w:p>
    <w:p>
      <w:pPr>
        <w:ind w:left="280" w:hanging="277"/>
        <w:spacing w:after="0"/>
        <w:tabs>
          <w:tab w:leader="none" w:pos="280" w:val="left"/>
        </w:tabs>
        <w:numPr>
          <w:ilvl w:val="0"/>
          <w:numId w:val="3"/>
        </w:numPr>
        <w:rPr>
          <w:rFonts w:ascii="Times New Roman" w:cs="Times New Roman" w:eastAsia="Times New Roman" w:hAnsi="Times New Roman"/>
          <w:sz w:val="23"/>
          <w:szCs w:val="23"/>
          <w:color w:val="131413"/>
          <w:vertAlign w:val="superscript"/>
        </w:rPr>
      </w:pPr>
      <w:r>
        <w:rPr>
          <w:rFonts w:ascii="Times New Roman" w:cs="Times New Roman" w:eastAsia="Times New Roman" w:hAnsi="Times New Roman"/>
          <w:sz w:val="17"/>
          <w:szCs w:val="17"/>
          <w:color w:val="131413"/>
        </w:rPr>
        <w:t>College of Forestry, Guizhou University, Guiyang 550025, China</w:t>
      </w:r>
    </w:p>
    <w:p>
      <w:pPr>
        <w:spacing w:after="0" w:line="115" w:lineRule="exact"/>
        <w:rPr>
          <w:rFonts w:ascii="Times New Roman" w:cs="Times New Roman" w:eastAsia="Times New Roman" w:hAnsi="Times New Roman"/>
          <w:sz w:val="23"/>
          <w:szCs w:val="23"/>
          <w:color w:val="131413"/>
          <w:vertAlign w:val="superscript"/>
        </w:rPr>
      </w:pPr>
    </w:p>
    <w:p>
      <w:pPr>
        <w:ind w:left="280" w:hanging="277"/>
        <w:spacing w:after="0" w:line="199" w:lineRule="auto"/>
        <w:tabs>
          <w:tab w:leader="none" w:pos="280" w:val="left"/>
        </w:tabs>
        <w:numPr>
          <w:ilvl w:val="0"/>
          <w:numId w:val="3"/>
        </w:numPr>
        <w:rPr>
          <w:rFonts w:ascii="Times New Roman" w:cs="Times New Roman" w:eastAsia="Times New Roman" w:hAnsi="Times New Roman"/>
          <w:sz w:val="23"/>
          <w:szCs w:val="23"/>
          <w:color w:val="131413"/>
          <w:vertAlign w:val="superscript"/>
        </w:rPr>
      </w:pPr>
      <w:r>
        <w:rPr>
          <w:rFonts w:ascii="Times New Roman" w:cs="Times New Roman" w:eastAsia="Times New Roman" w:hAnsi="Times New Roman"/>
          <w:sz w:val="17"/>
          <w:szCs w:val="17"/>
          <w:color w:val="131413"/>
        </w:rPr>
        <w:t>School of Ecosystem and Forest Sciences, University of Melbourne, Parkville, Victoria 3010, Australia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2526030</wp:posOffset>
            </wp:positionH>
            <wp:positionV relativeFrom="paragraph">
              <wp:posOffset>262890</wp:posOffset>
            </wp:positionV>
            <wp:extent cx="483870" cy="13843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ectPr>
          <w:pgSz w:w="11900" w:h="15817" w:orient="portrait"/>
          <w:cols w:equalWidth="0" w:num="2">
            <w:col w:w="4760" w:space="340"/>
            <w:col w:w="4760"/>
          </w:cols>
          <w:pgMar w:left="1020" w:top="640" w:right="1026" w:bottom="936" w:gutter="0" w:footer="0" w:header="0"/>
          <w:type w:val="continuous"/>
        </w:sectPr>
      </w:pPr>
    </w:p>
    <w:bookmarkStart w:id="1" w:name="page2"/>
    <w:bookmarkEnd w:id="1"/>
    <w:p>
      <w:pPr>
        <w:ind w:left="8980"/>
        <w:spacing w:after="0"/>
        <w:rPr>
          <w:sz w:val="20"/>
          <w:szCs w:val="20"/>
          <w:color w:val="auto"/>
        </w:rPr>
      </w:pPr>
      <w:r>
        <w:rPr>
          <w:rFonts w:ascii="Arial" w:cs="Arial" w:eastAsia="Arial" w:hAnsi="Arial"/>
          <w:sz w:val="13"/>
          <w:szCs w:val="13"/>
          <w:color w:val="131413"/>
        </w:rPr>
        <w:t>Urban Ecosyst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48895</wp:posOffset>
                </wp:positionV>
                <wp:extent cx="0" cy="2540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85pt" to="0pt,5.85pt" o:allowincell="f" strokecolor="#131413"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61595</wp:posOffset>
                </wp:positionV>
                <wp:extent cx="627634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6340" cy="4763"/>
                        </a:xfrm>
                        <a:prstGeom prst="line">
                          <a:avLst/>
                        </a:prstGeom>
                        <a:solidFill>
                          <a:srgbClr val="FFFFFF"/>
                        </a:solidFill>
                        <a:ln w="25660">
                          <a:solidFill>
                            <a:srgbClr val="131413"/>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85pt" to="493.75pt,4.85pt" o:allowincell="f" strokecolor="#131413" strokeweight="2.0205pt"/>
            </w:pict>
          </mc:Fallback>
        </mc:AlternateContent>
        <mc:AlternateContent>
          <mc:Choice Requires="wps">
            <w:drawing>
              <wp:anchor simplePos="0" relativeHeight="251657728" behindDoc="1" locked="0" layoutInCell="0" allowOverlap="1">
                <wp:simplePos x="0" y="0"/>
                <wp:positionH relativeFrom="column">
                  <wp:posOffset>6264275</wp:posOffset>
                </wp:positionH>
                <wp:positionV relativeFrom="paragraph">
                  <wp:posOffset>48895</wp:posOffset>
                </wp:positionV>
                <wp:extent cx="0" cy="2540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25pt,3.85pt" to="493.25pt,5.85pt" o:allowincell="f" strokecolor="#131413" strokeweight="1pt"/>
            </w:pict>
          </mc:Fallback>
        </mc:AlternateContent>
      </w:r>
    </w:p>
    <w:p>
      <w:pPr>
        <w:sectPr>
          <w:pgSz w:w="11900" w:h="15817" w:orient="portrait"/>
          <w:cols w:equalWidth="0" w:num="1">
            <w:col w:w="9860"/>
          </w:cols>
          <w:pgMar w:left="1020" w:top="649" w:right="1026" w:bottom="894" w:gutter="0" w:footer="0" w:header="0"/>
        </w:sectPr>
      </w:pPr>
    </w:p>
    <w:p>
      <w:pPr>
        <w:spacing w:after="0" w:line="353"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hyperlink w:anchor="page9">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Also, they generate ecosystem services that are impor-tant to urban residents (Fahey and Casali </w:t>
      </w:r>
      <w:hyperlink w:anchor="page9">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Niemelä et al. </w:t>
      </w:r>
      <w:hyperlink w:anchor="page9">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Despite these benefits, their long-term sustainability is</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threatened by intensive anthropogenic forces in urban envi-ronments such as changes in biogeochemical cycles (Alberti </w:t>
      </w:r>
      <w:hyperlink w:anchor="page9">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Carreiro and Tripler</w:t>
      </w:r>
      <w:r>
        <w:rPr>
          <w:rFonts w:ascii="Times New Roman" w:cs="Times New Roman" w:eastAsia="Times New Roman" w:hAnsi="Times New Roman"/>
          <w:sz w:val="19"/>
          <w:szCs w:val="19"/>
          <w:color w:val="0000FF"/>
        </w:rPr>
        <w:t xml:space="preserve"> </w:t>
      </w:r>
      <w:hyperlink w:anchor="page9">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and habitat fragmentation</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(Stiles and Scheiner </w:t>
      </w:r>
      <w:hyperlink w:anchor="page9">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w:t>
      </w:r>
    </w:p>
    <w:p>
      <w:pPr>
        <w:spacing w:after="0" w:line="3" w:lineRule="exact"/>
        <w:rPr>
          <w:rFonts w:ascii="Times New Roman" w:cs="Times New Roman" w:eastAsia="Times New Roman" w:hAnsi="Times New Roman"/>
          <w:sz w:val="19"/>
          <w:szCs w:val="19"/>
          <w:color w:val="0000FF"/>
        </w:rPr>
      </w:pPr>
    </w:p>
    <w:p>
      <w:pPr>
        <w:jc w:val="both"/>
        <w:ind w:firstLine="227"/>
        <w:spacing w:after="0" w:line="289" w:lineRule="auto"/>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t xml:space="preserve">Habitat fragmentation is a major threat to urban remnant forests because it not only leads to direct loss of forest habitats but can also modify the structure and functions of the remain-ing forest patches. Increased isolation of forest remnants changes the community assemblages of forest plants. Species with limited dispersal capacity or low fecundity grad-ually drop out from the community assemblages (Bonte et al. </w:t>
      </w:r>
      <w:hyperlink w:anchor="page9">
        <w:r>
          <w:rPr>
            <w:rFonts w:ascii="Times New Roman" w:cs="Times New Roman" w:eastAsia="Times New Roman" w:hAnsi="Times New Roman"/>
            <w:sz w:val="18"/>
            <w:szCs w:val="18"/>
            <w:color w:val="0000FF"/>
          </w:rPr>
          <w:t>2012</w:t>
        </w:r>
      </w:hyperlink>
      <w:r>
        <w:rPr>
          <w:rFonts w:ascii="Times New Roman" w:cs="Times New Roman" w:eastAsia="Times New Roman" w:hAnsi="Times New Roman"/>
          <w:sz w:val="18"/>
          <w:szCs w:val="18"/>
          <w:color w:val="131413"/>
        </w:rPr>
        <w:t>;</w:t>
      </w:r>
      <w:r>
        <w:rPr>
          <w:rFonts w:ascii="Times New Roman" w:cs="Times New Roman" w:eastAsia="Times New Roman" w:hAnsi="Times New Roman"/>
          <w:sz w:val="18"/>
          <w:szCs w:val="18"/>
          <w:color w:val="0000FF"/>
        </w:rPr>
        <w:t xml:space="preserve"> </w:t>
      </w:r>
      <w:r>
        <w:rPr>
          <w:rFonts w:ascii="Times New Roman" w:cs="Times New Roman" w:eastAsia="Times New Roman" w:hAnsi="Times New Roman"/>
          <w:sz w:val="18"/>
          <w:szCs w:val="18"/>
          <w:color w:val="131413"/>
        </w:rPr>
        <w:t>Jesus et al.</w:t>
      </w:r>
      <w:r>
        <w:rPr>
          <w:rFonts w:ascii="Times New Roman" w:cs="Times New Roman" w:eastAsia="Times New Roman" w:hAnsi="Times New Roman"/>
          <w:sz w:val="18"/>
          <w:szCs w:val="18"/>
          <w:color w:val="0000FF"/>
        </w:rPr>
        <w:t xml:space="preserve"> </w:t>
      </w:r>
      <w:hyperlink w:anchor="page9">
        <w:r>
          <w:rPr>
            <w:rFonts w:ascii="Times New Roman" w:cs="Times New Roman" w:eastAsia="Times New Roman" w:hAnsi="Times New Roman"/>
            <w:sz w:val="18"/>
            <w:szCs w:val="18"/>
            <w:color w:val="0000FF"/>
          </w:rPr>
          <w:t>2012</w:t>
        </w:r>
      </w:hyperlink>
      <w:r>
        <w:rPr>
          <w:rFonts w:ascii="Times New Roman" w:cs="Times New Roman" w:eastAsia="Times New Roman" w:hAnsi="Times New Roman"/>
          <w:sz w:val="18"/>
          <w:szCs w:val="18"/>
          <w:color w:val="131413"/>
        </w:rPr>
        <w:t xml:space="preserve">). Besides, habitat fragmentation re-duces pollinator services, which favors plants with self-fertilization (Aguilar et al. </w:t>
      </w:r>
      <w:hyperlink w:anchor="page9">
        <w:r>
          <w:rPr>
            <w:rFonts w:ascii="Times New Roman" w:cs="Times New Roman" w:eastAsia="Times New Roman" w:hAnsi="Times New Roman"/>
            <w:sz w:val="18"/>
            <w:szCs w:val="18"/>
            <w:color w:val="0000FF"/>
          </w:rPr>
          <w:t>2006</w:t>
        </w:r>
      </w:hyperlink>
      <w:r>
        <w:rPr>
          <w:rFonts w:ascii="Times New Roman" w:cs="Times New Roman" w:eastAsia="Times New Roman" w:hAnsi="Times New Roman"/>
          <w:sz w:val="18"/>
          <w:szCs w:val="18"/>
          <w:color w:val="131413"/>
        </w:rPr>
        <w:t xml:space="preserve">). Habitat fragmentation also alters gene flow patterns and results in decreased genetic di-versity of plants (Van Rossum </w:t>
      </w:r>
      <w:hyperlink w:anchor="page9">
        <w:r>
          <w:rPr>
            <w:rFonts w:ascii="Times New Roman" w:cs="Times New Roman" w:eastAsia="Times New Roman" w:hAnsi="Times New Roman"/>
            <w:sz w:val="18"/>
            <w:szCs w:val="18"/>
            <w:color w:val="0000FF"/>
          </w:rPr>
          <w:t>2008</w:t>
        </w:r>
      </w:hyperlink>
      <w:r>
        <w:rPr>
          <w:rFonts w:ascii="Times New Roman" w:cs="Times New Roman" w:eastAsia="Times New Roman" w:hAnsi="Times New Roman"/>
          <w:sz w:val="18"/>
          <w:szCs w:val="18"/>
          <w:color w:val="131413"/>
        </w:rPr>
        <w:t xml:space="preserve">). The change of plant community assemblages further causes impacts on the insect community composition (Williams </w:t>
      </w:r>
      <w:hyperlink w:anchor="page9">
        <w:r>
          <w:rPr>
            <w:rFonts w:ascii="Times New Roman" w:cs="Times New Roman" w:eastAsia="Times New Roman" w:hAnsi="Times New Roman"/>
            <w:sz w:val="18"/>
            <w:szCs w:val="18"/>
            <w:color w:val="0000FF"/>
          </w:rPr>
          <w:t>2011</w:t>
        </w:r>
      </w:hyperlink>
      <w:r>
        <w:rPr>
          <w:rFonts w:ascii="Times New Roman" w:cs="Times New Roman" w:eastAsia="Times New Roman" w:hAnsi="Times New Roman"/>
          <w:sz w:val="18"/>
          <w:szCs w:val="18"/>
          <w:color w:val="131413"/>
        </w:rPr>
        <w:t xml:space="preserve">) and the abundance and species richness of birds living in the remnant forests (Sewell and Catterall </w:t>
      </w:r>
      <w:hyperlink w:anchor="page9">
        <w:r>
          <w:rPr>
            <w:rFonts w:ascii="Times New Roman" w:cs="Times New Roman" w:eastAsia="Times New Roman" w:hAnsi="Times New Roman"/>
            <w:sz w:val="18"/>
            <w:szCs w:val="18"/>
            <w:color w:val="0000FF"/>
          </w:rPr>
          <w:t>1998</w:t>
        </w:r>
      </w:hyperlink>
      <w:r>
        <w:rPr>
          <w:rFonts w:ascii="Times New Roman" w:cs="Times New Roman" w:eastAsia="Times New Roman" w:hAnsi="Times New Roman"/>
          <w:sz w:val="18"/>
          <w:szCs w:val="18"/>
          <w:color w:val="131413"/>
        </w:rPr>
        <w:t>).</w:t>
      </w:r>
    </w:p>
    <w:p>
      <w:pPr>
        <w:spacing w:after="0" w:line="247" w:lineRule="exact"/>
        <w:rPr>
          <w:rFonts w:ascii="Times New Roman" w:cs="Times New Roman" w:eastAsia="Times New Roman" w:hAnsi="Times New Roman"/>
          <w:sz w:val="18"/>
          <w:szCs w:val="18"/>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Many factors mediate the impact of habitat fragmentation on species diversity of remnant forests in the urban environ-ment. Sizes of forest remnants have been found to correlate with the plant species diversity positively (Malkinson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Stiles and Scheiner</w:t>
      </w:r>
      <w:r>
        <w:rPr>
          <w:rFonts w:ascii="Times New Roman" w:cs="Times New Roman" w:eastAsia="Times New Roman" w:hAnsi="Times New Roman"/>
          <w:sz w:val="19"/>
          <w:szCs w:val="19"/>
          <w:color w:val="0000FF"/>
        </w:rPr>
        <w:t xml:space="preserve"> </w:t>
      </w:r>
      <w:hyperlink w:anchor="page9">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Large remnants often support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more individuals, which can lower the risk of local extinction (MacArthur and Wilson </w:t>
      </w:r>
      <w:hyperlink w:anchor="page9">
        <w:r>
          <w:rPr>
            <w:rFonts w:ascii="Times New Roman" w:cs="Times New Roman" w:eastAsia="Times New Roman" w:hAnsi="Times New Roman"/>
            <w:sz w:val="19"/>
            <w:szCs w:val="19"/>
            <w:color w:val="0000FF"/>
          </w:rPr>
          <w:t>1967</w:t>
        </w:r>
      </w:hyperlink>
      <w:r>
        <w:rPr>
          <w:rFonts w:ascii="Times New Roman" w:cs="Times New Roman" w:eastAsia="Times New Roman" w:hAnsi="Times New Roman"/>
          <w:sz w:val="19"/>
          <w:szCs w:val="19"/>
          <w:color w:val="131413"/>
        </w:rPr>
        <w:t xml:space="preserve">; Scheiner and Willig </w:t>
      </w:r>
      <w:hyperlink w:anchor="page9">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It is because large remnants contain a greater diversity of habitat types than small ones, so more plant species can grow there (Scheiner </w:t>
      </w:r>
      <w:hyperlink w:anchor="page9">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 xml:space="preserve">; Scheiner and Willig </w:t>
      </w:r>
      <w:hyperlink w:anchor="page9">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Besides the size, the geometrical shape of a remnant is also an important medi-ating factor. Remnants with complex geometric shapes can facilitate species exchange with adjacent habitats (Stamps et al. </w:t>
      </w:r>
      <w:hyperlink w:anchor="page9">
        <w:r>
          <w:rPr>
            <w:rFonts w:ascii="Times New Roman" w:cs="Times New Roman" w:eastAsia="Times New Roman" w:hAnsi="Times New Roman"/>
            <w:sz w:val="19"/>
            <w:szCs w:val="19"/>
            <w:color w:val="0000FF"/>
          </w:rPr>
          <w:t>1987</w:t>
        </w:r>
      </w:hyperlink>
      <w:r>
        <w:rPr>
          <w:rFonts w:ascii="Times New Roman" w:cs="Times New Roman" w:eastAsia="Times New Roman" w:hAnsi="Times New Roman"/>
          <w:sz w:val="19"/>
          <w:szCs w:val="19"/>
          <w:color w:val="131413"/>
        </w:rPr>
        <w:t xml:space="preserve">). Moreover, the plant diversity of the remnant forests correlates negatively with the urbanization levels of surrounding environments (Caryl et al. </w:t>
      </w:r>
      <w:hyperlink w:anchor="page9">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xml:space="preserve">). Sealed surfaces such as paved roads can weaken the ecological function of seed dispersers by impeding long-distance seed dispersal (Niu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p>
    <w:p>
      <w:pPr>
        <w:spacing w:after="0" w:line="10"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While existing studies offer valuable information on how habitat fragmentation affects the species diversity of urban remnant forests, several issues need to be addressed. First, existing studies mainly focused on the variation of taxonomic </w:t>
      </w:r>
      <w:r>
        <w:rPr>
          <w:rFonts w:ascii="Arial" w:cs="Arial" w:eastAsia="Arial" w:hAnsi="Arial"/>
          <w:sz w:val="19"/>
          <w:szCs w:val="19"/>
          <w:color w:val="131413"/>
        </w:rPr>
        <w:t>α</w:t>
      </w:r>
      <w:r>
        <w:rPr>
          <w:rFonts w:ascii="Times New Roman" w:cs="Times New Roman" w:eastAsia="Times New Roman" w:hAnsi="Times New Roman"/>
          <w:sz w:val="19"/>
          <w:szCs w:val="19"/>
          <w:color w:val="131413"/>
        </w:rPr>
        <w:t>-diversity in the remnant forests (Malkinson et al.</w:t>
      </w:r>
      <w:r>
        <w:rPr>
          <w:rFonts w:ascii="Arial" w:cs="Arial" w:eastAsia="Arial" w:hAnsi="Arial"/>
          <w:sz w:val="19"/>
          <w:szCs w:val="19"/>
          <w:color w:val="131413"/>
        </w:rPr>
        <w:t xml:space="preserve">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r>
        <w:rPr>
          <w:rFonts w:ascii="Arial" w:cs="Arial" w:eastAsia="Arial" w:hAnsi="Arial"/>
          <w:sz w:val="19"/>
          <w:szCs w:val="19"/>
          <w:color w:val="131413"/>
        </w:rPr>
        <w:t xml:space="preserve"> </w:t>
      </w:r>
      <w:r>
        <w:rPr>
          <w:rFonts w:ascii="Times New Roman" w:cs="Times New Roman" w:eastAsia="Times New Roman" w:hAnsi="Times New Roman"/>
          <w:sz w:val="19"/>
          <w:szCs w:val="19"/>
          <w:color w:val="131413"/>
        </w:rPr>
        <w:t xml:space="preserve">Ramalho et al. </w:t>
      </w:r>
      <w:hyperlink w:anchor="page9">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xml:space="preserve">; Stiles and Scheiner </w:t>
      </w:r>
      <w:hyperlink w:anchor="page9">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Studies that examined the </w:t>
      </w:r>
      <w:r>
        <w:rPr>
          <w:rFonts w:ascii="Arial" w:cs="Arial" w:eastAsia="Arial" w:hAnsi="Arial"/>
          <w:sz w:val="19"/>
          <w:szCs w:val="19"/>
          <w:color w:val="131413"/>
        </w:rPr>
        <w:t>β</w:t>
      </w:r>
      <w:r>
        <w:rPr>
          <w:rFonts w:ascii="Times New Roman" w:cs="Times New Roman" w:eastAsia="Times New Roman" w:hAnsi="Times New Roman"/>
          <w:sz w:val="19"/>
          <w:szCs w:val="19"/>
          <w:color w:val="131413"/>
        </w:rPr>
        <w:t xml:space="preserve">-diversity of urban remnant forests are rare (Heckmann et al. </w:t>
      </w:r>
      <w:hyperlink w:anchor="page9">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xml:space="preserve">). The lack of studies on the </w:t>
      </w:r>
      <w:r>
        <w:rPr>
          <w:rFonts w:ascii="Arial" w:cs="Arial" w:eastAsia="Arial" w:hAnsi="Arial"/>
          <w:sz w:val="19"/>
          <w:szCs w:val="19"/>
          <w:color w:val="131413"/>
        </w:rPr>
        <w:t>β</w:t>
      </w:r>
      <w:r>
        <w:rPr>
          <w:rFonts w:ascii="Times New Roman" w:cs="Times New Roman" w:eastAsia="Times New Roman" w:hAnsi="Times New Roman"/>
          <w:sz w:val="19"/>
          <w:szCs w:val="19"/>
          <w:color w:val="131413"/>
        </w:rPr>
        <w:t xml:space="preserve">-diversity of remnant forests may not serve urban conservation well because urbanization can increase </w:t>
      </w:r>
      <w:r>
        <w:rPr>
          <w:rFonts w:ascii="Arial" w:cs="Arial" w:eastAsia="Arial" w:hAnsi="Arial"/>
          <w:sz w:val="19"/>
          <w:szCs w:val="19"/>
          <w:color w:val="131413"/>
        </w:rPr>
        <w:t>α</w:t>
      </w:r>
      <w:r>
        <w:rPr>
          <w:rFonts w:ascii="Times New Roman" w:cs="Times New Roman" w:eastAsia="Times New Roman" w:hAnsi="Times New Roman"/>
          <w:sz w:val="19"/>
          <w:szCs w:val="19"/>
          <w:color w:val="131413"/>
        </w:rPr>
        <w:t xml:space="preserve">-diversity at one site but lower </w:t>
      </w:r>
      <w:r>
        <w:rPr>
          <w:rFonts w:ascii="Arial" w:cs="Arial" w:eastAsia="Arial" w:hAnsi="Arial"/>
          <w:sz w:val="19"/>
          <w:szCs w:val="19"/>
          <w:color w:val="131413"/>
        </w:rPr>
        <w:t>β</w:t>
      </w:r>
      <w:r>
        <w:rPr>
          <w:rFonts w:ascii="Times New Roman" w:cs="Times New Roman" w:eastAsia="Times New Roman" w:hAnsi="Times New Roman"/>
          <w:sz w:val="19"/>
          <w:szCs w:val="19"/>
          <w:color w:val="131413"/>
        </w:rPr>
        <w:t xml:space="preserve">-diversity across sites (Lososová et al. </w:t>
      </w:r>
      <w:hyperlink w:anchor="page9">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drawing>
          <wp:anchor simplePos="0" relativeHeight="251657728" behindDoc="1" locked="0" layoutInCell="0" allowOverlap="1">
            <wp:simplePos x="0" y="0"/>
            <wp:positionH relativeFrom="column">
              <wp:posOffset>0</wp:posOffset>
            </wp:positionH>
            <wp:positionV relativeFrom="paragraph">
              <wp:posOffset>231775</wp:posOffset>
            </wp:positionV>
            <wp:extent cx="483870" cy="13843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33" w:lineRule="exact"/>
        <w:rPr>
          <w:rFonts w:ascii="Times New Roman" w:cs="Times New Roman" w:eastAsia="Times New Roman" w:hAnsi="Times New Roman"/>
          <w:sz w:val="19"/>
          <w:szCs w:val="19"/>
          <w:color w:val="131413"/>
        </w:rPr>
      </w:pPr>
    </w:p>
    <w:p>
      <w:pPr>
        <w:jc w:val="both"/>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Second, existing studies seldom differentiate the response of trees at different ontogenetic stages to urbanization. To treat trees at different ontogenetic stages as one group may mask the long-term response of trees to urbanization (Ribeiro et al. </w:t>
      </w:r>
      <w:hyperlink w:anchor="page9">
        <w:r>
          <w:rPr>
            <w:rFonts w:ascii="Times New Roman" w:cs="Times New Roman" w:eastAsia="Times New Roman" w:hAnsi="Times New Roman"/>
            <w:sz w:val="20"/>
            <w:szCs w:val="20"/>
            <w:color w:val="0000FF"/>
          </w:rPr>
          <w:t>2016</w:t>
        </w:r>
      </w:hyperlink>
      <w:r>
        <w:rPr>
          <w:rFonts w:ascii="Times New Roman" w:cs="Times New Roman" w:eastAsia="Times New Roman" w:hAnsi="Times New Roman"/>
          <w:sz w:val="20"/>
          <w:szCs w:val="20"/>
          <w:color w:val="131413"/>
        </w:rPr>
        <w:t>). The species composition of saplings/seedlings reflects</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 xml:space="preserve">the sustainability of forests in the future (Valiente-Banuet and Verdú </w:t>
      </w:r>
      <w:hyperlink w:anchor="page9">
        <w:r>
          <w:rPr>
            <w:rFonts w:ascii="Times New Roman" w:cs="Times New Roman" w:eastAsia="Times New Roman" w:hAnsi="Times New Roman"/>
            <w:sz w:val="20"/>
            <w:szCs w:val="20"/>
            <w:color w:val="0000FF"/>
          </w:rPr>
          <w:t>2007</w:t>
        </w:r>
      </w:hyperlink>
      <w:r>
        <w:rPr>
          <w:rFonts w:ascii="Times New Roman" w:cs="Times New Roman" w:eastAsia="Times New Roman" w:hAnsi="Times New Roman"/>
          <w:sz w:val="20"/>
          <w:szCs w:val="20"/>
          <w:color w:val="131413"/>
        </w:rPr>
        <w:t xml:space="preserve">). Furthermore, except for a few studies (Malkinson et al. </w:t>
      </w:r>
      <w:hyperlink w:anchor="page9">
        <w:r>
          <w:rPr>
            <w:rFonts w:ascii="Times New Roman" w:cs="Times New Roman" w:eastAsia="Times New Roman" w:hAnsi="Times New Roman"/>
            <w:sz w:val="20"/>
            <w:szCs w:val="20"/>
            <w:color w:val="0000FF"/>
          </w:rPr>
          <w:t>2018</w:t>
        </w:r>
      </w:hyperlink>
      <w:r>
        <w:rPr>
          <w:rFonts w:ascii="Times New Roman" w:cs="Times New Roman" w:eastAsia="Times New Roman" w:hAnsi="Times New Roman"/>
          <w:sz w:val="20"/>
          <w:szCs w:val="20"/>
          <w:color w:val="131413"/>
        </w:rPr>
        <w:t>), existing studies focused primarily on the impacts of attributes of remnant forest patches (e.g., size and shape) on species diversity but seldom considered the influence of the landscape pattern of surrounding environments.</w:t>
      </w:r>
    </w:p>
    <w:p>
      <w:pPr>
        <w:spacing w:after="0" w:line="22" w:lineRule="exact"/>
        <w:rPr>
          <w:rFonts w:ascii="Times New Roman" w:cs="Times New Roman" w:eastAsia="Times New Roman" w:hAnsi="Times New Roman"/>
          <w:sz w:val="20"/>
          <w:szCs w:val="20"/>
          <w:color w:val="0000FF"/>
        </w:rPr>
      </w:pPr>
    </w:p>
    <w:p>
      <w:pPr>
        <w:jc w:val="both"/>
        <w:ind w:firstLine="227"/>
        <w:spacing w:after="0" w:line="272" w:lineRule="auto"/>
        <w:rPr>
          <w:sz w:val="20"/>
          <w:szCs w:val="20"/>
          <w:color w:val="auto"/>
        </w:rPr>
      </w:pPr>
      <w:r>
        <w:rPr>
          <w:rFonts w:ascii="Times New Roman" w:cs="Times New Roman" w:eastAsia="Times New Roman" w:hAnsi="Times New Roman"/>
          <w:sz w:val="19"/>
          <w:szCs w:val="19"/>
          <w:color w:val="131413"/>
        </w:rPr>
        <w:t xml:space="preserve">In this study, we intend to address the question: how do patch attributes and landscape patterns of surrounding envi-ronments affect the taxonomic diversity of woody plants in urban forest remnants? We chose a rapidly urbanized city located in the subtropical climate zone </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Guiyang, China </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as our study site. The specific objectives of our study include:</w:t>
      </w:r>
    </w:p>
    <w:p>
      <w:pPr>
        <w:spacing w:after="0" w:line="8" w:lineRule="exact"/>
        <w:rPr>
          <w:rFonts w:ascii="Times New Roman" w:cs="Times New Roman" w:eastAsia="Times New Roman" w:hAnsi="Times New Roman"/>
          <w:sz w:val="20"/>
          <w:szCs w:val="20"/>
          <w:color w:val="0000FF"/>
        </w:rPr>
      </w:pPr>
    </w:p>
    <w:p>
      <w:pPr>
        <w:jc w:val="both"/>
        <w:ind w:firstLine="3"/>
        <w:spacing w:after="0" w:line="256" w:lineRule="auto"/>
        <w:tabs>
          <w:tab w:leader="none" w:pos="271" w:val="left"/>
        </w:tabs>
        <w:numPr>
          <w:ilvl w:val="0"/>
          <w:numId w:val="4"/>
        </w:numPr>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to quantify the taxonomic diversity of woody plants in the remnant forest at different spatial scales; (2) to analyze the impacts of patch attributes and landscape patterns of surround-ing environments on the taxonomic diversity of woody plants in the remnant forest.</w:t>
      </w:r>
    </w:p>
    <w:p>
      <w:pPr>
        <w:spacing w:after="0" w:line="200" w:lineRule="exact"/>
        <w:rPr>
          <w:rFonts w:ascii="Times New Roman" w:cs="Times New Roman" w:eastAsia="Times New Roman" w:hAnsi="Times New Roman"/>
          <w:sz w:val="20"/>
          <w:szCs w:val="20"/>
          <w:color w:val="0000FF"/>
        </w:rPr>
      </w:pPr>
    </w:p>
    <w:p>
      <w:pPr>
        <w:spacing w:after="0" w:line="273" w:lineRule="exact"/>
        <w:rPr>
          <w:rFonts w:ascii="Times New Roman" w:cs="Times New Roman" w:eastAsia="Times New Roman" w:hAnsi="Times New Roman"/>
          <w:sz w:val="20"/>
          <w:szCs w:val="20"/>
          <w:color w:val="0000FF"/>
        </w:rPr>
      </w:pPr>
    </w:p>
    <w:p>
      <w:pPr>
        <w:spacing w:after="0"/>
        <w:rPr>
          <w:sz w:val="20"/>
          <w:szCs w:val="20"/>
          <w:color w:val="auto"/>
        </w:rPr>
      </w:pPr>
      <w:r>
        <w:rPr>
          <w:rFonts w:ascii="Arial" w:cs="Arial" w:eastAsia="Arial" w:hAnsi="Arial"/>
          <w:sz w:val="24"/>
          <w:szCs w:val="24"/>
          <w:color w:val="131413"/>
        </w:rPr>
        <w:t>Methods</w:t>
      </w:r>
    </w:p>
    <w:p>
      <w:pPr>
        <w:spacing w:after="0" w:line="242" w:lineRule="exact"/>
        <w:rPr>
          <w:rFonts w:ascii="Times New Roman" w:cs="Times New Roman" w:eastAsia="Times New Roman" w:hAnsi="Times New Roman"/>
          <w:sz w:val="20"/>
          <w:szCs w:val="20"/>
          <w:color w:val="0000FF"/>
        </w:rPr>
      </w:pPr>
    </w:p>
    <w:p>
      <w:pPr>
        <w:spacing w:after="0"/>
        <w:rPr>
          <w:sz w:val="20"/>
          <w:szCs w:val="20"/>
          <w:color w:val="auto"/>
        </w:rPr>
      </w:pPr>
      <w:r>
        <w:rPr>
          <w:rFonts w:ascii="Arial" w:cs="Arial" w:eastAsia="Arial" w:hAnsi="Arial"/>
          <w:sz w:val="22"/>
          <w:szCs w:val="22"/>
          <w:color w:val="131413"/>
        </w:rPr>
        <w:t>Study area</w:t>
      </w:r>
    </w:p>
    <w:p>
      <w:pPr>
        <w:spacing w:after="0" w:line="269" w:lineRule="exact"/>
        <w:rPr>
          <w:rFonts w:ascii="Times New Roman" w:cs="Times New Roman" w:eastAsia="Times New Roman" w:hAnsi="Times New Roman"/>
          <w:sz w:val="20"/>
          <w:szCs w:val="20"/>
          <w:color w:val="0000FF"/>
        </w:rPr>
      </w:pPr>
    </w:p>
    <w:p>
      <w:pPr>
        <w:jc w:val="both"/>
        <w:spacing w:after="0" w:line="267"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Guiyang City is a city located in southwest China. The admin-istrative area of the city is bounded between 106°30</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to 106°59</w:t>
      </w:r>
      <w:r>
        <w:rPr>
          <w:rFonts w:ascii="Arial" w:cs="Arial" w:eastAsia="Arial" w:hAnsi="Arial"/>
          <w:sz w:val="19"/>
          <w:szCs w:val="19"/>
          <w:color w:val="131413"/>
        </w:rPr>
        <w:t>′</w:t>
      </w:r>
      <w:r>
        <w:rPr>
          <w:rFonts w:ascii="Times New Roman" w:cs="Times New Roman" w:eastAsia="Times New Roman" w:hAnsi="Times New Roman"/>
          <w:sz w:val="19"/>
          <w:szCs w:val="19"/>
          <w:color w:val="131413"/>
        </w:rPr>
        <w:t>E and 26°10</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to 26°49</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N. The city sits on a well-developed karst landform, which creates opportunities to pre-serve many natural and semi-natural forest patches during the urbanization as the topography is too steep to support urban development. Guiyang has a subtropical humid temperate cli-mate. The primary natural vegetation type of the city is sub-tropical evergreen broadleaf forests. Since 1996, the city has experienced rapid urban expansion. The built-up area of the city has increased from 74 km</w:t>
      </w:r>
      <w:r>
        <w:rPr>
          <w:rFonts w:ascii="Times New Roman" w:cs="Times New Roman" w:eastAsia="Times New Roman" w:hAnsi="Times New Roman"/>
          <w:sz w:val="25"/>
          <w:szCs w:val="25"/>
          <w:color w:val="131413"/>
          <w:vertAlign w:val="superscript"/>
        </w:rPr>
        <w:t>2</w:t>
      </w:r>
      <w:r>
        <w:rPr>
          <w:rFonts w:ascii="Times New Roman" w:cs="Times New Roman" w:eastAsia="Times New Roman" w:hAnsi="Times New Roman"/>
          <w:sz w:val="19"/>
          <w:szCs w:val="19"/>
          <w:color w:val="131413"/>
        </w:rPr>
        <w:t xml:space="preserve"> in 1996 to 359 km</w:t>
      </w:r>
      <w:r>
        <w:rPr>
          <w:rFonts w:ascii="Times New Roman" w:cs="Times New Roman" w:eastAsia="Times New Roman" w:hAnsi="Times New Roman"/>
          <w:sz w:val="25"/>
          <w:szCs w:val="25"/>
          <w:color w:val="131413"/>
          <w:vertAlign w:val="superscript"/>
        </w:rPr>
        <w:t>2</w:t>
      </w:r>
      <w:r>
        <w:rPr>
          <w:rFonts w:ascii="Times New Roman" w:cs="Times New Roman" w:eastAsia="Times New Roman" w:hAnsi="Times New Roman"/>
          <w:sz w:val="19"/>
          <w:szCs w:val="19"/>
          <w:color w:val="131413"/>
        </w:rPr>
        <w:t xml:space="preserve"> in 2017, while the population has increased from 1.35 million to 3.59 million at the same time (Guiyang Municipal Bureau of Statistics </w:t>
      </w:r>
      <w:hyperlink w:anchor="page9">
        <w:r>
          <w:rPr>
            <w:rFonts w:ascii="Times New Roman" w:cs="Times New Roman" w:eastAsia="Times New Roman" w:hAnsi="Times New Roman"/>
            <w:sz w:val="19"/>
            <w:szCs w:val="19"/>
            <w:color w:val="0000FF"/>
          </w:rPr>
          <w:t>1997</w:t>
        </w:r>
      </w:hyperlink>
      <w:r>
        <w:rPr>
          <w:rFonts w:ascii="Times New Roman" w:cs="Times New Roman" w:eastAsia="Times New Roman" w:hAnsi="Times New Roman"/>
          <w:sz w:val="19"/>
          <w:szCs w:val="19"/>
          <w:color w:val="131413"/>
        </w:rPr>
        <w:t xml:space="preserve">; Guiyang Municipal Bureau of Statistics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p>
    <w:p>
      <w:pPr>
        <w:spacing w:after="0" w:line="235" w:lineRule="exact"/>
        <w:rPr>
          <w:sz w:val="20"/>
          <w:szCs w:val="20"/>
          <w:color w:val="auto"/>
        </w:rPr>
      </w:pPr>
    </w:p>
    <w:p>
      <w:pPr>
        <w:spacing w:after="0"/>
        <w:rPr>
          <w:sz w:val="20"/>
          <w:szCs w:val="20"/>
          <w:color w:val="auto"/>
        </w:rPr>
      </w:pPr>
      <w:r>
        <w:rPr>
          <w:rFonts w:ascii="Arial" w:cs="Arial" w:eastAsia="Arial" w:hAnsi="Arial"/>
          <w:sz w:val="22"/>
          <w:szCs w:val="22"/>
          <w:color w:val="131413"/>
        </w:rPr>
        <w:t>Field survey</w:t>
      </w:r>
    </w:p>
    <w:p>
      <w:pPr>
        <w:spacing w:after="0" w:line="271" w:lineRule="exact"/>
        <w:rPr>
          <w:sz w:val="20"/>
          <w:szCs w:val="20"/>
          <w:color w:val="auto"/>
        </w:rPr>
      </w:pPr>
    </w:p>
    <w:p>
      <w:pPr>
        <w:jc w:val="both"/>
        <w:spacing w:after="0" w:line="290" w:lineRule="auto"/>
        <w:rPr>
          <w:sz w:val="20"/>
          <w:szCs w:val="20"/>
          <w:color w:val="auto"/>
        </w:rPr>
      </w:pPr>
      <w:r>
        <w:rPr>
          <w:rFonts w:ascii="Times New Roman" w:cs="Times New Roman" w:eastAsia="Times New Roman" w:hAnsi="Times New Roman"/>
          <w:sz w:val="18"/>
          <w:szCs w:val="18"/>
          <w:color w:val="131413"/>
        </w:rPr>
        <w:t>In order to obtain information on the species diversity of woody plants in the remnant forests in Guiyang, we conducted a field survey between October and December 2018. The sample sites were first selected by origin (i.e., only forests classified as natural selected), followed by categorizing the forest patches based upon three attributes: vegetation type,</w:t>
      </w:r>
    </w:p>
    <w:p>
      <w:pPr>
        <w:sectPr>
          <w:pgSz w:w="11900" w:h="15817" w:orient="portrait"/>
          <w:cols w:equalWidth="0" w:num="2">
            <w:col w:w="4760" w:space="340"/>
            <w:col w:w="4760"/>
          </w:cols>
          <w:pgMar w:left="1020" w:top="649" w:right="1026" w:bottom="894" w:gutter="0" w:footer="0" w:header="0"/>
          <w:type w:val="continuous"/>
        </w:sectPr>
      </w:pPr>
    </w:p>
    <w:bookmarkStart w:id="2" w:name="page3"/>
    <w:bookmarkEnd w:id="2"/>
    <w:p>
      <w:pPr>
        <w:spacing w:after="0"/>
        <w:rPr>
          <w:sz w:val="20"/>
          <w:szCs w:val="20"/>
          <w:color w:val="auto"/>
        </w:rPr>
      </w:pPr>
      <w:r>
        <w:rPr>
          <w:rFonts w:ascii="Arial" w:cs="Arial" w:eastAsia="Arial" w:hAnsi="Arial"/>
          <w:sz w:val="13"/>
          <w:szCs w:val="13"/>
          <w:color w:val="131413"/>
        </w:rPr>
        <w:t>Urban Ecosyst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48895</wp:posOffset>
                </wp:positionV>
                <wp:extent cx="0" cy="2540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85pt" to="0pt,5.85pt" o:allowincell="f" strokecolor="#131413"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61595</wp:posOffset>
                </wp:positionV>
                <wp:extent cx="627634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6340" cy="4763"/>
                        </a:xfrm>
                        <a:prstGeom prst="line">
                          <a:avLst/>
                        </a:prstGeom>
                        <a:solidFill>
                          <a:srgbClr val="FFFFFF"/>
                        </a:solidFill>
                        <a:ln w="25660">
                          <a:solidFill>
                            <a:srgbClr val="131413"/>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85pt" to="493.75pt,4.85pt" o:allowincell="f" strokecolor="#131413" strokeweight="2.0205pt"/>
            </w:pict>
          </mc:Fallback>
        </mc:AlternateContent>
        <mc:AlternateContent>
          <mc:Choice Requires="wps">
            <w:drawing>
              <wp:anchor simplePos="0" relativeHeight="251657728" behindDoc="1" locked="0" layoutInCell="0" allowOverlap="1">
                <wp:simplePos x="0" y="0"/>
                <wp:positionH relativeFrom="column">
                  <wp:posOffset>6264275</wp:posOffset>
                </wp:positionH>
                <wp:positionV relativeFrom="paragraph">
                  <wp:posOffset>48895</wp:posOffset>
                </wp:positionV>
                <wp:extent cx="0" cy="2540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25pt,3.85pt" to="493.25pt,5.85pt" o:allowincell="f" strokecolor="#131413" strokeweight="1pt"/>
            </w:pict>
          </mc:Fallback>
        </mc:AlternateContent>
      </w:r>
    </w:p>
    <w:p>
      <w:pPr>
        <w:sectPr>
          <w:pgSz w:w="11900" w:h="15817" w:orient="portrait"/>
          <w:cols w:equalWidth="0" w:num="1">
            <w:col w:w="9860"/>
          </w:cols>
          <w:pgMar w:left="1020" w:top="649" w:right="1026" w:bottom="893" w:gutter="0" w:footer="0" w:header="0"/>
        </w:sectPr>
      </w:pPr>
    </w:p>
    <w:p>
      <w:pPr>
        <w:spacing w:after="0" w:line="353"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131413"/>
        </w:rPr>
        <w:t>impervious surface, and patch size. More details were present-ed as follows.</w:t>
      </w:r>
    </w:p>
    <w:p>
      <w:pPr>
        <w:spacing w:after="0" w:line="30"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We first selected out naturally originated forest patches by referring to the forest resources inventory data of Guiyang (Guiyang Ecological Environment Bureau </w:t>
      </w:r>
      <w:hyperlink w:anchor="page9">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The inven-tory is conducted every ten years by the Guiyang Municipal Bureau of Ecological Environment. The data contains the sizes, stand volumes, locations, types, origins, and major tree species of all forest stands in Guiyang. The origin of forest stands was classified as </w:t>
      </w:r>
      <w:r>
        <w:rPr>
          <w:rFonts w:ascii="Arial" w:cs="Arial" w:eastAsia="Arial" w:hAnsi="Arial"/>
          <w:sz w:val="19"/>
          <w:szCs w:val="19"/>
          <w:color w:val="131413"/>
        </w:rPr>
        <w:t>“</w:t>
      </w:r>
      <w:r>
        <w:rPr>
          <w:rFonts w:ascii="Times New Roman" w:cs="Times New Roman" w:eastAsia="Times New Roman" w:hAnsi="Times New Roman"/>
          <w:sz w:val="19"/>
          <w:szCs w:val="19"/>
          <w:color w:val="131413"/>
        </w:rPr>
        <w:t>natural</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w:t>
      </w:r>
      <w:r>
        <w:rPr>
          <w:rFonts w:ascii="Times New Roman" w:cs="Times New Roman" w:eastAsia="Times New Roman" w:hAnsi="Times New Roman"/>
          <w:sz w:val="19"/>
          <w:szCs w:val="19"/>
          <w:color w:val="131413"/>
        </w:rPr>
        <w:t>planted</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and </w:t>
      </w:r>
      <w:r>
        <w:rPr>
          <w:rFonts w:ascii="Arial" w:cs="Arial" w:eastAsia="Arial" w:hAnsi="Arial"/>
          <w:sz w:val="19"/>
          <w:szCs w:val="19"/>
          <w:color w:val="131413"/>
        </w:rPr>
        <w:t>“</w:t>
      </w:r>
      <w:r>
        <w:rPr>
          <w:rFonts w:ascii="Times New Roman" w:cs="Times New Roman" w:eastAsia="Times New Roman" w:hAnsi="Times New Roman"/>
          <w:sz w:val="19"/>
          <w:szCs w:val="19"/>
          <w:color w:val="131413"/>
        </w:rPr>
        <w:t>aerial-seeding</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stands. We exported the shapefile of forest stands as a KML file to Google Earth and manually selected the patches with a natural origin that has been entirely or partially surrounded by impervious areas by 2015. A total of 191 forest patches were identified using this method.</w:t>
      </w:r>
    </w:p>
    <w:p>
      <w:pPr>
        <w:spacing w:after="0" w:line="6" w:lineRule="exact"/>
        <w:rPr>
          <w:sz w:val="20"/>
          <w:szCs w:val="20"/>
          <w:color w:val="auto"/>
        </w:rPr>
      </w:pPr>
    </w:p>
    <w:p>
      <w:pPr>
        <w:jc w:val="both"/>
        <w:ind w:firstLine="227"/>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We derived the percentages of impervious surfaces within a buffer of 500 m around each patch from a land cover map of Guiyang obtained from Huang et al. (</w:t>
      </w:r>
      <w:hyperlink w:anchor="page9">
        <w:r>
          <w:rPr>
            <w:rFonts w:ascii="Times New Roman" w:cs="Times New Roman" w:eastAsia="Times New Roman" w:hAnsi="Times New Roman"/>
            <w:sz w:val="20"/>
            <w:szCs w:val="20"/>
            <w:color w:val="0000FF"/>
          </w:rPr>
          <w:t>2018</w:t>
        </w:r>
      </w:hyperlink>
      <w:r>
        <w:rPr>
          <w:rFonts w:ascii="Times New Roman" w:cs="Times New Roman" w:eastAsia="Times New Roman" w:hAnsi="Times New Roman"/>
          <w:sz w:val="20"/>
          <w:szCs w:val="20"/>
          <w:color w:val="131413"/>
        </w:rPr>
        <w:t>). The land cover map was generated using Landsat 8 data. It contains six land cover classes: tree/shrub, grass, water, impervious surface, bare soil, and crop. The data has a ground resolution of 30 m and was projected using the WGS84 Web Mercator projection. We classified the percentages of impervious sur-faces in buffered areas into three levels, &lt;20%, 20%</w:t>
      </w:r>
      <w:r>
        <w:rPr>
          <w:rFonts w:ascii="Arial" w:cs="Arial" w:eastAsia="Arial" w:hAnsi="Arial"/>
          <w:sz w:val="20"/>
          <w:szCs w:val="20"/>
          <w:color w:val="131413"/>
        </w:rPr>
        <w:t>–</w:t>
      </w:r>
      <w:r>
        <w:rPr>
          <w:rFonts w:ascii="Times New Roman" w:cs="Times New Roman" w:eastAsia="Times New Roman" w:hAnsi="Times New Roman"/>
          <w:sz w:val="20"/>
          <w:szCs w:val="20"/>
          <w:color w:val="131413"/>
        </w:rPr>
        <w:t>50%, and &gt; 50%. According to Wickham et al. (</w:t>
      </w:r>
      <w:hyperlink w:anchor="page9">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131413"/>
        </w:rPr>
        <w:t>), these values represent developed and open areas, developed areas with low density, and developed areas with medium to high density, respectively.</w:t>
      </w:r>
    </w:p>
    <w:p>
      <w:pPr>
        <w:spacing w:after="0" w:line="22"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We further divided the forest patches based on their sizes and main vegetation types. Two size classes, smaller than 10 ha and larger than 10 ha, were used in this study. The size of 10 ha was considered a critical threshold value of the size of the urban green space (Ramalho et al. </w:t>
      </w:r>
      <w:hyperlink w:anchor="page9">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We determined the vegetation type of each patch based on the dominant spe-cies recorded in the inventory data. Patches were classified as broadleaf forest stands, coniferous forest stands, and mixed forest stands. Pinus massoniana is the dominant canopy spe-cies in the coniferous forest stands. Species from the Fagaceae and Lauraceae families are main overstory trees in the broad-leaf forest stands. The mixed forest stands are mainly consisting of P. massoniana, Quercus spp., Carpinus spp., and Cyclobalanopsis spp.</w:t>
      </w:r>
    </w:p>
    <w:p>
      <w:pPr>
        <w:spacing w:after="0" w:line="7"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We randomly selected three patches for each combination of size, degree of urbanization, and vegetation type as sample sites. A total of 54 patches (18 groups, three replications) were chosen from the 191 remnant forest patches at the end. The locations of these 54 remnants were shown in Fig. </w:t>
      </w:r>
      <w:hyperlink w:anchor="page9">
        <w:r>
          <w:rPr>
            <w:rFonts w:ascii="Times New Roman" w:cs="Times New Roman" w:eastAsia="Times New Roman" w:hAnsi="Times New Roman"/>
            <w:sz w:val="19"/>
            <w:szCs w:val="19"/>
            <w:color w:val="0000FF"/>
          </w:rPr>
          <w:t>1</w:t>
        </w:r>
      </w:hyperlink>
      <w:r>
        <w:rPr>
          <w:rFonts w:ascii="Times New Roman" w:cs="Times New Roman" w:eastAsia="Times New Roman" w:hAnsi="Times New Roman"/>
          <w:sz w:val="19"/>
          <w:szCs w:val="19"/>
          <w:color w:val="131413"/>
        </w:rPr>
        <w:t>.</w:t>
      </w:r>
    </w:p>
    <w:p>
      <w:pPr>
        <w:spacing w:after="0" w:line="4" w:lineRule="exact"/>
        <w:rPr>
          <w:sz w:val="20"/>
          <w:szCs w:val="20"/>
          <w:color w:val="auto"/>
        </w:rPr>
      </w:pPr>
    </w:p>
    <w:p>
      <w:pPr>
        <w:jc w:val="both"/>
        <w:ind w:firstLine="227"/>
        <w:spacing w:after="0" w:line="290" w:lineRule="auto"/>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t>Following the sampling method used in Threlfall et al. (</w:t>
      </w:r>
      <w:hyperlink w:anchor="page9">
        <w:r>
          <w:rPr>
            <w:rFonts w:ascii="Times New Roman" w:cs="Times New Roman" w:eastAsia="Times New Roman" w:hAnsi="Times New Roman"/>
            <w:sz w:val="18"/>
            <w:szCs w:val="18"/>
            <w:color w:val="0000FF"/>
          </w:rPr>
          <w:t>2016</w:t>
        </w:r>
      </w:hyperlink>
      <w:r>
        <w:rPr>
          <w:rFonts w:ascii="Times New Roman" w:cs="Times New Roman" w:eastAsia="Times New Roman" w:hAnsi="Times New Roman"/>
          <w:sz w:val="18"/>
          <w:szCs w:val="18"/>
          <w:color w:val="131413"/>
        </w:rPr>
        <w:t>), we lay out two, four, six, and eight sample plots in forest patches with sizes at 1</w:t>
      </w:r>
      <w:r>
        <w:rPr>
          <w:rFonts w:ascii="Arial" w:cs="Arial" w:eastAsia="Arial" w:hAnsi="Arial"/>
          <w:sz w:val="18"/>
          <w:szCs w:val="18"/>
          <w:color w:val="131413"/>
        </w:rPr>
        <w:t>–</w:t>
      </w:r>
      <w:r>
        <w:rPr>
          <w:rFonts w:ascii="Times New Roman" w:cs="Times New Roman" w:eastAsia="Times New Roman" w:hAnsi="Times New Roman"/>
          <w:sz w:val="18"/>
          <w:szCs w:val="18"/>
          <w:color w:val="131413"/>
        </w:rPr>
        <w:t>5 ha (22 patches), 5</w:t>
      </w:r>
      <w:r>
        <w:rPr>
          <w:rFonts w:ascii="Arial" w:cs="Arial" w:eastAsia="Arial" w:hAnsi="Arial"/>
          <w:sz w:val="18"/>
          <w:szCs w:val="18"/>
          <w:color w:val="131413"/>
        </w:rPr>
        <w:t>–</w:t>
      </w:r>
      <w:r>
        <w:rPr>
          <w:rFonts w:ascii="Times New Roman" w:cs="Times New Roman" w:eastAsia="Times New Roman" w:hAnsi="Times New Roman"/>
          <w:sz w:val="18"/>
          <w:szCs w:val="18"/>
          <w:color w:val="131413"/>
        </w:rPr>
        <w:t>10 ha (5 patches), 10</w:t>
      </w:r>
      <w:r>
        <w:rPr>
          <w:rFonts w:ascii="Arial" w:cs="Arial" w:eastAsia="Arial" w:hAnsi="Arial"/>
          <w:sz w:val="18"/>
          <w:szCs w:val="18"/>
          <w:color w:val="131413"/>
        </w:rPr>
        <w:t>–</w:t>
      </w:r>
      <w:r>
        <w:rPr>
          <w:rFonts w:ascii="Times New Roman" w:cs="Times New Roman" w:eastAsia="Times New Roman" w:hAnsi="Times New Roman"/>
          <w:sz w:val="18"/>
          <w:szCs w:val="18"/>
          <w:color w:val="131413"/>
        </w:rPr>
        <w:t>50 ha (20 patches) and &gt; 50 ha (7 patches), respec-tively. In total, 240 sample plots (20 m by 20 m) were located inside 54 patches. Each plot was kept at least 25 m from the</w:t>
      </w:r>
    </w:p>
    <w:p>
      <w:pPr>
        <w:spacing w:after="0" w:line="20" w:lineRule="exact"/>
        <w:rPr>
          <w:sz w:val="20"/>
          <w:szCs w:val="20"/>
          <w:color w:val="auto"/>
        </w:rPr>
      </w:pPr>
      <w:r>
        <w:rPr>
          <w:sz w:val="20"/>
          <w:szCs w:val="20"/>
          <w:color w:val="auto"/>
        </w:rPr>
        <w:br w:type="column"/>
      </w:r>
    </w:p>
    <w:p>
      <w:pPr>
        <w:spacing w:after="0" w:line="333" w:lineRule="exact"/>
        <w:rPr>
          <w:sz w:val="20"/>
          <w:szCs w:val="20"/>
          <w:color w:val="auto"/>
        </w:rPr>
      </w:pPr>
    </w:p>
    <w:p>
      <w:pPr>
        <w:jc w:val="both"/>
        <w:spacing w:after="0" w:line="290" w:lineRule="auto"/>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t xml:space="preserve">edge of the forest patch. In the field, information on the plot and woody plant species were collected (Table </w:t>
      </w:r>
      <w:hyperlink w:anchor="page9">
        <w:r>
          <w:rPr>
            <w:rFonts w:ascii="Times New Roman" w:cs="Times New Roman" w:eastAsia="Times New Roman" w:hAnsi="Times New Roman"/>
            <w:sz w:val="18"/>
            <w:szCs w:val="18"/>
            <w:color w:val="0000FF"/>
          </w:rPr>
          <w:t>1</w:t>
        </w:r>
      </w:hyperlink>
      <w:r>
        <w:rPr>
          <w:rFonts w:ascii="Times New Roman" w:cs="Times New Roman" w:eastAsia="Times New Roman" w:hAnsi="Times New Roman"/>
          <w:sz w:val="18"/>
          <w:szCs w:val="18"/>
          <w:color w:val="131413"/>
        </w:rPr>
        <w:t xml:space="preserve">). The classification of a woody plant species to tree or shrub species was done by referring to the Flora of Guizhou (Chen </w:t>
      </w:r>
      <w:hyperlink w:anchor="page9">
        <w:r>
          <w:rPr>
            <w:rFonts w:ascii="Times New Roman" w:cs="Times New Roman" w:eastAsia="Times New Roman" w:hAnsi="Times New Roman"/>
            <w:sz w:val="18"/>
            <w:szCs w:val="18"/>
            <w:color w:val="0000FF"/>
          </w:rPr>
          <w:t>2004</w:t>
        </w:r>
      </w:hyperlink>
      <w:r>
        <w:rPr>
          <w:rFonts w:ascii="Times New Roman" w:cs="Times New Roman" w:eastAsia="Times New Roman" w:hAnsi="Times New Roman"/>
          <w:sz w:val="18"/>
          <w:szCs w:val="18"/>
          <w:color w:val="131413"/>
        </w:rPr>
        <w:t>). We followed the recommendation in Fang et al. (</w:t>
      </w:r>
      <w:hyperlink w:anchor="page9">
        <w:r>
          <w:rPr>
            <w:rFonts w:ascii="Times New Roman" w:cs="Times New Roman" w:eastAsia="Times New Roman" w:hAnsi="Times New Roman"/>
            <w:sz w:val="18"/>
            <w:szCs w:val="18"/>
            <w:color w:val="0000FF"/>
          </w:rPr>
          <w:t>2009</w:t>
        </w:r>
      </w:hyperlink>
      <w:r>
        <w:rPr>
          <w:rFonts w:ascii="Times New Roman" w:cs="Times New Roman" w:eastAsia="Times New Roman" w:hAnsi="Times New Roman"/>
          <w:sz w:val="18"/>
          <w:szCs w:val="18"/>
          <w:color w:val="131413"/>
        </w:rPr>
        <w:t xml:space="preserve">) to treat an individual tree with a diameter at breast height (DBH) smaller than 3 cm as saplings/seedlings. We labeled the species that are commonly used for landscaping by referring to a list of ornamental plant species compiled for Guiyang (Wang and Yu </w:t>
      </w:r>
      <w:hyperlink w:anchor="page9">
        <w:r>
          <w:rPr>
            <w:rFonts w:ascii="Times New Roman" w:cs="Times New Roman" w:eastAsia="Times New Roman" w:hAnsi="Times New Roman"/>
            <w:sz w:val="18"/>
            <w:szCs w:val="18"/>
            <w:color w:val="0000FF"/>
          </w:rPr>
          <w:t>2010</w:t>
        </w:r>
      </w:hyperlink>
      <w:r>
        <w:rPr>
          <w:rFonts w:ascii="Times New Roman" w:cs="Times New Roman" w:eastAsia="Times New Roman" w:hAnsi="Times New Roman"/>
          <w:sz w:val="18"/>
          <w:szCs w:val="18"/>
          <w:color w:val="131413"/>
        </w:rPr>
        <w:t>).</w:t>
      </w:r>
    </w:p>
    <w:p>
      <w:pPr>
        <w:spacing w:after="0" w:line="215" w:lineRule="exact"/>
        <w:rPr>
          <w:rFonts w:ascii="Times New Roman" w:cs="Times New Roman" w:eastAsia="Times New Roman" w:hAnsi="Times New Roman"/>
          <w:sz w:val="18"/>
          <w:szCs w:val="18"/>
          <w:color w:val="131413"/>
        </w:rPr>
      </w:pPr>
    </w:p>
    <w:p>
      <w:pPr>
        <w:spacing w:after="0"/>
        <w:rPr>
          <w:sz w:val="20"/>
          <w:szCs w:val="20"/>
          <w:color w:val="auto"/>
        </w:rPr>
      </w:pPr>
      <w:r>
        <w:rPr>
          <w:rFonts w:ascii="Arial" w:cs="Arial" w:eastAsia="Arial" w:hAnsi="Arial"/>
          <w:sz w:val="22"/>
          <w:szCs w:val="22"/>
          <w:color w:val="131413"/>
        </w:rPr>
        <w:t>Estimate taxonomic diversities</w:t>
      </w:r>
    </w:p>
    <w:p>
      <w:pPr>
        <w:spacing w:after="0" w:line="271" w:lineRule="exact"/>
        <w:rPr>
          <w:rFonts w:ascii="Times New Roman" w:cs="Times New Roman" w:eastAsia="Times New Roman" w:hAnsi="Times New Roman"/>
          <w:sz w:val="18"/>
          <w:szCs w:val="18"/>
          <w:color w:val="131413"/>
        </w:rPr>
      </w:pPr>
    </w:p>
    <w:p>
      <w:pPr>
        <w:jc w:val="both"/>
        <w:spacing w:after="0" w:line="24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We used the equivalent number of species to represent taxo-nomic diversity at multiple spatial scales (Pavoine et al. </w:t>
      </w:r>
      <w:hyperlink w:anchor="page9">
        <w:r>
          <w:rPr>
            <w:rFonts w:ascii="Times New Roman" w:cs="Times New Roman" w:eastAsia="Times New Roman" w:hAnsi="Times New Roman"/>
            <w:sz w:val="20"/>
            <w:szCs w:val="20"/>
            <w:color w:val="0000FF"/>
          </w:rPr>
          <w:t>2016</w:t>
        </w:r>
      </w:hyperlink>
      <w:r>
        <w:rPr>
          <w:rFonts w:ascii="Times New Roman" w:cs="Times New Roman" w:eastAsia="Times New Roman" w:hAnsi="Times New Roman"/>
          <w:sz w:val="20"/>
          <w:szCs w:val="20"/>
          <w:color w:val="131413"/>
        </w:rPr>
        <w:t xml:space="preserve">). The equivalent number was defined as </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the number of equally likely and maximally dissimilar species needed to produce the given value of quadratic entropy (Ricotta and Szeidl </w:t>
      </w:r>
      <w:hyperlink w:anchor="page9">
        <w:r>
          <w:rPr>
            <w:rFonts w:ascii="Times New Roman" w:cs="Times New Roman" w:eastAsia="Times New Roman" w:hAnsi="Times New Roman"/>
            <w:sz w:val="20"/>
            <w:szCs w:val="20"/>
            <w:color w:val="0000FF"/>
          </w:rPr>
          <w:t>2009</w:t>
        </w:r>
      </w:hyperlink>
      <w:r>
        <w:rPr>
          <w:rFonts w:ascii="Times New Roman" w:cs="Times New Roman" w:eastAsia="Times New Roman" w:hAnsi="Times New Roman"/>
          <w:sz w:val="20"/>
          <w:szCs w:val="20"/>
          <w:color w:val="131413"/>
        </w:rPr>
        <w:t>)</w:t>
      </w:r>
      <w:r>
        <w:rPr>
          <w:rFonts w:ascii="Arial" w:cs="Arial" w:eastAsia="Arial" w:hAnsi="Arial"/>
          <w:sz w:val="20"/>
          <w:szCs w:val="20"/>
          <w:color w:val="131413"/>
        </w:rPr>
        <w:t>”</w:t>
      </w:r>
      <w:r>
        <w:rPr>
          <w:rFonts w:ascii="Times New Roman" w:cs="Times New Roman" w:eastAsia="Times New Roman" w:hAnsi="Times New Roman"/>
          <w:sz w:val="20"/>
          <w:szCs w:val="20"/>
          <w:color w:val="131413"/>
        </w:rPr>
        <w:t>. The taxonomic diversity of woody plants in 54 remnant patches were calculated at four levels: within patches (</w:t>
      </w:r>
      <w:r>
        <w:rPr>
          <w:rFonts w:ascii="Arial" w:cs="Arial" w:eastAsia="Arial" w:hAnsi="Arial"/>
          <w:sz w:val="20"/>
          <w:szCs w:val="20"/>
          <w:color w:val="131413"/>
        </w:rPr>
        <w:t>α</w:t>
      </w:r>
      <w:r>
        <w:rPr>
          <w:rFonts w:ascii="Times New Roman" w:cs="Times New Roman" w:eastAsia="Times New Roman" w:hAnsi="Times New Roman"/>
          <w:sz w:val="20"/>
          <w:szCs w:val="20"/>
          <w:color w:val="131413"/>
        </w:rPr>
        <w:t>-di-versity), among patches within groups (</w:t>
      </w:r>
      <w:r>
        <w:rPr>
          <w:rFonts w:ascii="Arial" w:cs="Arial" w:eastAsia="Arial" w:hAnsi="Arial"/>
          <w:sz w:val="20"/>
          <w:szCs w:val="20"/>
          <w:color w:val="131413"/>
        </w:rPr>
        <w:t>β</w:t>
      </w:r>
      <w:r>
        <w:rPr>
          <w:rFonts w:ascii="Times New Roman" w:cs="Times New Roman" w:eastAsia="Times New Roman" w:hAnsi="Times New Roman"/>
          <w:sz w:val="26"/>
          <w:szCs w:val="26"/>
          <w:color w:val="131413"/>
          <w:vertAlign w:val="subscript"/>
        </w:rPr>
        <w:t>1</w:t>
      </w:r>
      <w:r>
        <w:rPr>
          <w:rFonts w:ascii="Times New Roman" w:cs="Times New Roman" w:eastAsia="Times New Roman" w:hAnsi="Times New Roman"/>
          <w:sz w:val="20"/>
          <w:szCs w:val="20"/>
          <w:color w:val="131413"/>
        </w:rPr>
        <w:t>-diversity), among groups (</w:t>
      </w:r>
      <w:r>
        <w:rPr>
          <w:rFonts w:ascii="Arial" w:cs="Arial" w:eastAsia="Arial" w:hAnsi="Arial"/>
          <w:sz w:val="20"/>
          <w:szCs w:val="20"/>
          <w:color w:val="131413"/>
        </w:rPr>
        <w:t>β</w:t>
      </w:r>
      <w:r>
        <w:rPr>
          <w:rFonts w:ascii="Times New Roman" w:cs="Times New Roman" w:eastAsia="Times New Roman" w:hAnsi="Times New Roman"/>
          <w:sz w:val="26"/>
          <w:szCs w:val="26"/>
          <w:color w:val="131413"/>
          <w:vertAlign w:val="subscript"/>
        </w:rPr>
        <w:t>2</w:t>
      </w:r>
      <w:r>
        <w:rPr>
          <w:rFonts w:ascii="Times New Roman" w:cs="Times New Roman" w:eastAsia="Times New Roman" w:hAnsi="Times New Roman"/>
          <w:sz w:val="20"/>
          <w:szCs w:val="20"/>
          <w:color w:val="131413"/>
        </w:rPr>
        <w:t>-diversity) and at the whole study area (</w:t>
      </w:r>
      <w:r>
        <w:rPr>
          <w:rFonts w:ascii="Arial" w:cs="Arial" w:eastAsia="Arial" w:hAnsi="Arial"/>
          <w:sz w:val="20"/>
          <w:szCs w:val="20"/>
          <w:color w:val="131413"/>
        </w:rPr>
        <w:t>γ</w:t>
      </w:r>
      <w:r>
        <w:rPr>
          <w:rFonts w:ascii="Times New Roman" w:cs="Times New Roman" w:eastAsia="Times New Roman" w:hAnsi="Times New Roman"/>
          <w:sz w:val="20"/>
          <w:szCs w:val="20"/>
          <w:color w:val="131413"/>
        </w:rPr>
        <w:t xml:space="preserve">-diversity) (Table </w:t>
      </w:r>
      <w:hyperlink w:anchor="page9">
        <w:r>
          <w:rPr>
            <w:rFonts w:ascii="Times New Roman" w:cs="Times New Roman" w:eastAsia="Times New Roman" w:hAnsi="Times New Roman"/>
            <w:sz w:val="20"/>
            <w:szCs w:val="20"/>
            <w:color w:val="0000FF"/>
          </w:rPr>
          <w:t>2</w:t>
        </w:r>
      </w:hyperlink>
      <w:r>
        <w:rPr>
          <w:rFonts w:ascii="Times New Roman" w:cs="Times New Roman" w:eastAsia="Times New Roman" w:hAnsi="Times New Roman"/>
          <w:sz w:val="20"/>
          <w:szCs w:val="20"/>
          <w:color w:val="131413"/>
        </w:rPr>
        <w:t>).</w:t>
      </w:r>
    </w:p>
    <w:p>
      <w:pPr>
        <w:spacing w:after="0" w:line="27" w:lineRule="exact"/>
        <w:rPr>
          <w:rFonts w:ascii="Times New Roman" w:cs="Times New Roman" w:eastAsia="Times New Roman" w:hAnsi="Times New Roman"/>
          <w:sz w:val="20"/>
          <w:szCs w:val="20"/>
          <w:color w:val="131413"/>
        </w:rPr>
      </w:pPr>
    </w:p>
    <w:p>
      <w:pPr>
        <w:jc w:val="both"/>
        <w:ind w:firstLine="227"/>
        <w:spacing w:after="0" w:line="247"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equivalent number for </w:t>
      </w:r>
      <w:r>
        <w:rPr>
          <w:rFonts w:ascii="Arial" w:cs="Arial" w:eastAsia="Arial" w:hAnsi="Arial"/>
          <w:sz w:val="20"/>
          <w:szCs w:val="20"/>
          <w:color w:val="131413"/>
        </w:rPr>
        <w:t>α</w:t>
      </w:r>
      <w:r>
        <w:rPr>
          <w:rFonts w:ascii="Times New Roman" w:cs="Times New Roman" w:eastAsia="Times New Roman" w:hAnsi="Times New Roman"/>
          <w:sz w:val="20"/>
          <w:szCs w:val="20"/>
          <w:color w:val="131413"/>
        </w:rPr>
        <w:t>-diversity within patches was calculated using Eq. (</w:t>
      </w:r>
      <w:hyperlink w:anchor="page9">
        <w:r>
          <w:rPr>
            <w:rFonts w:ascii="Times New Roman" w:cs="Times New Roman" w:eastAsia="Times New Roman" w:hAnsi="Times New Roman"/>
            <w:sz w:val="20"/>
            <w:szCs w:val="20"/>
            <w:color w:val="0000FF"/>
          </w:rPr>
          <w:t>1</w:t>
        </w:r>
      </w:hyperlink>
      <w:r>
        <w:rPr>
          <w:rFonts w:ascii="Times New Roman" w:cs="Times New Roman" w:eastAsia="Times New Roman" w:hAnsi="Times New Roman"/>
          <w:sz w:val="20"/>
          <w:szCs w:val="20"/>
          <w:color w:val="131413"/>
        </w:rPr>
        <w:t>) and (</w:t>
      </w:r>
      <w:hyperlink w:anchor="page9">
        <w:r>
          <w:rPr>
            <w:rFonts w:ascii="Times New Roman" w:cs="Times New Roman" w:eastAsia="Times New Roman" w:hAnsi="Times New Roman"/>
            <w:sz w:val="20"/>
            <w:szCs w:val="20"/>
            <w:color w:val="0000FF"/>
          </w:rPr>
          <w:t>2</w:t>
        </w:r>
      </w:hyperlink>
      <w:r>
        <w:rPr>
          <w:rFonts w:ascii="Times New Roman" w:cs="Times New Roman" w:eastAsia="Times New Roman" w:hAnsi="Times New Roman"/>
          <w:sz w:val="20"/>
          <w:szCs w:val="20"/>
          <w:color w:val="131413"/>
        </w:rPr>
        <w:t>).</w:t>
      </w:r>
    </w:p>
    <w:p>
      <w:pPr>
        <w:spacing w:after="0" w:line="146"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00" w:type="dxa"/>
            <w:vAlign w:val="bottom"/>
            <w:vMerge w:val="restart"/>
          </w:tcPr>
          <w:p>
            <w:pPr>
              <w:spacing w:after="0"/>
              <w:rPr>
                <w:sz w:val="20"/>
                <w:szCs w:val="20"/>
                <w:color w:val="auto"/>
              </w:rPr>
            </w:pPr>
            <w:r>
              <w:rPr>
                <w:rFonts w:ascii="Times New Roman" w:cs="Times New Roman" w:eastAsia="Times New Roman" w:hAnsi="Times New Roman"/>
                <w:sz w:val="20"/>
                <w:szCs w:val="20"/>
                <w:color w:val="131413"/>
              </w:rPr>
              <w:t>E</w:t>
            </w:r>
            <w:r>
              <w:rPr>
                <w:rFonts w:ascii="Arial" w:cs="Arial" w:eastAsia="Arial" w:hAnsi="Arial"/>
                <w:sz w:val="27"/>
                <w:szCs w:val="27"/>
                <w:color w:val="131413"/>
                <w:vertAlign w:val="subscript"/>
              </w:rPr>
              <w:t>α</w:t>
            </w:r>
            <w:r>
              <w:rPr>
                <w:rFonts w:ascii="Times New Roman" w:cs="Times New Roman" w:eastAsia="Times New Roman" w:hAnsi="Times New Roman"/>
                <w:sz w:val="20"/>
                <w:szCs w:val="20"/>
                <w:color w:val="131413"/>
              </w:rPr>
              <w:t xml:space="preserve"> </w:t>
            </w:r>
            <w:r>
              <w:rPr>
                <w:rFonts w:ascii="Arial" w:cs="Arial" w:eastAsia="Arial" w:hAnsi="Arial"/>
                <w:sz w:val="20"/>
                <w:szCs w:val="20"/>
                <w:color w:val="131413"/>
              </w:rPr>
              <w:t>¼</w:t>
            </w:r>
          </w:p>
        </w:tc>
        <w:tc>
          <w:tcPr>
            <w:tcW w:w="460" w:type="dxa"/>
            <w:vAlign w:val="bottom"/>
          </w:tcPr>
          <w:p>
            <w:pPr>
              <w:jc w:val="center"/>
              <w:spacing w:after="0"/>
              <w:rPr>
                <w:sz w:val="20"/>
                <w:szCs w:val="20"/>
                <w:color w:val="auto"/>
              </w:rPr>
            </w:pPr>
            <w:r>
              <w:rPr>
                <w:rFonts w:ascii="Times New Roman" w:cs="Times New Roman" w:eastAsia="Times New Roman" w:hAnsi="Times New Roman"/>
                <w:sz w:val="20"/>
                <w:szCs w:val="20"/>
                <w:color w:val="131413"/>
                <w:w w:val="99"/>
              </w:rPr>
              <w:t>1</w:t>
            </w:r>
          </w:p>
        </w:tc>
        <w:tc>
          <w:tcPr>
            <w:tcW w:w="400" w:type="dxa"/>
            <w:vAlign w:val="bottom"/>
          </w:tcPr>
          <w:p>
            <w:pPr>
              <w:spacing w:after="0"/>
              <w:rPr>
                <w:sz w:val="19"/>
                <w:szCs w:val="19"/>
                <w:color w:val="auto"/>
              </w:rPr>
            </w:pPr>
          </w:p>
        </w:tc>
        <w:tc>
          <w:tcPr>
            <w:tcW w:w="2160" w:type="dxa"/>
            <w:vAlign w:val="bottom"/>
          </w:tcPr>
          <w:p>
            <w:pPr>
              <w:spacing w:after="0"/>
              <w:rPr>
                <w:sz w:val="19"/>
                <w:szCs w:val="19"/>
                <w:color w:val="auto"/>
              </w:rPr>
            </w:pPr>
          </w:p>
        </w:tc>
        <w:tc>
          <w:tcPr>
            <w:tcW w:w="1240" w:type="dxa"/>
            <w:vAlign w:val="bottom"/>
            <w:vMerge w:val="restart"/>
          </w:tcPr>
          <w:p>
            <w:pPr>
              <w:jc w:val="right"/>
              <w:spacing w:after="0"/>
              <w:rPr>
                <w:sz w:val="20"/>
                <w:szCs w:val="20"/>
                <w:color w:val="auto"/>
              </w:rPr>
            </w:pPr>
            <w:r>
              <w:rPr>
                <w:rFonts w:ascii="Arial" w:cs="Arial" w:eastAsia="Arial" w:hAnsi="Arial"/>
                <w:sz w:val="20"/>
                <w:szCs w:val="20"/>
                <w:color w:val="131413"/>
              </w:rPr>
              <w:t>ð</w:t>
            </w:r>
            <w:r>
              <w:rPr>
                <w:rFonts w:ascii="Times New Roman" w:cs="Times New Roman" w:eastAsia="Times New Roman" w:hAnsi="Times New Roman"/>
                <w:sz w:val="20"/>
                <w:szCs w:val="20"/>
                <w:color w:val="131413"/>
              </w:rPr>
              <w:t>1</w:t>
            </w:r>
            <w:r>
              <w:rPr>
                <w:rFonts w:ascii="Arial" w:cs="Arial" w:eastAsia="Arial" w:hAnsi="Arial"/>
                <w:sz w:val="20"/>
                <w:szCs w:val="20"/>
                <w:color w:val="131413"/>
              </w:rPr>
              <w:t>Þ</w:t>
            </w:r>
          </w:p>
        </w:tc>
        <w:tc>
          <w:tcPr>
            <w:tcW w:w="0" w:type="dxa"/>
            <w:vAlign w:val="bottom"/>
          </w:tcPr>
          <w:p>
            <w:pPr>
              <w:spacing w:after="0"/>
              <w:rPr>
                <w:sz w:val="1"/>
                <w:szCs w:val="1"/>
                <w:color w:val="auto"/>
              </w:rPr>
            </w:pPr>
          </w:p>
        </w:tc>
      </w:tr>
      <w:tr>
        <w:trPr>
          <w:trHeight w:val="40"/>
        </w:trPr>
        <w:tc>
          <w:tcPr>
            <w:tcW w:w="500" w:type="dxa"/>
            <w:vAlign w:val="bottom"/>
            <w:vMerge w:val="continue"/>
          </w:tcPr>
          <w:p>
            <w:pPr>
              <w:spacing w:after="0"/>
              <w:rPr>
                <w:sz w:val="3"/>
                <w:szCs w:val="3"/>
                <w:color w:val="auto"/>
              </w:rPr>
            </w:pPr>
          </w:p>
        </w:tc>
        <w:tc>
          <w:tcPr>
            <w:tcW w:w="460" w:type="dxa"/>
            <w:vAlign w:val="bottom"/>
            <w:tcBorders>
              <w:bottom w:val="single" w:sz="8" w:color="131413"/>
            </w:tcBorders>
          </w:tcPr>
          <w:p>
            <w:pPr>
              <w:spacing w:after="0"/>
              <w:rPr>
                <w:sz w:val="3"/>
                <w:szCs w:val="3"/>
                <w:color w:val="auto"/>
              </w:rPr>
            </w:pPr>
          </w:p>
        </w:tc>
        <w:tc>
          <w:tcPr>
            <w:tcW w:w="400" w:type="dxa"/>
            <w:vAlign w:val="bottom"/>
            <w:vMerge w:val="restart"/>
          </w:tcPr>
          <w:p>
            <w:pPr>
              <w:spacing w:after="0"/>
              <w:rPr>
                <w:sz w:val="3"/>
                <w:szCs w:val="3"/>
                <w:color w:val="auto"/>
              </w:rPr>
            </w:pPr>
          </w:p>
        </w:tc>
        <w:tc>
          <w:tcPr>
            <w:tcW w:w="2160" w:type="dxa"/>
            <w:vAlign w:val="bottom"/>
          </w:tcPr>
          <w:p>
            <w:pPr>
              <w:spacing w:after="0"/>
              <w:rPr>
                <w:sz w:val="3"/>
                <w:szCs w:val="3"/>
                <w:color w:val="auto"/>
              </w:rPr>
            </w:pPr>
          </w:p>
        </w:tc>
        <w:tc>
          <w:tcPr>
            <w:tcW w:w="12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25"/>
        </w:trPr>
        <w:tc>
          <w:tcPr>
            <w:tcW w:w="500" w:type="dxa"/>
            <w:vAlign w:val="bottom"/>
            <w:vMerge w:val="continue"/>
          </w:tcPr>
          <w:p>
            <w:pPr>
              <w:spacing w:after="0"/>
              <w:rPr>
                <w:sz w:val="24"/>
                <w:szCs w:val="24"/>
                <w:color w:val="auto"/>
              </w:rPr>
            </w:pPr>
          </w:p>
        </w:tc>
        <w:tc>
          <w:tcPr>
            <w:tcW w:w="460" w:type="dxa"/>
            <w:vAlign w:val="bottom"/>
          </w:tcPr>
          <w:p>
            <w:pPr>
              <w:jc w:val="center"/>
              <w:spacing w:after="0"/>
              <w:rPr>
                <w:sz w:val="20"/>
                <w:szCs w:val="20"/>
                <w:color w:val="auto"/>
              </w:rPr>
            </w:pPr>
            <w:r>
              <w:rPr>
                <w:rFonts w:ascii="Times New Roman" w:cs="Times New Roman" w:eastAsia="Times New Roman" w:hAnsi="Times New Roman"/>
                <w:sz w:val="20"/>
                <w:szCs w:val="20"/>
                <w:color w:val="131413"/>
                <w:w w:val="94"/>
              </w:rPr>
              <w:t>1</w:t>
            </w:r>
            <w:r>
              <w:rPr>
                <w:rFonts w:ascii="Arial" w:cs="Arial" w:eastAsia="Arial" w:hAnsi="Arial"/>
                <w:sz w:val="20"/>
                <w:szCs w:val="20"/>
                <w:color w:val="131413"/>
                <w:w w:val="94"/>
              </w:rPr>
              <w:t>−</w:t>
            </w:r>
            <w:r>
              <w:rPr>
                <w:rFonts w:ascii="Times New Roman" w:cs="Times New Roman" w:eastAsia="Times New Roman" w:hAnsi="Times New Roman"/>
                <w:sz w:val="20"/>
                <w:szCs w:val="20"/>
                <w:color w:val="131413"/>
                <w:w w:val="94"/>
              </w:rPr>
              <w:t>Q</w:t>
            </w:r>
            <w:r>
              <w:rPr>
                <w:rFonts w:ascii="Arial" w:cs="Arial" w:eastAsia="Arial" w:hAnsi="Arial"/>
                <w:sz w:val="27"/>
                <w:szCs w:val="27"/>
                <w:color w:val="131413"/>
                <w:w w:val="94"/>
                <w:vertAlign w:val="subscript"/>
              </w:rPr>
              <w:t>α</w:t>
            </w:r>
          </w:p>
        </w:tc>
        <w:tc>
          <w:tcPr>
            <w:tcW w:w="400" w:type="dxa"/>
            <w:vAlign w:val="bottom"/>
            <w:vMerge w:val="continue"/>
          </w:tcPr>
          <w:p>
            <w:pPr>
              <w:spacing w:after="0"/>
              <w:rPr>
                <w:sz w:val="24"/>
                <w:szCs w:val="24"/>
                <w:color w:val="auto"/>
              </w:rPr>
            </w:pPr>
          </w:p>
        </w:tc>
        <w:tc>
          <w:tcPr>
            <w:tcW w:w="2160" w:type="dxa"/>
            <w:vAlign w:val="bottom"/>
          </w:tcPr>
          <w:p>
            <w:pPr>
              <w:spacing w:after="0"/>
              <w:rPr>
                <w:sz w:val="24"/>
                <w:szCs w:val="24"/>
                <w:color w:val="auto"/>
              </w:rPr>
            </w:pPr>
          </w:p>
        </w:tc>
        <w:tc>
          <w:tcPr>
            <w:tcW w:w="12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53"/>
        </w:trPr>
        <w:tc>
          <w:tcPr>
            <w:tcW w:w="500" w:type="dxa"/>
            <w:vAlign w:val="bottom"/>
          </w:tcPr>
          <w:p>
            <w:pPr>
              <w:spacing w:after="0"/>
              <w:rPr>
                <w:sz w:val="13"/>
                <w:szCs w:val="13"/>
                <w:color w:val="auto"/>
              </w:rPr>
            </w:pPr>
          </w:p>
        </w:tc>
        <w:tc>
          <w:tcPr>
            <w:tcW w:w="860" w:type="dxa"/>
            <w:vAlign w:val="bottom"/>
            <w:gridSpan w:val="2"/>
          </w:tcPr>
          <w:p>
            <w:pPr>
              <w:jc w:val="center"/>
              <w:ind w:right="360"/>
              <w:spacing w:after="0" w:line="153" w:lineRule="exact"/>
              <w:rPr>
                <w:sz w:val="20"/>
                <w:szCs w:val="20"/>
                <w:color w:val="auto"/>
              </w:rPr>
            </w:pPr>
            <w:r>
              <w:rPr>
                <w:rFonts w:ascii="Times New Roman" w:cs="Times New Roman" w:eastAsia="Times New Roman" w:hAnsi="Times New Roman"/>
                <w:sz w:val="14"/>
                <w:szCs w:val="14"/>
                <w:color w:val="131413"/>
              </w:rPr>
              <w:t>N   M</w:t>
            </w:r>
          </w:p>
        </w:tc>
        <w:tc>
          <w:tcPr>
            <w:tcW w:w="2160" w:type="dxa"/>
            <w:vAlign w:val="bottom"/>
          </w:tcPr>
          <w:p>
            <w:pPr>
              <w:ind w:left="140"/>
              <w:spacing w:after="0" w:line="153" w:lineRule="exact"/>
              <w:rPr>
                <w:sz w:val="20"/>
                <w:szCs w:val="20"/>
                <w:color w:val="auto"/>
              </w:rPr>
            </w:pPr>
            <w:r>
              <w:rPr>
                <w:rFonts w:ascii="Times New Roman" w:cs="Times New Roman" w:eastAsia="Times New Roman" w:hAnsi="Times New Roman"/>
                <w:sz w:val="14"/>
                <w:szCs w:val="14"/>
                <w:color w:val="131413"/>
              </w:rPr>
              <w:t>S</w:t>
            </w:r>
          </w:p>
        </w:tc>
        <w:tc>
          <w:tcPr>
            <w:tcW w:w="1240" w:type="dxa"/>
            <w:vAlign w:val="bottom"/>
            <w:vMerge w:val="restart"/>
          </w:tcPr>
          <w:p>
            <w:pPr>
              <w:jc w:val="right"/>
              <w:spacing w:after="0"/>
              <w:rPr>
                <w:sz w:val="20"/>
                <w:szCs w:val="20"/>
                <w:color w:val="auto"/>
              </w:rPr>
            </w:pPr>
            <w:r>
              <w:rPr>
                <w:rFonts w:ascii="Arial" w:cs="Arial" w:eastAsia="Arial" w:hAnsi="Arial"/>
                <w:sz w:val="20"/>
                <w:szCs w:val="20"/>
                <w:color w:val="131413"/>
              </w:rPr>
              <w:t>ð</w:t>
            </w:r>
            <w:r>
              <w:rPr>
                <w:rFonts w:ascii="Times New Roman" w:cs="Times New Roman" w:eastAsia="Times New Roman" w:hAnsi="Times New Roman"/>
                <w:sz w:val="20"/>
                <w:szCs w:val="20"/>
                <w:color w:val="131413"/>
              </w:rPr>
              <w:t>2</w:t>
            </w:r>
            <w:r>
              <w:rPr>
                <w:rFonts w:ascii="Arial" w:cs="Arial" w:eastAsia="Arial" w:hAnsi="Arial"/>
                <w:sz w:val="20"/>
                <w:szCs w:val="20"/>
                <w:color w:val="131413"/>
              </w:rPr>
              <w:t>Þ</w:t>
            </w:r>
          </w:p>
        </w:tc>
        <w:tc>
          <w:tcPr>
            <w:tcW w:w="0" w:type="dxa"/>
            <w:vAlign w:val="bottom"/>
          </w:tcPr>
          <w:p>
            <w:pPr>
              <w:spacing w:after="0"/>
              <w:rPr>
                <w:sz w:val="1"/>
                <w:szCs w:val="1"/>
                <w:color w:val="auto"/>
              </w:rPr>
            </w:pPr>
          </w:p>
        </w:tc>
      </w:tr>
      <w:tr>
        <w:trPr>
          <w:trHeight w:val="225"/>
        </w:trPr>
        <w:tc>
          <w:tcPr>
            <w:tcW w:w="1360" w:type="dxa"/>
            <w:vAlign w:val="bottom"/>
            <w:gridSpan w:val="3"/>
          </w:tcPr>
          <w:p>
            <w:pPr>
              <w:spacing w:after="0" w:line="224" w:lineRule="exact"/>
              <w:rPr>
                <w:sz w:val="20"/>
                <w:szCs w:val="20"/>
                <w:color w:val="auto"/>
              </w:rPr>
            </w:pPr>
            <w:r>
              <w:rPr>
                <w:rFonts w:ascii="Times New Roman" w:cs="Times New Roman" w:eastAsia="Times New Roman" w:hAnsi="Times New Roman"/>
                <w:sz w:val="19"/>
                <w:szCs w:val="19"/>
                <w:color w:val="131413"/>
              </w:rPr>
              <w:t>Q</w:t>
            </w:r>
            <w:r>
              <w:rPr>
                <w:rFonts w:ascii="Arial" w:cs="Arial" w:eastAsia="Arial" w:hAnsi="Arial"/>
                <w:sz w:val="25"/>
                <w:szCs w:val="25"/>
                <w:color w:val="131413"/>
                <w:vertAlign w:val="subscript"/>
              </w:rPr>
              <w:t>α</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¼</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 ∑</w:t>
            </w:r>
            <w:r>
              <w:rPr>
                <w:rFonts w:ascii="Times New Roman" w:cs="Times New Roman" w:eastAsia="Times New Roman" w:hAnsi="Times New Roman"/>
                <w:sz w:val="19"/>
                <w:szCs w:val="19"/>
                <w:color w:val="131413"/>
              </w:rPr>
              <w:t xml:space="preserve"> w</w:t>
            </w:r>
            <w:r>
              <w:rPr>
                <w:rFonts w:ascii="Times New Roman" w:cs="Times New Roman" w:eastAsia="Times New Roman" w:hAnsi="Times New Roman"/>
                <w:sz w:val="25"/>
                <w:szCs w:val="25"/>
                <w:color w:val="131413"/>
                <w:vertAlign w:val="subscript"/>
              </w:rPr>
              <w:t>im</w:t>
            </w:r>
          </w:p>
        </w:tc>
        <w:tc>
          <w:tcPr>
            <w:tcW w:w="2160" w:type="dxa"/>
            <w:vAlign w:val="bottom"/>
          </w:tcPr>
          <w:p>
            <w:pPr>
              <w:ind w:left="120"/>
              <w:spacing w:after="0" w:line="224" w:lineRule="exact"/>
              <w:rPr>
                <w:sz w:val="20"/>
                <w:szCs w:val="20"/>
                <w:color w:val="auto"/>
              </w:rPr>
            </w:pPr>
            <w:r>
              <w:rPr>
                <w:rFonts w:ascii="Arial" w:cs="Arial" w:eastAsia="Arial" w:hAnsi="Arial"/>
                <w:sz w:val="15"/>
                <w:szCs w:val="15"/>
                <w:color w:val="131413"/>
              </w:rPr>
              <w:t xml:space="preserve">∑ </w:t>
            </w:r>
            <w:r>
              <w:rPr>
                <w:rFonts w:ascii="Times New Roman" w:cs="Times New Roman" w:eastAsia="Times New Roman" w:hAnsi="Times New Roman"/>
                <w:sz w:val="25"/>
                <w:szCs w:val="25"/>
                <w:color w:val="131413"/>
                <w:vertAlign w:val="superscript"/>
              </w:rPr>
              <w:t>p</w:t>
            </w:r>
            <w:r>
              <w:rPr>
                <w:rFonts w:ascii="Times New Roman" w:cs="Times New Roman" w:eastAsia="Times New Roman" w:hAnsi="Times New Roman"/>
                <w:sz w:val="11"/>
                <w:szCs w:val="11"/>
                <w:color w:val="131413"/>
              </w:rPr>
              <w:t>kim</w:t>
            </w:r>
            <w:r>
              <w:rPr>
                <w:rFonts w:ascii="Times New Roman" w:cs="Times New Roman" w:eastAsia="Times New Roman" w:hAnsi="Times New Roman"/>
                <w:sz w:val="25"/>
                <w:szCs w:val="25"/>
                <w:color w:val="131413"/>
                <w:vertAlign w:val="superscript"/>
              </w:rPr>
              <w:t>p</w:t>
            </w:r>
            <w:r>
              <w:rPr>
                <w:rFonts w:ascii="Times New Roman" w:cs="Times New Roman" w:eastAsia="Times New Roman" w:hAnsi="Times New Roman"/>
                <w:sz w:val="11"/>
                <w:szCs w:val="11"/>
                <w:color w:val="131413"/>
              </w:rPr>
              <w:t>lim</w:t>
            </w:r>
            <w:r>
              <w:rPr>
                <w:rFonts w:ascii="Times New Roman" w:cs="Times New Roman" w:eastAsia="Times New Roman" w:hAnsi="Times New Roman"/>
                <w:sz w:val="25"/>
                <w:szCs w:val="25"/>
                <w:color w:val="131413"/>
                <w:vertAlign w:val="superscript"/>
              </w:rPr>
              <w:t>d</w:t>
            </w:r>
            <w:r>
              <w:rPr>
                <w:rFonts w:ascii="Times New Roman" w:cs="Times New Roman" w:eastAsia="Times New Roman" w:hAnsi="Times New Roman"/>
                <w:sz w:val="11"/>
                <w:szCs w:val="11"/>
                <w:color w:val="131413"/>
              </w:rPr>
              <w:t>kl</w:t>
            </w:r>
          </w:p>
        </w:tc>
        <w:tc>
          <w:tcPr>
            <w:tcW w:w="124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54"/>
        </w:trPr>
        <w:tc>
          <w:tcPr>
            <w:tcW w:w="500" w:type="dxa"/>
            <w:vAlign w:val="bottom"/>
          </w:tcPr>
          <w:p>
            <w:pPr>
              <w:spacing w:after="0"/>
              <w:rPr>
                <w:sz w:val="22"/>
                <w:szCs w:val="22"/>
                <w:color w:val="auto"/>
              </w:rPr>
            </w:pPr>
          </w:p>
        </w:tc>
        <w:tc>
          <w:tcPr>
            <w:tcW w:w="860" w:type="dxa"/>
            <w:vAlign w:val="bottom"/>
            <w:gridSpan w:val="2"/>
          </w:tcPr>
          <w:p>
            <w:pPr>
              <w:spacing w:after="0"/>
              <w:rPr>
                <w:sz w:val="20"/>
                <w:szCs w:val="20"/>
                <w:color w:val="auto"/>
              </w:rPr>
            </w:pPr>
            <w:r>
              <w:rPr>
                <w:rFonts w:ascii="Times New Roman" w:cs="Times New Roman" w:eastAsia="Times New Roman" w:hAnsi="Times New Roman"/>
                <w:sz w:val="14"/>
                <w:szCs w:val="14"/>
                <w:color w:val="131413"/>
              </w:rPr>
              <w:t>i</w:t>
            </w:r>
            <w:r>
              <w:rPr>
                <w:rFonts w:ascii="Arial" w:cs="Arial" w:eastAsia="Arial" w:hAnsi="Arial"/>
                <w:sz w:val="14"/>
                <w:szCs w:val="14"/>
                <w:color w:val="131413"/>
              </w:rPr>
              <w:t>¼</w:t>
            </w:r>
            <w:r>
              <w:rPr>
                <w:rFonts w:ascii="Times New Roman" w:cs="Times New Roman" w:eastAsia="Times New Roman" w:hAnsi="Times New Roman"/>
                <w:sz w:val="14"/>
                <w:szCs w:val="14"/>
                <w:color w:val="131413"/>
              </w:rPr>
              <w:t>1 m</w:t>
            </w:r>
            <w:r>
              <w:rPr>
                <w:rFonts w:ascii="Arial" w:cs="Arial" w:eastAsia="Arial" w:hAnsi="Arial"/>
                <w:sz w:val="14"/>
                <w:szCs w:val="14"/>
                <w:color w:val="131413"/>
              </w:rPr>
              <w:t>¼</w:t>
            </w:r>
            <w:r>
              <w:rPr>
                <w:rFonts w:ascii="Times New Roman" w:cs="Times New Roman" w:eastAsia="Times New Roman" w:hAnsi="Times New Roman"/>
                <w:sz w:val="14"/>
                <w:szCs w:val="14"/>
                <w:color w:val="131413"/>
              </w:rPr>
              <w:t>1</w:t>
            </w:r>
          </w:p>
        </w:tc>
        <w:tc>
          <w:tcPr>
            <w:tcW w:w="2160" w:type="dxa"/>
            <w:vAlign w:val="bottom"/>
          </w:tcPr>
          <w:p>
            <w:pPr>
              <w:ind w:left="20"/>
              <w:spacing w:after="0"/>
              <w:rPr>
                <w:sz w:val="20"/>
                <w:szCs w:val="20"/>
                <w:color w:val="auto"/>
              </w:rPr>
            </w:pPr>
            <w:r>
              <w:rPr>
                <w:rFonts w:ascii="Times New Roman" w:cs="Times New Roman" w:eastAsia="Times New Roman" w:hAnsi="Times New Roman"/>
                <w:sz w:val="14"/>
                <w:szCs w:val="14"/>
                <w:color w:val="131413"/>
              </w:rPr>
              <w:t>k</w:t>
            </w:r>
            <w:r>
              <w:rPr>
                <w:rFonts w:ascii="Arial" w:cs="Arial" w:eastAsia="Arial" w:hAnsi="Arial"/>
                <w:sz w:val="14"/>
                <w:szCs w:val="14"/>
                <w:color w:val="131413"/>
              </w:rPr>
              <w:t>;</w:t>
            </w:r>
            <w:r>
              <w:rPr>
                <w:rFonts w:ascii="Times New Roman" w:cs="Times New Roman" w:eastAsia="Times New Roman" w:hAnsi="Times New Roman"/>
                <w:sz w:val="14"/>
                <w:szCs w:val="14"/>
                <w:color w:val="131413"/>
              </w:rPr>
              <w:t>l</w:t>
            </w:r>
            <w:r>
              <w:rPr>
                <w:rFonts w:ascii="Arial" w:cs="Arial" w:eastAsia="Arial" w:hAnsi="Arial"/>
                <w:sz w:val="14"/>
                <w:szCs w:val="14"/>
                <w:color w:val="131413"/>
              </w:rPr>
              <w:t>¼</w:t>
            </w:r>
            <w:r>
              <w:rPr>
                <w:rFonts w:ascii="Times New Roman" w:cs="Times New Roman" w:eastAsia="Times New Roman" w:hAnsi="Times New Roman"/>
                <w:sz w:val="14"/>
                <w:szCs w:val="14"/>
                <w:color w:val="131413"/>
              </w:rPr>
              <w:t>1</w:t>
            </w:r>
          </w:p>
        </w:tc>
        <w:tc>
          <w:tcPr>
            <w:tcW w:w="124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99" w:lineRule="exact"/>
        <w:rPr>
          <w:sz w:val="20"/>
          <w:szCs w:val="20"/>
          <w:color w:val="auto"/>
        </w:rPr>
      </w:pPr>
    </w:p>
    <w:p>
      <w:pPr>
        <w:jc w:val="both"/>
        <w:spacing w:after="0" w:line="259" w:lineRule="auto"/>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t>where N is the number of groups (N = 18). M is the number of patches in each group (M = 3). w</w:t>
      </w:r>
      <w:r>
        <w:rPr>
          <w:rFonts w:ascii="Times New Roman" w:cs="Times New Roman" w:eastAsia="Times New Roman" w:hAnsi="Times New Roman"/>
          <w:sz w:val="23"/>
          <w:szCs w:val="23"/>
          <w:color w:val="131413"/>
          <w:vertAlign w:val="subscript"/>
        </w:rPr>
        <w:t>im</w:t>
      </w:r>
      <w:r>
        <w:rPr>
          <w:rFonts w:ascii="Times New Roman" w:cs="Times New Roman" w:eastAsia="Times New Roman" w:hAnsi="Times New Roman"/>
          <w:sz w:val="18"/>
          <w:szCs w:val="18"/>
          <w:color w:val="131413"/>
        </w:rPr>
        <w:t xml:space="preserve"> is the weight attributed to patch m in group i. In the same group, we think all the patches contributed equally to the group, so we give the equal weight to each patch in the same group, that is w</w:t>
      </w:r>
      <w:r>
        <w:rPr>
          <w:rFonts w:ascii="Times New Roman" w:cs="Times New Roman" w:eastAsia="Times New Roman" w:hAnsi="Times New Roman"/>
          <w:sz w:val="23"/>
          <w:szCs w:val="23"/>
          <w:color w:val="131413"/>
          <w:vertAlign w:val="subscript"/>
        </w:rPr>
        <w:t>im</w:t>
      </w:r>
      <w:r>
        <w:rPr>
          <w:rFonts w:ascii="Times New Roman" w:cs="Times New Roman" w:eastAsia="Times New Roman" w:hAnsi="Times New Roman"/>
          <w:sz w:val="18"/>
          <w:szCs w:val="18"/>
          <w:color w:val="131413"/>
        </w:rPr>
        <w:t>=1/MN for patch m in group i. p</w:t>
      </w:r>
      <w:r>
        <w:rPr>
          <w:rFonts w:ascii="Times New Roman" w:cs="Times New Roman" w:eastAsia="Times New Roman" w:hAnsi="Times New Roman"/>
          <w:sz w:val="23"/>
          <w:szCs w:val="23"/>
          <w:color w:val="131413"/>
          <w:vertAlign w:val="subscript"/>
        </w:rPr>
        <w:t>kim</w:t>
      </w:r>
      <w:r>
        <w:rPr>
          <w:rFonts w:ascii="Times New Roman" w:cs="Times New Roman" w:eastAsia="Times New Roman" w:hAnsi="Times New Roman"/>
          <w:sz w:val="18"/>
          <w:szCs w:val="18"/>
          <w:color w:val="131413"/>
        </w:rPr>
        <w:t xml:space="preserve"> is the relative abundance of species k in patch m of group i. p</w:t>
      </w:r>
      <w:r>
        <w:rPr>
          <w:rFonts w:ascii="Times New Roman" w:cs="Times New Roman" w:eastAsia="Times New Roman" w:hAnsi="Times New Roman"/>
          <w:sz w:val="23"/>
          <w:szCs w:val="23"/>
          <w:color w:val="131413"/>
          <w:vertAlign w:val="subscript"/>
        </w:rPr>
        <w:t>lim</w:t>
      </w:r>
      <w:r>
        <w:rPr>
          <w:rFonts w:ascii="Times New Roman" w:cs="Times New Roman" w:eastAsia="Times New Roman" w:hAnsi="Times New Roman"/>
          <w:sz w:val="18"/>
          <w:szCs w:val="18"/>
          <w:color w:val="131413"/>
        </w:rPr>
        <w:t xml:space="preserve"> is the relative abundance of species l in patch m of group i. S is the number of species. d</w:t>
      </w:r>
      <w:r>
        <w:rPr>
          <w:rFonts w:ascii="Times New Roman" w:cs="Times New Roman" w:eastAsia="Times New Roman" w:hAnsi="Times New Roman"/>
          <w:sz w:val="23"/>
          <w:szCs w:val="23"/>
          <w:color w:val="131413"/>
          <w:vertAlign w:val="subscript"/>
        </w:rPr>
        <w:t>kl</w:t>
      </w:r>
      <w:r>
        <w:rPr>
          <w:rFonts w:ascii="Times New Roman" w:cs="Times New Roman" w:eastAsia="Times New Roman" w:hAnsi="Times New Roman"/>
          <w:sz w:val="18"/>
          <w:szCs w:val="18"/>
          <w:color w:val="131413"/>
        </w:rPr>
        <w:t xml:space="preserve"> is the dissimilarity between species k and species l. The taxonomic dissimilarities between two species were defined by Pavoine et al. (</w:t>
      </w:r>
      <w:hyperlink w:anchor="page9">
        <w:r>
          <w:rPr>
            <w:rFonts w:ascii="Times New Roman" w:cs="Times New Roman" w:eastAsia="Times New Roman" w:hAnsi="Times New Roman"/>
            <w:sz w:val="18"/>
            <w:szCs w:val="18"/>
            <w:color w:val="0000FF"/>
          </w:rPr>
          <w:t>2016</w:t>
        </w:r>
      </w:hyperlink>
      <w:r>
        <w:rPr>
          <w:rFonts w:ascii="Times New Roman" w:cs="Times New Roman" w:eastAsia="Times New Roman" w:hAnsi="Times New Roman"/>
          <w:sz w:val="18"/>
          <w:szCs w:val="18"/>
          <w:color w:val="131413"/>
        </w:rPr>
        <w:t>): 0.25 for species in the same genus, 0.5 for species in the same family but different genera, 0.75 for species in the same order but different families, and 1 for species at different orders.</w:t>
      </w:r>
    </w:p>
    <w:p>
      <w:pPr>
        <w:spacing w:after="0" w:line="5" w:lineRule="exact"/>
        <w:rPr>
          <w:sz w:val="20"/>
          <w:szCs w:val="20"/>
          <w:color w:val="auto"/>
        </w:rPr>
      </w:pPr>
    </w:p>
    <w:p>
      <w:pPr>
        <w:jc w:val="both"/>
        <w:ind w:firstLine="227"/>
        <w:spacing w:after="0" w:line="225"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equivalent number for </w:t>
      </w:r>
      <w:r>
        <w:rPr>
          <w:rFonts w:ascii="Arial" w:cs="Arial" w:eastAsia="Arial" w:hAnsi="Arial"/>
          <w:sz w:val="20"/>
          <w:szCs w:val="20"/>
          <w:color w:val="131413"/>
        </w:rPr>
        <w:t>β</w:t>
      </w:r>
      <w:r>
        <w:rPr>
          <w:rFonts w:ascii="Times New Roman" w:cs="Times New Roman" w:eastAsia="Times New Roman" w:hAnsi="Times New Roman"/>
          <w:sz w:val="26"/>
          <w:szCs w:val="26"/>
          <w:color w:val="131413"/>
          <w:vertAlign w:val="subscript"/>
        </w:rPr>
        <w:t>1</w:t>
      </w:r>
      <w:r>
        <w:rPr>
          <w:rFonts w:ascii="Times New Roman" w:cs="Times New Roman" w:eastAsia="Times New Roman" w:hAnsi="Times New Roman"/>
          <w:sz w:val="20"/>
          <w:szCs w:val="20"/>
          <w:color w:val="131413"/>
        </w:rPr>
        <w:t>-diversity among patches within groups was calculated following Eq. (</w:t>
      </w:r>
      <w:hyperlink w:anchor="page9">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131413"/>
        </w:rPr>
        <w:t>) and (</w:t>
      </w:r>
      <w:hyperlink w:anchor="page9">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131413"/>
        </w:rPr>
        <w:t>).</w:t>
      </w:r>
    </w:p>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339"/>
        </w:trPr>
        <w:tc>
          <w:tcPr>
            <w:tcW w:w="560" w:type="dxa"/>
            <w:vAlign w:val="bottom"/>
            <w:gridSpan w:val="3"/>
            <w:vMerge w:val="restart"/>
          </w:tcPr>
          <w:p>
            <w:pPr>
              <w:spacing w:after="0"/>
              <w:rPr>
                <w:sz w:val="20"/>
                <w:szCs w:val="20"/>
                <w:color w:val="auto"/>
              </w:rPr>
            </w:pPr>
            <w:r>
              <w:rPr>
                <w:rFonts w:ascii="Times New Roman" w:cs="Times New Roman" w:eastAsia="Times New Roman" w:hAnsi="Times New Roman"/>
                <w:sz w:val="20"/>
                <w:szCs w:val="20"/>
                <w:color w:val="131413"/>
              </w:rPr>
              <w:t>E</w:t>
            </w:r>
            <w:r>
              <w:rPr>
                <w:rFonts w:ascii="Arial" w:cs="Arial" w:eastAsia="Arial" w:hAnsi="Arial"/>
                <w:sz w:val="27"/>
                <w:szCs w:val="27"/>
                <w:color w:val="131413"/>
                <w:vertAlign w:val="subscript"/>
              </w:rPr>
              <w:t>β</w:t>
            </w:r>
            <w:r>
              <w:rPr>
                <w:rFonts w:ascii="Times New Roman" w:cs="Times New Roman" w:eastAsia="Times New Roman" w:hAnsi="Times New Roman"/>
                <w:sz w:val="27"/>
                <w:szCs w:val="27"/>
                <w:color w:val="131413"/>
                <w:vertAlign w:val="subscript"/>
              </w:rPr>
              <w:t>1</w:t>
            </w:r>
            <w:r>
              <w:rPr>
                <w:rFonts w:ascii="Times New Roman" w:cs="Times New Roman" w:eastAsia="Times New Roman" w:hAnsi="Times New Roman"/>
                <w:sz w:val="20"/>
                <w:szCs w:val="20"/>
                <w:color w:val="131413"/>
              </w:rPr>
              <w:t xml:space="preserve"> </w:t>
            </w:r>
            <w:r>
              <w:rPr>
                <w:rFonts w:ascii="Arial" w:cs="Arial" w:eastAsia="Arial" w:hAnsi="Arial"/>
                <w:sz w:val="20"/>
                <w:szCs w:val="20"/>
                <w:color w:val="131413"/>
              </w:rPr>
              <w:t>¼</w:t>
            </w:r>
          </w:p>
        </w:tc>
        <w:tc>
          <w:tcPr>
            <w:tcW w:w="140" w:type="dxa"/>
            <w:vAlign w:val="bottom"/>
            <w:tcBorders>
              <w:bottom w:val="single" w:sz="8" w:color="131413"/>
            </w:tcBorders>
          </w:tcPr>
          <w:p>
            <w:pPr>
              <w:spacing w:after="0"/>
              <w:rPr>
                <w:sz w:val="24"/>
                <w:szCs w:val="24"/>
                <w:color w:val="auto"/>
              </w:rPr>
            </w:pPr>
          </w:p>
        </w:tc>
        <w:tc>
          <w:tcPr>
            <w:tcW w:w="640" w:type="dxa"/>
            <w:vAlign w:val="bottom"/>
            <w:tcBorders>
              <w:bottom w:val="single" w:sz="8" w:color="131413"/>
            </w:tcBorders>
            <w:gridSpan w:val="3"/>
          </w:tcPr>
          <w:p>
            <w:pPr>
              <w:ind w:left="200"/>
              <w:spacing w:after="0"/>
              <w:rPr>
                <w:sz w:val="20"/>
                <w:szCs w:val="20"/>
                <w:color w:val="auto"/>
              </w:rPr>
            </w:pPr>
            <w:r>
              <w:rPr>
                <w:rFonts w:ascii="Times New Roman" w:cs="Times New Roman" w:eastAsia="Times New Roman" w:hAnsi="Times New Roman"/>
                <w:sz w:val="20"/>
                <w:szCs w:val="20"/>
                <w:color w:val="131413"/>
                <w:w w:val="90"/>
              </w:rPr>
              <w:t>1</w:t>
            </w:r>
            <w:r>
              <w:rPr>
                <w:rFonts w:ascii="Arial" w:cs="Arial" w:eastAsia="Arial" w:hAnsi="Arial"/>
                <w:sz w:val="20"/>
                <w:szCs w:val="20"/>
                <w:color w:val="131413"/>
                <w:w w:val="90"/>
              </w:rPr>
              <w:t>−</w:t>
            </w:r>
            <w:r>
              <w:rPr>
                <w:rFonts w:ascii="Times New Roman" w:cs="Times New Roman" w:eastAsia="Times New Roman" w:hAnsi="Times New Roman"/>
                <w:sz w:val="20"/>
                <w:szCs w:val="20"/>
                <w:color w:val="131413"/>
                <w:w w:val="90"/>
              </w:rPr>
              <w:t>Q</w:t>
            </w:r>
            <w:r>
              <w:rPr>
                <w:rFonts w:ascii="Arial" w:cs="Arial" w:eastAsia="Arial" w:hAnsi="Arial"/>
                <w:sz w:val="27"/>
                <w:szCs w:val="27"/>
                <w:color w:val="131413"/>
                <w:w w:val="90"/>
                <w:vertAlign w:val="subscript"/>
              </w:rPr>
              <w:t>α</w:t>
            </w:r>
          </w:p>
        </w:tc>
        <w:tc>
          <w:tcPr>
            <w:tcW w:w="120" w:type="dxa"/>
            <w:vAlign w:val="bottom"/>
            <w:tcBorders>
              <w:bottom w:val="single" w:sz="8" w:color="131413"/>
            </w:tcBorders>
          </w:tcPr>
          <w:p>
            <w:pPr>
              <w:spacing w:after="0"/>
              <w:rPr>
                <w:sz w:val="24"/>
                <w:szCs w:val="24"/>
                <w:color w:val="auto"/>
              </w:rPr>
            </w:pPr>
          </w:p>
        </w:tc>
        <w:tc>
          <w:tcPr>
            <w:tcW w:w="100" w:type="dxa"/>
            <w:vAlign w:val="bottom"/>
            <w:tcBorders>
              <w:bottom w:val="single" w:sz="8" w:color="131413"/>
            </w:tcBorders>
          </w:tcPr>
          <w:p>
            <w:pPr>
              <w:spacing w:after="0"/>
              <w:rPr>
                <w:sz w:val="24"/>
                <w:szCs w:val="24"/>
                <w:color w:val="auto"/>
              </w:rPr>
            </w:pPr>
          </w:p>
        </w:tc>
        <w:tc>
          <w:tcPr>
            <w:tcW w:w="20" w:type="dxa"/>
            <w:vAlign w:val="bottom"/>
            <w:tcBorders>
              <w:bottom w:val="single" w:sz="8" w:color="131413"/>
            </w:tcBorders>
          </w:tcPr>
          <w:p>
            <w:pPr>
              <w:spacing w:after="0"/>
              <w:rPr>
                <w:sz w:val="24"/>
                <w:szCs w:val="24"/>
                <w:color w:val="auto"/>
              </w:rPr>
            </w:pPr>
          </w:p>
        </w:tc>
        <w:tc>
          <w:tcPr>
            <w:tcW w:w="60" w:type="dxa"/>
            <w:vAlign w:val="bottom"/>
            <w:tcBorders>
              <w:bottom w:val="single" w:sz="8" w:color="131413"/>
            </w:tcBorders>
          </w:tcPr>
          <w:p>
            <w:pPr>
              <w:spacing w:after="0"/>
              <w:rPr>
                <w:sz w:val="24"/>
                <w:szCs w:val="24"/>
                <w:color w:val="auto"/>
              </w:rPr>
            </w:pPr>
          </w:p>
        </w:tc>
        <w:tc>
          <w:tcPr>
            <w:tcW w:w="40" w:type="dxa"/>
            <w:vAlign w:val="bottom"/>
            <w:tcBorders>
              <w:bottom w:val="single" w:sz="8" w:color="131413"/>
            </w:tcBorders>
          </w:tcPr>
          <w:p>
            <w:pPr>
              <w:spacing w:after="0"/>
              <w:rPr>
                <w:sz w:val="24"/>
                <w:szCs w:val="24"/>
                <w:color w:val="auto"/>
              </w:rPr>
            </w:pPr>
          </w:p>
        </w:tc>
        <w:tc>
          <w:tcPr>
            <w:tcW w:w="20" w:type="dxa"/>
            <w:vAlign w:val="bottom"/>
            <w:tcBorders>
              <w:bottom w:val="single" w:sz="8" w:color="131413"/>
            </w:tcBorders>
          </w:tcPr>
          <w:p>
            <w:pPr>
              <w:spacing w:after="0"/>
              <w:rPr>
                <w:sz w:val="24"/>
                <w:szCs w:val="24"/>
                <w:color w:val="auto"/>
              </w:rPr>
            </w:pPr>
          </w:p>
        </w:tc>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700" w:type="dxa"/>
            <w:vAlign w:val="bottom"/>
            <w:vMerge w:val="restart"/>
          </w:tcPr>
          <w:p>
            <w:pPr>
              <w:jc w:val="right"/>
              <w:spacing w:after="0"/>
              <w:rPr>
                <w:sz w:val="20"/>
                <w:szCs w:val="20"/>
                <w:color w:val="auto"/>
              </w:rPr>
            </w:pPr>
            <w:r>
              <w:rPr>
                <w:rFonts w:ascii="Arial" w:cs="Arial" w:eastAsia="Arial" w:hAnsi="Arial"/>
                <w:sz w:val="20"/>
                <w:szCs w:val="20"/>
                <w:color w:val="131413"/>
              </w:rPr>
              <w:t>ð</w:t>
            </w:r>
            <w:r>
              <w:rPr>
                <w:rFonts w:ascii="Times New Roman" w:cs="Times New Roman" w:eastAsia="Times New Roman" w:hAnsi="Times New Roman"/>
                <w:sz w:val="20"/>
                <w:szCs w:val="20"/>
                <w:color w:val="131413"/>
              </w:rPr>
              <w:t>3</w:t>
            </w:r>
            <w:r>
              <w:rPr>
                <w:rFonts w:ascii="Arial" w:cs="Arial" w:eastAsia="Arial" w:hAnsi="Arial"/>
                <w:sz w:val="20"/>
                <w:szCs w:val="20"/>
                <w:color w:val="131413"/>
              </w:rPr>
              <w:t>Þ</w:t>
            </w:r>
          </w:p>
        </w:tc>
        <w:tc>
          <w:tcPr>
            <w:tcW w:w="0" w:type="dxa"/>
            <w:vAlign w:val="bottom"/>
          </w:tcPr>
          <w:p>
            <w:pPr>
              <w:spacing w:after="0"/>
              <w:rPr>
                <w:sz w:val="1"/>
                <w:szCs w:val="1"/>
                <w:color w:val="auto"/>
              </w:rPr>
            </w:pPr>
          </w:p>
        </w:tc>
      </w:tr>
      <w:tr>
        <w:trPr>
          <w:trHeight w:val="214"/>
        </w:trPr>
        <w:tc>
          <w:tcPr>
            <w:tcW w:w="560" w:type="dxa"/>
            <w:vAlign w:val="bottom"/>
            <w:gridSpan w:val="3"/>
            <w:vMerge w:val="continue"/>
          </w:tcPr>
          <w:p>
            <w:pPr>
              <w:spacing w:after="0"/>
              <w:rPr>
                <w:sz w:val="18"/>
                <w:szCs w:val="18"/>
                <w:color w:val="auto"/>
              </w:rPr>
            </w:pPr>
          </w:p>
        </w:tc>
        <w:tc>
          <w:tcPr>
            <w:tcW w:w="1020" w:type="dxa"/>
            <w:vAlign w:val="bottom"/>
            <w:gridSpan w:val="7"/>
          </w:tcPr>
          <w:p>
            <w:pPr>
              <w:spacing w:after="0" w:line="212" w:lineRule="exact"/>
              <w:rPr>
                <w:sz w:val="20"/>
                <w:szCs w:val="20"/>
                <w:color w:val="auto"/>
              </w:rPr>
            </w:pPr>
            <w:r>
              <w:rPr>
                <w:rFonts w:ascii="Times New Roman" w:cs="Times New Roman" w:eastAsia="Times New Roman" w:hAnsi="Times New Roman"/>
                <w:sz w:val="24"/>
                <w:szCs w:val="24"/>
                <w:color w:val="131413"/>
                <w:vertAlign w:val="superscript"/>
              </w:rPr>
              <w:t>1</w:t>
            </w:r>
            <w:r>
              <w:rPr>
                <w:rFonts w:ascii="Arial" w:cs="Arial" w:eastAsia="Arial" w:hAnsi="Arial"/>
                <w:sz w:val="24"/>
                <w:szCs w:val="24"/>
                <w:color w:val="131413"/>
                <w:vertAlign w:val="superscript"/>
              </w:rPr>
              <w:t>−</w:t>
            </w:r>
            <w:r>
              <w:rPr>
                <w:rFonts w:ascii="Times New Roman" w:cs="Times New Roman" w:eastAsia="Times New Roman" w:hAnsi="Times New Roman"/>
                <w:sz w:val="24"/>
                <w:szCs w:val="24"/>
                <w:color w:val="131413"/>
                <w:vertAlign w:val="superscript"/>
              </w:rPr>
              <w:t>Q</w:t>
            </w:r>
            <w:r>
              <w:rPr>
                <w:rFonts w:ascii="Arial" w:cs="Arial" w:eastAsia="Arial" w:hAnsi="Arial"/>
                <w:sz w:val="11"/>
                <w:szCs w:val="11"/>
                <w:color w:val="131413"/>
              </w:rPr>
              <w:t>α</w:t>
            </w:r>
            <w:r>
              <w:rPr>
                <w:rFonts w:ascii="Arial" w:cs="Arial" w:eastAsia="Arial" w:hAnsi="Arial"/>
                <w:sz w:val="24"/>
                <w:szCs w:val="24"/>
                <w:color w:val="131413"/>
                <w:vertAlign w:val="superscript"/>
              </w:rPr>
              <w:t>−</w:t>
            </w:r>
            <w:r>
              <w:rPr>
                <w:rFonts w:ascii="Times New Roman" w:cs="Times New Roman" w:eastAsia="Times New Roman" w:hAnsi="Times New Roman"/>
                <w:sz w:val="24"/>
                <w:szCs w:val="24"/>
                <w:color w:val="131413"/>
                <w:vertAlign w:val="superscript"/>
              </w:rPr>
              <w:t>Q</w:t>
            </w:r>
            <w:r>
              <w:rPr>
                <w:rFonts w:ascii="Arial" w:cs="Arial" w:eastAsia="Arial" w:hAnsi="Arial"/>
                <w:sz w:val="11"/>
                <w:szCs w:val="11"/>
                <w:color w:val="131413"/>
              </w:rPr>
              <w:t>β</w:t>
            </w:r>
            <w:r>
              <w:rPr>
                <w:rFonts w:ascii="Times New Roman" w:cs="Times New Roman" w:eastAsia="Times New Roman" w:hAnsi="Times New Roman"/>
                <w:sz w:val="11"/>
                <w:szCs w:val="11"/>
                <w:color w:val="131413"/>
              </w:rPr>
              <w:t>plot</w:t>
            </w:r>
          </w:p>
        </w:tc>
        <w:tc>
          <w:tcPr>
            <w:tcW w:w="60" w:type="dxa"/>
            <w:vAlign w:val="bottom"/>
            <w:tcBorders>
              <w:bottom w:val="single" w:sz="8" w:color="auto"/>
            </w:tcBorders>
          </w:tcPr>
          <w:p>
            <w:pPr>
              <w:spacing w:after="0"/>
              <w:rPr>
                <w:sz w:val="18"/>
                <w:szCs w:val="18"/>
                <w:color w:val="auto"/>
              </w:rPr>
            </w:pPr>
          </w:p>
        </w:tc>
        <w:tc>
          <w:tcPr>
            <w:tcW w:w="40" w:type="dxa"/>
            <w:vAlign w:val="bottom"/>
          </w:tcPr>
          <w:p>
            <w:pPr>
              <w:spacing w:after="0"/>
              <w:rPr>
                <w:sz w:val="20"/>
                <w:szCs w:val="20"/>
                <w:color w:val="auto"/>
              </w:rPr>
            </w:pPr>
            <w:r>
              <w:rPr>
                <w:rFonts w:ascii="Times New Roman" w:cs="Times New Roman" w:eastAsia="Times New Roman" w:hAnsi="Times New Roman"/>
                <w:sz w:val="10"/>
                <w:szCs w:val="10"/>
                <w:color w:val="131413"/>
                <w:w w:val="70"/>
              </w:rPr>
              <w:t>i</w:t>
            </w:r>
          </w:p>
        </w:tc>
        <w:tc>
          <w:tcPr>
            <w:tcW w:w="2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7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477"/>
        </w:trPr>
        <w:tc>
          <w:tcPr>
            <w:tcW w:w="100" w:type="dxa"/>
            <w:vAlign w:val="bottom"/>
          </w:tcPr>
          <w:p>
            <w:pPr>
              <w:spacing w:after="0"/>
              <w:rPr>
                <w:sz w:val="24"/>
                <w:szCs w:val="24"/>
                <w:color w:val="auto"/>
              </w:rPr>
            </w:pPr>
          </w:p>
        </w:tc>
        <w:tc>
          <w:tcPr>
            <w:tcW w:w="340" w:type="dxa"/>
            <w:vAlign w:val="bottom"/>
          </w:tcPr>
          <w:p>
            <w:pPr>
              <w:spacing w:after="0"/>
              <w:rPr>
                <w:sz w:val="20"/>
                <w:szCs w:val="20"/>
                <w:color w:val="auto"/>
              </w:rPr>
            </w:pPr>
            <w:r>
              <w:rPr>
                <w:rFonts w:ascii="Arial" w:cs="Arial" w:eastAsia="Arial" w:hAnsi="Arial"/>
                <w:sz w:val="10"/>
                <w:szCs w:val="10"/>
                <w:color w:val="131413"/>
                <w:w w:val="88"/>
              </w:rPr>
              <w:t>β</w:t>
            </w:r>
            <w:r>
              <w:rPr>
                <w:rFonts w:ascii="Times New Roman" w:cs="Times New Roman" w:eastAsia="Times New Roman" w:hAnsi="Times New Roman"/>
                <w:sz w:val="10"/>
                <w:szCs w:val="10"/>
                <w:color w:val="131413"/>
                <w:w w:val="88"/>
              </w:rPr>
              <w:t>1</w:t>
            </w:r>
            <w:r>
              <w:rPr>
                <w:rFonts w:ascii="Arial" w:cs="Arial" w:eastAsia="Arial" w:hAnsi="Arial"/>
                <w:sz w:val="10"/>
                <w:szCs w:val="10"/>
                <w:color w:val="131413"/>
                <w:w w:val="88"/>
              </w:rPr>
              <w:t xml:space="preserve"> </w:t>
            </w:r>
            <w:r>
              <w:rPr>
                <w:rFonts w:ascii="Arial" w:cs="Arial" w:eastAsia="Arial" w:hAnsi="Arial"/>
                <w:sz w:val="29"/>
                <w:szCs w:val="29"/>
                <w:color w:val="131413"/>
                <w:w w:val="88"/>
                <w:vertAlign w:val="superscript"/>
              </w:rPr>
              <w:t>¼</w:t>
            </w:r>
            <w:r>
              <w:rPr>
                <w:rFonts w:ascii="Arial" w:cs="Arial" w:eastAsia="Arial" w:hAnsi="Arial"/>
                <w:sz w:val="10"/>
                <w:szCs w:val="10"/>
                <w:color w:val="131413"/>
                <w:w w:val="88"/>
              </w:rPr>
              <w:t xml:space="preserve"> </w:t>
            </w:r>
            <w:r>
              <w:rPr>
                <w:rFonts w:ascii="Times New Roman" w:cs="Times New Roman" w:eastAsia="Times New Roman" w:hAnsi="Times New Roman"/>
                <w:sz w:val="20"/>
                <w:szCs w:val="20"/>
                <w:color w:val="131413"/>
                <w:w w:val="88"/>
                <w:vertAlign w:val="subscript"/>
              </w:rPr>
              <w:t>i</w:t>
            </w:r>
          </w:p>
        </w:tc>
        <w:tc>
          <w:tcPr>
            <w:tcW w:w="260" w:type="dxa"/>
            <w:vAlign w:val="bottom"/>
            <w:gridSpan w:val="2"/>
          </w:tcPr>
          <w:p>
            <w:pPr>
              <w:jc w:val="right"/>
              <w:ind w:right="65"/>
              <w:spacing w:after="0"/>
              <w:rPr>
                <w:sz w:val="20"/>
                <w:szCs w:val="20"/>
                <w:color w:val="auto"/>
              </w:rPr>
            </w:pPr>
            <w:r>
              <w:rPr>
                <w:rFonts w:ascii="Times New Roman" w:cs="Times New Roman" w:eastAsia="Times New Roman" w:hAnsi="Times New Roman"/>
                <w:sz w:val="10"/>
                <w:szCs w:val="10"/>
                <w:color w:val="131413"/>
              </w:rPr>
              <w:t>1</w:t>
            </w:r>
          </w:p>
        </w:tc>
        <w:tc>
          <w:tcPr>
            <w:tcW w:w="360" w:type="dxa"/>
            <w:vAlign w:val="bottom"/>
          </w:tcPr>
          <w:p>
            <w:pPr>
              <w:spacing w:after="0"/>
              <w:rPr>
                <w:sz w:val="20"/>
                <w:szCs w:val="20"/>
                <w:color w:val="auto"/>
              </w:rPr>
            </w:pPr>
            <w:r>
              <w:rPr>
                <w:rFonts w:ascii="Times New Roman" w:cs="Times New Roman" w:eastAsia="Times New Roman" w:hAnsi="Times New Roman"/>
                <w:sz w:val="20"/>
                <w:szCs w:val="20"/>
                <w:color w:val="131413"/>
                <w:vertAlign w:val="superscript"/>
              </w:rPr>
              <w:t>i</w:t>
            </w:r>
            <w:r>
              <w:rPr>
                <w:rFonts w:ascii="Arial" w:cs="Arial" w:eastAsia="Arial" w:hAnsi="Arial"/>
                <w:sz w:val="20"/>
                <w:szCs w:val="20"/>
                <w:color w:val="131413"/>
                <w:vertAlign w:val="superscript"/>
              </w:rPr>
              <w:t>þ</w:t>
            </w:r>
            <w:r>
              <w:rPr>
                <w:rFonts w:ascii="Times New Roman" w:cs="Times New Roman" w:eastAsia="Times New Roman" w:hAnsi="Times New Roman"/>
                <w:sz w:val="10"/>
                <w:szCs w:val="10"/>
                <w:color w:val="131413"/>
              </w:rPr>
              <w:t xml:space="preserve"> m</w:t>
            </w:r>
            <w:r>
              <w:rPr>
                <w:rFonts w:ascii="Arial" w:cs="Arial" w:eastAsia="Arial" w:hAnsi="Arial"/>
                <w:sz w:val="10"/>
                <w:szCs w:val="10"/>
                <w:color w:val="131413"/>
              </w:rPr>
              <w:t>;</w:t>
            </w:r>
            <w:r>
              <w:rPr>
                <w:rFonts w:ascii="Times New Roman" w:cs="Times New Roman" w:eastAsia="Times New Roman" w:hAnsi="Times New Roman"/>
                <w:sz w:val="10"/>
                <w:szCs w:val="10"/>
                <w:color w:val="131413"/>
              </w:rPr>
              <w:t>n</w:t>
            </w:r>
          </w:p>
        </w:tc>
        <w:tc>
          <w:tcPr>
            <w:tcW w:w="280" w:type="dxa"/>
            <w:vAlign w:val="bottom"/>
            <w:gridSpan w:val="2"/>
          </w:tcPr>
          <w:p>
            <w:pPr>
              <w:spacing w:after="0"/>
              <w:rPr>
                <w:sz w:val="20"/>
                <w:szCs w:val="20"/>
                <w:color w:val="auto"/>
              </w:rPr>
            </w:pPr>
            <w:r>
              <w:rPr>
                <w:rFonts w:ascii="Times New Roman" w:cs="Times New Roman" w:eastAsia="Times New Roman" w:hAnsi="Times New Roman"/>
                <w:sz w:val="10"/>
                <w:szCs w:val="10"/>
                <w:color w:val="131413"/>
              </w:rPr>
              <w:t>1</w:t>
            </w:r>
            <w:r>
              <w:rPr>
                <w:rFonts w:ascii="Times New Roman" w:cs="Times New Roman" w:eastAsia="Times New Roman" w:hAnsi="Times New Roman"/>
                <w:sz w:val="29"/>
                <w:szCs w:val="29"/>
                <w:color w:val="131413"/>
                <w:vertAlign w:val="superscript"/>
              </w:rPr>
              <w:t>w</w:t>
            </w:r>
            <w:r>
              <w:rPr>
                <w:rFonts w:ascii="Times New Roman" w:cs="Times New Roman" w:eastAsia="Times New Roman" w:hAnsi="Times New Roman"/>
                <w:sz w:val="10"/>
                <w:szCs w:val="10"/>
                <w:color w:val="131413"/>
              </w:rPr>
              <w:t>i</w:t>
            </w:r>
          </w:p>
        </w:tc>
        <w:tc>
          <w:tcPr>
            <w:tcW w:w="120" w:type="dxa"/>
            <w:vAlign w:val="bottom"/>
          </w:tcPr>
          <w:p>
            <w:pPr>
              <w:spacing w:after="0"/>
              <w:rPr>
                <w:sz w:val="20"/>
                <w:szCs w:val="20"/>
                <w:color w:val="auto"/>
              </w:rPr>
            </w:pPr>
            <w:r>
              <w:rPr>
                <w:rFonts w:ascii="Times New Roman" w:cs="Times New Roman" w:eastAsia="Times New Roman" w:hAnsi="Times New Roman"/>
                <w:sz w:val="14"/>
                <w:szCs w:val="14"/>
                <w:color w:val="131413"/>
                <w:w w:val="72"/>
              </w:rPr>
              <w:t>w</w:t>
            </w:r>
            <w:r>
              <w:rPr>
                <w:rFonts w:ascii="Times New Roman" w:cs="Times New Roman" w:eastAsia="Times New Roman" w:hAnsi="Times New Roman"/>
                <w:sz w:val="19"/>
                <w:szCs w:val="19"/>
                <w:color w:val="131413"/>
                <w:w w:val="72"/>
                <w:vertAlign w:val="subscript"/>
              </w:rPr>
              <w:t>i</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gridSpan w:val="2"/>
          </w:tcPr>
          <w:p>
            <w:pPr>
              <w:spacing w:after="0"/>
              <w:rPr>
                <w:sz w:val="20"/>
                <w:szCs w:val="20"/>
                <w:color w:val="auto"/>
              </w:rPr>
            </w:pPr>
            <w:r>
              <w:rPr>
                <w:rFonts w:ascii="Times New Roman" w:cs="Times New Roman" w:eastAsia="Times New Roman" w:hAnsi="Times New Roman"/>
                <w:sz w:val="10"/>
                <w:szCs w:val="10"/>
                <w:color w:val="131413"/>
                <w:w w:val="71"/>
              </w:rPr>
              <w:t>k</w:t>
            </w:r>
            <w:r>
              <w:rPr>
                <w:rFonts w:ascii="Arial" w:cs="Arial" w:eastAsia="Arial" w:hAnsi="Arial"/>
                <w:sz w:val="10"/>
                <w:szCs w:val="10"/>
                <w:color w:val="131413"/>
                <w:w w:val="71"/>
              </w:rPr>
              <w:t>;</w:t>
            </w:r>
            <w:r>
              <w:rPr>
                <w:rFonts w:ascii="Arial" w:cs="Arial" w:eastAsia="Arial" w:hAnsi="Arial"/>
                <w:sz w:val="27"/>
                <w:szCs w:val="27"/>
                <w:color w:val="131413"/>
                <w:w w:val="71"/>
                <w:vertAlign w:val="superscript"/>
              </w:rPr>
              <w:t>∑</w:t>
            </w:r>
            <w:r>
              <w:rPr>
                <w:rFonts w:ascii="Times New Roman" w:cs="Times New Roman" w:eastAsia="Times New Roman" w:hAnsi="Times New Roman"/>
                <w:sz w:val="10"/>
                <w:szCs w:val="10"/>
                <w:color w:val="131413"/>
                <w:w w:val="71"/>
              </w:rPr>
              <w:t>l 1</w:t>
            </w:r>
          </w:p>
        </w:tc>
        <w:tc>
          <w:tcPr>
            <w:tcW w:w="500" w:type="dxa"/>
            <w:vAlign w:val="bottom"/>
          </w:tcPr>
          <w:p>
            <w:pPr>
              <w:jc w:val="center"/>
              <w:spacing w:after="0"/>
              <w:rPr>
                <w:sz w:val="20"/>
                <w:szCs w:val="20"/>
                <w:color w:val="auto"/>
              </w:rPr>
            </w:pPr>
            <w:r>
              <w:rPr>
                <w:rFonts w:ascii="Times New Roman" w:cs="Times New Roman" w:eastAsia="Times New Roman" w:hAnsi="Times New Roman"/>
                <w:sz w:val="10"/>
                <w:szCs w:val="10"/>
                <w:color w:val="131413"/>
              </w:rPr>
              <w:t>kim  lin</w:t>
            </w:r>
          </w:p>
        </w:tc>
        <w:tc>
          <w:tcPr>
            <w:tcW w:w="280" w:type="dxa"/>
            <w:vAlign w:val="bottom"/>
            <w:gridSpan w:val="2"/>
          </w:tcPr>
          <w:p>
            <w:pPr>
              <w:jc w:val="right"/>
              <w:spacing w:after="0"/>
              <w:rPr>
                <w:sz w:val="20"/>
                <w:szCs w:val="20"/>
                <w:color w:val="auto"/>
              </w:rPr>
            </w:pPr>
            <w:r>
              <w:rPr>
                <w:rFonts w:ascii="Times New Roman" w:cs="Times New Roman" w:eastAsia="Times New Roman" w:hAnsi="Times New Roman"/>
                <w:sz w:val="10"/>
                <w:szCs w:val="10"/>
                <w:color w:val="131413"/>
                <w:w w:val="92"/>
              </w:rPr>
              <w:t>kl</w:t>
            </w:r>
            <w:r>
              <w:rPr>
                <w:rFonts w:ascii="Arial" w:cs="Arial" w:eastAsia="Arial" w:hAnsi="Arial"/>
                <w:sz w:val="14"/>
                <w:szCs w:val="14"/>
                <w:color w:val="131413"/>
                <w:w w:val="92"/>
              </w:rPr>
              <w:t>−</w:t>
            </w:r>
            <w:r>
              <w:rPr>
                <w:rFonts w:ascii="Times New Roman" w:cs="Times New Roman" w:eastAsia="Times New Roman" w:hAnsi="Times New Roman"/>
                <w:sz w:val="10"/>
                <w:szCs w:val="10"/>
                <w:color w:val="131413"/>
                <w:w w:val="92"/>
              </w:rPr>
              <w:t xml:space="preserve"> </w:t>
            </w:r>
            <w:r>
              <w:rPr>
                <w:rFonts w:ascii="Times New Roman" w:cs="Times New Roman" w:eastAsia="Times New Roman" w:hAnsi="Times New Roman"/>
                <w:sz w:val="29"/>
                <w:szCs w:val="29"/>
                <w:color w:val="131413"/>
                <w:w w:val="92"/>
                <w:vertAlign w:val="subscript"/>
              </w:rPr>
              <w:t>2</w:t>
            </w:r>
          </w:p>
        </w:tc>
        <w:tc>
          <w:tcPr>
            <w:tcW w:w="300" w:type="dxa"/>
            <w:vAlign w:val="bottom"/>
          </w:tcPr>
          <w:p>
            <w:pPr>
              <w:ind w:left="40"/>
              <w:spacing w:after="0"/>
              <w:rPr>
                <w:sz w:val="20"/>
                <w:szCs w:val="20"/>
                <w:color w:val="auto"/>
              </w:rPr>
            </w:pPr>
            <w:r>
              <w:rPr>
                <w:rFonts w:ascii="Times New Roman" w:cs="Times New Roman" w:eastAsia="Times New Roman" w:hAnsi="Times New Roman"/>
                <w:sz w:val="10"/>
                <w:szCs w:val="10"/>
                <w:color w:val="131413"/>
                <w:w w:val="75"/>
              </w:rPr>
              <w:t>k</w:t>
            </w:r>
            <w:r>
              <w:rPr>
                <w:rFonts w:ascii="Arial" w:cs="Arial" w:eastAsia="Arial" w:hAnsi="Arial"/>
                <w:sz w:val="10"/>
                <w:szCs w:val="10"/>
                <w:color w:val="131413"/>
                <w:w w:val="75"/>
              </w:rPr>
              <w:t>;</w:t>
            </w:r>
            <w:r>
              <w:rPr>
                <w:rFonts w:ascii="Arial" w:cs="Arial" w:eastAsia="Arial" w:hAnsi="Arial"/>
                <w:sz w:val="29"/>
                <w:szCs w:val="29"/>
                <w:color w:val="131413"/>
                <w:w w:val="75"/>
                <w:vertAlign w:val="superscript"/>
              </w:rPr>
              <w:t>∑</w:t>
            </w:r>
            <w:r>
              <w:rPr>
                <w:rFonts w:ascii="Times New Roman" w:cs="Times New Roman" w:eastAsia="Times New Roman" w:hAnsi="Times New Roman"/>
                <w:sz w:val="10"/>
                <w:szCs w:val="10"/>
                <w:color w:val="131413"/>
                <w:w w:val="75"/>
              </w:rPr>
              <w:t>l 1</w:t>
            </w:r>
          </w:p>
        </w:tc>
        <w:tc>
          <w:tcPr>
            <w:tcW w:w="520" w:type="dxa"/>
            <w:vAlign w:val="bottom"/>
          </w:tcPr>
          <w:p>
            <w:pPr>
              <w:jc w:val="center"/>
              <w:spacing w:after="0"/>
              <w:rPr>
                <w:sz w:val="20"/>
                <w:szCs w:val="20"/>
                <w:color w:val="auto"/>
              </w:rPr>
            </w:pPr>
            <w:r>
              <w:rPr>
                <w:rFonts w:ascii="Times New Roman" w:cs="Times New Roman" w:eastAsia="Times New Roman" w:hAnsi="Times New Roman"/>
                <w:sz w:val="10"/>
                <w:szCs w:val="10"/>
                <w:color w:val="131413"/>
              </w:rPr>
              <w:t>kim  lim</w:t>
            </w:r>
          </w:p>
        </w:tc>
        <w:tc>
          <w:tcPr>
            <w:tcW w:w="280" w:type="dxa"/>
            <w:vAlign w:val="bottom"/>
            <w:gridSpan w:val="2"/>
          </w:tcPr>
          <w:p>
            <w:pPr>
              <w:jc w:val="right"/>
              <w:ind w:right="20"/>
              <w:spacing w:after="0"/>
              <w:rPr>
                <w:sz w:val="20"/>
                <w:szCs w:val="20"/>
                <w:color w:val="auto"/>
              </w:rPr>
            </w:pPr>
            <w:r>
              <w:rPr>
                <w:rFonts w:ascii="Times New Roman" w:cs="Times New Roman" w:eastAsia="Times New Roman" w:hAnsi="Times New Roman"/>
                <w:sz w:val="10"/>
                <w:szCs w:val="10"/>
                <w:color w:val="131413"/>
                <w:w w:val="85"/>
              </w:rPr>
              <w:t>kl</w:t>
            </w:r>
            <w:r>
              <w:rPr>
                <w:rFonts w:ascii="Arial" w:cs="Arial" w:eastAsia="Arial" w:hAnsi="Arial"/>
                <w:sz w:val="14"/>
                <w:szCs w:val="14"/>
                <w:color w:val="131413"/>
                <w:w w:val="85"/>
              </w:rPr>
              <w:t>−</w:t>
            </w:r>
            <w:r>
              <w:rPr>
                <w:rFonts w:ascii="Times New Roman" w:cs="Times New Roman" w:eastAsia="Times New Roman" w:hAnsi="Times New Roman"/>
                <w:sz w:val="10"/>
                <w:szCs w:val="10"/>
                <w:color w:val="131413"/>
                <w:w w:val="85"/>
              </w:rPr>
              <w:t xml:space="preserve"> </w:t>
            </w:r>
            <w:r>
              <w:rPr>
                <w:rFonts w:ascii="Times New Roman" w:cs="Times New Roman" w:eastAsia="Times New Roman" w:hAnsi="Times New Roman"/>
                <w:sz w:val="29"/>
                <w:szCs w:val="29"/>
                <w:color w:val="131413"/>
                <w:w w:val="85"/>
                <w:vertAlign w:val="subscript"/>
              </w:rPr>
              <w:t>2</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131413"/>
                <w:vertAlign w:val="subscript"/>
              </w:rPr>
              <w:t>k</w:t>
            </w:r>
            <w:r>
              <w:rPr>
                <w:rFonts w:ascii="Arial" w:cs="Arial" w:eastAsia="Arial" w:hAnsi="Arial"/>
                <w:sz w:val="20"/>
                <w:szCs w:val="20"/>
                <w:color w:val="131413"/>
                <w:vertAlign w:val="subscript"/>
              </w:rPr>
              <w:t>;</w:t>
            </w:r>
            <w:r>
              <w:rPr>
                <w:rFonts w:ascii="Arial" w:cs="Arial" w:eastAsia="Arial" w:hAnsi="Arial"/>
                <w:sz w:val="29"/>
                <w:szCs w:val="29"/>
                <w:color w:val="131413"/>
                <w:vertAlign w:val="superscript"/>
              </w:rPr>
              <w:t>∑</w:t>
            </w:r>
            <w:r>
              <w:rPr>
                <w:rFonts w:ascii="Times New Roman" w:cs="Times New Roman" w:eastAsia="Times New Roman" w:hAnsi="Times New Roman"/>
                <w:sz w:val="20"/>
                <w:szCs w:val="20"/>
                <w:color w:val="131413"/>
                <w:vertAlign w:val="subscript"/>
              </w:rPr>
              <w:t>l</w:t>
            </w:r>
            <w:r>
              <w:rPr>
                <w:rFonts w:ascii="Times New Roman" w:cs="Times New Roman" w:eastAsia="Times New Roman" w:hAnsi="Times New Roman"/>
                <w:sz w:val="10"/>
                <w:szCs w:val="10"/>
                <w:color w:val="131413"/>
              </w:rPr>
              <w:t xml:space="preserve"> </w:t>
            </w:r>
            <w:r>
              <w:rPr>
                <w:rFonts w:ascii="Times New Roman" w:cs="Times New Roman" w:eastAsia="Times New Roman" w:hAnsi="Times New Roman"/>
                <w:sz w:val="20"/>
                <w:szCs w:val="20"/>
                <w:color w:val="131413"/>
                <w:vertAlign w:val="subscript"/>
              </w:rPr>
              <w:t>1</w:t>
            </w:r>
            <w:r>
              <w:rPr>
                <w:rFonts w:ascii="Times New Roman" w:cs="Times New Roman" w:eastAsia="Times New Roman" w:hAnsi="Times New Roman"/>
                <w:sz w:val="10"/>
                <w:szCs w:val="10"/>
                <w:color w:val="131413"/>
              </w:rPr>
              <w:t xml:space="preserve">  kin  lin  kl</w:t>
            </w:r>
            <w:r>
              <w:rPr>
                <w:rFonts w:ascii="Arial" w:cs="Arial" w:eastAsia="Arial" w:hAnsi="Arial"/>
                <w:sz w:val="29"/>
                <w:szCs w:val="29"/>
                <w:color w:val="131413"/>
                <w:vertAlign w:val="superscript"/>
              </w:rPr>
              <w:t>!</w:t>
            </w:r>
          </w:p>
        </w:tc>
        <w:tc>
          <w:tcPr>
            <w:tcW w:w="0" w:type="dxa"/>
            <w:vAlign w:val="bottom"/>
          </w:tcPr>
          <w:p>
            <w:pPr>
              <w:spacing w:after="0"/>
              <w:rPr>
                <w:sz w:val="1"/>
                <w:szCs w:val="1"/>
                <w:color w:val="auto"/>
              </w:rPr>
            </w:pPr>
          </w:p>
        </w:tc>
      </w:tr>
      <w:tr>
        <w:trPr>
          <w:trHeight w:val="134"/>
        </w:trPr>
        <w:tc>
          <w:tcPr>
            <w:tcW w:w="10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260" w:type="dxa"/>
            <w:vAlign w:val="bottom"/>
            <w:gridSpan w:val="2"/>
          </w:tcPr>
          <w:p>
            <w:pPr>
              <w:ind w:left="20"/>
              <w:spacing w:after="0"/>
              <w:rPr>
                <w:sz w:val="20"/>
                <w:szCs w:val="20"/>
                <w:color w:val="auto"/>
              </w:rPr>
            </w:pPr>
            <w:r>
              <w:rPr>
                <w:rFonts w:ascii="Times New Roman" w:cs="Times New Roman" w:eastAsia="Times New Roman" w:hAnsi="Times New Roman"/>
                <w:sz w:val="10"/>
                <w:szCs w:val="10"/>
                <w:color w:val="131413"/>
              </w:rPr>
              <w:t>N</w:t>
            </w:r>
          </w:p>
        </w:tc>
        <w:tc>
          <w:tcPr>
            <w:tcW w:w="980" w:type="dxa"/>
            <w:vAlign w:val="bottom"/>
            <w:gridSpan w:val="8"/>
          </w:tcPr>
          <w:p>
            <w:pPr>
              <w:ind w:left="280"/>
              <w:spacing w:after="0" w:line="134" w:lineRule="exact"/>
              <w:rPr>
                <w:sz w:val="20"/>
                <w:szCs w:val="20"/>
                <w:color w:val="auto"/>
              </w:rPr>
            </w:pPr>
            <w:r>
              <w:rPr>
                <w:rFonts w:ascii="Times New Roman" w:cs="Times New Roman" w:eastAsia="Times New Roman" w:hAnsi="Times New Roman"/>
                <w:sz w:val="15"/>
                <w:szCs w:val="15"/>
                <w:color w:val="131413"/>
                <w:vertAlign w:val="superscript"/>
              </w:rPr>
              <w:t>M</w:t>
            </w:r>
            <w:r>
              <w:rPr>
                <w:rFonts w:ascii="Times New Roman" w:cs="Times New Roman" w:eastAsia="Times New Roman" w:hAnsi="Times New Roman"/>
                <w:sz w:val="11"/>
                <w:szCs w:val="11"/>
                <w:color w:val="131413"/>
              </w:rPr>
              <w:t xml:space="preserve"> </w:t>
            </w:r>
            <w:r>
              <w:rPr>
                <w:rFonts w:ascii="Times New Roman" w:cs="Times New Roman" w:eastAsia="Times New Roman" w:hAnsi="Times New Roman"/>
                <w:sz w:val="11"/>
                <w:szCs w:val="11"/>
                <w:color w:val="131413"/>
                <w:vertAlign w:val="superscript"/>
              </w:rPr>
              <w:t>i</w:t>
            </w:r>
            <w:r>
              <w:rPr>
                <w:rFonts w:ascii="Times New Roman" w:cs="Times New Roman" w:eastAsia="Times New Roman" w:hAnsi="Times New Roman"/>
                <w:sz w:val="11"/>
                <w:szCs w:val="11"/>
                <w:color w:val="131413"/>
              </w:rPr>
              <w:t xml:space="preserve"> w</w:t>
            </w:r>
            <w:r>
              <w:rPr>
                <w:rFonts w:ascii="Times New Roman" w:cs="Times New Roman" w:eastAsia="Times New Roman" w:hAnsi="Times New Roman"/>
                <w:sz w:val="15"/>
                <w:szCs w:val="15"/>
                <w:color w:val="131413"/>
                <w:vertAlign w:val="subscript"/>
              </w:rPr>
              <w:t>im</w:t>
            </w:r>
            <w:r>
              <w:rPr>
                <w:rFonts w:ascii="Times New Roman" w:cs="Times New Roman" w:eastAsia="Times New Roman" w:hAnsi="Times New Roman"/>
                <w:sz w:val="11"/>
                <w:szCs w:val="11"/>
                <w:color w:val="131413"/>
              </w:rPr>
              <w:t xml:space="preserve"> w</w:t>
            </w:r>
            <w:r>
              <w:rPr>
                <w:rFonts w:ascii="Times New Roman" w:cs="Times New Roman" w:eastAsia="Times New Roman" w:hAnsi="Times New Roman"/>
                <w:sz w:val="15"/>
                <w:szCs w:val="15"/>
                <w:color w:val="131413"/>
                <w:vertAlign w:val="subscript"/>
              </w:rPr>
              <w:t>in</w:t>
            </w:r>
          </w:p>
        </w:tc>
        <w:tc>
          <w:tcPr>
            <w:tcW w:w="20" w:type="dxa"/>
            <w:vAlign w:val="bottom"/>
          </w:tcPr>
          <w:p>
            <w:pPr>
              <w:spacing w:after="0"/>
              <w:rPr>
                <w:sz w:val="11"/>
                <w:szCs w:val="11"/>
                <w:color w:val="auto"/>
              </w:rPr>
            </w:pPr>
          </w:p>
        </w:tc>
        <w:tc>
          <w:tcPr>
            <w:tcW w:w="220" w:type="dxa"/>
            <w:vAlign w:val="bottom"/>
          </w:tcPr>
          <w:p>
            <w:pPr>
              <w:ind w:left="60"/>
              <w:spacing w:after="0"/>
              <w:rPr>
                <w:sz w:val="20"/>
                <w:szCs w:val="20"/>
                <w:color w:val="auto"/>
              </w:rPr>
            </w:pPr>
            <w:r>
              <w:rPr>
                <w:rFonts w:ascii="Times New Roman" w:cs="Times New Roman" w:eastAsia="Times New Roman" w:hAnsi="Times New Roman"/>
                <w:sz w:val="10"/>
                <w:szCs w:val="10"/>
                <w:color w:val="131413"/>
              </w:rPr>
              <w:t>S</w:t>
            </w:r>
          </w:p>
        </w:tc>
        <w:tc>
          <w:tcPr>
            <w:tcW w:w="500" w:type="dxa"/>
            <w:vAlign w:val="bottom"/>
          </w:tcPr>
          <w:p>
            <w:pPr>
              <w:spacing w:after="0"/>
              <w:rPr>
                <w:sz w:val="11"/>
                <w:szCs w:val="11"/>
                <w:color w:val="auto"/>
              </w:rPr>
            </w:pPr>
          </w:p>
        </w:tc>
        <w:tc>
          <w:tcPr>
            <w:tcW w:w="280" w:type="dxa"/>
            <w:vAlign w:val="bottom"/>
            <w:gridSpan w:val="2"/>
          </w:tcPr>
          <w:p>
            <w:pPr>
              <w:jc w:val="right"/>
              <w:spacing w:after="0" w:line="134" w:lineRule="exact"/>
              <w:rPr>
                <w:sz w:val="20"/>
                <w:szCs w:val="20"/>
                <w:color w:val="auto"/>
              </w:rPr>
            </w:pPr>
            <w:r>
              <w:rPr>
                <w:rFonts w:ascii="Times New Roman" w:cs="Times New Roman" w:eastAsia="Times New Roman" w:hAnsi="Times New Roman"/>
                <w:sz w:val="15"/>
                <w:szCs w:val="15"/>
                <w:color w:val="131413"/>
              </w:rPr>
              <w:t>1</w:t>
            </w:r>
          </w:p>
        </w:tc>
        <w:tc>
          <w:tcPr>
            <w:tcW w:w="300" w:type="dxa"/>
            <w:vAlign w:val="bottom"/>
          </w:tcPr>
          <w:p>
            <w:pPr>
              <w:ind w:left="140"/>
              <w:spacing w:after="0"/>
              <w:rPr>
                <w:sz w:val="20"/>
                <w:szCs w:val="20"/>
                <w:color w:val="auto"/>
              </w:rPr>
            </w:pPr>
            <w:r>
              <w:rPr>
                <w:rFonts w:ascii="Times New Roman" w:cs="Times New Roman" w:eastAsia="Times New Roman" w:hAnsi="Times New Roman"/>
                <w:sz w:val="10"/>
                <w:szCs w:val="10"/>
                <w:color w:val="131413"/>
              </w:rPr>
              <w:t>S</w:t>
            </w:r>
          </w:p>
        </w:tc>
        <w:tc>
          <w:tcPr>
            <w:tcW w:w="520" w:type="dxa"/>
            <w:vAlign w:val="bottom"/>
          </w:tcPr>
          <w:p>
            <w:pPr>
              <w:spacing w:after="0"/>
              <w:rPr>
                <w:sz w:val="11"/>
                <w:szCs w:val="11"/>
                <w:color w:val="auto"/>
              </w:rPr>
            </w:pPr>
          </w:p>
        </w:tc>
        <w:tc>
          <w:tcPr>
            <w:tcW w:w="280" w:type="dxa"/>
            <w:vAlign w:val="bottom"/>
            <w:gridSpan w:val="2"/>
          </w:tcPr>
          <w:p>
            <w:pPr>
              <w:jc w:val="right"/>
              <w:ind w:right="20"/>
              <w:spacing w:after="0" w:line="134" w:lineRule="exact"/>
              <w:rPr>
                <w:sz w:val="20"/>
                <w:szCs w:val="20"/>
                <w:color w:val="auto"/>
              </w:rPr>
            </w:pPr>
            <w:r>
              <w:rPr>
                <w:rFonts w:ascii="Times New Roman" w:cs="Times New Roman" w:eastAsia="Times New Roman" w:hAnsi="Times New Roman"/>
                <w:sz w:val="15"/>
                <w:szCs w:val="15"/>
                <w:color w:val="131413"/>
              </w:rPr>
              <w:t>1</w:t>
            </w:r>
          </w:p>
        </w:tc>
        <w:tc>
          <w:tcPr>
            <w:tcW w:w="260" w:type="dxa"/>
            <w:vAlign w:val="bottom"/>
          </w:tcPr>
          <w:p>
            <w:pPr>
              <w:ind w:left="140"/>
              <w:spacing w:after="0"/>
              <w:rPr>
                <w:sz w:val="20"/>
                <w:szCs w:val="20"/>
                <w:color w:val="auto"/>
              </w:rPr>
            </w:pPr>
            <w:r>
              <w:rPr>
                <w:rFonts w:ascii="Times New Roman" w:cs="Times New Roman" w:eastAsia="Times New Roman" w:hAnsi="Times New Roman"/>
                <w:sz w:val="10"/>
                <w:szCs w:val="10"/>
                <w:color w:val="131413"/>
              </w:rPr>
              <w:t>S</w:t>
            </w:r>
          </w:p>
        </w:tc>
        <w:tc>
          <w:tcPr>
            <w:tcW w:w="7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9"/>
        </w:trPr>
        <w:tc>
          <w:tcPr>
            <w:tcW w:w="100" w:type="dxa"/>
            <w:vAlign w:val="bottom"/>
            <w:vMerge w:val="restart"/>
          </w:tcPr>
          <w:p>
            <w:pPr>
              <w:spacing w:after="0" w:line="121" w:lineRule="exact"/>
              <w:rPr>
                <w:sz w:val="20"/>
                <w:szCs w:val="20"/>
                <w:color w:val="auto"/>
              </w:rPr>
            </w:pPr>
            <w:r>
              <w:rPr>
                <w:rFonts w:ascii="Times New Roman" w:cs="Times New Roman" w:eastAsia="Times New Roman" w:hAnsi="Times New Roman"/>
                <w:sz w:val="14"/>
                <w:szCs w:val="14"/>
                <w:color w:val="131413"/>
                <w:w w:val="78"/>
              </w:rPr>
              <w:t>Q</w:t>
            </w:r>
          </w:p>
        </w:tc>
        <w:tc>
          <w:tcPr>
            <w:tcW w:w="340" w:type="dxa"/>
            <w:vAlign w:val="bottom"/>
          </w:tcPr>
          <w:p>
            <w:pPr>
              <w:spacing w:after="0"/>
              <w:rPr>
                <w:sz w:val="3"/>
                <w:szCs w:val="3"/>
                <w:color w:val="auto"/>
              </w:rPr>
            </w:pPr>
          </w:p>
        </w:tc>
        <w:tc>
          <w:tcPr>
            <w:tcW w:w="260" w:type="dxa"/>
            <w:vAlign w:val="bottom"/>
            <w:gridSpan w:val="2"/>
            <w:vMerge w:val="restart"/>
          </w:tcPr>
          <w:p>
            <w:pPr>
              <w:spacing w:after="0" w:line="121" w:lineRule="exact"/>
              <w:rPr>
                <w:sz w:val="20"/>
                <w:szCs w:val="20"/>
                <w:color w:val="auto"/>
              </w:rPr>
            </w:pPr>
            <w:r>
              <w:rPr>
                <w:rFonts w:ascii="Arial" w:cs="Arial" w:eastAsia="Arial" w:hAnsi="Arial"/>
                <w:sz w:val="12"/>
                <w:szCs w:val="12"/>
                <w:color w:val="131413"/>
              </w:rPr>
              <w:t xml:space="preserve">∑ </w:t>
            </w:r>
            <w:r>
              <w:rPr>
                <w:rFonts w:ascii="Times New Roman" w:cs="Times New Roman" w:eastAsia="Times New Roman" w:hAnsi="Times New Roman"/>
                <w:sz w:val="12"/>
                <w:szCs w:val="12"/>
                <w:color w:val="131413"/>
              </w:rPr>
              <w:t>w</w:t>
            </w:r>
          </w:p>
        </w:tc>
        <w:tc>
          <w:tcPr>
            <w:tcW w:w="360" w:type="dxa"/>
            <w:vAlign w:val="bottom"/>
            <w:vMerge w:val="restart"/>
          </w:tcPr>
          <w:p>
            <w:pPr>
              <w:ind w:left="220"/>
              <w:spacing w:after="0" w:line="121" w:lineRule="exact"/>
              <w:rPr>
                <w:sz w:val="20"/>
                <w:szCs w:val="20"/>
                <w:color w:val="auto"/>
              </w:rPr>
            </w:pPr>
            <w:r>
              <w:rPr>
                <w:rFonts w:ascii="Arial" w:cs="Arial" w:eastAsia="Arial" w:hAnsi="Arial"/>
                <w:sz w:val="14"/>
                <w:szCs w:val="14"/>
                <w:color w:val="131413"/>
              </w:rPr>
              <w:t>∑</w:t>
            </w:r>
          </w:p>
        </w:tc>
        <w:tc>
          <w:tcPr>
            <w:tcW w:w="60" w:type="dxa"/>
            <w:vAlign w:val="bottom"/>
          </w:tcPr>
          <w:p>
            <w:pPr>
              <w:spacing w:after="0"/>
              <w:rPr>
                <w:sz w:val="3"/>
                <w:szCs w:val="3"/>
                <w:color w:val="auto"/>
              </w:rPr>
            </w:pPr>
          </w:p>
        </w:tc>
        <w:tc>
          <w:tcPr>
            <w:tcW w:w="220" w:type="dxa"/>
            <w:vAlign w:val="bottom"/>
            <w:tcBorders>
              <w:bottom w:val="single" w:sz="8" w:color="131413"/>
            </w:tcBorders>
          </w:tcPr>
          <w:p>
            <w:pPr>
              <w:spacing w:after="0"/>
              <w:rPr>
                <w:sz w:val="3"/>
                <w:szCs w:val="3"/>
                <w:color w:val="auto"/>
              </w:rPr>
            </w:pPr>
          </w:p>
        </w:tc>
        <w:tc>
          <w:tcPr>
            <w:tcW w:w="120" w:type="dxa"/>
            <w:vAlign w:val="bottom"/>
            <w:tcBorders>
              <w:bottom w:val="single" w:sz="8" w:color="131413"/>
            </w:tcBorders>
          </w:tcPr>
          <w:p>
            <w:pPr>
              <w:spacing w:after="0"/>
              <w:rPr>
                <w:sz w:val="3"/>
                <w:szCs w:val="3"/>
                <w:color w:val="auto"/>
              </w:rPr>
            </w:pPr>
          </w:p>
        </w:tc>
        <w:tc>
          <w:tcPr>
            <w:tcW w:w="100" w:type="dxa"/>
            <w:vAlign w:val="bottom"/>
            <w:tcBorders>
              <w:bottom w:val="single" w:sz="8" w:color="131413"/>
            </w:tcBorders>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20" w:type="dxa"/>
            <w:vAlign w:val="bottom"/>
          </w:tcPr>
          <w:p>
            <w:pPr>
              <w:spacing w:after="0"/>
              <w:rPr>
                <w:sz w:val="3"/>
                <w:szCs w:val="3"/>
                <w:color w:val="auto"/>
              </w:rPr>
            </w:pPr>
          </w:p>
        </w:tc>
        <w:tc>
          <w:tcPr>
            <w:tcW w:w="500" w:type="dxa"/>
            <w:vAlign w:val="bottom"/>
            <w:vMerge w:val="restart"/>
          </w:tcPr>
          <w:p>
            <w:pPr>
              <w:jc w:val="center"/>
              <w:spacing w:after="0" w:line="121" w:lineRule="exact"/>
              <w:rPr>
                <w:sz w:val="20"/>
                <w:szCs w:val="20"/>
                <w:color w:val="auto"/>
              </w:rPr>
            </w:pPr>
            <w:r>
              <w:rPr>
                <w:rFonts w:ascii="Times New Roman" w:cs="Times New Roman" w:eastAsia="Times New Roman" w:hAnsi="Times New Roman"/>
                <w:sz w:val="14"/>
                <w:szCs w:val="14"/>
                <w:color w:val="131413"/>
              </w:rPr>
              <w:t>p  p  d</w:t>
            </w:r>
          </w:p>
        </w:tc>
        <w:tc>
          <w:tcPr>
            <w:tcW w:w="200" w:type="dxa"/>
            <w:vAlign w:val="bottom"/>
          </w:tcPr>
          <w:p>
            <w:pPr>
              <w:spacing w:after="0"/>
              <w:rPr>
                <w:sz w:val="3"/>
                <w:szCs w:val="3"/>
                <w:color w:val="auto"/>
              </w:rPr>
            </w:pPr>
          </w:p>
        </w:tc>
        <w:tc>
          <w:tcPr>
            <w:tcW w:w="80" w:type="dxa"/>
            <w:vAlign w:val="bottom"/>
            <w:tcBorders>
              <w:bottom w:val="single" w:sz="8" w:color="131413"/>
            </w:tcBorders>
          </w:tcPr>
          <w:p>
            <w:pPr>
              <w:spacing w:after="0"/>
              <w:rPr>
                <w:sz w:val="3"/>
                <w:szCs w:val="3"/>
                <w:color w:val="auto"/>
              </w:rPr>
            </w:pPr>
          </w:p>
        </w:tc>
        <w:tc>
          <w:tcPr>
            <w:tcW w:w="300" w:type="dxa"/>
            <w:vAlign w:val="bottom"/>
          </w:tcPr>
          <w:p>
            <w:pPr>
              <w:spacing w:after="0"/>
              <w:rPr>
                <w:sz w:val="3"/>
                <w:szCs w:val="3"/>
                <w:color w:val="auto"/>
              </w:rPr>
            </w:pPr>
          </w:p>
        </w:tc>
        <w:tc>
          <w:tcPr>
            <w:tcW w:w="520" w:type="dxa"/>
            <w:vAlign w:val="bottom"/>
            <w:vMerge w:val="restart"/>
          </w:tcPr>
          <w:p>
            <w:pPr>
              <w:jc w:val="center"/>
              <w:spacing w:after="0" w:line="121" w:lineRule="exact"/>
              <w:rPr>
                <w:sz w:val="20"/>
                <w:szCs w:val="20"/>
                <w:color w:val="auto"/>
              </w:rPr>
            </w:pPr>
            <w:r>
              <w:rPr>
                <w:rFonts w:ascii="Times New Roman" w:cs="Times New Roman" w:eastAsia="Times New Roman" w:hAnsi="Times New Roman"/>
                <w:sz w:val="14"/>
                <w:szCs w:val="14"/>
                <w:color w:val="131413"/>
              </w:rPr>
              <w:t>p  p  d</w:t>
            </w:r>
          </w:p>
        </w:tc>
        <w:tc>
          <w:tcPr>
            <w:tcW w:w="180" w:type="dxa"/>
            <w:vAlign w:val="bottom"/>
          </w:tcPr>
          <w:p>
            <w:pPr>
              <w:spacing w:after="0"/>
              <w:rPr>
                <w:sz w:val="3"/>
                <w:szCs w:val="3"/>
                <w:color w:val="auto"/>
              </w:rPr>
            </w:pPr>
          </w:p>
        </w:tc>
        <w:tc>
          <w:tcPr>
            <w:tcW w:w="100" w:type="dxa"/>
            <w:vAlign w:val="bottom"/>
            <w:tcBorders>
              <w:bottom w:val="single" w:sz="8" w:color="131413"/>
            </w:tcBorders>
          </w:tcPr>
          <w:p>
            <w:pPr>
              <w:spacing w:after="0"/>
              <w:rPr>
                <w:sz w:val="3"/>
                <w:szCs w:val="3"/>
                <w:color w:val="auto"/>
              </w:rPr>
            </w:pPr>
          </w:p>
        </w:tc>
        <w:tc>
          <w:tcPr>
            <w:tcW w:w="260" w:type="dxa"/>
            <w:vAlign w:val="bottom"/>
          </w:tcPr>
          <w:p>
            <w:pPr>
              <w:spacing w:after="0"/>
              <w:rPr>
                <w:sz w:val="3"/>
                <w:szCs w:val="3"/>
                <w:color w:val="auto"/>
              </w:rPr>
            </w:pPr>
          </w:p>
        </w:tc>
        <w:tc>
          <w:tcPr>
            <w:tcW w:w="700" w:type="dxa"/>
            <w:vAlign w:val="bottom"/>
            <w:vMerge w:val="restart"/>
          </w:tcPr>
          <w:p>
            <w:pPr>
              <w:jc w:val="right"/>
              <w:ind w:right="116"/>
              <w:spacing w:after="0" w:line="121" w:lineRule="exact"/>
              <w:rPr>
                <w:sz w:val="20"/>
                <w:szCs w:val="20"/>
                <w:color w:val="auto"/>
              </w:rPr>
            </w:pPr>
            <w:r>
              <w:rPr>
                <w:rFonts w:ascii="Times New Roman" w:cs="Times New Roman" w:eastAsia="Times New Roman" w:hAnsi="Times New Roman"/>
                <w:sz w:val="14"/>
                <w:szCs w:val="14"/>
                <w:color w:val="131413"/>
              </w:rPr>
              <w:t>p  p  d</w:t>
            </w:r>
          </w:p>
        </w:tc>
        <w:tc>
          <w:tcPr>
            <w:tcW w:w="0" w:type="dxa"/>
            <w:vAlign w:val="bottom"/>
          </w:tcPr>
          <w:p>
            <w:pPr>
              <w:spacing w:after="0"/>
              <w:rPr>
                <w:sz w:val="1"/>
                <w:szCs w:val="1"/>
                <w:color w:val="auto"/>
              </w:rPr>
            </w:pPr>
          </w:p>
        </w:tc>
      </w:tr>
      <w:tr>
        <w:trPr>
          <w:trHeight w:val="63"/>
        </w:trPr>
        <w:tc>
          <w:tcPr>
            <w:tcW w:w="100" w:type="dxa"/>
            <w:vAlign w:val="bottom"/>
            <w:vMerge w:val="continue"/>
          </w:tcPr>
          <w:p>
            <w:pPr>
              <w:spacing w:after="0"/>
              <w:rPr>
                <w:sz w:val="5"/>
                <w:szCs w:val="5"/>
                <w:color w:val="auto"/>
              </w:rPr>
            </w:pPr>
          </w:p>
        </w:tc>
        <w:tc>
          <w:tcPr>
            <w:tcW w:w="340" w:type="dxa"/>
            <w:vAlign w:val="bottom"/>
          </w:tcPr>
          <w:p>
            <w:pPr>
              <w:spacing w:after="0"/>
              <w:rPr>
                <w:sz w:val="5"/>
                <w:szCs w:val="5"/>
                <w:color w:val="auto"/>
              </w:rPr>
            </w:pPr>
          </w:p>
        </w:tc>
        <w:tc>
          <w:tcPr>
            <w:tcW w:w="260" w:type="dxa"/>
            <w:vAlign w:val="bottom"/>
            <w:gridSpan w:val="2"/>
            <w:vMerge w:val="continue"/>
          </w:tcPr>
          <w:p>
            <w:pPr>
              <w:spacing w:after="0"/>
              <w:rPr>
                <w:sz w:val="5"/>
                <w:szCs w:val="5"/>
                <w:color w:val="auto"/>
              </w:rPr>
            </w:pPr>
          </w:p>
        </w:tc>
        <w:tc>
          <w:tcPr>
            <w:tcW w:w="360" w:type="dxa"/>
            <w:vAlign w:val="bottom"/>
            <w:vMerge w:val="continue"/>
          </w:tcPr>
          <w:p>
            <w:pPr>
              <w:spacing w:after="0"/>
              <w:rPr>
                <w:sz w:val="5"/>
                <w:szCs w:val="5"/>
                <w:color w:val="auto"/>
              </w:rPr>
            </w:pPr>
          </w:p>
        </w:tc>
        <w:tc>
          <w:tcPr>
            <w:tcW w:w="60" w:type="dxa"/>
            <w:vAlign w:val="bottom"/>
          </w:tcPr>
          <w:p>
            <w:pPr>
              <w:spacing w:after="0"/>
              <w:rPr>
                <w:sz w:val="5"/>
                <w:szCs w:val="5"/>
                <w:color w:val="auto"/>
              </w:rPr>
            </w:pPr>
          </w:p>
        </w:tc>
        <w:tc>
          <w:tcPr>
            <w:tcW w:w="220" w:type="dxa"/>
            <w:vAlign w:val="bottom"/>
            <w:vMerge w:val="restart"/>
          </w:tcPr>
          <w:p>
            <w:pPr>
              <w:ind w:left="120"/>
              <w:spacing w:after="0"/>
              <w:rPr>
                <w:sz w:val="20"/>
                <w:szCs w:val="20"/>
                <w:color w:val="auto"/>
              </w:rPr>
            </w:pPr>
            <w:r>
              <w:rPr>
                <w:rFonts w:ascii="Arial" w:cs="Arial" w:eastAsia="Arial" w:hAnsi="Arial"/>
                <w:sz w:val="10"/>
                <w:szCs w:val="10"/>
                <w:color w:val="131413"/>
              </w:rPr>
              <w:t>þ</w:t>
            </w:r>
          </w:p>
        </w:tc>
        <w:tc>
          <w:tcPr>
            <w:tcW w:w="120" w:type="dxa"/>
            <w:vAlign w:val="bottom"/>
          </w:tcPr>
          <w:p>
            <w:pPr>
              <w:spacing w:after="0"/>
              <w:rPr>
                <w:sz w:val="5"/>
                <w:szCs w:val="5"/>
                <w:color w:val="auto"/>
              </w:rPr>
            </w:pPr>
          </w:p>
        </w:tc>
        <w:tc>
          <w:tcPr>
            <w:tcW w:w="220" w:type="dxa"/>
            <w:vAlign w:val="bottom"/>
            <w:gridSpan w:val="4"/>
            <w:vMerge w:val="restart"/>
          </w:tcPr>
          <w:p>
            <w:pPr>
              <w:spacing w:after="0"/>
              <w:rPr>
                <w:sz w:val="20"/>
                <w:szCs w:val="20"/>
                <w:color w:val="auto"/>
              </w:rPr>
            </w:pPr>
            <w:r>
              <w:rPr>
                <w:rFonts w:ascii="Arial" w:cs="Arial" w:eastAsia="Arial" w:hAnsi="Arial"/>
                <w:sz w:val="10"/>
                <w:szCs w:val="10"/>
                <w:color w:val="131413"/>
              </w:rPr>
              <w:t>þ</w:t>
            </w:r>
          </w:p>
        </w:tc>
        <w:tc>
          <w:tcPr>
            <w:tcW w:w="240" w:type="dxa"/>
            <w:vAlign w:val="bottom"/>
            <w:gridSpan w:val="2"/>
            <w:vMerge w:val="restart"/>
          </w:tcPr>
          <w:p>
            <w:pPr>
              <w:ind w:left="100"/>
              <w:spacing w:after="0"/>
              <w:rPr>
                <w:sz w:val="20"/>
                <w:szCs w:val="20"/>
                <w:color w:val="auto"/>
              </w:rPr>
            </w:pPr>
            <w:r>
              <w:rPr>
                <w:rFonts w:ascii="Arial" w:cs="Arial" w:eastAsia="Arial" w:hAnsi="Arial"/>
                <w:sz w:val="10"/>
                <w:szCs w:val="10"/>
                <w:color w:val="131413"/>
              </w:rPr>
              <w:t>¼</w:t>
            </w:r>
          </w:p>
        </w:tc>
        <w:tc>
          <w:tcPr>
            <w:tcW w:w="500" w:type="dxa"/>
            <w:vAlign w:val="bottom"/>
            <w:vMerge w:val="continue"/>
          </w:tcPr>
          <w:p>
            <w:pPr>
              <w:spacing w:after="0"/>
              <w:rPr>
                <w:sz w:val="5"/>
                <w:szCs w:val="5"/>
                <w:color w:val="auto"/>
              </w:rPr>
            </w:pPr>
          </w:p>
        </w:tc>
        <w:tc>
          <w:tcPr>
            <w:tcW w:w="200" w:type="dxa"/>
            <w:vAlign w:val="bottom"/>
          </w:tcPr>
          <w:p>
            <w:pPr>
              <w:spacing w:after="0"/>
              <w:rPr>
                <w:sz w:val="5"/>
                <w:szCs w:val="5"/>
                <w:color w:val="auto"/>
              </w:rPr>
            </w:pPr>
          </w:p>
        </w:tc>
        <w:tc>
          <w:tcPr>
            <w:tcW w:w="80" w:type="dxa"/>
            <w:vAlign w:val="bottom"/>
          </w:tcPr>
          <w:p>
            <w:pPr>
              <w:spacing w:after="0"/>
              <w:rPr>
                <w:sz w:val="5"/>
                <w:szCs w:val="5"/>
                <w:color w:val="auto"/>
              </w:rPr>
            </w:pPr>
          </w:p>
        </w:tc>
        <w:tc>
          <w:tcPr>
            <w:tcW w:w="300" w:type="dxa"/>
            <w:vAlign w:val="bottom"/>
            <w:vMerge w:val="restart"/>
          </w:tcPr>
          <w:p>
            <w:pPr>
              <w:ind w:left="160"/>
              <w:spacing w:after="0"/>
              <w:rPr>
                <w:sz w:val="20"/>
                <w:szCs w:val="20"/>
                <w:color w:val="auto"/>
              </w:rPr>
            </w:pPr>
            <w:r>
              <w:rPr>
                <w:rFonts w:ascii="Arial" w:cs="Arial" w:eastAsia="Arial" w:hAnsi="Arial"/>
                <w:sz w:val="10"/>
                <w:szCs w:val="10"/>
                <w:color w:val="131413"/>
              </w:rPr>
              <w:t>¼</w:t>
            </w:r>
          </w:p>
        </w:tc>
        <w:tc>
          <w:tcPr>
            <w:tcW w:w="520" w:type="dxa"/>
            <w:vAlign w:val="bottom"/>
            <w:vMerge w:val="continue"/>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60" w:type="dxa"/>
            <w:vAlign w:val="bottom"/>
            <w:vMerge w:val="restart"/>
          </w:tcPr>
          <w:p>
            <w:pPr>
              <w:ind w:left="140"/>
              <w:spacing w:after="0"/>
              <w:rPr>
                <w:sz w:val="20"/>
                <w:szCs w:val="20"/>
                <w:color w:val="auto"/>
              </w:rPr>
            </w:pPr>
            <w:r>
              <w:rPr>
                <w:rFonts w:ascii="Arial" w:cs="Arial" w:eastAsia="Arial" w:hAnsi="Arial"/>
                <w:sz w:val="10"/>
                <w:szCs w:val="10"/>
                <w:color w:val="131413"/>
              </w:rPr>
              <w:t>¼</w:t>
            </w:r>
          </w:p>
        </w:tc>
        <w:tc>
          <w:tcPr>
            <w:tcW w:w="7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77"/>
        </w:trPr>
        <w:tc>
          <w:tcPr>
            <w:tcW w:w="1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120" w:type="dxa"/>
            <w:vAlign w:val="bottom"/>
          </w:tcPr>
          <w:p>
            <w:pPr>
              <w:spacing w:after="0"/>
              <w:rPr>
                <w:sz w:val="20"/>
                <w:szCs w:val="20"/>
                <w:color w:val="auto"/>
              </w:rPr>
            </w:pPr>
            <w:r>
              <w:rPr>
                <w:rFonts w:ascii="Arial" w:cs="Arial" w:eastAsia="Arial" w:hAnsi="Arial"/>
                <w:sz w:val="10"/>
                <w:szCs w:val="10"/>
                <w:color w:val="131413"/>
              </w:rPr>
              <w:t>¼</w:t>
            </w:r>
          </w:p>
        </w:tc>
        <w:tc>
          <w:tcPr>
            <w:tcW w:w="140" w:type="dxa"/>
            <w:vAlign w:val="bottom"/>
          </w:tcPr>
          <w:p>
            <w:pPr>
              <w:spacing w:after="0"/>
              <w:rPr>
                <w:sz w:val="15"/>
                <w:szCs w:val="15"/>
                <w:color w:val="auto"/>
              </w:rPr>
            </w:pPr>
          </w:p>
        </w:tc>
        <w:tc>
          <w:tcPr>
            <w:tcW w:w="360" w:type="dxa"/>
            <w:vAlign w:val="bottom"/>
          </w:tcPr>
          <w:p>
            <w:pPr>
              <w:ind w:left="280"/>
              <w:spacing w:after="0"/>
              <w:rPr>
                <w:sz w:val="20"/>
                <w:szCs w:val="20"/>
                <w:color w:val="auto"/>
              </w:rPr>
            </w:pPr>
            <w:r>
              <w:rPr>
                <w:rFonts w:ascii="Arial" w:cs="Arial" w:eastAsia="Arial" w:hAnsi="Arial"/>
                <w:sz w:val="10"/>
                <w:szCs w:val="10"/>
                <w:color w:val="131413"/>
                <w:w w:val="71"/>
              </w:rPr>
              <w:t>¼</w:t>
            </w:r>
          </w:p>
        </w:tc>
        <w:tc>
          <w:tcPr>
            <w:tcW w:w="60" w:type="dxa"/>
            <w:vAlign w:val="bottom"/>
          </w:tcPr>
          <w:p>
            <w:pPr>
              <w:spacing w:after="0"/>
              <w:rPr>
                <w:sz w:val="15"/>
                <w:szCs w:val="15"/>
                <w:color w:val="auto"/>
              </w:rPr>
            </w:pPr>
          </w:p>
        </w:tc>
        <w:tc>
          <w:tcPr>
            <w:tcW w:w="220" w:type="dxa"/>
            <w:vAlign w:val="bottom"/>
            <w:vMerge w:val="continue"/>
          </w:tcPr>
          <w:p>
            <w:pPr>
              <w:spacing w:after="0"/>
              <w:rPr>
                <w:sz w:val="15"/>
                <w:szCs w:val="15"/>
                <w:color w:val="auto"/>
              </w:rPr>
            </w:pPr>
          </w:p>
        </w:tc>
        <w:tc>
          <w:tcPr>
            <w:tcW w:w="120" w:type="dxa"/>
            <w:vAlign w:val="bottom"/>
          </w:tcPr>
          <w:p>
            <w:pPr>
              <w:spacing w:after="0"/>
              <w:rPr>
                <w:sz w:val="15"/>
                <w:szCs w:val="15"/>
                <w:color w:val="auto"/>
              </w:rPr>
            </w:pPr>
          </w:p>
        </w:tc>
        <w:tc>
          <w:tcPr>
            <w:tcW w:w="220" w:type="dxa"/>
            <w:vAlign w:val="bottom"/>
            <w:gridSpan w:val="4"/>
            <w:vMerge w:val="continue"/>
          </w:tcPr>
          <w:p>
            <w:pPr>
              <w:spacing w:after="0"/>
              <w:rPr>
                <w:sz w:val="15"/>
                <w:szCs w:val="15"/>
                <w:color w:val="auto"/>
              </w:rPr>
            </w:pPr>
          </w:p>
        </w:tc>
        <w:tc>
          <w:tcPr>
            <w:tcW w:w="240" w:type="dxa"/>
            <w:vAlign w:val="bottom"/>
            <w:gridSpan w:val="2"/>
            <w:vMerge w:val="continue"/>
          </w:tcPr>
          <w:p>
            <w:pPr>
              <w:spacing w:after="0"/>
              <w:rPr>
                <w:sz w:val="15"/>
                <w:szCs w:val="15"/>
                <w:color w:val="auto"/>
              </w:rPr>
            </w:pPr>
          </w:p>
        </w:tc>
        <w:tc>
          <w:tcPr>
            <w:tcW w:w="5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300" w:type="dxa"/>
            <w:vAlign w:val="bottom"/>
            <w:vMerge w:val="continue"/>
          </w:tcPr>
          <w:p>
            <w:pPr>
              <w:spacing w:after="0"/>
              <w:rPr>
                <w:sz w:val="15"/>
                <w:szCs w:val="15"/>
                <w:color w:val="auto"/>
              </w:rPr>
            </w:pPr>
          </w:p>
        </w:tc>
        <w:tc>
          <w:tcPr>
            <w:tcW w:w="5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260" w:type="dxa"/>
            <w:vAlign w:val="bottom"/>
            <w:vMerge w:val="continue"/>
          </w:tcPr>
          <w:p>
            <w:pPr>
              <w:spacing w:after="0"/>
              <w:rPr>
                <w:sz w:val="15"/>
                <w:szCs w:val="15"/>
                <w:color w:val="auto"/>
              </w:rPr>
            </w:pPr>
          </w:p>
        </w:tc>
        <w:tc>
          <w:tcPr>
            <w:tcW w:w="7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36" w:lineRule="exact"/>
        <w:rPr>
          <w:sz w:val="20"/>
          <w:szCs w:val="20"/>
          <w:color w:val="auto"/>
        </w:rPr>
      </w:pPr>
    </w:p>
    <w:p>
      <w:pPr>
        <w:ind w:left="4520"/>
        <w:spacing w:after="0"/>
        <w:rPr>
          <w:sz w:val="20"/>
          <w:szCs w:val="20"/>
          <w:color w:val="auto"/>
        </w:rPr>
      </w:pPr>
      <w:r>
        <w:rPr>
          <w:rFonts w:ascii="Arial" w:cs="Arial" w:eastAsia="Arial" w:hAnsi="Arial"/>
          <w:sz w:val="13"/>
          <w:szCs w:val="13"/>
          <w:color w:val="131413"/>
        </w:rPr>
        <w:t>ð</w:t>
      </w:r>
      <w:r>
        <w:rPr>
          <w:rFonts w:ascii="Times New Roman" w:cs="Times New Roman" w:eastAsia="Times New Roman" w:hAnsi="Times New Roman"/>
          <w:sz w:val="13"/>
          <w:szCs w:val="13"/>
          <w:color w:val="131413"/>
        </w:rPr>
        <w:t>4</w:t>
      </w:r>
      <w:r>
        <w:rPr>
          <w:rFonts w:ascii="Arial" w:cs="Arial" w:eastAsia="Arial" w:hAnsi="Arial"/>
          <w:sz w:val="13"/>
          <w:szCs w:val="13"/>
          <w:color w:val="131413"/>
        </w:rPr>
        <w:t>Þ</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2526030</wp:posOffset>
            </wp:positionH>
            <wp:positionV relativeFrom="paragraph">
              <wp:posOffset>372745</wp:posOffset>
            </wp:positionV>
            <wp:extent cx="483870" cy="13843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ectPr>
          <w:pgSz w:w="11900" w:h="15817" w:orient="portrait"/>
          <w:cols w:equalWidth="0" w:num="2">
            <w:col w:w="4760" w:space="340"/>
            <w:col w:w="4760"/>
          </w:cols>
          <w:pgMar w:left="1020" w:top="649" w:right="1026" w:bottom="893" w:gutter="0" w:footer="0" w:header="0"/>
          <w:type w:val="continuous"/>
        </w:sectPr>
      </w:pPr>
    </w:p>
    <w:bookmarkStart w:id="3" w:name="page4"/>
    <w:bookmarkEnd w:id="3"/>
    <w:p>
      <w:pPr>
        <w:ind w:left="8980"/>
        <w:spacing w:after="0"/>
        <w:rPr>
          <w:sz w:val="20"/>
          <w:szCs w:val="20"/>
          <w:color w:val="auto"/>
        </w:rPr>
      </w:pPr>
      <w:r>
        <w:rPr>
          <w:rFonts w:ascii="Arial" w:cs="Arial" w:eastAsia="Arial" w:hAnsi="Arial"/>
          <w:sz w:val="13"/>
          <w:szCs w:val="13"/>
          <w:color w:val="131413"/>
        </w:rPr>
        <w:t>Urban Ecosyst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48895</wp:posOffset>
            </wp:positionV>
            <wp:extent cx="6276975" cy="30943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extLst>
                    </a:blip>
                    <a:srcRect/>
                    <a:stretch>
                      <a:fillRect/>
                    </a:stretch>
                  </pic:blipFill>
                  <pic:spPr bwMode="auto">
                    <a:xfrm>
                      <a:off x="0" y="0"/>
                      <a:ext cx="6276975" cy="30943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right="20"/>
        <w:spacing w:after="0" w:line="235" w:lineRule="auto"/>
        <w:rPr>
          <w:sz w:val="20"/>
          <w:szCs w:val="20"/>
          <w:color w:val="auto"/>
        </w:rPr>
      </w:pPr>
      <w:r>
        <w:rPr>
          <w:rFonts w:ascii="Arial" w:cs="Arial" w:eastAsia="Arial" w:hAnsi="Arial"/>
          <w:sz w:val="17"/>
          <w:szCs w:val="17"/>
          <w:color w:val="131413"/>
        </w:rPr>
        <w:t xml:space="preserve">Fig. 1 </w:t>
      </w:r>
      <w:r>
        <w:rPr>
          <w:rFonts w:ascii="Times New Roman" w:cs="Times New Roman" w:eastAsia="Times New Roman" w:hAnsi="Times New Roman"/>
          <w:sz w:val="17"/>
          <w:szCs w:val="17"/>
          <w:color w:val="131413"/>
        </w:rPr>
        <w:t>The location of the study area. (a) The administrative boundary of Guiyang (blue outline) and the study area (red outline); (b) locations of the 54</w:t>
      </w:r>
      <w:r>
        <w:rPr>
          <w:rFonts w:ascii="Arial" w:cs="Arial" w:eastAsia="Arial" w:hAnsi="Arial"/>
          <w:sz w:val="17"/>
          <w:szCs w:val="17"/>
          <w:color w:val="131413"/>
        </w:rPr>
        <w:t xml:space="preserve"> </w:t>
      </w:r>
      <w:r>
        <w:rPr>
          <w:rFonts w:ascii="Times New Roman" w:cs="Times New Roman" w:eastAsia="Times New Roman" w:hAnsi="Times New Roman"/>
          <w:sz w:val="17"/>
          <w:szCs w:val="17"/>
          <w:color w:val="131413"/>
        </w:rPr>
        <w:t>forest patches as shown on Google Earth; (c) an example of a remnant forest patch</w:t>
      </w:r>
    </w:p>
    <w:p>
      <w:pPr>
        <w:sectPr>
          <w:pgSz w:w="11900" w:h="15817" w:orient="portrait"/>
          <w:cols w:equalWidth="0" w:num="1">
            <w:col w:w="9880"/>
          </w:cols>
          <w:pgMar w:left="1020" w:top="649" w:right="1006" w:bottom="1007" w:gutter="0" w:footer="0" w:header="0"/>
        </w:sectPr>
      </w:pPr>
    </w:p>
    <w:p>
      <w:pPr>
        <w:spacing w:after="0" w:line="256" w:lineRule="exact"/>
        <w:rPr>
          <w:sz w:val="20"/>
          <w:szCs w:val="20"/>
          <w:color w:val="auto"/>
        </w:rPr>
      </w:pPr>
    </w:p>
    <w:p>
      <w:pPr>
        <w:jc w:val="both"/>
        <w:spacing w:after="0" w:line="224" w:lineRule="auto"/>
        <w:rPr>
          <w:sz w:val="20"/>
          <w:szCs w:val="20"/>
          <w:color w:val="auto"/>
        </w:rPr>
      </w:pPr>
      <w:r>
        <w:rPr>
          <w:rFonts w:ascii="Times New Roman" w:cs="Times New Roman" w:eastAsia="Times New Roman" w:hAnsi="Times New Roman"/>
          <w:sz w:val="20"/>
          <w:szCs w:val="20"/>
          <w:color w:val="131413"/>
        </w:rPr>
        <w:t>where w</w:t>
      </w:r>
      <w:r>
        <w:rPr>
          <w:rFonts w:ascii="Times New Roman" w:cs="Times New Roman" w:eastAsia="Times New Roman" w:hAnsi="Times New Roman"/>
          <w:sz w:val="26"/>
          <w:szCs w:val="26"/>
          <w:color w:val="131413"/>
          <w:vertAlign w:val="subscript"/>
        </w:rPr>
        <w:t>i+</w:t>
      </w:r>
      <w:r>
        <w:rPr>
          <w:rFonts w:ascii="Times New Roman" w:cs="Times New Roman" w:eastAsia="Times New Roman" w:hAnsi="Times New Roman"/>
          <w:sz w:val="20"/>
          <w:szCs w:val="20"/>
          <w:color w:val="131413"/>
        </w:rPr>
        <w:t xml:space="preserve"> is the weight attributed to group i. Similarly, we think all the groups contributed equally to the overall diversi-ty, so we give them equal weight to each group, that is w</w:t>
      </w:r>
      <w:r>
        <w:rPr>
          <w:rFonts w:ascii="Times New Roman" w:cs="Times New Roman" w:eastAsia="Times New Roman" w:hAnsi="Times New Roman"/>
          <w:sz w:val="26"/>
          <w:szCs w:val="26"/>
          <w:color w:val="131413"/>
          <w:vertAlign w:val="subscript"/>
        </w:rPr>
        <w:t>i+</w:t>
      </w:r>
      <w:r>
        <w:rPr>
          <w:rFonts w:ascii="Times New Roman" w:cs="Times New Roman" w:eastAsia="Times New Roman" w:hAnsi="Times New Roman"/>
          <w:sz w:val="20"/>
          <w:szCs w:val="20"/>
          <w:color w:val="131413"/>
        </w:rPr>
        <w:t>=1/ N for any group i. w</w:t>
      </w:r>
      <w:r>
        <w:rPr>
          <w:rFonts w:ascii="Times New Roman" w:cs="Times New Roman" w:eastAsia="Times New Roman" w:hAnsi="Times New Roman"/>
          <w:sz w:val="26"/>
          <w:szCs w:val="26"/>
          <w:color w:val="131413"/>
          <w:vertAlign w:val="subscript"/>
        </w:rPr>
        <w:t>in</w:t>
      </w:r>
      <w:r>
        <w:rPr>
          <w:rFonts w:ascii="Times New Roman" w:cs="Times New Roman" w:eastAsia="Times New Roman" w:hAnsi="Times New Roman"/>
          <w:sz w:val="20"/>
          <w:szCs w:val="20"/>
          <w:color w:val="131413"/>
        </w:rPr>
        <w:t xml:space="preserve"> is the weight attributed to patch n in group i. p</w:t>
      </w:r>
      <w:r>
        <w:rPr>
          <w:rFonts w:ascii="Times New Roman" w:cs="Times New Roman" w:eastAsia="Times New Roman" w:hAnsi="Times New Roman"/>
          <w:sz w:val="26"/>
          <w:szCs w:val="26"/>
          <w:color w:val="131413"/>
          <w:vertAlign w:val="subscript"/>
        </w:rPr>
        <w:t>kin</w:t>
      </w:r>
      <w:r>
        <w:rPr>
          <w:rFonts w:ascii="Times New Roman" w:cs="Times New Roman" w:eastAsia="Times New Roman" w:hAnsi="Times New Roman"/>
          <w:sz w:val="20"/>
          <w:szCs w:val="20"/>
          <w:color w:val="131413"/>
        </w:rPr>
        <w:t xml:space="preserve"> is the relative abundance of species k in patch n of group i. p</w:t>
      </w:r>
      <w:r>
        <w:rPr>
          <w:rFonts w:ascii="Times New Roman" w:cs="Times New Roman" w:eastAsia="Times New Roman" w:hAnsi="Times New Roman"/>
          <w:sz w:val="26"/>
          <w:szCs w:val="26"/>
          <w:color w:val="131413"/>
          <w:vertAlign w:val="subscript"/>
        </w:rPr>
        <w:t>lin</w:t>
      </w:r>
      <w:r>
        <w:rPr>
          <w:rFonts w:ascii="Times New Roman" w:cs="Times New Roman" w:eastAsia="Times New Roman" w:hAnsi="Times New Roman"/>
          <w:sz w:val="20"/>
          <w:szCs w:val="20"/>
          <w:color w:val="131413"/>
        </w:rPr>
        <w:t xml:space="preserve"> is the relative abundance of species l in patch n of group i.</w:t>
      </w:r>
    </w:p>
    <w:p>
      <w:pPr>
        <w:spacing w:after="0" w:line="36" w:lineRule="exact"/>
        <w:rPr>
          <w:sz w:val="20"/>
          <w:szCs w:val="20"/>
          <w:color w:val="auto"/>
        </w:rPr>
      </w:pPr>
    </w:p>
    <w:p>
      <w:pPr>
        <w:jc w:val="both"/>
        <w:ind w:firstLine="227"/>
        <w:spacing w:after="0" w:line="247"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equivalent number for </w:t>
      </w:r>
      <w:r>
        <w:rPr>
          <w:rFonts w:ascii="Arial" w:cs="Arial" w:eastAsia="Arial" w:hAnsi="Arial"/>
          <w:sz w:val="20"/>
          <w:szCs w:val="20"/>
          <w:color w:val="131413"/>
        </w:rPr>
        <w:t>γ</w:t>
      </w:r>
      <w:r>
        <w:rPr>
          <w:rFonts w:ascii="Times New Roman" w:cs="Times New Roman" w:eastAsia="Times New Roman" w:hAnsi="Times New Roman"/>
          <w:sz w:val="20"/>
          <w:szCs w:val="20"/>
          <w:color w:val="131413"/>
        </w:rPr>
        <w:t>-diversity at the study area was calculated using Eq. (</w:t>
      </w:r>
      <w:hyperlink w:anchor="page9">
        <w:r>
          <w:rPr>
            <w:rFonts w:ascii="Times New Roman" w:cs="Times New Roman" w:eastAsia="Times New Roman" w:hAnsi="Times New Roman"/>
            <w:sz w:val="20"/>
            <w:szCs w:val="20"/>
            <w:color w:val="0000FF"/>
          </w:rPr>
          <w:t>5</w:t>
        </w:r>
      </w:hyperlink>
      <w:r>
        <w:rPr>
          <w:rFonts w:ascii="Times New Roman" w:cs="Times New Roman" w:eastAsia="Times New Roman" w:hAnsi="Times New Roman"/>
          <w:sz w:val="20"/>
          <w:szCs w:val="20"/>
          <w:color w:val="131413"/>
        </w:rPr>
        <w:t>) and (</w:t>
      </w:r>
      <w:hyperlink w:anchor="page9">
        <w:r>
          <w:rPr>
            <w:rFonts w:ascii="Times New Roman" w:cs="Times New Roman" w:eastAsia="Times New Roman" w:hAnsi="Times New Roman"/>
            <w:sz w:val="20"/>
            <w:szCs w:val="20"/>
            <w:color w:val="0000FF"/>
          </w:rPr>
          <w:t>6</w:t>
        </w:r>
      </w:hyperlink>
      <w:r>
        <w:rPr>
          <w:rFonts w:ascii="Times New Roman" w:cs="Times New Roman" w:eastAsia="Times New Roman" w:hAnsi="Times New Roman"/>
          <w:sz w:val="20"/>
          <w:szCs w:val="20"/>
          <w:color w:val="131413"/>
        </w:rPr>
        <w:t>).</w:t>
      </w:r>
    </w:p>
    <w:p>
      <w:pPr>
        <w:spacing w:after="0" w:line="146"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480" w:type="dxa"/>
            <w:vAlign w:val="bottom"/>
            <w:vMerge w:val="restart"/>
          </w:tcPr>
          <w:p>
            <w:pPr>
              <w:spacing w:after="0"/>
              <w:rPr>
                <w:sz w:val="20"/>
                <w:szCs w:val="20"/>
                <w:color w:val="auto"/>
              </w:rPr>
            </w:pPr>
            <w:r>
              <w:rPr>
                <w:rFonts w:ascii="Times New Roman" w:cs="Times New Roman" w:eastAsia="Times New Roman" w:hAnsi="Times New Roman"/>
                <w:sz w:val="20"/>
                <w:szCs w:val="20"/>
                <w:color w:val="131413"/>
              </w:rPr>
              <w:t>E</w:t>
            </w:r>
            <w:r>
              <w:rPr>
                <w:rFonts w:ascii="Arial" w:cs="Arial" w:eastAsia="Arial" w:hAnsi="Arial"/>
                <w:sz w:val="27"/>
                <w:szCs w:val="27"/>
                <w:color w:val="131413"/>
                <w:vertAlign w:val="subscript"/>
              </w:rPr>
              <w:t>γ</w:t>
            </w:r>
            <w:r>
              <w:rPr>
                <w:rFonts w:ascii="Times New Roman" w:cs="Times New Roman" w:eastAsia="Times New Roman" w:hAnsi="Times New Roman"/>
                <w:sz w:val="20"/>
                <w:szCs w:val="20"/>
                <w:color w:val="131413"/>
              </w:rPr>
              <w:t xml:space="preserve"> </w:t>
            </w:r>
            <w:r>
              <w:rPr>
                <w:rFonts w:ascii="Arial" w:cs="Arial" w:eastAsia="Arial" w:hAnsi="Arial"/>
                <w:sz w:val="20"/>
                <w:szCs w:val="20"/>
                <w:color w:val="131413"/>
              </w:rPr>
              <w:t>¼</w:t>
            </w:r>
          </w:p>
        </w:tc>
        <w:tc>
          <w:tcPr>
            <w:tcW w:w="460" w:type="dxa"/>
            <w:vAlign w:val="bottom"/>
          </w:tcPr>
          <w:p>
            <w:pPr>
              <w:jc w:val="right"/>
              <w:ind w:right="90"/>
              <w:spacing w:after="0"/>
              <w:rPr>
                <w:sz w:val="20"/>
                <w:szCs w:val="20"/>
                <w:color w:val="auto"/>
              </w:rPr>
            </w:pPr>
            <w:r>
              <w:rPr>
                <w:rFonts w:ascii="Times New Roman" w:cs="Times New Roman" w:eastAsia="Times New Roman" w:hAnsi="Times New Roman"/>
                <w:sz w:val="20"/>
                <w:szCs w:val="20"/>
                <w:color w:val="131413"/>
              </w:rPr>
              <w:t>1</w:t>
            </w:r>
          </w:p>
        </w:tc>
        <w:tc>
          <w:tcPr>
            <w:tcW w:w="2220" w:type="dxa"/>
            <w:vAlign w:val="bottom"/>
          </w:tcPr>
          <w:p>
            <w:pPr>
              <w:spacing w:after="0"/>
              <w:rPr>
                <w:sz w:val="19"/>
                <w:szCs w:val="19"/>
                <w:color w:val="auto"/>
              </w:rPr>
            </w:pPr>
          </w:p>
        </w:tc>
        <w:tc>
          <w:tcPr>
            <w:tcW w:w="1600" w:type="dxa"/>
            <w:vAlign w:val="bottom"/>
            <w:vMerge w:val="restart"/>
          </w:tcPr>
          <w:p>
            <w:pPr>
              <w:jc w:val="right"/>
              <w:spacing w:after="0"/>
              <w:rPr>
                <w:sz w:val="20"/>
                <w:szCs w:val="20"/>
                <w:color w:val="auto"/>
              </w:rPr>
            </w:pPr>
            <w:r>
              <w:rPr>
                <w:rFonts w:ascii="Arial" w:cs="Arial" w:eastAsia="Arial" w:hAnsi="Arial"/>
                <w:sz w:val="20"/>
                <w:szCs w:val="20"/>
                <w:color w:val="131413"/>
              </w:rPr>
              <w:t>ð</w:t>
            </w:r>
            <w:r>
              <w:rPr>
                <w:rFonts w:ascii="Times New Roman" w:cs="Times New Roman" w:eastAsia="Times New Roman" w:hAnsi="Times New Roman"/>
                <w:sz w:val="20"/>
                <w:szCs w:val="20"/>
                <w:color w:val="131413"/>
              </w:rPr>
              <w:t>5</w:t>
            </w:r>
            <w:r>
              <w:rPr>
                <w:rFonts w:ascii="Arial" w:cs="Arial" w:eastAsia="Arial" w:hAnsi="Arial"/>
                <w:sz w:val="20"/>
                <w:szCs w:val="20"/>
                <w:color w:val="131413"/>
              </w:rPr>
              <w:t>Þ</w:t>
            </w:r>
          </w:p>
        </w:tc>
        <w:tc>
          <w:tcPr>
            <w:tcW w:w="0" w:type="dxa"/>
            <w:vAlign w:val="bottom"/>
          </w:tcPr>
          <w:p>
            <w:pPr>
              <w:spacing w:after="0"/>
              <w:rPr>
                <w:sz w:val="1"/>
                <w:szCs w:val="1"/>
                <w:color w:val="auto"/>
              </w:rPr>
            </w:pPr>
          </w:p>
        </w:tc>
      </w:tr>
      <w:tr>
        <w:trPr>
          <w:trHeight w:val="40"/>
        </w:trPr>
        <w:tc>
          <w:tcPr>
            <w:tcW w:w="480" w:type="dxa"/>
            <w:vAlign w:val="bottom"/>
            <w:vMerge w:val="continue"/>
          </w:tcPr>
          <w:p>
            <w:pPr>
              <w:spacing w:after="0"/>
              <w:rPr>
                <w:sz w:val="3"/>
                <w:szCs w:val="3"/>
                <w:color w:val="auto"/>
              </w:rPr>
            </w:pPr>
          </w:p>
        </w:tc>
        <w:tc>
          <w:tcPr>
            <w:tcW w:w="460" w:type="dxa"/>
            <w:vAlign w:val="bottom"/>
            <w:tcBorders>
              <w:bottom w:val="single" w:sz="8" w:color="131413"/>
            </w:tcBorders>
          </w:tcPr>
          <w:p>
            <w:pPr>
              <w:spacing w:after="0"/>
              <w:rPr>
                <w:sz w:val="3"/>
                <w:szCs w:val="3"/>
                <w:color w:val="auto"/>
              </w:rPr>
            </w:pPr>
          </w:p>
        </w:tc>
        <w:tc>
          <w:tcPr>
            <w:tcW w:w="2220" w:type="dxa"/>
            <w:vAlign w:val="bottom"/>
            <w:vMerge w:val="restart"/>
          </w:tcPr>
          <w:p>
            <w:pPr>
              <w:spacing w:after="0"/>
              <w:rPr>
                <w:sz w:val="3"/>
                <w:szCs w:val="3"/>
                <w:color w:val="auto"/>
              </w:rPr>
            </w:pPr>
          </w:p>
        </w:tc>
        <w:tc>
          <w:tcPr>
            <w:tcW w:w="16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25"/>
        </w:trPr>
        <w:tc>
          <w:tcPr>
            <w:tcW w:w="480" w:type="dxa"/>
            <w:vAlign w:val="bottom"/>
            <w:vMerge w:val="continue"/>
          </w:tcPr>
          <w:p>
            <w:pPr>
              <w:spacing w:after="0"/>
              <w:rPr>
                <w:sz w:val="24"/>
                <w:szCs w:val="24"/>
                <w:color w:val="auto"/>
              </w:rPr>
            </w:pPr>
          </w:p>
        </w:tc>
        <w:tc>
          <w:tcPr>
            <w:tcW w:w="460" w:type="dxa"/>
            <w:vAlign w:val="bottom"/>
          </w:tcPr>
          <w:p>
            <w:pPr>
              <w:jc w:val="center"/>
              <w:spacing w:after="0"/>
              <w:rPr>
                <w:sz w:val="20"/>
                <w:szCs w:val="20"/>
                <w:color w:val="auto"/>
              </w:rPr>
            </w:pPr>
            <w:r>
              <w:rPr>
                <w:rFonts w:ascii="Times New Roman" w:cs="Times New Roman" w:eastAsia="Times New Roman" w:hAnsi="Times New Roman"/>
                <w:sz w:val="20"/>
                <w:szCs w:val="20"/>
                <w:color w:val="131413"/>
                <w:w w:val="97"/>
              </w:rPr>
              <w:t>1</w:t>
            </w:r>
            <w:r>
              <w:rPr>
                <w:rFonts w:ascii="Arial" w:cs="Arial" w:eastAsia="Arial" w:hAnsi="Arial"/>
                <w:sz w:val="20"/>
                <w:szCs w:val="20"/>
                <w:color w:val="131413"/>
                <w:w w:val="97"/>
              </w:rPr>
              <w:t>−</w:t>
            </w:r>
            <w:r>
              <w:rPr>
                <w:rFonts w:ascii="Times New Roman" w:cs="Times New Roman" w:eastAsia="Times New Roman" w:hAnsi="Times New Roman"/>
                <w:sz w:val="20"/>
                <w:szCs w:val="20"/>
                <w:color w:val="131413"/>
                <w:w w:val="97"/>
              </w:rPr>
              <w:t>Q</w:t>
            </w:r>
            <w:r>
              <w:rPr>
                <w:rFonts w:ascii="Arial" w:cs="Arial" w:eastAsia="Arial" w:hAnsi="Arial"/>
                <w:sz w:val="27"/>
                <w:szCs w:val="27"/>
                <w:color w:val="131413"/>
                <w:w w:val="97"/>
                <w:vertAlign w:val="subscript"/>
              </w:rPr>
              <w:t>γ</w:t>
            </w:r>
          </w:p>
        </w:tc>
        <w:tc>
          <w:tcPr>
            <w:tcW w:w="2220" w:type="dxa"/>
            <w:vAlign w:val="bottom"/>
            <w:vMerge w:val="continue"/>
          </w:tcPr>
          <w:p>
            <w:pPr>
              <w:spacing w:after="0"/>
              <w:rPr>
                <w:sz w:val="24"/>
                <w:szCs w:val="24"/>
                <w:color w:val="auto"/>
              </w:rPr>
            </w:pPr>
          </w:p>
        </w:tc>
        <w:tc>
          <w:tcPr>
            <w:tcW w:w="16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80"/>
        </w:trPr>
        <w:tc>
          <w:tcPr>
            <w:tcW w:w="480" w:type="dxa"/>
            <w:vAlign w:val="bottom"/>
          </w:tcPr>
          <w:p>
            <w:pPr>
              <w:spacing w:after="0"/>
              <w:rPr>
                <w:sz w:val="15"/>
                <w:szCs w:val="15"/>
                <w:color w:val="auto"/>
              </w:rPr>
            </w:pPr>
          </w:p>
        </w:tc>
        <w:tc>
          <w:tcPr>
            <w:tcW w:w="2680" w:type="dxa"/>
            <w:vAlign w:val="bottom"/>
            <w:gridSpan w:val="2"/>
          </w:tcPr>
          <w:p>
            <w:pPr>
              <w:ind w:left="140"/>
              <w:spacing w:after="0"/>
              <w:rPr>
                <w:sz w:val="20"/>
                <w:szCs w:val="20"/>
                <w:color w:val="auto"/>
              </w:rPr>
            </w:pPr>
            <w:r>
              <w:rPr>
                <w:rFonts w:ascii="Times New Roman" w:cs="Times New Roman" w:eastAsia="Times New Roman" w:hAnsi="Times New Roman"/>
                <w:sz w:val="14"/>
                <w:szCs w:val="14"/>
                <w:color w:val="131413"/>
              </w:rPr>
              <w:t>S</w:t>
            </w:r>
          </w:p>
        </w:tc>
        <w:tc>
          <w:tcPr>
            <w:tcW w:w="1600" w:type="dxa"/>
            <w:vAlign w:val="bottom"/>
            <w:vMerge w:val="restart"/>
          </w:tcPr>
          <w:p>
            <w:pPr>
              <w:jc w:val="right"/>
              <w:spacing w:after="0"/>
              <w:rPr>
                <w:sz w:val="20"/>
                <w:szCs w:val="20"/>
                <w:color w:val="auto"/>
              </w:rPr>
            </w:pPr>
            <w:r>
              <w:rPr>
                <w:rFonts w:ascii="Arial" w:cs="Arial" w:eastAsia="Arial" w:hAnsi="Arial"/>
                <w:sz w:val="20"/>
                <w:szCs w:val="20"/>
                <w:color w:val="131413"/>
              </w:rPr>
              <w:t>ð</w:t>
            </w:r>
            <w:r>
              <w:rPr>
                <w:rFonts w:ascii="Times New Roman" w:cs="Times New Roman" w:eastAsia="Times New Roman" w:hAnsi="Times New Roman"/>
                <w:sz w:val="20"/>
                <w:szCs w:val="20"/>
                <w:color w:val="131413"/>
              </w:rPr>
              <w:t>6</w:t>
            </w:r>
            <w:r>
              <w:rPr>
                <w:rFonts w:ascii="Arial" w:cs="Arial" w:eastAsia="Arial" w:hAnsi="Arial"/>
                <w:sz w:val="20"/>
                <w:szCs w:val="20"/>
                <w:color w:val="131413"/>
              </w:rPr>
              <w:t>Þ</w:t>
            </w:r>
          </w:p>
        </w:tc>
        <w:tc>
          <w:tcPr>
            <w:tcW w:w="0" w:type="dxa"/>
            <w:vAlign w:val="bottom"/>
          </w:tcPr>
          <w:p>
            <w:pPr>
              <w:spacing w:after="0"/>
              <w:rPr>
                <w:sz w:val="1"/>
                <w:szCs w:val="1"/>
                <w:color w:val="auto"/>
              </w:rPr>
            </w:pPr>
          </w:p>
        </w:tc>
      </w:tr>
      <w:tr>
        <w:trPr>
          <w:trHeight w:val="240"/>
        </w:trPr>
        <w:tc>
          <w:tcPr>
            <w:tcW w:w="3160" w:type="dxa"/>
            <w:vAlign w:val="bottom"/>
            <w:gridSpan w:val="3"/>
          </w:tcPr>
          <w:p>
            <w:pPr>
              <w:spacing w:after="0" w:line="239" w:lineRule="exact"/>
              <w:rPr>
                <w:sz w:val="20"/>
                <w:szCs w:val="20"/>
                <w:color w:val="auto"/>
              </w:rPr>
            </w:pPr>
            <w:r>
              <w:rPr>
                <w:rFonts w:ascii="Times New Roman" w:cs="Times New Roman" w:eastAsia="Times New Roman" w:hAnsi="Times New Roman"/>
                <w:sz w:val="27"/>
                <w:szCs w:val="27"/>
                <w:color w:val="131413"/>
                <w:vertAlign w:val="superscript"/>
              </w:rPr>
              <w:t>Q</w:t>
            </w:r>
            <w:r>
              <w:rPr>
                <w:rFonts w:ascii="Arial" w:cs="Arial" w:eastAsia="Arial" w:hAnsi="Arial"/>
                <w:sz w:val="12"/>
                <w:szCs w:val="12"/>
                <w:color w:val="131413"/>
              </w:rPr>
              <w:t xml:space="preserve">γ </w:t>
            </w:r>
            <w:r>
              <w:rPr>
                <w:rFonts w:ascii="Arial" w:cs="Arial" w:eastAsia="Arial" w:hAnsi="Arial"/>
                <w:sz w:val="15"/>
                <w:szCs w:val="15"/>
                <w:color w:val="131413"/>
              </w:rPr>
              <w:t>¼</w:t>
            </w:r>
            <w:r>
              <w:rPr>
                <w:rFonts w:ascii="Arial" w:cs="Arial" w:eastAsia="Arial" w:hAnsi="Arial"/>
                <w:sz w:val="12"/>
                <w:szCs w:val="12"/>
                <w:color w:val="131413"/>
              </w:rPr>
              <w:t xml:space="preserve">  </w:t>
            </w:r>
            <w:r>
              <w:rPr>
                <w:rFonts w:ascii="Arial" w:cs="Arial" w:eastAsia="Arial" w:hAnsi="Arial"/>
                <w:sz w:val="15"/>
                <w:szCs w:val="15"/>
                <w:color w:val="131413"/>
              </w:rPr>
              <w:t>∑</w:t>
            </w:r>
            <w:r>
              <w:rPr>
                <w:rFonts w:ascii="Arial" w:cs="Arial" w:eastAsia="Arial" w:hAnsi="Arial"/>
                <w:sz w:val="12"/>
                <w:szCs w:val="12"/>
                <w:color w:val="131413"/>
              </w:rPr>
              <w:t xml:space="preserve"> </w:t>
            </w:r>
            <w:r>
              <w:rPr>
                <w:rFonts w:ascii="Times New Roman" w:cs="Times New Roman" w:eastAsia="Times New Roman" w:hAnsi="Times New Roman"/>
                <w:sz w:val="27"/>
                <w:szCs w:val="27"/>
                <w:color w:val="131413"/>
                <w:vertAlign w:val="superscript"/>
              </w:rPr>
              <w:t>p</w:t>
            </w:r>
            <w:r>
              <w:rPr>
                <w:rFonts w:ascii="Times New Roman" w:cs="Times New Roman" w:eastAsia="Times New Roman" w:hAnsi="Times New Roman"/>
                <w:sz w:val="12"/>
                <w:szCs w:val="12"/>
                <w:color w:val="131413"/>
              </w:rPr>
              <w:t>k</w:t>
            </w:r>
            <w:r>
              <w:rPr>
                <w:rFonts w:ascii="Arial" w:cs="Arial" w:eastAsia="Arial" w:hAnsi="Arial"/>
                <w:sz w:val="12"/>
                <w:szCs w:val="12"/>
                <w:color w:val="131413"/>
              </w:rPr>
              <w:t>þþ</w:t>
            </w:r>
            <w:r>
              <w:rPr>
                <w:rFonts w:ascii="Times New Roman" w:cs="Times New Roman" w:eastAsia="Times New Roman" w:hAnsi="Times New Roman"/>
                <w:sz w:val="27"/>
                <w:szCs w:val="27"/>
                <w:color w:val="131413"/>
                <w:vertAlign w:val="superscript"/>
              </w:rPr>
              <w:t>p</w:t>
            </w:r>
            <w:r>
              <w:rPr>
                <w:rFonts w:ascii="Times New Roman" w:cs="Times New Roman" w:eastAsia="Times New Roman" w:hAnsi="Times New Roman"/>
                <w:sz w:val="12"/>
                <w:szCs w:val="12"/>
                <w:color w:val="131413"/>
              </w:rPr>
              <w:t>l</w:t>
            </w:r>
            <w:r>
              <w:rPr>
                <w:rFonts w:ascii="Arial" w:cs="Arial" w:eastAsia="Arial" w:hAnsi="Arial"/>
                <w:sz w:val="12"/>
                <w:szCs w:val="12"/>
                <w:color w:val="131413"/>
              </w:rPr>
              <w:t>þþ</w:t>
            </w:r>
            <w:r>
              <w:rPr>
                <w:rFonts w:ascii="Times New Roman" w:cs="Times New Roman" w:eastAsia="Times New Roman" w:hAnsi="Times New Roman"/>
                <w:sz w:val="27"/>
                <w:szCs w:val="27"/>
                <w:color w:val="131413"/>
                <w:vertAlign w:val="superscript"/>
              </w:rPr>
              <w:t>d</w:t>
            </w:r>
            <w:r>
              <w:rPr>
                <w:rFonts w:ascii="Times New Roman" w:cs="Times New Roman" w:eastAsia="Times New Roman" w:hAnsi="Times New Roman"/>
                <w:sz w:val="12"/>
                <w:szCs w:val="12"/>
                <w:color w:val="131413"/>
              </w:rPr>
              <w:t>kl</w:t>
            </w:r>
          </w:p>
        </w:tc>
        <w:tc>
          <w:tcPr>
            <w:tcW w:w="160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bl>
    <w:p>
      <w:pPr>
        <w:ind w:left="500"/>
        <w:spacing w:after="0"/>
        <w:rPr>
          <w:sz w:val="20"/>
          <w:szCs w:val="20"/>
          <w:color w:val="auto"/>
        </w:rPr>
      </w:pPr>
      <w:r>
        <w:rPr>
          <w:rFonts w:ascii="Times New Roman" w:cs="Times New Roman" w:eastAsia="Times New Roman" w:hAnsi="Times New Roman"/>
          <w:sz w:val="14"/>
          <w:szCs w:val="14"/>
          <w:color w:val="131413"/>
        </w:rPr>
        <w:t>k</w:t>
      </w:r>
      <w:r>
        <w:rPr>
          <w:rFonts w:ascii="Arial" w:cs="Arial" w:eastAsia="Arial" w:hAnsi="Arial"/>
          <w:sz w:val="14"/>
          <w:szCs w:val="14"/>
          <w:color w:val="131413"/>
        </w:rPr>
        <w:t>;</w:t>
      </w:r>
      <w:r>
        <w:rPr>
          <w:rFonts w:ascii="Times New Roman" w:cs="Times New Roman" w:eastAsia="Times New Roman" w:hAnsi="Times New Roman"/>
          <w:sz w:val="14"/>
          <w:szCs w:val="14"/>
          <w:color w:val="131413"/>
        </w:rPr>
        <w:t>l</w:t>
      </w:r>
      <w:r>
        <w:rPr>
          <w:rFonts w:ascii="Arial" w:cs="Arial" w:eastAsia="Arial" w:hAnsi="Arial"/>
          <w:sz w:val="14"/>
          <w:szCs w:val="14"/>
          <w:color w:val="131413"/>
        </w:rPr>
        <w:t>¼</w:t>
      </w:r>
      <w:r>
        <w:rPr>
          <w:rFonts w:ascii="Times New Roman" w:cs="Times New Roman" w:eastAsia="Times New Roman" w:hAnsi="Times New Roman"/>
          <w:sz w:val="14"/>
          <w:szCs w:val="14"/>
          <w:color w:val="131413"/>
        </w:rPr>
        <w:t>1</w:t>
      </w:r>
    </w:p>
    <w:p>
      <w:pPr>
        <w:spacing w:after="0" w:line="137" w:lineRule="exact"/>
        <w:rPr>
          <w:sz w:val="20"/>
          <w:szCs w:val="20"/>
          <w:color w:val="auto"/>
        </w:rPr>
      </w:pPr>
    </w:p>
    <w:p>
      <w:pPr>
        <w:jc w:val="both"/>
        <w:spacing w:after="0" w:line="235" w:lineRule="auto"/>
        <w:rPr>
          <w:sz w:val="20"/>
          <w:szCs w:val="20"/>
          <w:color w:val="auto"/>
        </w:rPr>
      </w:pPr>
      <w:r>
        <w:rPr>
          <w:rFonts w:ascii="Times New Roman" w:cs="Times New Roman" w:eastAsia="Times New Roman" w:hAnsi="Times New Roman"/>
          <w:sz w:val="20"/>
          <w:szCs w:val="20"/>
          <w:color w:val="131413"/>
        </w:rPr>
        <w:t>where p</w:t>
      </w:r>
      <w:r>
        <w:rPr>
          <w:rFonts w:ascii="Times New Roman" w:cs="Times New Roman" w:eastAsia="Times New Roman" w:hAnsi="Times New Roman"/>
          <w:sz w:val="26"/>
          <w:szCs w:val="26"/>
          <w:color w:val="131413"/>
          <w:vertAlign w:val="subscript"/>
        </w:rPr>
        <w:t>k</w:t>
      </w:r>
      <w:r>
        <w:rPr>
          <w:rFonts w:ascii="Times New Roman" w:cs="Times New Roman" w:eastAsia="Times New Roman" w:hAnsi="Times New Roman"/>
          <w:sz w:val="20"/>
          <w:szCs w:val="20"/>
          <w:color w:val="131413"/>
        </w:rPr>
        <w:t xml:space="preserve"> </w:t>
      </w:r>
      <w:r>
        <w:rPr>
          <w:rFonts w:ascii="Times New Roman" w:cs="Times New Roman" w:eastAsia="Times New Roman" w:hAnsi="Times New Roman"/>
          <w:sz w:val="26"/>
          <w:szCs w:val="26"/>
          <w:color w:val="131413"/>
          <w:vertAlign w:val="subscript"/>
        </w:rPr>
        <w:t>+ +</w:t>
      </w:r>
      <w:r>
        <w:rPr>
          <w:rFonts w:ascii="Times New Roman" w:cs="Times New Roman" w:eastAsia="Times New Roman" w:hAnsi="Times New Roman"/>
          <w:sz w:val="20"/>
          <w:szCs w:val="20"/>
          <w:color w:val="131413"/>
        </w:rPr>
        <w:t xml:space="preserve"> is the relative abundance of species k. p</w:t>
      </w:r>
      <w:r>
        <w:rPr>
          <w:rFonts w:ascii="Times New Roman" w:cs="Times New Roman" w:eastAsia="Times New Roman" w:hAnsi="Times New Roman"/>
          <w:sz w:val="26"/>
          <w:szCs w:val="26"/>
          <w:color w:val="131413"/>
          <w:vertAlign w:val="subscript"/>
        </w:rPr>
        <w:t>l</w:t>
      </w:r>
      <w:r>
        <w:rPr>
          <w:rFonts w:ascii="Times New Roman" w:cs="Times New Roman" w:eastAsia="Times New Roman" w:hAnsi="Times New Roman"/>
          <w:sz w:val="20"/>
          <w:szCs w:val="20"/>
          <w:color w:val="131413"/>
        </w:rPr>
        <w:t xml:space="preserve"> </w:t>
      </w:r>
      <w:r>
        <w:rPr>
          <w:rFonts w:ascii="Times New Roman" w:cs="Times New Roman" w:eastAsia="Times New Roman" w:hAnsi="Times New Roman"/>
          <w:sz w:val="26"/>
          <w:szCs w:val="26"/>
          <w:color w:val="131413"/>
          <w:vertAlign w:val="subscript"/>
        </w:rPr>
        <w:t>+ +</w:t>
      </w:r>
      <w:r>
        <w:rPr>
          <w:rFonts w:ascii="Times New Roman" w:cs="Times New Roman" w:eastAsia="Times New Roman" w:hAnsi="Times New Roman"/>
          <w:sz w:val="20"/>
          <w:szCs w:val="20"/>
          <w:color w:val="131413"/>
        </w:rPr>
        <w:t xml:space="preserve"> is the relative abundance of species l.</w:t>
      </w:r>
    </w:p>
    <w:p>
      <w:pPr>
        <w:spacing w:after="0" w:line="2" w:lineRule="exact"/>
        <w:rPr>
          <w:sz w:val="20"/>
          <w:szCs w:val="20"/>
          <w:color w:val="auto"/>
        </w:rPr>
      </w:pPr>
    </w:p>
    <w:p>
      <w:pPr>
        <w:jc w:val="both"/>
        <w:ind w:firstLine="227"/>
        <w:spacing w:after="0" w:line="225"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equivalent number for </w:t>
      </w:r>
      <w:r>
        <w:rPr>
          <w:rFonts w:ascii="Arial" w:cs="Arial" w:eastAsia="Arial" w:hAnsi="Arial"/>
          <w:sz w:val="20"/>
          <w:szCs w:val="20"/>
          <w:color w:val="131413"/>
        </w:rPr>
        <w:t>β</w:t>
      </w:r>
      <w:r>
        <w:rPr>
          <w:rFonts w:ascii="Times New Roman" w:cs="Times New Roman" w:eastAsia="Times New Roman" w:hAnsi="Times New Roman"/>
          <w:sz w:val="26"/>
          <w:szCs w:val="26"/>
          <w:color w:val="131413"/>
          <w:vertAlign w:val="subscript"/>
        </w:rPr>
        <w:t>2</w:t>
      </w:r>
      <w:r>
        <w:rPr>
          <w:rFonts w:ascii="Times New Roman" w:cs="Times New Roman" w:eastAsia="Times New Roman" w:hAnsi="Times New Roman"/>
          <w:sz w:val="20"/>
          <w:szCs w:val="20"/>
          <w:color w:val="131413"/>
        </w:rPr>
        <w:t>-taxonomic diversity among groups was calculated using Eq. (</w:t>
      </w:r>
      <w:hyperlink w:anchor="page9">
        <w:r>
          <w:rPr>
            <w:rFonts w:ascii="Times New Roman" w:cs="Times New Roman" w:eastAsia="Times New Roman" w:hAnsi="Times New Roman"/>
            <w:sz w:val="20"/>
            <w:szCs w:val="20"/>
            <w:color w:val="0000FF"/>
          </w:rPr>
          <w:t>7</w:t>
        </w:r>
      </w:hyperlink>
      <w:r>
        <w:rPr>
          <w:rFonts w:ascii="Times New Roman" w:cs="Times New Roman" w:eastAsia="Times New Roman" w:hAnsi="Times New Roman"/>
          <w:sz w:val="20"/>
          <w:szCs w:val="20"/>
          <w:color w:val="131413"/>
        </w:rPr>
        <w:t>).</w:t>
      </w:r>
    </w:p>
    <w:p>
      <w:pPr>
        <w:spacing w:after="0" w:line="82" w:lineRule="exact"/>
        <w:rPr>
          <w:sz w:val="20"/>
          <w:szCs w:val="20"/>
          <w:color w:val="auto"/>
        </w:rPr>
      </w:pPr>
    </w:p>
    <w:tbl>
      <w:tblPr>
        <w:tblLayout w:type="fixed"/>
        <w:tblInd w:w="0" w:type="dxa"/>
        <w:tblCellMar>
          <w:top w:w="0" w:type="dxa"/>
          <w:left w:w="0" w:type="dxa"/>
          <w:bottom w:w="0" w:type="dxa"/>
          <w:right w:w="0" w:type="dxa"/>
        </w:tblCellMar>
      </w:tblPr>
      <w:tr>
        <w:trPr>
          <w:trHeight w:val="339"/>
        </w:trPr>
        <w:tc>
          <w:tcPr>
            <w:tcW w:w="540" w:type="dxa"/>
            <w:vAlign w:val="bottom"/>
            <w:vMerge w:val="restart"/>
          </w:tcPr>
          <w:p>
            <w:pPr>
              <w:spacing w:after="0"/>
              <w:rPr>
                <w:sz w:val="20"/>
                <w:szCs w:val="20"/>
                <w:color w:val="auto"/>
              </w:rPr>
            </w:pPr>
            <w:r>
              <w:rPr>
                <w:rFonts w:ascii="Times New Roman" w:cs="Times New Roman" w:eastAsia="Times New Roman" w:hAnsi="Times New Roman"/>
                <w:sz w:val="20"/>
                <w:szCs w:val="20"/>
                <w:color w:val="131413"/>
                <w:w w:val="97"/>
              </w:rPr>
              <w:t>E</w:t>
            </w:r>
            <w:r>
              <w:rPr>
                <w:rFonts w:ascii="Arial" w:cs="Arial" w:eastAsia="Arial" w:hAnsi="Arial"/>
                <w:sz w:val="27"/>
                <w:szCs w:val="27"/>
                <w:color w:val="131413"/>
                <w:w w:val="97"/>
                <w:vertAlign w:val="subscript"/>
              </w:rPr>
              <w:t>β</w:t>
            </w:r>
            <w:r>
              <w:rPr>
                <w:rFonts w:ascii="Times New Roman" w:cs="Times New Roman" w:eastAsia="Times New Roman" w:hAnsi="Times New Roman"/>
                <w:sz w:val="27"/>
                <w:szCs w:val="27"/>
                <w:color w:val="131413"/>
                <w:w w:val="97"/>
                <w:vertAlign w:val="subscript"/>
              </w:rPr>
              <w:t>2</w:t>
            </w:r>
            <w:r>
              <w:rPr>
                <w:rFonts w:ascii="Times New Roman" w:cs="Times New Roman" w:eastAsia="Times New Roman" w:hAnsi="Times New Roman"/>
                <w:sz w:val="20"/>
                <w:szCs w:val="20"/>
                <w:color w:val="131413"/>
                <w:w w:val="97"/>
              </w:rPr>
              <w:t xml:space="preserve"> </w:t>
            </w:r>
            <w:r>
              <w:rPr>
                <w:rFonts w:ascii="Arial" w:cs="Arial" w:eastAsia="Arial" w:hAnsi="Arial"/>
                <w:sz w:val="20"/>
                <w:szCs w:val="20"/>
                <w:color w:val="131413"/>
                <w:w w:val="97"/>
              </w:rPr>
              <w:t>¼</w:t>
            </w:r>
          </w:p>
        </w:tc>
        <w:tc>
          <w:tcPr>
            <w:tcW w:w="2420" w:type="dxa"/>
            <w:vAlign w:val="bottom"/>
          </w:tcPr>
          <w:p>
            <w:pPr>
              <w:jc w:val="center"/>
              <w:ind w:right="1420"/>
              <w:spacing w:after="0"/>
              <w:rPr>
                <w:sz w:val="20"/>
                <w:szCs w:val="20"/>
                <w:color w:val="auto"/>
              </w:rPr>
            </w:pPr>
            <w:r>
              <w:rPr>
                <w:rFonts w:ascii="Times New Roman" w:cs="Times New Roman" w:eastAsia="Times New Roman" w:hAnsi="Times New Roman"/>
                <w:sz w:val="20"/>
                <w:szCs w:val="20"/>
                <w:color w:val="131413"/>
                <w:w w:val="93"/>
              </w:rPr>
              <w:t>1</w:t>
            </w:r>
            <w:r>
              <w:rPr>
                <w:rFonts w:ascii="Arial" w:cs="Arial" w:eastAsia="Arial" w:hAnsi="Arial"/>
                <w:sz w:val="20"/>
                <w:szCs w:val="20"/>
                <w:color w:val="131413"/>
                <w:w w:val="93"/>
              </w:rPr>
              <w:t>−</w:t>
            </w:r>
            <w:r>
              <w:rPr>
                <w:rFonts w:ascii="Times New Roman" w:cs="Times New Roman" w:eastAsia="Times New Roman" w:hAnsi="Times New Roman"/>
                <w:sz w:val="20"/>
                <w:szCs w:val="20"/>
                <w:color w:val="131413"/>
                <w:w w:val="93"/>
              </w:rPr>
              <w:t>Q</w:t>
            </w:r>
            <w:r>
              <w:rPr>
                <w:rFonts w:ascii="Arial" w:cs="Arial" w:eastAsia="Arial" w:hAnsi="Arial"/>
                <w:sz w:val="27"/>
                <w:szCs w:val="27"/>
                <w:color w:val="131413"/>
                <w:w w:val="93"/>
                <w:vertAlign w:val="subscript"/>
              </w:rPr>
              <w:t>α</w:t>
            </w:r>
            <w:r>
              <w:rPr>
                <w:rFonts w:ascii="Arial" w:cs="Arial" w:eastAsia="Arial" w:hAnsi="Arial"/>
                <w:sz w:val="20"/>
                <w:szCs w:val="20"/>
                <w:color w:val="131413"/>
                <w:w w:val="93"/>
              </w:rPr>
              <w:t>−</w:t>
            </w:r>
            <w:r>
              <w:rPr>
                <w:rFonts w:ascii="Times New Roman" w:cs="Times New Roman" w:eastAsia="Times New Roman" w:hAnsi="Times New Roman"/>
                <w:sz w:val="20"/>
                <w:szCs w:val="20"/>
                <w:color w:val="131413"/>
                <w:w w:val="93"/>
              </w:rPr>
              <w:t>Q</w:t>
            </w:r>
            <w:r>
              <w:rPr>
                <w:rFonts w:ascii="Arial" w:cs="Arial" w:eastAsia="Arial" w:hAnsi="Arial"/>
                <w:sz w:val="27"/>
                <w:szCs w:val="27"/>
                <w:color w:val="131413"/>
                <w:w w:val="93"/>
                <w:vertAlign w:val="subscript"/>
              </w:rPr>
              <w:t>β</w:t>
            </w:r>
            <w:r>
              <w:rPr>
                <w:rFonts w:ascii="Times New Roman" w:cs="Times New Roman" w:eastAsia="Times New Roman" w:hAnsi="Times New Roman"/>
                <w:sz w:val="27"/>
                <w:szCs w:val="27"/>
                <w:color w:val="131413"/>
                <w:w w:val="93"/>
                <w:vertAlign w:val="subscript"/>
              </w:rPr>
              <w:t>1</w:t>
            </w:r>
          </w:p>
        </w:tc>
        <w:tc>
          <w:tcPr>
            <w:tcW w:w="1800" w:type="dxa"/>
            <w:vAlign w:val="bottom"/>
            <w:vMerge w:val="restart"/>
          </w:tcPr>
          <w:p>
            <w:pPr>
              <w:jc w:val="right"/>
              <w:spacing w:after="0"/>
              <w:rPr>
                <w:sz w:val="20"/>
                <w:szCs w:val="20"/>
                <w:color w:val="auto"/>
              </w:rPr>
            </w:pPr>
            <w:r>
              <w:rPr>
                <w:rFonts w:ascii="Arial" w:cs="Arial" w:eastAsia="Arial" w:hAnsi="Arial"/>
                <w:sz w:val="20"/>
                <w:szCs w:val="20"/>
                <w:color w:val="131413"/>
              </w:rPr>
              <w:t>ð</w:t>
            </w:r>
            <w:r>
              <w:rPr>
                <w:rFonts w:ascii="Times New Roman" w:cs="Times New Roman" w:eastAsia="Times New Roman" w:hAnsi="Times New Roman"/>
                <w:sz w:val="20"/>
                <w:szCs w:val="20"/>
                <w:color w:val="131413"/>
              </w:rPr>
              <w:t>7</w:t>
            </w:r>
            <w:r>
              <w:rPr>
                <w:rFonts w:ascii="Arial" w:cs="Arial" w:eastAsia="Arial" w:hAnsi="Arial"/>
                <w:sz w:val="20"/>
                <w:szCs w:val="20"/>
                <w:color w:val="131413"/>
              </w:rPr>
              <w:t>Þ</w:t>
            </w:r>
          </w:p>
        </w:tc>
        <w:tc>
          <w:tcPr>
            <w:tcW w:w="0" w:type="dxa"/>
            <w:vAlign w:val="bottom"/>
          </w:tcPr>
          <w:p>
            <w:pPr>
              <w:spacing w:after="0"/>
              <w:rPr>
                <w:sz w:val="1"/>
                <w:szCs w:val="1"/>
                <w:color w:val="auto"/>
              </w:rPr>
            </w:pPr>
          </w:p>
        </w:tc>
      </w:tr>
      <w:tr>
        <w:trPr>
          <w:trHeight w:val="337"/>
        </w:trPr>
        <w:tc>
          <w:tcPr>
            <w:tcW w:w="540" w:type="dxa"/>
            <w:vAlign w:val="bottom"/>
            <w:vMerge w:val="continue"/>
          </w:tcPr>
          <w:p>
            <w:pPr>
              <w:spacing w:after="0"/>
              <w:rPr>
                <w:sz w:val="24"/>
                <w:szCs w:val="24"/>
                <w:color w:val="auto"/>
              </w:rPr>
            </w:pPr>
          </w:p>
        </w:tc>
        <w:tc>
          <w:tcPr>
            <w:tcW w:w="2420" w:type="dxa"/>
            <w:vAlign w:val="bottom"/>
          </w:tcPr>
          <w:p>
            <w:pPr>
              <w:jc w:val="center"/>
              <w:ind w:right="1420"/>
              <w:spacing w:after="0"/>
              <w:rPr>
                <w:sz w:val="20"/>
                <w:szCs w:val="20"/>
                <w:color w:val="auto"/>
              </w:rPr>
            </w:pPr>
            <w:r>
              <w:rPr>
                <w:rFonts w:ascii="Times New Roman" w:cs="Times New Roman" w:eastAsia="Times New Roman" w:hAnsi="Times New Roman"/>
                <w:sz w:val="20"/>
                <w:szCs w:val="20"/>
                <w:color w:val="131413"/>
                <w:w w:val="92"/>
              </w:rPr>
              <w:t>1</w:t>
            </w:r>
            <w:r>
              <w:rPr>
                <w:rFonts w:ascii="Arial" w:cs="Arial" w:eastAsia="Arial" w:hAnsi="Arial"/>
                <w:sz w:val="20"/>
                <w:szCs w:val="20"/>
                <w:color w:val="131413"/>
                <w:w w:val="92"/>
              </w:rPr>
              <w:t>−</w:t>
            </w:r>
            <w:r>
              <w:rPr>
                <w:rFonts w:ascii="Times New Roman" w:cs="Times New Roman" w:eastAsia="Times New Roman" w:hAnsi="Times New Roman"/>
                <w:sz w:val="20"/>
                <w:szCs w:val="20"/>
                <w:color w:val="131413"/>
                <w:w w:val="92"/>
              </w:rPr>
              <w:t>Q</w:t>
            </w:r>
            <w:r>
              <w:rPr>
                <w:rFonts w:ascii="Arial" w:cs="Arial" w:eastAsia="Arial" w:hAnsi="Arial"/>
                <w:sz w:val="27"/>
                <w:szCs w:val="27"/>
                <w:color w:val="131413"/>
                <w:w w:val="92"/>
                <w:vertAlign w:val="subscript"/>
              </w:rPr>
              <w:t>γ</w:t>
            </w:r>
          </w:p>
        </w:tc>
        <w:tc>
          <w:tcPr>
            <w:tcW w:w="18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351155</wp:posOffset>
                </wp:positionH>
                <wp:positionV relativeFrom="paragraph">
                  <wp:posOffset>-198120</wp:posOffset>
                </wp:positionV>
                <wp:extent cx="56642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6420" cy="4763"/>
                        </a:xfrm>
                        <a:prstGeom prst="line">
                          <a:avLst/>
                        </a:prstGeom>
                        <a:solidFill>
                          <a:srgbClr val="FFFFFF"/>
                        </a:solidFill>
                        <a:ln w="5040">
                          <a:solidFill>
                            <a:srgbClr val="131413"/>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65pt,-15.5999pt" to="72.25pt,-15.5999pt" o:allowincell="f" strokecolor="#131413" strokeweight="0.3969pt"/>
            </w:pict>
          </mc:Fallback>
        </mc:AlternateContent>
      </w:r>
    </w:p>
    <w:p>
      <w:pPr>
        <w:spacing w:after="0" w:line="20" w:lineRule="exact"/>
        <w:rPr>
          <w:sz w:val="20"/>
          <w:szCs w:val="20"/>
          <w:color w:val="auto"/>
        </w:rPr>
      </w:pPr>
      <w:r>
        <w:rPr>
          <w:sz w:val="20"/>
          <w:szCs w:val="20"/>
          <w:color w:val="auto"/>
        </w:rPr>
        <w:br w:type="column"/>
      </w:r>
    </w:p>
    <w:p>
      <w:pPr>
        <w:spacing w:after="0" w:line="300" w:lineRule="exact"/>
        <w:rPr>
          <w:sz w:val="20"/>
          <w:szCs w:val="20"/>
          <w:color w:val="auto"/>
        </w:rPr>
      </w:pPr>
    </w:p>
    <w:p>
      <w:pPr>
        <w:jc w:val="both"/>
        <w:ind w:right="20" w:firstLine="227"/>
        <w:spacing w:after="0" w:line="251"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In order to test the significance of differences in species composition, we rescaled the </w:t>
      </w:r>
      <w:r>
        <w:rPr>
          <w:rFonts w:ascii="Arial" w:cs="Arial" w:eastAsia="Arial" w:hAnsi="Arial"/>
          <w:sz w:val="20"/>
          <w:szCs w:val="20"/>
          <w:color w:val="131413"/>
        </w:rPr>
        <w:t>β</w:t>
      </w:r>
      <w:r>
        <w:rPr>
          <w:rFonts w:ascii="Times New Roman" w:cs="Times New Roman" w:eastAsia="Times New Roman" w:hAnsi="Times New Roman"/>
          <w:sz w:val="20"/>
          <w:szCs w:val="20"/>
          <w:color w:val="131413"/>
        </w:rPr>
        <w:t xml:space="preserve"> components using Equation (</w:t>
      </w:r>
      <w:hyperlink w:anchor="page9">
        <w:r>
          <w:rPr>
            <w:rFonts w:ascii="Times New Roman" w:cs="Times New Roman" w:eastAsia="Times New Roman" w:hAnsi="Times New Roman"/>
            <w:sz w:val="20"/>
            <w:szCs w:val="20"/>
            <w:color w:val="0000FF"/>
          </w:rPr>
          <w:t>8</w:t>
        </w:r>
      </w:hyperlink>
      <w:r>
        <w:rPr>
          <w:rFonts w:ascii="Times New Roman" w:cs="Times New Roman" w:eastAsia="Times New Roman" w:hAnsi="Times New Roman"/>
          <w:sz w:val="20"/>
          <w:szCs w:val="20"/>
          <w:color w:val="131413"/>
        </w:rPr>
        <w:t>) and (</w:t>
      </w:r>
      <w:hyperlink w:anchor="page9">
        <w:r>
          <w:rPr>
            <w:rFonts w:ascii="Times New Roman" w:cs="Times New Roman" w:eastAsia="Times New Roman" w:hAnsi="Times New Roman"/>
            <w:sz w:val="20"/>
            <w:szCs w:val="20"/>
            <w:color w:val="0000FF"/>
          </w:rPr>
          <w:t>9</w:t>
        </w:r>
      </w:hyperlink>
      <w:r>
        <w:rPr>
          <w:rFonts w:ascii="Times New Roman" w:cs="Times New Roman" w:eastAsia="Times New Roman" w:hAnsi="Times New Roman"/>
          <w:sz w:val="20"/>
          <w:szCs w:val="20"/>
          <w:color w:val="131413"/>
        </w:rPr>
        <w:t>), and then applied the permutation tests to the nor-malized E</w:t>
      </w:r>
      <w:r>
        <w:rPr>
          <w:rFonts w:ascii="Times New Roman" w:cs="Times New Roman" w:eastAsia="Times New Roman" w:hAnsi="Times New Roman"/>
          <w:sz w:val="27"/>
          <w:szCs w:val="27"/>
          <w:color w:val="131413"/>
          <w:vertAlign w:val="superscript"/>
        </w:rPr>
        <w:t>**</w:t>
      </w:r>
      <w:r>
        <w:rPr>
          <w:rFonts w:ascii="Arial" w:cs="Arial" w:eastAsia="Arial" w:hAnsi="Arial"/>
          <w:sz w:val="27"/>
          <w:szCs w:val="27"/>
          <w:color w:val="131413"/>
          <w:vertAlign w:val="subscript"/>
        </w:rPr>
        <w:t>β</w:t>
      </w:r>
      <w:r>
        <w:rPr>
          <w:rFonts w:ascii="Times New Roman" w:cs="Times New Roman" w:eastAsia="Times New Roman" w:hAnsi="Times New Roman"/>
          <w:sz w:val="27"/>
          <w:szCs w:val="27"/>
          <w:color w:val="131413"/>
          <w:vertAlign w:val="subscript"/>
        </w:rPr>
        <w:t>1</w:t>
      </w:r>
      <w:r>
        <w:rPr>
          <w:rFonts w:ascii="Times New Roman" w:cs="Times New Roman" w:eastAsia="Times New Roman" w:hAnsi="Times New Roman"/>
          <w:sz w:val="20"/>
          <w:szCs w:val="20"/>
          <w:color w:val="131413"/>
        </w:rPr>
        <w:t xml:space="preserve"> and E</w:t>
      </w:r>
      <w:r>
        <w:rPr>
          <w:rFonts w:ascii="Times New Roman" w:cs="Times New Roman" w:eastAsia="Times New Roman" w:hAnsi="Times New Roman"/>
          <w:sz w:val="27"/>
          <w:szCs w:val="27"/>
          <w:color w:val="131413"/>
          <w:vertAlign w:val="superscript"/>
        </w:rPr>
        <w:t>**</w:t>
      </w:r>
      <w:r>
        <w:rPr>
          <w:rFonts w:ascii="Arial" w:cs="Arial" w:eastAsia="Arial" w:hAnsi="Arial"/>
          <w:sz w:val="27"/>
          <w:szCs w:val="27"/>
          <w:color w:val="131413"/>
          <w:vertAlign w:val="subscript"/>
        </w:rPr>
        <w:t>β</w:t>
      </w:r>
      <w:r>
        <w:rPr>
          <w:rFonts w:ascii="Times New Roman" w:cs="Times New Roman" w:eastAsia="Times New Roman" w:hAnsi="Times New Roman"/>
          <w:sz w:val="27"/>
          <w:szCs w:val="27"/>
          <w:color w:val="131413"/>
          <w:vertAlign w:val="subscript"/>
        </w:rPr>
        <w:t>2</w:t>
      </w:r>
      <w:r>
        <w:rPr>
          <w:rFonts w:ascii="Times New Roman" w:cs="Times New Roman" w:eastAsia="Times New Roman" w:hAnsi="Times New Roman"/>
          <w:sz w:val="20"/>
          <w:szCs w:val="20"/>
          <w:color w:val="131413"/>
        </w:rPr>
        <w:t xml:space="preserve"> components.</w:t>
      </w:r>
    </w:p>
    <w:p>
      <w:pPr>
        <w:spacing w:after="0" w:line="27" w:lineRule="exact"/>
        <w:rPr>
          <w:sz w:val="20"/>
          <w:szCs w:val="20"/>
          <w:color w:val="auto"/>
        </w:rPr>
      </w:pPr>
    </w:p>
    <w:tbl>
      <w:tblPr>
        <w:tblLayout w:type="fixed"/>
        <w:tblInd w:w="0" w:type="dxa"/>
        <w:tblCellMar>
          <w:top w:w="0" w:type="dxa"/>
          <w:left w:w="0" w:type="dxa"/>
          <w:bottom w:w="0" w:type="dxa"/>
          <w:right w:w="0" w:type="dxa"/>
        </w:tblCellMar>
      </w:tblPr>
      <w:tr>
        <w:trPr>
          <w:trHeight w:val="339"/>
        </w:trPr>
        <w:tc>
          <w:tcPr>
            <w:tcW w:w="560" w:type="dxa"/>
            <w:vAlign w:val="bottom"/>
            <w:vMerge w:val="restart"/>
          </w:tcPr>
          <w:p>
            <w:pPr>
              <w:spacing w:after="0"/>
              <w:rPr>
                <w:sz w:val="20"/>
                <w:szCs w:val="20"/>
                <w:color w:val="auto"/>
              </w:rPr>
            </w:pPr>
            <w:r>
              <w:rPr>
                <w:rFonts w:ascii="Times New Roman" w:cs="Times New Roman" w:eastAsia="Times New Roman" w:hAnsi="Times New Roman"/>
                <w:sz w:val="20"/>
                <w:szCs w:val="20"/>
                <w:color w:val="131413"/>
                <w:w w:val="75"/>
              </w:rPr>
              <w:t>E</w:t>
            </w:r>
            <w:r>
              <w:rPr>
                <w:rFonts w:ascii="Arial" w:cs="Arial" w:eastAsia="Arial" w:hAnsi="Arial"/>
                <w:sz w:val="27"/>
                <w:szCs w:val="27"/>
                <w:color w:val="131413"/>
                <w:w w:val="75"/>
                <w:vertAlign w:val="subscript"/>
              </w:rPr>
              <w:t>β</w:t>
            </w:r>
            <w:r>
              <w:rPr>
                <w:rFonts w:ascii="Times New Roman" w:cs="Times New Roman" w:eastAsia="Times New Roman" w:hAnsi="Times New Roman"/>
                <w:sz w:val="27"/>
                <w:szCs w:val="27"/>
                <w:color w:val="131413"/>
                <w:w w:val="75"/>
                <w:vertAlign w:val="superscript"/>
              </w:rPr>
              <w:t>**</w:t>
            </w:r>
            <w:r>
              <w:rPr>
                <w:rFonts w:ascii="Times New Roman" w:cs="Times New Roman" w:eastAsia="Times New Roman" w:hAnsi="Times New Roman"/>
                <w:sz w:val="27"/>
                <w:szCs w:val="27"/>
                <w:color w:val="131413"/>
                <w:w w:val="75"/>
                <w:vertAlign w:val="subscript"/>
              </w:rPr>
              <w:t>1</w:t>
            </w:r>
            <w:r>
              <w:rPr>
                <w:rFonts w:ascii="Times New Roman" w:cs="Times New Roman" w:eastAsia="Times New Roman" w:hAnsi="Times New Roman"/>
                <w:sz w:val="20"/>
                <w:szCs w:val="20"/>
                <w:color w:val="131413"/>
                <w:w w:val="75"/>
              </w:rPr>
              <w:t xml:space="preserve"> </w:t>
            </w:r>
            <w:r>
              <w:rPr>
                <w:rFonts w:ascii="Arial" w:cs="Arial" w:eastAsia="Arial" w:hAnsi="Arial"/>
                <w:sz w:val="20"/>
                <w:szCs w:val="20"/>
                <w:color w:val="131413"/>
                <w:w w:val="75"/>
              </w:rPr>
              <w:t>¼</w:t>
            </w:r>
          </w:p>
        </w:tc>
        <w:tc>
          <w:tcPr>
            <w:tcW w:w="520" w:type="dxa"/>
            <w:vAlign w:val="bottom"/>
          </w:tcPr>
          <w:p>
            <w:pPr>
              <w:jc w:val="center"/>
              <w:spacing w:after="0"/>
              <w:rPr>
                <w:sz w:val="20"/>
                <w:szCs w:val="20"/>
                <w:color w:val="auto"/>
              </w:rPr>
            </w:pPr>
            <w:r>
              <w:rPr>
                <w:rFonts w:ascii="Times New Roman" w:cs="Times New Roman" w:eastAsia="Times New Roman" w:hAnsi="Times New Roman"/>
                <w:sz w:val="20"/>
                <w:szCs w:val="20"/>
                <w:color w:val="131413"/>
                <w:w w:val="93"/>
              </w:rPr>
              <w:t>E</w:t>
            </w:r>
            <w:r>
              <w:rPr>
                <w:rFonts w:ascii="Arial" w:cs="Arial" w:eastAsia="Arial" w:hAnsi="Arial"/>
                <w:sz w:val="27"/>
                <w:szCs w:val="27"/>
                <w:color w:val="131413"/>
                <w:w w:val="93"/>
                <w:vertAlign w:val="subscript"/>
              </w:rPr>
              <w:t>β</w:t>
            </w:r>
            <w:r>
              <w:rPr>
                <w:rFonts w:ascii="Times New Roman" w:cs="Times New Roman" w:eastAsia="Times New Roman" w:hAnsi="Times New Roman"/>
                <w:sz w:val="27"/>
                <w:szCs w:val="27"/>
                <w:color w:val="131413"/>
                <w:w w:val="93"/>
                <w:vertAlign w:val="subscript"/>
              </w:rPr>
              <w:t>1</w:t>
            </w:r>
            <w:r>
              <w:rPr>
                <w:rFonts w:ascii="Arial" w:cs="Arial" w:eastAsia="Arial" w:hAnsi="Arial"/>
                <w:sz w:val="20"/>
                <w:szCs w:val="20"/>
                <w:color w:val="131413"/>
                <w:w w:val="93"/>
              </w:rPr>
              <w:t>−</w:t>
            </w:r>
            <w:r>
              <w:rPr>
                <w:rFonts w:ascii="Times New Roman" w:cs="Times New Roman" w:eastAsia="Times New Roman" w:hAnsi="Times New Roman"/>
                <w:sz w:val="20"/>
                <w:szCs w:val="20"/>
                <w:color w:val="131413"/>
                <w:w w:val="93"/>
              </w:rPr>
              <w:t>1</w:t>
            </w:r>
          </w:p>
        </w:tc>
        <w:tc>
          <w:tcPr>
            <w:tcW w:w="3680" w:type="dxa"/>
            <w:vAlign w:val="bottom"/>
            <w:vMerge w:val="restart"/>
          </w:tcPr>
          <w:p>
            <w:pPr>
              <w:jc w:val="right"/>
              <w:spacing w:after="0"/>
              <w:rPr>
                <w:sz w:val="20"/>
                <w:szCs w:val="20"/>
                <w:color w:val="auto"/>
              </w:rPr>
            </w:pPr>
            <w:r>
              <w:rPr>
                <w:rFonts w:ascii="Arial" w:cs="Arial" w:eastAsia="Arial" w:hAnsi="Arial"/>
                <w:sz w:val="20"/>
                <w:szCs w:val="20"/>
                <w:color w:val="131413"/>
              </w:rPr>
              <w:t>ð</w:t>
            </w:r>
            <w:r>
              <w:rPr>
                <w:rFonts w:ascii="Times New Roman" w:cs="Times New Roman" w:eastAsia="Times New Roman" w:hAnsi="Times New Roman"/>
                <w:sz w:val="20"/>
                <w:szCs w:val="20"/>
                <w:color w:val="131413"/>
              </w:rPr>
              <w:t>8</w:t>
            </w:r>
            <w:r>
              <w:rPr>
                <w:rFonts w:ascii="Arial" w:cs="Arial" w:eastAsia="Arial" w:hAnsi="Arial"/>
                <w:sz w:val="20"/>
                <w:szCs w:val="20"/>
                <w:color w:val="131413"/>
              </w:rPr>
              <w:t>Þ</w:t>
            </w:r>
          </w:p>
        </w:tc>
        <w:tc>
          <w:tcPr>
            <w:tcW w:w="0" w:type="dxa"/>
            <w:vAlign w:val="bottom"/>
          </w:tcPr>
          <w:p>
            <w:pPr>
              <w:spacing w:after="0"/>
              <w:rPr>
                <w:sz w:val="1"/>
                <w:szCs w:val="1"/>
                <w:color w:val="auto"/>
              </w:rPr>
            </w:pPr>
          </w:p>
        </w:tc>
      </w:tr>
      <w:tr>
        <w:trPr>
          <w:trHeight w:val="22"/>
        </w:trPr>
        <w:tc>
          <w:tcPr>
            <w:tcW w:w="560" w:type="dxa"/>
            <w:vAlign w:val="bottom"/>
            <w:vMerge w:val="continue"/>
          </w:tcPr>
          <w:p>
            <w:pPr>
              <w:spacing w:after="0" w:line="20" w:lineRule="exact"/>
              <w:rPr>
                <w:sz w:val="1"/>
                <w:szCs w:val="1"/>
                <w:color w:val="auto"/>
              </w:rPr>
            </w:pPr>
          </w:p>
        </w:tc>
        <w:tc>
          <w:tcPr>
            <w:tcW w:w="520" w:type="dxa"/>
            <w:vAlign w:val="bottom"/>
            <w:tcBorders>
              <w:bottom w:val="single" w:sz="8" w:color="131413"/>
            </w:tcBorders>
          </w:tcPr>
          <w:p>
            <w:pPr>
              <w:spacing w:after="0" w:line="20" w:lineRule="exact"/>
              <w:rPr>
                <w:sz w:val="1"/>
                <w:szCs w:val="1"/>
                <w:color w:val="auto"/>
              </w:rPr>
            </w:pPr>
          </w:p>
        </w:tc>
        <w:tc>
          <w:tcPr>
            <w:tcW w:w="3680" w:type="dxa"/>
            <w:vAlign w:val="bottom"/>
            <w:vMerge w:val="continue"/>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243"/>
        </w:trPr>
        <w:tc>
          <w:tcPr>
            <w:tcW w:w="560" w:type="dxa"/>
            <w:vAlign w:val="bottom"/>
            <w:vMerge w:val="continue"/>
          </w:tcPr>
          <w:p>
            <w:pPr>
              <w:spacing w:after="0"/>
              <w:rPr>
                <w:sz w:val="21"/>
                <w:szCs w:val="21"/>
                <w:color w:val="auto"/>
              </w:rPr>
            </w:pPr>
          </w:p>
        </w:tc>
        <w:tc>
          <w:tcPr>
            <w:tcW w:w="520" w:type="dxa"/>
            <w:vAlign w:val="bottom"/>
          </w:tcPr>
          <w:p>
            <w:pPr>
              <w:jc w:val="center"/>
              <w:spacing w:after="0"/>
              <w:rPr>
                <w:sz w:val="20"/>
                <w:szCs w:val="20"/>
                <w:color w:val="auto"/>
              </w:rPr>
            </w:pPr>
            <w:r>
              <w:rPr>
                <w:rFonts w:ascii="Times New Roman" w:cs="Times New Roman" w:eastAsia="Times New Roman" w:hAnsi="Times New Roman"/>
                <w:sz w:val="20"/>
                <w:szCs w:val="20"/>
                <w:color w:val="131413"/>
                <w:w w:val="89"/>
              </w:rPr>
              <w:t xml:space="preserve">M </w:t>
            </w:r>
            <w:r>
              <w:rPr>
                <w:rFonts w:ascii="Arial" w:cs="Arial" w:eastAsia="Arial" w:hAnsi="Arial"/>
                <w:sz w:val="20"/>
                <w:szCs w:val="20"/>
                <w:color w:val="131413"/>
                <w:w w:val="89"/>
              </w:rPr>
              <w:t>−</w:t>
            </w:r>
            <w:r>
              <w:rPr>
                <w:rFonts w:ascii="Times New Roman" w:cs="Times New Roman" w:eastAsia="Times New Roman" w:hAnsi="Times New Roman"/>
                <w:sz w:val="20"/>
                <w:szCs w:val="20"/>
                <w:color w:val="131413"/>
                <w:w w:val="89"/>
              </w:rPr>
              <w:t>1</w:t>
            </w:r>
          </w:p>
        </w:tc>
        <w:tc>
          <w:tcPr>
            <w:tcW w:w="368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286"/>
        </w:trPr>
        <w:tc>
          <w:tcPr>
            <w:tcW w:w="560" w:type="dxa"/>
            <w:vAlign w:val="bottom"/>
            <w:vMerge w:val="restart"/>
          </w:tcPr>
          <w:p>
            <w:pPr>
              <w:spacing w:after="0"/>
              <w:rPr>
                <w:sz w:val="20"/>
                <w:szCs w:val="20"/>
                <w:color w:val="auto"/>
              </w:rPr>
            </w:pPr>
            <w:r>
              <w:rPr>
                <w:rFonts w:ascii="Times New Roman" w:cs="Times New Roman" w:eastAsia="Times New Roman" w:hAnsi="Times New Roman"/>
                <w:sz w:val="20"/>
                <w:szCs w:val="20"/>
                <w:color w:val="131413"/>
                <w:w w:val="75"/>
              </w:rPr>
              <w:t>E</w:t>
            </w:r>
            <w:r>
              <w:rPr>
                <w:rFonts w:ascii="Arial" w:cs="Arial" w:eastAsia="Arial" w:hAnsi="Arial"/>
                <w:sz w:val="27"/>
                <w:szCs w:val="27"/>
                <w:color w:val="131413"/>
                <w:w w:val="75"/>
                <w:vertAlign w:val="subscript"/>
              </w:rPr>
              <w:t>β</w:t>
            </w:r>
            <w:r>
              <w:rPr>
                <w:rFonts w:ascii="Times New Roman" w:cs="Times New Roman" w:eastAsia="Times New Roman" w:hAnsi="Times New Roman"/>
                <w:sz w:val="27"/>
                <w:szCs w:val="27"/>
                <w:color w:val="131413"/>
                <w:w w:val="75"/>
                <w:vertAlign w:val="superscript"/>
              </w:rPr>
              <w:t>**</w:t>
            </w:r>
            <w:r>
              <w:rPr>
                <w:rFonts w:ascii="Times New Roman" w:cs="Times New Roman" w:eastAsia="Times New Roman" w:hAnsi="Times New Roman"/>
                <w:sz w:val="27"/>
                <w:szCs w:val="27"/>
                <w:color w:val="131413"/>
                <w:w w:val="75"/>
                <w:vertAlign w:val="subscript"/>
              </w:rPr>
              <w:t>2</w:t>
            </w:r>
            <w:r>
              <w:rPr>
                <w:rFonts w:ascii="Times New Roman" w:cs="Times New Roman" w:eastAsia="Times New Roman" w:hAnsi="Times New Roman"/>
                <w:sz w:val="20"/>
                <w:szCs w:val="20"/>
                <w:color w:val="131413"/>
                <w:w w:val="75"/>
              </w:rPr>
              <w:t xml:space="preserve"> </w:t>
            </w:r>
            <w:r>
              <w:rPr>
                <w:rFonts w:ascii="Arial" w:cs="Arial" w:eastAsia="Arial" w:hAnsi="Arial"/>
                <w:sz w:val="20"/>
                <w:szCs w:val="20"/>
                <w:color w:val="131413"/>
                <w:w w:val="75"/>
              </w:rPr>
              <w:t>¼</w:t>
            </w:r>
          </w:p>
        </w:tc>
        <w:tc>
          <w:tcPr>
            <w:tcW w:w="520" w:type="dxa"/>
            <w:vAlign w:val="bottom"/>
            <w:tcBorders>
              <w:bottom w:val="single" w:sz="8" w:color="131413"/>
            </w:tcBorders>
          </w:tcPr>
          <w:p>
            <w:pPr>
              <w:jc w:val="center"/>
              <w:spacing w:after="0" w:line="285" w:lineRule="exact"/>
              <w:rPr>
                <w:sz w:val="20"/>
                <w:szCs w:val="20"/>
                <w:color w:val="auto"/>
              </w:rPr>
            </w:pPr>
            <w:r>
              <w:rPr>
                <w:rFonts w:ascii="Times New Roman" w:cs="Times New Roman" w:eastAsia="Times New Roman" w:hAnsi="Times New Roman"/>
                <w:sz w:val="20"/>
                <w:szCs w:val="20"/>
                <w:color w:val="131413"/>
                <w:w w:val="93"/>
              </w:rPr>
              <w:t>E</w:t>
            </w:r>
            <w:r>
              <w:rPr>
                <w:rFonts w:ascii="Arial" w:cs="Arial" w:eastAsia="Arial" w:hAnsi="Arial"/>
                <w:sz w:val="27"/>
                <w:szCs w:val="27"/>
                <w:color w:val="131413"/>
                <w:w w:val="93"/>
                <w:vertAlign w:val="subscript"/>
              </w:rPr>
              <w:t>β</w:t>
            </w:r>
            <w:r>
              <w:rPr>
                <w:rFonts w:ascii="Times New Roman" w:cs="Times New Roman" w:eastAsia="Times New Roman" w:hAnsi="Times New Roman"/>
                <w:sz w:val="27"/>
                <w:szCs w:val="27"/>
                <w:color w:val="131413"/>
                <w:w w:val="93"/>
                <w:vertAlign w:val="subscript"/>
              </w:rPr>
              <w:t>2</w:t>
            </w:r>
            <w:r>
              <w:rPr>
                <w:rFonts w:ascii="Arial" w:cs="Arial" w:eastAsia="Arial" w:hAnsi="Arial"/>
                <w:sz w:val="20"/>
                <w:szCs w:val="20"/>
                <w:color w:val="131413"/>
                <w:w w:val="93"/>
              </w:rPr>
              <w:t>−</w:t>
            </w:r>
            <w:r>
              <w:rPr>
                <w:rFonts w:ascii="Times New Roman" w:cs="Times New Roman" w:eastAsia="Times New Roman" w:hAnsi="Times New Roman"/>
                <w:sz w:val="20"/>
                <w:szCs w:val="20"/>
                <w:color w:val="131413"/>
                <w:w w:val="93"/>
              </w:rPr>
              <w:t>1</w:t>
            </w:r>
          </w:p>
        </w:tc>
        <w:tc>
          <w:tcPr>
            <w:tcW w:w="3680" w:type="dxa"/>
            <w:vAlign w:val="bottom"/>
            <w:vMerge w:val="restart"/>
          </w:tcPr>
          <w:p>
            <w:pPr>
              <w:jc w:val="right"/>
              <w:spacing w:after="0"/>
              <w:rPr>
                <w:sz w:val="20"/>
                <w:szCs w:val="20"/>
                <w:color w:val="auto"/>
              </w:rPr>
            </w:pPr>
            <w:r>
              <w:rPr>
                <w:rFonts w:ascii="Arial" w:cs="Arial" w:eastAsia="Arial" w:hAnsi="Arial"/>
                <w:sz w:val="20"/>
                <w:szCs w:val="20"/>
                <w:color w:val="131413"/>
              </w:rPr>
              <w:t>ð</w:t>
            </w:r>
            <w:r>
              <w:rPr>
                <w:rFonts w:ascii="Times New Roman" w:cs="Times New Roman" w:eastAsia="Times New Roman" w:hAnsi="Times New Roman"/>
                <w:sz w:val="20"/>
                <w:szCs w:val="20"/>
                <w:color w:val="131413"/>
              </w:rPr>
              <w:t>9</w:t>
            </w:r>
            <w:r>
              <w:rPr>
                <w:rFonts w:ascii="Arial" w:cs="Arial" w:eastAsia="Arial" w:hAnsi="Arial"/>
                <w:sz w:val="20"/>
                <w:szCs w:val="20"/>
                <w:color w:val="131413"/>
              </w:rPr>
              <w:t>Þ</w:t>
            </w:r>
          </w:p>
        </w:tc>
        <w:tc>
          <w:tcPr>
            <w:tcW w:w="0" w:type="dxa"/>
            <w:vAlign w:val="bottom"/>
          </w:tcPr>
          <w:p>
            <w:pPr>
              <w:spacing w:after="0"/>
              <w:rPr>
                <w:sz w:val="1"/>
                <w:szCs w:val="1"/>
                <w:color w:val="auto"/>
              </w:rPr>
            </w:pPr>
          </w:p>
        </w:tc>
      </w:tr>
      <w:tr>
        <w:trPr>
          <w:trHeight w:val="243"/>
        </w:trPr>
        <w:tc>
          <w:tcPr>
            <w:tcW w:w="560" w:type="dxa"/>
            <w:vAlign w:val="bottom"/>
            <w:vMerge w:val="continue"/>
          </w:tcPr>
          <w:p>
            <w:pPr>
              <w:spacing w:after="0"/>
              <w:rPr>
                <w:sz w:val="21"/>
                <w:szCs w:val="21"/>
                <w:color w:val="auto"/>
              </w:rPr>
            </w:pPr>
          </w:p>
        </w:tc>
        <w:tc>
          <w:tcPr>
            <w:tcW w:w="520" w:type="dxa"/>
            <w:vAlign w:val="bottom"/>
          </w:tcPr>
          <w:p>
            <w:pPr>
              <w:jc w:val="center"/>
              <w:spacing w:after="0"/>
              <w:rPr>
                <w:sz w:val="20"/>
                <w:szCs w:val="20"/>
                <w:color w:val="auto"/>
              </w:rPr>
            </w:pPr>
            <w:r>
              <w:rPr>
                <w:rFonts w:ascii="Times New Roman" w:cs="Times New Roman" w:eastAsia="Times New Roman" w:hAnsi="Times New Roman"/>
                <w:sz w:val="20"/>
                <w:szCs w:val="20"/>
                <w:color w:val="131413"/>
                <w:w w:val="87"/>
              </w:rPr>
              <w:t xml:space="preserve">N </w:t>
            </w:r>
            <w:r>
              <w:rPr>
                <w:rFonts w:ascii="Arial" w:cs="Arial" w:eastAsia="Arial" w:hAnsi="Arial"/>
                <w:sz w:val="20"/>
                <w:szCs w:val="20"/>
                <w:color w:val="131413"/>
                <w:w w:val="87"/>
              </w:rPr>
              <w:t>−</w:t>
            </w:r>
            <w:r>
              <w:rPr>
                <w:rFonts w:ascii="Times New Roman" w:cs="Times New Roman" w:eastAsia="Times New Roman" w:hAnsi="Times New Roman"/>
                <w:sz w:val="20"/>
                <w:szCs w:val="20"/>
                <w:color w:val="131413"/>
                <w:w w:val="87"/>
              </w:rPr>
              <w:t>1</w:t>
            </w:r>
          </w:p>
        </w:tc>
        <w:tc>
          <w:tcPr>
            <w:tcW w:w="368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bl>
    <w:p>
      <w:pPr>
        <w:spacing w:after="0" w:line="378" w:lineRule="exact"/>
        <w:rPr>
          <w:sz w:val="20"/>
          <w:szCs w:val="20"/>
          <w:color w:val="auto"/>
        </w:rPr>
      </w:pPr>
    </w:p>
    <w:p>
      <w:pPr>
        <w:ind w:right="880"/>
        <w:spacing w:after="0" w:line="276" w:lineRule="auto"/>
        <w:rPr>
          <w:sz w:val="20"/>
          <w:szCs w:val="20"/>
          <w:color w:val="auto"/>
        </w:rPr>
      </w:pPr>
      <w:r>
        <w:rPr>
          <w:rFonts w:ascii="Arial" w:cs="Arial" w:eastAsia="Arial" w:hAnsi="Arial"/>
          <w:sz w:val="20"/>
          <w:szCs w:val="20"/>
          <w:color w:val="131413"/>
        </w:rPr>
        <w:t>Analyze the factors affecting compositional dissimilarity of woody plants</w:t>
      </w:r>
    </w:p>
    <w:p>
      <w:pPr>
        <w:spacing w:after="0" w:line="237" w:lineRule="exact"/>
        <w:rPr>
          <w:sz w:val="20"/>
          <w:szCs w:val="20"/>
          <w:color w:val="auto"/>
        </w:rPr>
      </w:pPr>
    </w:p>
    <w:p>
      <w:pPr>
        <w:jc w:val="both"/>
        <w:ind w:right="20"/>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Two patch attributes (the patch size and the vegetation type) and two indicators of the landscape patterns (the percentage of impervious surface in surrounding areas and the spatial dis-tance between patches) were used as predictors in this study. The Jaccard dissimilarity indicators of woody plant species between paired patches were calculated to represent the com-positional dissimilarity. Compositional dissimilarity means the difference in species composition among different com-munities (Legendre et al., </w:t>
      </w:r>
      <w:hyperlink w:anchor="page9">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The generalized dissimilarity</w:t>
      </w:r>
    </w:p>
    <w:p>
      <w:pPr>
        <w:spacing w:after="0" w:line="200" w:lineRule="exact"/>
        <w:rPr>
          <w:sz w:val="20"/>
          <w:szCs w:val="20"/>
          <w:color w:val="auto"/>
        </w:rPr>
      </w:pPr>
    </w:p>
    <w:p>
      <w:pPr>
        <w:sectPr>
          <w:pgSz w:w="11900" w:h="15817" w:orient="portrait"/>
          <w:cols w:equalWidth="0" w:num="2">
            <w:col w:w="4760" w:space="340"/>
            <w:col w:w="4780"/>
          </w:cols>
          <w:pgMar w:left="1020" w:top="649" w:right="1006" w:bottom="1007" w:gutter="0" w:footer="0" w:header="0"/>
          <w:type w:val="continuous"/>
        </w:sectPr>
      </w:pPr>
    </w:p>
    <w:p>
      <w:pPr>
        <w:spacing w:after="0" w:line="234" w:lineRule="exact"/>
        <w:rPr>
          <w:sz w:val="20"/>
          <w:szCs w:val="20"/>
          <w:color w:val="auto"/>
        </w:rPr>
      </w:pPr>
    </w:p>
    <w:p>
      <w:pPr>
        <w:spacing w:after="0" w:line="234" w:lineRule="auto"/>
        <w:rPr>
          <w:sz w:val="20"/>
          <w:szCs w:val="20"/>
          <w:color w:val="auto"/>
        </w:rPr>
      </w:pPr>
      <w:r>
        <w:rPr>
          <w:rFonts w:ascii="Arial" w:cs="Arial" w:eastAsia="Arial" w:hAnsi="Arial"/>
          <w:sz w:val="17"/>
          <w:szCs w:val="17"/>
          <w:color w:val="131413"/>
        </w:rPr>
        <w:t xml:space="preserve">Table 1 </w:t>
      </w:r>
      <w:r>
        <w:rPr>
          <w:rFonts w:ascii="Times New Roman" w:cs="Times New Roman" w:eastAsia="Times New Roman" w:hAnsi="Times New Roman"/>
          <w:sz w:val="17"/>
          <w:szCs w:val="17"/>
          <w:color w:val="131413"/>
        </w:rPr>
        <w:t>Information recorded in</w:t>
      </w:r>
      <w:r>
        <w:rPr>
          <w:rFonts w:ascii="Arial" w:cs="Arial" w:eastAsia="Arial" w:hAnsi="Arial"/>
          <w:sz w:val="17"/>
          <w:szCs w:val="17"/>
          <w:color w:val="131413"/>
        </w:rPr>
        <w:t xml:space="preserve"> </w:t>
      </w:r>
      <w:r>
        <w:rPr>
          <w:rFonts w:ascii="Times New Roman" w:cs="Times New Roman" w:eastAsia="Times New Roman" w:hAnsi="Times New Roman"/>
          <w:sz w:val="17"/>
          <w:szCs w:val="17"/>
          <w:color w:val="131413"/>
        </w:rPr>
        <w:t>each sample plot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1097280</wp:posOffset>
            </wp:positionV>
            <wp:extent cx="483870" cy="13843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6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95"/>
        </w:trPr>
        <w:tc>
          <w:tcPr>
            <w:tcW w:w="1820" w:type="dxa"/>
            <w:vAlign w:val="bottom"/>
          </w:tcPr>
          <w:p>
            <w:pPr>
              <w:spacing w:after="0"/>
              <w:rPr>
                <w:sz w:val="20"/>
                <w:szCs w:val="20"/>
                <w:color w:val="auto"/>
              </w:rPr>
            </w:pPr>
            <w:r>
              <w:rPr>
                <w:rFonts w:ascii="Times New Roman" w:cs="Times New Roman" w:eastAsia="Times New Roman" w:hAnsi="Times New Roman"/>
                <w:sz w:val="17"/>
                <w:szCs w:val="17"/>
                <w:color w:val="131413"/>
              </w:rPr>
              <w:t>Category</w:t>
            </w:r>
          </w:p>
        </w:tc>
        <w:tc>
          <w:tcPr>
            <w:tcW w:w="5500" w:type="dxa"/>
            <w:vAlign w:val="bottom"/>
            <w:gridSpan w:val="2"/>
          </w:tcPr>
          <w:p>
            <w:pPr>
              <w:ind w:left="620"/>
              <w:spacing w:after="0"/>
              <w:rPr>
                <w:sz w:val="20"/>
                <w:szCs w:val="20"/>
                <w:color w:val="auto"/>
              </w:rPr>
            </w:pPr>
            <w:r>
              <w:rPr>
                <w:rFonts w:ascii="Times New Roman" w:cs="Times New Roman" w:eastAsia="Times New Roman" w:hAnsi="Times New Roman"/>
                <w:sz w:val="17"/>
                <w:szCs w:val="17"/>
                <w:color w:val="131413"/>
              </w:rPr>
              <w:t>Indicator</w:t>
            </w:r>
          </w:p>
        </w:tc>
      </w:tr>
      <w:tr>
        <w:trPr>
          <w:trHeight w:val="107"/>
        </w:trPr>
        <w:tc>
          <w:tcPr>
            <w:tcW w:w="1820" w:type="dxa"/>
            <w:vAlign w:val="bottom"/>
            <w:tcBorders>
              <w:bottom w:val="single" w:sz="8" w:color="131413"/>
            </w:tcBorders>
          </w:tcPr>
          <w:p>
            <w:pPr>
              <w:spacing w:after="0"/>
              <w:rPr>
                <w:sz w:val="9"/>
                <w:szCs w:val="9"/>
                <w:color w:val="auto"/>
              </w:rPr>
            </w:pPr>
          </w:p>
        </w:tc>
        <w:tc>
          <w:tcPr>
            <w:tcW w:w="5480" w:type="dxa"/>
            <w:vAlign w:val="bottom"/>
            <w:tcBorders>
              <w:bottom w:val="single" w:sz="8" w:color="131413"/>
            </w:tcBorders>
          </w:tcPr>
          <w:p>
            <w:pPr>
              <w:spacing w:after="0"/>
              <w:rPr>
                <w:sz w:val="9"/>
                <w:szCs w:val="9"/>
                <w:color w:val="auto"/>
              </w:rPr>
            </w:pPr>
          </w:p>
        </w:tc>
        <w:tc>
          <w:tcPr>
            <w:tcW w:w="20" w:type="dxa"/>
            <w:vAlign w:val="bottom"/>
          </w:tcPr>
          <w:p>
            <w:pPr>
              <w:spacing w:after="0"/>
              <w:rPr>
                <w:sz w:val="9"/>
                <w:szCs w:val="9"/>
                <w:color w:val="auto"/>
              </w:rPr>
            </w:pPr>
          </w:p>
        </w:tc>
      </w:tr>
      <w:tr>
        <w:trPr>
          <w:trHeight w:val="282"/>
        </w:trPr>
        <w:tc>
          <w:tcPr>
            <w:tcW w:w="1820" w:type="dxa"/>
            <w:vAlign w:val="bottom"/>
          </w:tcPr>
          <w:p>
            <w:pPr>
              <w:spacing w:after="0"/>
              <w:rPr>
                <w:sz w:val="20"/>
                <w:szCs w:val="20"/>
                <w:color w:val="auto"/>
              </w:rPr>
            </w:pPr>
            <w:r>
              <w:rPr>
                <w:rFonts w:ascii="Times New Roman" w:cs="Times New Roman" w:eastAsia="Times New Roman" w:hAnsi="Times New Roman"/>
                <w:sz w:val="17"/>
                <w:szCs w:val="17"/>
                <w:color w:val="131413"/>
              </w:rPr>
              <w:t>Plot</w:t>
            </w:r>
          </w:p>
        </w:tc>
        <w:tc>
          <w:tcPr>
            <w:tcW w:w="5500" w:type="dxa"/>
            <w:vAlign w:val="bottom"/>
            <w:gridSpan w:val="2"/>
          </w:tcPr>
          <w:p>
            <w:pPr>
              <w:ind w:left="620"/>
              <w:spacing w:after="0"/>
              <w:rPr>
                <w:sz w:val="20"/>
                <w:szCs w:val="20"/>
                <w:color w:val="auto"/>
              </w:rPr>
            </w:pPr>
            <w:r>
              <w:rPr>
                <w:rFonts w:ascii="Times New Roman" w:cs="Times New Roman" w:eastAsia="Times New Roman" w:hAnsi="Times New Roman"/>
                <w:sz w:val="17"/>
                <w:szCs w:val="17"/>
                <w:color w:val="131413"/>
              </w:rPr>
              <w:t>Geographic coordinates; Altitude; Slope; Aspect</w:t>
            </w:r>
          </w:p>
        </w:tc>
      </w:tr>
      <w:tr>
        <w:trPr>
          <w:trHeight w:val="254"/>
        </w:trPr>
        <w:tc>
          <w:tcPr>
            <w:tcW w:w="1820" w:type="dxa"/>
            <w:vAlign w:val="bottom"/>
          </w:tcPr>
          <w:p>
            <w:pPr>
              <w:spacing w:after="0"/>
              <w:rPr>
                <w:sz w:val="20"/>
                <w:szCs w:val="20"/>
                <w:color w:val="auto"/>
              </w:rPr>
            </w:pPr>
            <w:r>
              <w:rPr>
                <w:rFonts w:ascii="Times New Roman" w:cs="Times New Roman" w:eastAsia="Times New Roman" w:hAnsi="Times New Roman"/>
                <w:sz w:val="17"/>
                <w:szCs w:val="17"/>
                <w:color w:val="131413"/>
              </w:rPr>
              <w:t>Adult trees</w:t>
            </w:r>
          </w:p>
        </w:tc>
        <w:tc>
          <w:tcPr>
            <w:tcW w:w="5500" w:type="dxa"/>
            <w:vAlign w:val="bottom"/>
            <w:gridSpan w:val="2"/>
          </w:tcPr>
          <w:p>
            <w:pPr>
              <w:ind w:left="620"/>
              <w:spacing w:after="0"/>
              <w:rPr>
                <w:sz w:val="20"/>
                <w:szCs w:val="20"/>
                <w:color w:val="auto"/>
              </w:rPr>
            </w:pPr>
            <w:r>
              <w:rPr>
                <w:rFonts w:ascii="Times New Roman" w:cs="Times New Roman" w:eastAsia="Times New Roman" w:hAnsi="Times New Roman"/>
                <w:sz w:val="17"/>
                <w:szCs w:val="17"/>
                <w:color w:val="131413"/>
                <w:w w:val="99"/>
              </w:rPr>
              <w:t>Species name; DBH; Number of individuals; Ornamental species or not</w:t>
            </w:r>
          </w:p>
        </w:tc>
      </w:tr>
      <w:tr>
        <w:trPr>
          <w:trHeight w:val="254"/>
        </w:trPr>
        <w:tc>
          <w:tcPr>
            <w:tcW w:w="1820" w:type="dxa"/>
            <w:vAlign w:val="bottom"/>
          </w:tcPr>
          <w:p>
            <w:pPr>
              <w:spacing w:after="0"/>
              <w:rPr>
                <w:sz w:val="20"/>
                <w:szCs w:val="20"/>
                <w:color w:val="auto"/>
              </w:rPr>
            </w:pPr>
            <w:r>
              <w:rPr>
                <w:rFonts w:ascii="Times New Roman" w:cs="Times New Roman" w:eastAsia="Times New Roman" w:hAnsi="Times New Roman"/>
                <w:sz w:val="17"/>
                <w:szCs w:val="17"/>
                <w:color w:val="131413"/>
              </w:rPr>
              <w:t>Saplings/seedlings</w:t>
            </w:r>
          </w:p>
        </w:tc>
        <w:tc>
          <w:tcPr>
            <w:tcW w:w="5500" w:type="dxa"/>
            <w:vAlign w:val="bottom"/>
            <w:gridSpan w:val="2"/>
          </w:tcPr>
          <w:p>
            <w:pPr>
              <w:ind w:left="620"/>
              <w:spacing w:after="0"/>
              <w:rPr>
                <w:sz w:val="20"/>
                <w:szCs w:val="20"/>
                <w:color w:val="auto"/>
              </w:rPr>
            </w:pPr>
            <w:r>
              <w:rPr>
                <w:rFonts w:ascii="Times New Roman" w:cs="Times New Roman" w:eastAsia="Times New Roman" w:hAnsi="Times New Roman"/>
                <w:sz w:val="17"/>
                <w:szCs w:val="17"/>
                <w:color w:val="131413"/>
                <w:w w:val="99"/>
              </w:rPr>
              <w:t>Species name; DBH; Number of individuals; Ornamental species or not</w:t>
            </w:r>
          </w:p>
        </w:tc>
      </w:tr>
      <w:tr>
        <w:trPr>
          <w:trHeight w:val="254"/>
        </w:trPr>
        <w:tc>
          <w:tcPr>
            <w:tcW w:w="1820" w:type="dxa"/>
            <w:vAlign w:val="bottom"/>
          </w:tcPr>
          <w:p>
            <w:pPr>
              <w:spacing w:after="0"/>
              <w:rPr>
                <w:sz w:val="20"/>
                <w:szCs w:val="20"/>
                <w:color w:val="auto"/>
              </w:rPr>
            </w:pPr>
            <w:r>
              <w:rPr>
                <w:rFonts w:ascii="Times New Roman" w:cs="Times New Roman" w:eastAsia="Times New Roman" w:hAnsi="Times New Roman"/>
                <w:sz w:val="17"/>
                <w:szCs w:val="17"/>
                <w:color w:val="131413"/>
              </w:rPr>
              <w:t>Shrubs</w:t>
            </w:r>
          </w:p>
        </w:tc>
        <w:tc>
          <w:tcPr>
            <w:tcW w:w="5500" w:type="dxa"/>
            <w:vAlign w:val="bottom"/>
            <w:gridSpan w:val="2"/>
          </w:tcPr>
          <w:p>
            <w:pPr>
              <w:ind w:left="620"/>
              <w:spacing w:after="0"/>
              <w:rPr>
                <w:sz w:val="20"/>
                <w:szCs w:val="20"/>
                <w:color w:val="auto"/>
              </w:rPr>
            </w:pPr>
            <w:r>
              <w:rPr>
                <w:rFonts w:ascii="Times New Roman" w:cs="Times New Roman" w:eastAsia="Times New Roman" w:hAnsi="Times New Roman"/>
                <w:sz w:val="17"/>
                <w:szCs w:val="17"/>
                <w:color w:val="131413"/>
                <w:w w:val="96"/>
              </w:rPr>
              <w:t>Species name; the percentage of canopy cover; Ornamental species or not</w:t>
            </w:r>
          </w:p>
        </w:tc>
      </w:tr>
      <w:tr>
        <w:trPr>
          <w:trHeight w:val="106"/>
        </w:trPr>
        <w:tc>
          <w:tcPr>
            <w:tcW w:w="1820" w:type="dxa"/>
            <w:vAlign w:val="bottom"/>
            <w:tcBorders>
              <w:bottom w:val="single" w:sz="8" w:color="131413"/>
            </w:tcBorders>
          </w:tcPr>
          <w:p>
            <w:pPr>
              <w:spacing w:after="0"/>
              <w:rPr>
                <w:sz w:val="9"/>
                <w:szCs w:val="9"/>
                <w:color w:val="auto"/>
              </w:rPr>
            </w:pPr>
          </w:p>
        </w:tc>
        <w:tc>
          <w:tcPr>
            <w:tcW w:w="5480" w:type="dxa"/>
            <w:vAlign w:val="bottom"/>
            <w:tcBorders>
              <w:bottom w:val="single" w:sz="8" w:color="131413"/>
            </w:tcBorders>
          </w:tcPr>
          <w:p>
            <w:pPr>
              <w:spacing w:after="0"/>
              <w:rPr>
                <w:sz w:val="9"/>
                <w:szCs w:val="9"/>
                <w:color w:val="auto"/>
              </w:rPr>
            </w:pPr>
          </w:p>
        </w:tc>
        <w:tc>
          <w:tcPr>
            <w:tcW w:w="20" w:type="dxa"/>
            <w:vAlign w:val="bottom"/>
            <w:tcBorders>
              <w:bottom w:val="single" w:sz="8" w:color="131413"/>
            </w:tcBorders>
          </w:tcPr>
          <w:p>
            <w:pPr>
              <w:spacing w:after="0"/>
              <w:rPr>
                <w:sz w:val="9"/>
                <w:szCs w:val="9"/>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wp:posOffset>
                </wp:positionH>
                <wp:positionV relativeFrom="paragraph">
                  <wp:posOffset>-1012825</wp:posOffset>
                </wp:positionV>
                <wp:extent cx="465010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50105" cy="4763"/>
                        </a:xfrm>
                        <a:prstGeom prst="line">
                          <a:avLst/>
                        </a:prstGeom>
                        <a:solidFill>
                          <a:srgbClr val="FFFFFF"/>
                        </a:solidFill>
                        <a:ln w="19899">
                          <a:solidFill>
                            <a:srgbClr val="131413"/>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8999pt,-79.7499pt" to="365.25pt,-79.7499pt" o:allowincell="f" strokecolor="#131413" strokeweight="1.5669pt"/>
            </w:pict>
          </mc:Fallback>
        </mc:AlternateContent>
        <mc:AlternateContent>
          <mc:Choice Requires="wps">
            <w:drawing>
              <wp:anchor simplePos="0" relativeHeight="251657728" behindDoc="1" locked="0" layoutInCell="0" allowOverlap="1">
                <wp:simplePos x="0" y="0"/>
                <wp:positionH relativeFrom="column">
                  <wp:posOffset>4632325</wp:posOffset>
                </wp:positionH>
                <wp:positionV relativeFrom="paragraph">
                  <wp:posOffset>-1012825</wp:posOffset>
                </wp:positionV>
                <wp:extent cx="1270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199">
                          <a:solidFill>
                            <a:srgbClr val="131413"/>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4.75pt,-79.7499pt" to="365.75pt,-79.74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-11430</wp:posOffset>
                </wp:positionH>
                <wp:positionV relativeFrom="paragraph">
                  <wp:posOffset>-9525</wp:posOffset>
                </wp:positionV>
                <wp:extent cx="1206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8999pt,-0.7499pt" to="0.05pt,-0.74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-11430</wp:posOffset>
                </wp:positionH>
                <wp:positionV relativeFrom="paragraph">
                  <wp:posOffset>-752475</wp:posOffset>
                </wp:positionV>
                <wp:extent cx="1206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8999pt,-59.2499pt" to="0.05pt,-59.2499pt" o:allowincell="f" strokecolor="#131413" strokeweight="0.5669pt"/>
            </w:pict>
          </mc:Fallback>
        </mc:AlternateContent>
      </w:r>
    </w:p>
    <w:p>
      <w:pPr>
        <w:sectPr>
          <w:pgSz w:w="11900" w:h="15817" w:orient="portrait"/>
          <w:cols w:equalWidth="0" w:num="2">
            <w:col w:w="2160" w:space="400"/>
            <w:col w:w="7320"/>
          </w:cols>
          <w:pgMar w:left="1020" w:top="649" w:right="1006" w:bottom="1007" w:gutter="0" w:footer="0" w:header="0"/>
          <w:type w:val="continuous"/>
        </w:sectPr>
      </w:pPr>
    </w:p>
    <w:bookmarkStart w:id="4" w:name="page5"/>
    <w:bookmarkEnd w:id="4"/>
    <w:p>
      <w:pPr>
        <w:spacing w:after="0"/>
        <w:rPr>
          <w:sz w:val="20"/>
          <w:szCs w:val="20"/>
          <w:color w:val="auto"/>
        </w:rPr>
      </w:pPr>
      <w:r>
        <w:rPr>
          <w:rFonts w:ascii="Arial" w:cs="Arial" w:eastAsia="Arial" w:hAnsi="Arial"/>
          <w:sz w:val="13"/>
          <w:szCs w:val="13"/>
          <w:color w:val="131413"/>
        </w:rPr>
        <w:t>Urban Ecosyst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48895</wp:posOffset>
                </wp:positionV>
                <wp:extent cx="0" cy="2540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85pt" to="0pt,5.85pt" o:allowincell="f" strokecolor="#131413"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61595</wp:posOffset>
                </wp:positionV>
                <wp:extent cx="627634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6340" cy="4763"/>
                        </a:xfrm>
                        <a:prstGeom prst="line">
                          <a:avLst/>
                        </a:prstGeom>
                        <a:solidFill>
                          <a:srgbClr val="FFFFFF"/>
                        </a:solidFill>
                        <a:ln w="25660">
                          <a:solidFill>
                            <a:srgbClr val="131413"/>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85pt" to="493.75pt,4.85pt" o:allowincell="f" strokecolor="#131413" strokeweight="2.0205pt"/>
            </w:pict>
          </mc:Fallback>
        </mc:AlternateContent>
        <mc:AlternateContent>
          <mc:Choice Requires="wps">
            <w:drawing>
              <wp:anchor simplePos="0" relativeHeight="251657728" behindDoc="1" locked="0" layoutInCell="0" allowOverlap="1">
                <wp:simplePos x="0" y="0"/>
                <wp:positionH relativeFrom="column">
                  <wp:posOffset>6264275</wp:posOffset>
                </wp:positionH>
                <wp:positionV relativeFrom="paragraph">
                  <wp:posOffset>48895</wp:posOffset>
                </wp:positionV>
                <wp:extent cx="0" cy="2540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25pt,3.85pt" to="493.25pt,5.85pt" o:allowincell="f" strokecolor="#131413" strokeweight="1pt"/>
            </w:pict>
          </mc:Fallback>
        </mc:AlternateContent>
      </w:r>
    </w:p>
    <w:p>
      <w:pPr>
        <w:sectPr>
          <w:pgSz w:w="11900" w:h="15817" w:orient="portrait"/>
          <w:cols w:equalWidth="0" w:num="1">
            <w:col w:w="9880"/>
          </w:cols>
          <w:pgMar w:left="1020" w:top="649" w:right="1006" w:bottom="339" w:gutter="0" w:footer="0" w:header="0"/>
        </w:sectPr>
      </w:pPr>
    </w:p>
    <w:p>
      <w:pPr>
        <w:spacing w:after="0" w:line="324" w:lineRule="exact"/>
        <w:rPr>
          <w:sz w:val="20"/>
          <w:szCs w:val="20"/>
          <w:color w:val="auto"/>
        </w:rPr>
      </w:pPr>
    </w:p>
    <w:p>
      <w:pPr>
        <w:spacing w:after="0"/>
        <w:tabs>
          <w:tab w:leader="none" w:pos="680" w:val="left"/>
        </w:tabs>
        <w:rPr>
          <w:sz w:val="20"/>
          <w:szCs w:val="20"/>
          <w:color w:val="auto"/>
        </w:rPr>
      </w:pPr>
      <w:r>
        <w:rPr>
          <w:rFonts w:ascii="Arial" w:cs="Arial" w:eastAsia="Arial" w:hAnsi="Arial"/>
          <w:sz w:val="17"/>
          <w:szCs w:val="17"/>
          <w:color w:val="131413"/>
        </w:rPr>
        <w:t>Table 2</w:t>
      </w:r>
      <w:r>
        <w:rPr>
          <w:sz w:val="20"/>
          <w:szCs w:val="20"/>
          <w:color w:val="auto"/>
        </w:rPr>
        <w:tab/>
      </w:r>
      <w:r>
        <w:rPr>
          <w:rFonts w:ascii="Times New Roman" w:cs="Times New Roman" w:eastAsia="Times New Roman" w:hAnsi="Times New Roman"/>
          <w:sz w:val="16"/>
          <w:szCs w:val="16"/>
          <w:color w:val="131413"/>
        </w:rPr>
        <w:t>Introduction of taxonomic diversity at four levels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45720</wp:posOffset>
                </wp:positionV>
                <wp:extent cx="3029585"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29585" cy="4763"/>
                        </a:xfrm>
                        <a:prstGeom prst="line">
                          <a:avLst/>
                        </a:prstGeom>
                        <a:solidFill>
                          <a:srgbClr val="FFFFFF"/>
                        </a:solidFill>
                        <a:ln w="19900">
                          <a:solidFill>
                            <a:srgbClr val="131413"/>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3.6pt" to="238.1pt,3.6pt" o:allowincell="f" strokecolor="#131413" strokeweight="1.5669pt"/>
            </w:pict>
          </mc:Fallback>
        </mc:AlternateContent>
        <mc:AlternateContent>
          <mc:Choice Requires="wps">
            <w:drawing>
              <wp:anchor simplePos="0" relativeHeight="251657728" behindDoc="1" locked="0" layoutInCell="0" allowOverlap="1">
                <wp:simplePos x="0" y="0"/>
                <wp:positionH relativeFrom="column">
                  <wp:posOffset>3017520</wp:posOffset>
                </wp:positionH>
                <wp:positionV relativeFrom="paragraph">
                  <wp:posOffset>45720</wp:posOffset>
                </wp:positionV>
                <wp:extent cx="1270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6pt,3.6pt" to="238.6pt,3.6pt" o:allowincell="f" strokecolor="#131413" strokeweight="0.5669pt"/>
            </w:pict>
          </mc:Fallback>
        </mc:AlternateContent>
      </w:r>
    </w:p>
    <w:p>
      <w:pPr>
        <w:spacing w:after="0" w:line="155" w:lineRule="exact"/>
        <w:rPr>
          <w:sz w:val="20"/>
          <w:szCs w:val="20"/>
          <w:color w:val="auto"/>
        </w:rPr>
      </w:pPr>
    </w:p>
    <w:tbl>
      <w:tblPr>
        <w:tblLayout w:type="fixed"/>
        <w:tblInd w:w="0" w:type="dxa"/>
        <w:tblCellMar>
          <w:top w:w="0" w:type="dxa"/>
          <w:left w:w="0" w:type="dxa"/>
          <w:bottom w:w="0" w:type="dxa"/>
          <w:right w:w="0" w:type="dxa"/>
        </w:tblCellMar>
      </w:tblPr>
      <w:tr>
        <w:trPr>
          <w:trHeight w:val="195"/>
        </w:trPr>
        <w:tc>
          <w:tcPr>
            <w:tcW w:w="820" w:type="dxa"/>
            <w:vAlign w:val="bottom"/>
          </w:tcPr>
          <w:p>
            <w:pPr>
              <w:spacing w:after="0"/>
              <w:rPr>
                <w:sz w:val="20"/>
                <w:szCs w:val="20"/>
                <w:color w:val="auto"/>
              </w:rPr>
            </w:pPr>
            <w:r>
              <w:rPr>
                <w:rFonts w:ascii="Times New Roman" w:cs="Times New Roman" w:eastAsia="Times New Roman" w:hAnsi="Times New Roman"/>
                <w:sz w:val="17"/>
                <w:szCs w:val="17"/>
                <w:color w:val="131413"/>
              </w:rPr>
              <w:t>Diversity</w:t>
            </w:r>
          </w:p>
        </w:tc>
        <w:tc>
          <w:tcPr>
            <w:tcW w:w="146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Definition</w:t>
            </w:r>
          </w:p>
        </w:tc>
        <w:tc>
          <w:tcPr>
            <w:tcW w:w="18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Stratum</w:t>
            </w:r>
          </w:p>
        </w:tc>
        <w:tc>
          <w:tcPr>
            <w:tcW w:w="660" w:type="dxa"/>
            <w:vAlign w:val="bottom"/>
            <w:gridSpan w:val="2"/>
          </w:tcPr>
          <w:p>
            <w:pPr>
              <w:ind w:left="60"/>
              <w:spacing w:after="0"/>
              <w:rPr>
                <w:sz w:val="20"/>
                <w:szCs w:val="20"/>
                <w:color w:val="auto"/>
              </w:rPr>
            </w:pPr>
            <w:r>
              <w:rPr>
                <w:rFonts w:ascii="Times New Roman" w:cs="Times New Roman" w:eastAsia="Times New Roman" w:hAnsi="Times New Roman"/>
                <w:sz w:val="17"/>
                <w:szCs w:val="17"/>
                <w:color w:val="131413"/>
              </w:rPr>
              <w:t>Number</w:t>
            </w:r>
          </w:p>
        </w:tc>
      </w:tr>
      <w:tr>
        <w:trPr>
          <w:trHeight w:val="200"/>
        </w:trPr>
        <w:tc>
          <w:tcPr>
            <w:tcW w:w="820" w:type="dxa"/>
            <w:vAlign w:val="bottom"/>
          </w:tcPr>
          <w:p>
            <w:pPr>
              <w:spacing w:after="0"/>
              <w:rPr>
                <w:sz w:val="17"/>
                <w:szCs w:val="17"/>
                <w:color w:val="auto"/>
              </w:rPr>
            </w:pPr>
          </w:p>
        </w:tc>
        <w:tc>
          <w:tcPr>
            <w:tcW w:w="1460" w:type="dxa"/>
            <w:vAlign w:val="bottom"/>
          </w:tcPr>
          <w:p>
            <w:pPr>
              <w:spacing w:after="0"/>
              <w:rPr>
                <w:sz w:val="17"/>
                <w:szCs w:val="17"/>
                <w:color w:val="auto"/>
              </w:rPr>
            </w:pPr>
          </w:p>
        </w:tc>
        <w:tc>
          <w:tcPr>
            <w:tcW w:w="1840" w:type="dxa"/>
            <w:vAlign w:val="bottom"/>
          </w:tcPr>
          <w:p>
            <w:pPr>
              <w:spacing w:after="0"/>
              <w:rPr>
                <w:sz w:val="17"/>
                <w:szCs w:val="17"/>
                <w:color w:val="auto"/>
              </w:rPr>
            </w:pPr>
          </w:p>
        </w:tc>
        <w:tc>
          <w:tcPr>
            <w:tcW w:w="660" w:type="dxa"/>
            <w:vAlign w:val="bottom"/>
            <w:gridSpan w:val="2"/>
          </w:tcPr>
          <w:p>
            <w:pPr>
              <w:ind w:left="60"/>
              <w:spacing w:after="0"/>
              <w:rPr>
                <w:sz w:val="20"/>
                <w:szCs w:val="20"/>
                <w:color w:val="auto"/>
              </w:rPr>
            </w:pPr>
            <w:r>
              <w:rPr>
                <w:rFonts w:ascii="Times New Roman" w:cs="Times New Roman" w:eastAsia="Times New Roman" w:hAnsi="Times New Roman"/>
                <w:sz w:val="17"/>
                <w:szCs w:val="17"/>
                <w:color w:val="131413"/>
              </w:rPr>
              <w:t>of</w:t>
            </w:r>
          </w:p>
        </w:tc>
      </w:tr>
      <w:tr>
        <w:trPr>
          <w:trHeight w:val="200"/>
        </w:trPr>
        <w:tc>
          <w:tcPr>
            <w:tcW w:w="820" w:type="dxa"/>
            <w:vAlign w:val="bottom"/>
          </w:tcPr>
          <w:p>
            <w:pPr>
              <w:spacing w:after="0"/>
              <w:rPr>
                <w:sz w:val="17"/>
                <w:szCs w:val="17"/>
                <w:color w:val="auto"/>
              </w:rPr>
            </w:pPr>
          </w:p>
        </w:tc>
        <w:tc>
          <w:tcPr>
            <w:tcW w:w="1460" w:type="dxa"/>
            <w:vAlign w:val="bottom"/>
          </w:tcPr>
          <w:p>
            <w:pPr>
              <w:spacing w:after="0"/>
              <w:rPr>
                <w:sz w:val="17"/>
                <w:szCs w:val="17"/>
                <w:color w:val="auto"/>
              </w:rPr>
            </w:pPr>
          </w:p>
        </w:tc>
        <w:tc>
          <w:tcPr>
            <w:tcW w:w="1840" w:type="dxa"/>
            <w:vAlign w:val="bottom"/>
          </w:tcPr>
          <w:p>
            <w:pPr>
              <w:spacing w:after="0"/>
              <w:rPr>
                <w:sz w:val="17"/>
                <w:szCs w:val="17"/>
                <w:color w:val="auto"/>
              </w:rPr>
            </w:pPr>
          </w:p>
        </w:tc>
        <w:tc>
          <w:tcPr>
            <w:tcW w:w="660" w:type="dxa"/>
            <w:vAlign w:val="bottom"/>
            <w:gridSpan w:val="2"/>
          </w:tcPr>
          <w:p>
            <w:pPr>
              <w:ind w:left="60"/>
              <w:spacing w:after="0"/>
              <w:rPr>
                <w:sz w:val="20"/>
                <w:szCs w:val="20"/>
                <w:color w:val="auto"/>
              </w:rPr>
            </w:pPr>
            <w:r>
              <w:rPr>
                <w:rFonts w:ascii="Times New Roman" w:cs="Times New Roman" w:eastAsia="Times New Roman" w:hAnsi="Times New Roman"/>
                <w:sz w:val="17"/>
                <w:szCs w:val="17"/>
                <w:color w:val="131413"/>
              </w:rPr>
              <w:t>stratum</w:t>
            </w:r>
          </w:p>
        </w:tc>
      </w:tr>
      <w:tr>
        <w:trPr>
          <w:trHeight w:val="107"/>
        </w:trPr>
        <w:tc>
          <w:tcPr>
            <w:tcW w:w="820" w:type="dxa"/>
            <w:vAlign w:val="bottom"/>
            <w:tcBorders>
              <w:bottom w:val="single" w:sz="8" w:color="131413"/>
            </w:tcBorders>
          </w:tcPr>
          <w:p>
            <w:pPr>
              <w:spacing w:after="0"/>
              <w:rPr>
                <w:sz w:val="9"/>
                <w:szCs w:val="9"/>
                <w:color w:val="auto"/>
              </w:rPr>
            </w:pPr>
          </w:p>
        </w:tc>
        <w:tc>
          <w:tcPr>
            <w:tcW w:w="1460" w:type="dxa"/>
            <w:vAlign w:val="bottom"/>
            <w:tcBorders>
              <w:bottom w:val="single" w:sz="8" w:color="131413"/>
            </w:tcBorders>
          </w:tcPr>
          <w:p>
            <w:pPr>
              <w:spacing w:after="0"/>
              <w:rPr>
                <w:sz w:val="9"/>
                <w:szCs w:val="9"/>
                <w:color w:val="auto"/>
              </w:rPr>
            </w:pPr>
          </w:p>
        </w:tc>
        <w:tc>
          <w:tcPr>
            <w:tcW w:w="1840" w:type="dxa"/>
            <w:vAlign w:val="bottom"/>
            <w:tcBorders>
              <w:bottom w:val="single" w:sz="8" w:color="131413"/>
            </w:tcBorders>
          </w:tcPr>
          <w:p>
            <w:pPr>
              <w:spacing w:after="0"/>
              <w:rPr>
                <w:sz w:val="9"/>
                <w:szCs w:val="9"/>
                <w:color w:val="auto"/>
              </w:rPr>
            </w:pPr>
          </w:p>
        </w:tc>
        <w:tc>
          <w:tcPr>
            <w:tcW w:w="640" w:type="dxa"/>
            <w:vAlign w:val="bottom"/>
            <w:tcBorders>
              <w:bottom w:val="single" w:sz="8" w:color="131413"/>
            </w:tcBorders>
          </w:tcPr>
          <w:p>
            <w:pPr>
              <w:spacing w:after="0"/>
              <w:rPr>
                <w:sz w:val="9"/>
                <w:szCs w:val="9"/>
                <w:color w:val="auto"/>
              </w:rPr>
            </w:pPr>
          </w:p>
        </w:tc>
        <w:tc>
          <w:tcPr>
            <w:tcW w:w="20" w:type="dxa"/>
            <w:vAlign w:val="bottom"/>
          </w:tcPr>
          <w:p>
            <w:pPr>
              <w:spacing w:after="0"/>
              <w:rPr>
                <w:sz w:val="9"/>
                <w:szCs w:val="9"/>
                <w:color w:val="auto"/>
              </w:rPr>
            </w:pPr>
          </w:p>
        </w:tc>
      </w:tr>
      <w:tr>
        <w:trPr>
          <w:trHeight w:val="284"/>
        </w:trPr>
        <w:tc>
          <w:tcPr>
            <w:tcW w:w="820" w:type="dxa"/>
            <w:vAlign w:val="bottom"/>
          </w:tcPr>
          <w:p>
            <w:pPr>
              <w:spacing w:after="0"/>
              <w:rPr>
                <w:sz w:val="20"/>
                <w:szCs w:val="20"/>
                <w:color w:val="auto"/>
              </w:rPr>
            </w:pPr>
            <w:r>
              <w:rPr>
                <w:rFonts w:ascii="Arial" w:cs="Arial" w:eastAsia="Arial" w:hAnsi="Arial"/>
                <w:sz w:val="17"/>
                <w:szCs w:val="17"/>
                <w:color w:val="131413"/>
              </w:rPr>
              <w:t>α</w:t>
            </w:r>
            <w:r>
              <w:rPr>
                <w:rFonts w:ascii="Times New Roman" w:cs="Times New Roman" w:eastAsia="Times New Roman" w:hAnsi="Times New Roman"/>
                <w:sz w:val="17"/>
                <w:szCs w:val="17"/>
                <w:color w:val="131413"/>
              </w:rPr>
              <w:t>-diversity</w:t>
            </w:r>
          </w:p>
        </w:tc>
        <w:tc>
          <w:tcPr>
            <w:tcW w:w="146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Dissimilarities</w:t>
            </w:r>
          </w:p>
        </w:tc>
        <w:tc>
          <w:tcPr>
            <w:tcW w:w="18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Individual patch</w:t>
            </w:r>
          </w:p>
        </w:tc>
        <w:tc>
          <w:tcPr>
            <w:tcW w:w="640" w:type="dxa"/>
            <w:vAlign w:val="bottom"/>
          </w:tcPr>
          <w:p>
            <w:pPr>
              <w:jc w:val="right"/>
              <w:ind w:right="335"/>
              <w:spacing w:after="0"/>
              <w:rPr>
                <w:sz w:val="20"/>
                <w:szCs w:val="20"/>
                <w:color w:val="auto"/>
              </w:rPr>
            </w:pPr>
            <w:r>
              <w:rPr>
                <w:rFonts w:ascii="Times New Roman" w:cs="Times New Roman" w:eastAsia="Times New Roman" w:hAnsi="Times New Roman"/>
                <w:sz w:val="17"/>
                <w:szCs w:val="17"/>
                <w:color w:val="131413"/>
              </w:rPr>
              <w:t>54</w:t>
            </w:r>
          </w:p>
        </w:tc>
        <w:tc>
          <w:tcPr>
            <w:tcW w:w="20" w:type="dxa"/>
            <w:vAlign w:val="bottom"/>
          </w:tcPr>
          <w:p>
            <w:pPr>
              <w:spacing w:after="0"/>
              <w:rPr>
                <w:sz w:val="24"/>
                <w:szCs w:val="24"/>
                <w:color w:val="auto"/>
              </w:rPr>
            </w:pPr>
          </w:p>
        </w:tc>
      </w:tr>
      <w:tr>
        <w:trPr>
          <w:trHeight w:val="198"/>
        </w:trPr>
        <w:tc>
          <w:tcPr>
            <w:tcW w:w="820" w:type="dxa"/>
            <w:vAlign w:val="bottom"/>
          </w:tcPr>
          <w:p>
            <w:pPr>
              <w:spacing w:after="0"/>
              <w:rPr>
                <w:sz w:val="17"/>
                <w:szCs w:val="17"/>
                <w:color w:val="auto"/>
              </w:rPr>
            </w:pP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among species</w:t>
            </w:r>
          </w:p>
        </w:tc>
        <w:tc>
          <w:tcPr>
            <w:tcW w:w="184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198"/>
        </w:trPr>
        <w:tc>
          <w:tcPr>
            <w:tcW w:w="820" w:type="dxa"/>
            <w:vAlign w:val="bottom"/>
          </w:tcPr>
          <w:p>
            <w:pPr>
              <w:spacing w:after="0"/>
              <w:rPr>
                <w:sz w:val="17"/>
                <w:szCs w:val="17"/>
                <w:color w:val="auto"/>
              </w:rPr>
            </w:pP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from distinct</w:t>
            </w:r>
          </w:p>
        </w:tc>
        <w:tc>
          <w:tcPr>
            <w:tcW w:w="184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200"/>
        </w:trPr>
        <w:tc>
          <w:tcPr>
            <w:tcW w:w="820" w:type="dxa"/>
            <w:vAlign w:val="bottom"/>
          </w:tcPr>
          <w:p>
            <w:pPr>
              <w:spacing w:after="0"/>
              <w:rPr>
                <w:sz w:val="17"/>
                <w:szCs w:val="17"/>
                <w:color w:val="auto"/>
              </w:rPr>
            </w:pP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patches</w:t>
            </w:r>
          </w:p>
        </w:tc>
        <w:tc>
          <w:tcPr>
            <w:tcW w:w="184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216"/>
        </w:trPr>
        <w:tc>
          <w:tcPr>
            <w:tcW w:w="2280" w:type="dxa"/>
            <w:vAlign w:val="bottom"/>
            <w:gridSpan w:val="2"/>
          </w:tcPr>
          <w:p>
            <w:pPr>
              <w:spacing w:after="0" w:line="215" w:lineRule="exact"/>
              <w:rPr>
                <w:sz w:val="20"/>
                <w:szCs w:val="20"/>
                <w:color w:val="auto"/>
              </w:rPr>
            </w:pPr>
            <w:r>
              <w:rPr>
                <w:rFonts w:ascii="Arial" w:cs="Arial" w:eastAsia="Arial" w:hAnsi="Arial"/>
                <w:sz w:val="17"/>
                <w:szCs w:val="17"/>
                <w:color w:val="131413"/>
              </w:rPr>
              <w:t>β</w:t>
            </w:r>
            <w:r>
              <w:rPr>
                <w:rFonts w:ascii="Times New Roman" w:cs="Times New Roman" w:eastAsia="Times New Roman" w:hAnsi="Times New Roman"/>
                <w:sz w:val="22"/>
                <w:szCs w:val="22"/>
                <w:color w:val="131413"/>
                <w:vertAlign w:val="subscript"/>
              </w:rPr>
              <w:t>1</w:t>
            </w:r>
            <w:r>
              <w:rPr>
                <w:rFonts w:ascii="Times New Roman" w:cs="Times New Roman" w:eastAsia="Times New Roman" w:hAnsi="Times New Roman"/>
                <w:sz w:val="17"/>
                <w:szCs w:val="17"/>
                <w:color w:val="131413"/>
              </w:rPr>
              <w:t>-diversity  Dissimilarities</w:t>
            </w:r>
          </w:p>
        </w:tc>
        <w:tc>
          <w:tcPr>
            <w:tcW w:w="18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Patches in a group with</w:t>
            </w:r>
          </w:p>
        </w:tc>
        <w:tc>
          <w:tcPr>
            <w:tcW w:w="640" w:type="dxa"/>
            <w:vAlign w:val="bottom"/>
          </w:tcPr>
          <w:p>
            <w:pPr>
              <w:jc w:val="right"/>
              <w:ind w:right="335"/>
              <w:spacing w:after="0"/>
              <w:rPr>
                <w:sz w:val="20"/>
                <w:szCs w:val="20"/>
                <w:color w:val="auto"/>
              </w:rPr>
            </w:pPr>
            <w:r>
              <w:rPr>
                <w:rFonts w:ascii="Times New Roman" w:cs="Times New Roman" w:eastAsia="Times New Roman" w:hAnsi="Times New Roman"/>
                <w:sz w:val="17"/>
                <w:szCs w:val="17"/>
                <w:color w:val="131413"/>
              </w:rPr>
              <w:t>18</w:t>
            </w:r>
          </w:p>
        </w:tc>
        <w:tc>
          <w:tcPr>
            <w:tcW w:w="20" w:type="dxa"/>
            <w:vAlign w:val="bottom"/>
          </w:tcPr>
          <w:p>
            <w:pPr>
              <w:spacing w:after="0"/>
              <w:rPr>
                <w:sz w:val="18"/>
                <w:szCs w:val="18"/>
                <w:color w:val="auto"/>
              </w:rPr>
            </w:pPr>
          </w:p>
        </w:tc>
      </w:tr>
      <w:tr>
        <w:trPr>
          <w:trHeight w:val="184"/>
        </w:trPr>
        <w:tc>
          <w:tcPr>
            <w:tcW w:w="820" w:type="dxa"/>
            <w:vAlign w:val="bottom"/>
          </w:tcPr>
          <w:p>
            <w:pPr>
              <w:spacing w:after="0"/>
              <w:rPr>
                <w:sz w:val="15"/>
                <w:szCs w:val="15"/>
                <w:color w:val="auto"/>
              </w:rPr>
            </w:pPr>
          </w:p>
        </w:tc>
        <w:tc>
          <w:tcPr>
            <w:tcW w:w="1460" w:type="dxa"/>
            <w:vAlign w:val="bottom"/>
          </w:tcPr>
          <w:p>
            <w:pPr>
              <w:ind w:left="260"/>
              <w:spacing w:after="0" w:line="184" w:lineRule="exact"/>
              <w:rPr>
                <w:sz w:val="20"/>
                <w:szCs w:val="20"/>
                <w:color w:val="auto"/>
              </w:rPr>
            </w:pPr>
            <w:r>
              <w:rPr>
                <w:rFonts w:ascii="Times New Roman" w:cs="Times New Roman" w:eastAsia="Times New Roman" w:hAnsi="Times New Roman"/>
                <w:sz w:val="17"/>
                <w:szCs w:val="17"/>
                <w:color w:val="131413"/>
              </w:rPr>
              <w:t>among patches</w:t>
            </w:r>
          </w:p>
        </w:tc>
        <w:tc>
          <w:tcPr>
            <w:tcW w:w="1840" w:type="dxa"/>
            <w:vAlign w:val="bottom"/>
          </w:tcPr>
          <w:p>
            <w:pPr>
              <w:ind w:left="220"/>
              <w:spacing w:after="0" w:line="184" w:lineRule="exact"/>
              <w:rPr>
                <w:sz w:val="20"/>
                <w:szCs w:val="20"/>
                <w:color w:val="auto"/>
              </w:rPr>
            </w:pPr>
            <w:r>
              <w:rPr>
                <w:rFonts w:ascii="Times New Roman" w:cs="Times New Roman" w:eastAsia="Times New Roman" w:hAnsi="Times New Roman"/>
                <w:sz w:val="17"/>
                <w:szCs w:val="17"/>
                <w:color w:val="131413"/>
              </w:rPr>
              <w:t>the same vegetation</w:t>
            </w:r>
          </w:p>
        </w:tc>
        <w:tc>
          <w:tcPr>
            <w:tcW w:w="640" w:type="dxa"/>
            <w:vAlign w:val="bottom"/>
          </w:tcPr>
          <w:p>
            <w:pPr>
              <w:spacing w:after="0"/>
              <w:rPr>
                <w:sz w:val="15"/>
                <w:szCs w:val="15"/>
                <w:color w:val="auto"/>
              </w:rPr>
            </w:pPr>
          </w:p>
        </w:tc>
        <w:tc>
          <w:tcPr>
            <w:tcW w:w="20" w:type="dxa"/>
            <w:vAlign w:val="bottom"/>
          </w:tcPr>
          <w:p>
            <w:pPr>
              <w:spacing w:after="0"/>
              <w:rPr>
                <w:sz w:val="15"/>
                <w:szCs w:val="15"/>
                <w:color w:val="auto"/>
              </w:rPr>
            </w:pPr>
          </w:p>
        </w:tc>
      </w:tr>
      <w:tr>
        <w:trPr>
          <w:trHeight w:val="198"/>
        </w:trPr>
        <w:tc>
          <w:tcPr>
            <w:tcW w:w="820" w:type="dxa"/>
            <w:vAlign w:val="bottom"/>
          </w:tcPr>
          <w:p>
            <w:pPr>
              <w:spacing w:after="0"/>
              <w:rPr>
                <w:sz w:val="17"/>
                <w:szCs w:val="17"/>
                <w:color w:val="auto"/>
              </w:rPr>
            </w:pP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from distinct</w:t>
            </w:r>
          </w:p>
        </w:tc>
        <w:tc>
          <w:tcPr>
            <w:tcW w:w="1840" w:type="dxa"/>
            <w:vAlign w:val="bottom"/>
          </w:tcPr>
          <w:p>
            <w:pPr>
              <w:ind w:left="220"/>
              <w:spacing w:after="0"/>
              <w:rPr>
                <w:sz w:val="20"/>
                <w:szCs w:val="20"/>
                <w:color w:val="auto"/>
              </w:rPr>
            </w:pPr>
            <w:r>
              <w:rPr>
                <w:rFonts w:ascii="Times New Roman" w:cs="Times New Roman" w:eastAsia="Times New Roman" w:hAnsi="Times New Roman"/>
                <w:sz w:val="17"/>
                <w:szCs w:val="17"/>
                <w:color w:val="131413"/>
              </w:rPr>
              <w:t>type, the size class, and</w:t>
            </w:r>
          </w:p>
        </w:tc>
        <w:tc>
          <w:tcPr>
            <w:tcW w:w="64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200"/>
        </w:trPr>
        <w:tc>
          <w:tcPr>
            <w:tcW w:w="820" w:type="dxa"/>
            <w:vAlign w:val="bottom"/>
          </w:tcPr>
          <w:p>
            <w:pPr>
              <w:spacing w:after="0"/>
              <w:rPr>
                <w:sz w:val="17"/>
                <w:szCs w:val="17"/>
                <w:color w:val="auto"/>
              </w:rPr>
            </w:pP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groups</w:t>
            </w:r>
          </w:p>
        </w:tc>
        <w:tc>
          <w:tcPr>
            <w:tcW w:w="1840" w:type="dxa"/>
            <w:vAlign w:val="bottom"/>
          </w:tcPr>
          <w:p>
            <w:pPr>
              <w:ind w:left="220"/>
              <w:spacing w:after="0"/>
              <w:rPr>
                <w:sz w:val="20"/>
                <w:szCs w:val="20"/>
                <w:color w:val="auto"/>
              </w:rPr>
            </w:pPr>
            <w:r>
              <w:rPr>
                <w:rFonts w:ascii="Times New Roman" w:cs="Times New Roman" w:eastAsia="Times New Roman" w:hAnsi="Times New Roman"/>
                <w:sz w:val="17"/>
                <w:szCs w:val="17"/>
                <w:color w:val="131413"/>
              </w:rPr>
              <w:t>the impervious area</w:t>
            </w:r>
          </w:p>
        </w:tc>
        <w:tc>
          <w:tcPr>
            <w:tcW w:w="64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200"/>
        </w:trPr>
        <w:tc>
          <w:tcPr>
            <w:tcW w:w="820" w:type="dxa"/>
            <w:vAlign w:val="bottom"/>
          </w:tcPr>
          <w:p>
            <w:pPr>
              <w:spacing w:after="0"/>
              <w:rPr>
                <w:sz w:val="17"/>
                <w:szCs w:val="17"/>
                <w:color w:val="auto"/>
              </w:rPr>
            </w:pPr>
          </w:p>
        </w:tc>
        <w:tc>
          <w:tcPr>
            <w:tcW w:w="1460" w:type="dxa"/>
            <w:vAlign w:val="bottom"/>
          </w:tcPr>
          <w:p>
            <w:pPr>
              <w:spacing w:after="0"/>
              <w:rPr>
                <w:sz w:val="17"/>
                <w:szCs w:val="17"/>
                <w:color w:val="auto"/>
              </w:rPr>
            </w:pPr>
          </w:p>
        </w:tc>
        <w:tc>
          <w:tcPr>
            <w:tcW w:w="1840" w:type="dxa"/>
            <w:vAlign w:val="bottom"/>
          </w:tcPr>
          <w:p>
            <w:pPr>
              <w:ind w:left="220"/>
              <w:spacing w:after="0"/>
              <w:rPr>
                <w:sz w:val="20"/>
                <w:szCs w:val="20"/>
                <w:color w:val="auto"/>
              </w:rPr>
            </w:pPr>
            <w:r>
              <w:rPr>
                <w:rFonts w:ascii="Times New Roman" w:cs="Times New Roman" w:eastAsia="Times New Roman" w:hAnsi="Times New Roman"/>
                <w:sz w:val="17"/>
                <w:szCs w:val="17"/>
                <w:color w:val="131413"/>
              </w:rPr>
              <w:t>class</w:t>
            </w:r>
          </w:p>
        </w:tc>
        <w:tc>
          <w:tcPr>
            <w:tcW w:w="64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214"/>
        </w:trPr>
        <w:tc>
          <w:tcPr>
            <w:tcW w:w="2280" w:type="dxa"/>
            <w:vAlign w:val="bottom"/>
            <w:gridSpan w:val="2"/>
          </w:tcPr>
          <w:p>
            <w:pPr>
              <w:spacing w:after="0" w:line="214" w:lineRule="exact"/>
              <w:rPr>
                <w:sz w:val="20"/>
                <w:szCs w:val="20"/>
                <w:color w:val="auto"/>
              </w:rPr>
            </w:pPr>
            <w:r>
              <w:rPr>
                <w:rFonts w:ascii="Arial" w:cs="Arial" w:eastAsia="Arial" w:hAnsi="Arial"/>
                <w:sz w:val="17"/>
                <w:szCs w:val="17"/>
                <w:color w:val="131413"/>
              </w:rPr>
              <w:t>β</w:t>
            </w:r>
            <w:r>
              <w:rPr>
                <w:rFonts w:ascii="Times New Roman" w:cs="Times New Roman" w:eastAsia="Times New Roman" w:hAnsi="Times New Roman"/>
                <w:sz w:val="22"/>
                <w:szCs w:val="22"/>
                <w:color w:val="131413"/>
                <w:vertAlign w:val="subscript"/>
              </w:rPr>
              <w:t>2</w:t>
            </w:r>
            <w:r>
              <w:rPr>
                <w:rFonts w:ascii="Times New Roman" w:cs="Times New Roman" w:eastAsia="Times New Roman" w:hAnsi="Times New Roman"/>
                <w:sz w:val="17"/>
                <w:szCs w:val="17"/>
                <w:color w:val="131413"/>
              </w:rPr>
              <w:t>-diversity  Dissimilarities</w:t>
            </w:r>
          </w:p>
        </w:tc>
        <w:tc>
          <w:tcPr>
            <w:tcW w:w="18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The group</w:t>
            </w:r>
          </w:p>
        </w:tc>
        <w:tc>
          <w:tcPr>
            <w:tcW w:w="640" w:type="dxa"/>
            <w:vAlign w:val="bottom"/>
          </w:tcPr>
          <w:p>
            <w:pPr>
              <w:jc w:val="right"/>
              <w:ind w:right="335"/>
              <w:spacing w:after="0"/>
              <w:rPr>
                <w:sz w:val="20"/>
                <w:szCs w:val="20"/>
                <w:color w:val="auto"/>
              </w:rPr>
            </w:pPr>
            <w:r>
              <w:rPr>
                <w:rFonts w:ascii="Times New Roman" w:cs="Times New Roman" w:eastAsia="Times New Roman" w:hAnsi="Times New Roman"/>
                <w:sz w:val="17"/>
                <w:szCs w:val="17"/>
                <w:color w:val="131413"/>
              </w:rPr>
              <w:t>3</w:t>
            </w:r>
          </w:p>
        </w:tc>
        <w:tc>
          <w:tcPr>
            <w:tcW w:w="20" w:type="dxa"/>
            <w:vAlign w:val="bottom"/>
          </w:tcPr>
          <w:p>
            <w:pPr>
              <w:spacing w:after="0"/>
              <w:rPr>
                <w:sz w:val="18"/>
                <w:szCs w:val="18"/>
                <w:color w:val="auto"/>
              </w:rPr>
            </w:pPr>
          </w:p>
        </w:tc>
      </w:tr>
      <w:tr>
        <w:trPr>
          <w:trHeight w:val="184"/>
        </w:trPr>
        <w:tc>
          <w:tcPr>
            <w:tcW w:w="820" w:type="dxa"/>
            <w:vAlign w:val="bottom"/>
          </w:tcPr>
          <w:p>
            <w:pPr>
              <w:spacing w:after="0"/>
              <w:rPr>
                <w:sz w:val="15"/>
                <w:szCs w:val="15"/>
                <w:color w:val="auto"/>
              </w:rPr>
            </w:pPr>
          </w:p>
        </w:tc>
        <w:tc>
          <w:tcPr>
            <w:tcW w:w="1460" w:type="dxa"/>
            <w:vAlign w:val="bottom"/>
          </w:tcPr>
          <w:p>
            <w:pPr>
              <w:ind w:left="260"/>
              <w:spacing w:after="0" w:line="184" w:lineRule="exact"/>
              <w:rPr>
                <w:sz w:val="20"/>
                <w:szCs w:val="20"/>
                <w:color w:val="auto"/>
              </w:rPr>
            </w:pPr>
            <w:r>
              <w:rPr>
                <w:rFonts w:ascii="Times New Roman" w:cs="Times New Roman" w:eastAsia="Times New Roman" w:hAnsi="Times New Roman"/>
                <w:sz w:val="17"/>
                <w:szCs w:val="17"/>
                <w:color w:val="131413"/>
              </w:rPr>
              <w:t>among groups</w:t>
            </w:r>
          </w:p>
        </w:tc>
        <w:tc>
          <w:tcPr>
            <w:tcW w:w="1840" w:type="dxa"/>
            <w:vAlign w:val="bottom"/>
          </w:tcPr>
          <w:p>
            <w:pPr>
              <w:spacing w:after="0"/>
              <w:rPr>
                <w:sz w:val="15"/>
                <w:szCs w:val="15"/>
                <w:color w:val="auto"/>
              </w:rPr>
            </w:pPr>
          </w:p>
        </w:tc>
        <w:tc>
          <w:tcPr>
            <w:tcW w:w="640" w:type="dxa"/>
            <w:vAlign w:val="bottom"/>
          </w:tcPr>
          <w:p>
            <w:pPr>
              <w:spacing w:after="0"/>
              <w:rPr>
                <w:sz w:val="15"/>
                <w:szCs w:val="15"/>
                <w:color w:val="auto"/>
              </w:rPr>
            </w:pPr>
          </w:p>
        </w:tc>
        <w:tc>
          <w:tcPr>
            <w:tcW w:w="20" w:type="dxa"/>
            <w:vAlign w:val="bottom"/>
          </w:tcPr>
          <w:p>
            <w:pPr>
              <w:spacing w:after="0"/>
              <w:rPr>
                <w:sz w:val="15"/>
                <w:szCs w:val="15"/>
                <w:color w:val="auto"/>
              </w:rPr>
            </w:pPr>
          </w:p>
        </w:tc>
      </w:tr>
      <w:tr>
        <w:trPr>
          <w:trHeight w:val="202"/>
        </w:trPr>
        <w:tc>
          <w:tcPr>
            <w:tcW w:w="820" w:type="dxa"/>
            <w:vAlign w:val="bottom"/>
          </w:tcPr>
          <w:p>
            <w:pPr>
              <w:spacing w:after="0"/>
              <w:rPr>
                <w:sz w:val="20"/>
                <w:szCs w:val="20"/>
                <w:color w:val="auto"/>
              </w:rPr>
            </w:pPr>
            <w:r>
              <w:rPr>
                <w:rFonts w:ascii="Arial" w:cs="Arial" w:eastAsia="Arial" w:hAnsi="Arial"/>
                <w:sz w:val="17"/>
                <w:szCs w:val="17"/>
                <w:color w:val="131413"/>
              </w:rPr>
              <w:t>γ</w:t>
            </w:r>
            <w:r>
              <w:rPr>
                <w:rFonts w:ascii="Times New Roman" w:cs="Times New Roman" w:eastAsia="Times New Roman" w:hAnsi="Times New Roman"/>
                <w:sz w:val="17"/>
                <w:szCs w:val="17"/>
                <w:color w:val="131413"/>
              </w:rPr>
              <w:t>-diversity</w:t>
            </w:r>
          </w:p>
        </w:tc>
        <w:tc>
          <w:tcPr>
            <w:tcW w:w="146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Diversity of all</w:t>
            </w:r>
          </w:p>
        </w:tc>
        <w:tc>
          <w:tcPr>
            <w:tcW w:w="18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A landscape with all</w:t>
            </w:r>
          </w:p>
        </w:tc>
        <w:tc>
          <w:tcPr>
            <w:tcW w:w="640" w:type="dxa"/>
            <w:vAlign w:val="bottom"/>
          </w:tcPr>
          <w:p>
            <w:pPr>
              <w:jc w:val="right"/>
              <w:ind w:right="335"/>
              <w:spacing w:after="0"/>
              <w:rPr>
                <w:sz w:val="20"/>
                <w:szCs w:val="20"/>
                <w:color w:val="auto"/>
              </w:rPr>
            </w:pPr>
            <w:r>
              <w:rPr>
                <w:rFonts w:ascii="Times New Roman" w:cs="Times New Roman" w:eastAsia="Times New Roman" w:hAnsi="Times New Roman"/>
                <w:sz w:val="17"/>
                <w:szCs w:val="17"/>
                <w:color w:val="131413"/>
              </w:rPr>
              <w:t>1</w:t>
            </w:r>
          </w:p>
        </w:tc>
        <w:tc>
          <w:tcPr>
            <w:tcW w:w="20" w:type="dxa"/>
            <w:vAlign w:val="bottom"/>
          </w:tcPr>
          <w:p>
            <w:pPr>
              <w:spacing w:after="0"/>
              <w:rPr>
                <w:sz w:val="17"/>
                <w:szCs w:val="17"/>
                <w:color w:val="auto"/>
              </w:rPr>
            </w:pPr>
          </w:p>
        </w:tc>
      </w:tr>
      <w:tr>
        <w:trPr>
          <w:trHeight w:val="198"/>
        </w:trPr>
        <w:tc>
          <w:tcPr>
            <w:tcW w:w="820" w:type="dxa"/>
            <w:vAlign w:val="bottom"/>
          </w:tcPr>
          <w:p>
            <w:pPr>
              <w:spacing w:after="0"/>
              <w:rPr>
                <w:sz w:val="17"/>
                <w:szCs w:val="17"/>
                <w:color w:val="auto"/>
              </w:rPr>
            </w:pP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patches and</w:t>
            </w:r>
          </w:p>
        </w:tc>
        <w:tc>
          <w:tcPr>
            <w:tcW w:w="1840" w:type="dxa"/>
            <w:vAlign w:val="bottom"/>
          </w:tcPr>
          <w:p>
            <w:pPr>
              <w:ind w:left="220"/>
              <w:spacing w:after="0"/>
              <w:rPr>
                <w:sz w:val="20"/>
                <w:szCs w:val="20"/>
                <w:color w:val="auto"/>
              </w:rPr>
            </w:pPr>
            <w:r>
              <w:rPr>
                <w:rFonts w:ascii="Times New Roman" w:cs="Times New Roman" w:eastAsia="Times New Roman" w:hAnsi="Times New Roman"/>
                <w:sz w:val="17"/>
                <w:szCs w:val="17"/>
                <w:color w:val="131413"/>
              </w:rPr>
              <w:t>patches</w:t>
            </w:r>
          </w:p>
        </w:tc>
        <w:tc>
          <w:tcPr>
            <w:tcW w:w="64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200"/>
        </w:trPr>
        <w:tc>
          <w:tcPr>
            <w:tcW w:w="820" w:type="dxa"/>
            <w:vAlign w:val="bottom"/>
          </w:tcPr>
          <w:p>
            <w:pPr>
              <w:spacing w:after="0"/>
              <w:rPr>
                <w:sz w:val="17"/>
                <w:szCs w:val="17"/>
                <w:color w:val="auto"/>
              </w:rPr>
            </w:pP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groups combined</w:t>
            </w:r>
          </w:p>
        </w:tc>
        <w:tc>
          <w:tcPr>
            <w:tcW w:w="184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198"/>
        </w:trPr>
        <w:tc>
          <w:tcPr>
            <w:tcW w:w="820" w:type="dxa"/>
            <w:vAlign w:val="bottom"/>
          </w:tcPr>
          <w:p>
            <w:pPr>
              <w:spacing w:after="0"/>
              <w:rPr>
                <w:sz w:val="17"/>
                <w:szCs w:val="17"/>
                <w:color w:val="auto"/>
              </w:rPr>
            </w:pP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together</w:t>
            </w:r>
          </w:p>
        </w:tc>
        <w:tc>
          <w:tcPr>
            <w:tcW w:w="184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106"/>
        </w:trPr>
        <w:tc>
          <w:tcPr>
            <w:tcW w:w="820" w:type="dxa"/>
            <w:vAlign w:val="bottom"/>
            <w:tcBorders>
              <w:bottom w:val="single" w:sz="8" w:color="131413"/>
            </w:tcBorders>
          </w:tcPr>
          <w:p>
            <w:pPr>
              <w:spacing w:after="0"/>
              <w:rPr>
                <w:sz w:val="9"/>
                <w:szCs w:val="9"/>
                <w:color w:val="auto"/>
              </w:rPr>
            </w:pPr>
          </w:p>
        </w:tc>
        <w:tc>
          <w:tcPr>
            <w:tcW w:w="1460" w:type="dxa"/>
            <w:vAlign w:val="bottom"/>
            <w:tcBorders>
              <w:bottom w:val="single" w:sz="8" w:color="131413"/>
            </w:tcBorders>
          </w:tcPr>
          <w:p>
            <w:pPr>
              <w:spacing w:after="0"/>
              <w:rPr>
                <w:sz w:val="9"/>
                <w:szCs w:val="9"/>
                <w:color w:val="auto"/>
              </w:rPr>
            </w:pPr>
          </w:p>
        </w:tc>
        <w:tc>
          <w:tcPr>
            <w:tcW w:w="1840" w:type="dxa"/>
            <w:vAlign w:val="bottom"/>
            <w:tcBorders>
              <w:bottom w:val="single" w:sz="8" w:color="131413"/>
            </w:tcBorders>
          </w:tcPr>
          <w:p>
            <w:pPr>
              <w:spacing w:after="0"/>
              <w:rPr>
                <w:sz w:val="9"/>
                <w:szCs w:val="9"/>
                <w:color w:val="auto"/>
              </w:rPr>
            </w:pPr>
          </w:p>
        </w:tc>
        <w:tc>
          <w:tcPr>
            <w:tcW w:w="640" w:type="dxa"/>
            <w:vAlign w:val="bottom"/>
            <w:tcBorders>
              <w:bottom w:val="single" w:sz="8" w:color="131413"/>
            </w:tcBorders>
          </w:tcPr>
          <w:p>
            <w:pPr>
              <w:spacing w:after="0"/>
              <w:rPr>
                <w:sz w:val="9"/>
                <w:szCs w:val="9"/>
                <w:color w:val="auto"/>
              </w:rPr>
            </w:pPr>
          </w:p>
        </w:tc>
        <w:tc>
          <w:tcPr>
            <w:tcW w:w="20" w:type="dxa"/>
            <w:vAlign w:val="bottom"/>
            <w:tcBorders>
              <w:bottom w:val="single" w:sz="8" w:color="131413"/>
            </w:tcBorders>
          </w:tcPr>
          <w:p>
            <w:pPr>
              <w:spacing w:after="0"/>
              <w:rPr>
                <w:sz w:val="9"/>
                <w:szCs w:val="9"/>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-9525</wp:posOffset>
                </wp:positionV>
                <wp:extent cx="1206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1">
                          <a:solidFill>
                            <a:srgbClr val="131413"/>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0.7499pt" to="0.5pt,-0.7499pt" o:allowincell="f" strokecolor="#131413" strokeweight="0.567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-2040255</wp:posOffset>
                </wp:positionV>
                <wp:extent cx="1206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1">
                          <a:solidFill>
                            <a:srgbClr val="131413"/>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60.6499pt" to="0.5pt,-160.6499pt" o:allowincell="f" strokecolor="#131413" strokeweight="0.567pt"/>
            </w:pict>
          </mc:Fallback>
        </mc:AlternateContent>
      </w:r>
    </w:p>
    <w:p>
      <w:pPr>
        <w:spacing w:after="0" w:line="200" w:lineRule="exact"/>
        <w:rPr>
          <w:sz w:val="20"/>
          <w:szCs w:val="20"/>
          <w:color w:val="auto"/>
        </w:rPr>
      </w:pPr>
    </w:p>
    <w:p>
      <w:pPr>
        <w:spacing w:after="0" w:line="341" w:lineRule="exact"/>
        <w:rPr>
          <w:sz w:val="20"/>
          <w:szCs w:val="20"/>
          <w:color w:val="auto"/>
        </w:rPr>
      </w:pPr>
    </w:p>
    <w:p>
      <w:pPr>
        <w:jc w:val="both"/>
        <w:ind w:right="20"/>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modeling (GDM) (Ferrier et al. </w:t>
      </w:r>
      <w:hyperlink w:anchor="page9">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was used to estimate the influences of the selected factors on the compositional dissim-ilarity. Following Ferrier et al. (</w:t>
      </w:r>
      <w:hyperlink w:anchor="page9">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we derived three I-spline basis functions and calculated the value of each patch against each of the functions for each predictor. The absolute difference in the value of each I-spline basis function for all possible pairs of patches was then calculated. The matrix of the Jaccard dissimilarity indicators was used as the response matrix, and the absolute difference of I-spline basis functions as explanatory matrices in the GDMs to express the change in compositional dissimilarity along the gradient of a predictor. The percentage of change in deviance between the model fit with and without any one of variables was used to represent the relative importance of that predictor on affecting the var-iation of compositional dissimilarity. The vegetation type was modeled as a categorical variable.</w:t>
      </w:r>
    </w:p>
    <w:p>
      <w:pPr>
        <w:spacing w:after="0" w:line="8" w:lineRule="exact"/>
        <w:rPr>
          <w:sz w:val="20"/>
          <w:szCs w:val="20"/>
          <w:color w:val="auto"/>
        </w:rPr>
      </w:pPr>
    </w:p>
    <w:p>
      <w:pPr>
        <w:jc w:val="both"/>
        <w:ind w:right="20"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All data analysis in this study was carried out using R version 3.5.3 (R Core Team </w:t>
      </w:r>
      <w:hyperlink w:anchor="page9">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The matrix of taxonomic distance among species was calculated using the ade4 pack-age (Dray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The equivalent numbers of species were calculated, and the permutation test was conducted using the adiv package (Pavoine </w:t>
      </w:r>
      <w:hyperlink w:anchor="page9">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The GDM was conducted using gdm package (Manion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33" w:lineRule="exact"/>
        <w:rPr>
          <w:rFonts w:ascii="Times New Roman" w:cs="Times New Roman" w:eastAsia="Times New Roman" w:hAnsi="Times New Roman"/>
          <w:sz w:val="19"/>
          <w:szCs w:val="19"/>
          <w:color w:val="131413"/>
        </w:rPr>
      </w:pPr>
    </w:p>
    <w:p>
      <w:pPr>
        <w:jc w:val="both"/>
        <w:ind w:right="20"/>
        <w:spacing w:after="0" w:line="257"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only in adult trees, only in sapling/seedlings, and in both adult trees and sapling/seedlings, respectively. In the shrub layer, a total of 126 species were identified. Native species accounted for 95.7% of all identified species, and 29% have been used as ornamental species in Guiyang (Table </w:t>
      </w:r>
      <w:hyperlink w:anchor="page9">
        <w:r>
          <w:rPr>
            <w:rFonts w:ascii="Times New Roman" w:cs="Times New Roman" w:eastAsia="Times New Roman" w:hAnsi="Times New Roman"/>
            <w:sz w:val="20"/>
            <w:szCs w:val="20"/>
            <w:color w:val="0000FF"/>
          </w:rPr>
          <w:t>3</w:t>
        </w:r>
      </w:hyperlink>
      <w:r>
        <w:rPr>
          <w:rFonts w:ascii="Times New Roman" w:cs="Times New Roman" w:eastAsia="Times New Roman" w:hAnsi="Times New Roman"/>
          <w:sz w:val="20"/>
          <w:szCs w:val="20"/>
          <w:color w:val="131413"/>
        </w:rPr>
        <w:t xml:space="preserve">). A list of species and abundances can be found in the supplementary material (Table </w:t>
      </w:r>
      <w:hyperlink w:anchor="page9">
        <w:r>
          <w:rPr>
            <w:rFonts w:ascii="Times New Roman" w:cs="Times New Roman" w:eastAsia="Times New Roman" w:hAnsi="Times New Roman"/>
            <w:sz w:val="20"/>
            <w:szCs w:val="20"/>
            <w:color w:val="0000FF"/>
          </w:rPr>
          <w:t>S1</w:t>
        </w:r>
      </w:hyperlink>
      <w:r>
        <w:rPr>
          <w:rFonts w:ascii="Times New Roman" w:cs="Times New Roman" w:eastAsia="Times New Roman" w:hAnsi="Times New Roman"/>
          <w:sz w:val="20"/>
          <w:szCs w:val="20"/>
          <w:color w:val="131413"/>
        </w:rPr>
        <w:t>).</w:t>
      </w:r>
    </w:p>
    <w:p>
      <w:pPr>
        <w:spacing w:after="0" w:line="19" w:lineRule="exact"/>
        <w:rPr>
          <w:sz w:val="20"/>
          <w:szCs w:val="20"/>
          <w:color w:val="auto"/>
        </w:rPr>
      </w:pPr>
    </w:p>
    <w:p>
      <w:pPr>
        <w:jc w:val="both"/>
        <w:ind w:right="20" w:firstLine="227"/>
        <w:spacing w:after="0" w:line="255"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sampled coniferous forest, mixed forest, and broadleaf forest patches had different mean stem densities, basal areas, and dbh (Table </w:t>
      </w:r>
      <w:hyperlink w:anchor="page9">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131413"/>
        </w:rPr>
        <w:t xml:space="preserve">). Detailed descriptions of each individual patch can be found in Table </w:t>
      </w:r>
      <w:hyperlink w:anchor="page9">
        <w:r>
          <w:rPr>
            <w:rFonts w:ascii="Times New Roman" w:cs="Times New Roman" w:eastAsia="Times New Roman" w:hAnsi="Times New Roman"/>
            <w:sz w:val="20"/>
            <w:szCs w:val="20"/>
            <w:color w:val="0000FF"/>
          </w:rPr>
          <w:t>S2</w:t>
        </w:r>
      </w:hyperlink>
      <w:r>
        <w:rPr>
          <w:rFonts w:ascii="Times New Roman" w:cs="Times New Roman" w:eastAsia="Times New Roman" w:hAnsi="Times New Roman"/>
          <w:sz w:val="20"/>
          <w:szCs w:val="20"/>
          <w:color w:val="131413"/>
        </w:rPr>
        <w:t>.</w:t>
      </w:r>
    </w:p>
    <w:p>
      <w:pPr>
        <w:spacing w:after="0" w:line="19" w:lineRule="exact"/>
        <w:rPr>
          <w:sz w:val="20"/>
          <w:szCs w:val="20"/>
          <w:color w:val="auto"/>
        </w:rPr>
      </w:pPr>
    </w:p>
    <w:p>
      <w:pPr>
        <w:jc w:val="both"/>
        <w:ind w:right="20" w:firstLine="227"/>
        <w:spacing w:after="0" w:line="242"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hierarchical taxonomic diversity of woody plants was shown in Table </w:t>
      </w:r>
      <w:hyperlink w:anchor="page9">
        <w:r>
          <w:rPr>
            <w:rFonts w:ascii="Times New Roman" w:cs="Times New Roman" w:eastAsia="Times New Roman" w:hAnsi="Times New Roman"/>
            <w:sz w:val="19"/>
            <w:szCs w:val="19"/>
            <w:color w:val="0000FF"/>
          </w:rPr>
          <w:t>5</w:t>
        </w:r>
      </w:hyperlink>
      <w:r>
        <w:rPr>
          <w:rFonts w:ascii="Times New Roman" w:cs="Times New Roman" w:eastAsia="Times New Roman" w:hAnsi="Times New Roman"/>
          <w:sz w:val="19"/>
          <w:szCs w:val="19"/>
          <w:color w:val="131413"/>
        </w:rPr>
        <w:t>. There were no significant differences among patches within a group (</w:t>
      </w:r>
      <w:r>
        <w:rPr>
          <w:rFonts w:ascii="Arial" w:cs="Arial" w:eastAsia="Arial" w:hAnsi="Arial"/>
          <w:sz w:val="19"/>
          <w:szCs w:val="19"/>
          <w:color w:val="131413"/>
        </w:rPr>
        <w:t>β</w:t>
      </w:r>
      <w:r>
        <w:rPr>
          <w:rFonts w:ascii="Times New Roman" w:cs="Times New Roman" w:eastAsia="Times New Roman" w:hAnsi="Times New Roman"/>
          <w:sz w:val="25"/>
          <w:szCs w:val="25"/>
          <w:color w:val="131413"/>
          <w:vertAlign w:val="subscript"/>
        </w:rPr>
        <w:t>1</w:t>
      </w:r>
      <w:r>
        <w:rPr>
          <w:rFonts w:ascii="Times New Roman" w:cs="Times New Roman" w:eastAsia="Times New Roman" w:hAnsi="Times New Roman"/>
          <w:sz w:val="19"/>
          <w:szCs w:val="19"/>
          <w:color w:val="131413"/>
        </w:rPr>
        <w:t>-diversity) for all the types of woody plants. However, the dissimilarities among groups (</w:t>
      </w:r>
      <w:r>
        <w:rPr>
          <w:rFonts w:ascii="Arial" w:cs="Arial" w:eastAsia="Arial" w:hAnsi="Arial"/>
          <w:sz w:val="19"/>
          <w:szCs w:val="19"/>
          <w:color w:val="131413"/>
        </w:rPr>
        <w:t>β</w:t>
      </w:r>
      <w:r>
        <w:rPr>
          <w:rFonts w:ascii="Times New Roman" w:cs="Times New Roman" w:eastAsia="Times New Roman" w:hAnsi="Times New Roman"/>
          <w:sz w:val="25"/>
          <w:szCs w:val="25"/>
          <w:color w:val="131413"/>
          <w:vertAlign w:val="subscript"/>
        </w:rPr>
        <w:t>2</w:t>
      </w:r>
      <w:r>
        <w:rPr>
          <w:rFonts w:ascii="Times New Roman" w:cs="Times New Roman" w:eastAsia="Times New Roman" w:hAnsi="Times New Roman"/>
          <w:sz w:val="19"/>
          <w:szCs w:val="19"/>
          <w:color w:val="131413"/>
        </w:rPr>
        <w:t>-diversity) were statistically significant for adult trees and saplings/seedlings.</w:t>
      </w:r>
    </w:p>
    <w:p>
      <w:pPr>
        <w:spacing w:after="0" w:line="200" w:lineRule="exact"/>
        <w:rPr>
          <w:sz w:val="20"/>
          <w:szCs w:val="20"/>
          <w:color w:val="auto"/>
        </w:rPr>
      </w:pPr>
    </w:p>
    <w:p>
      <w:pPr>
        <w:spacing w:after="0" w:line="335" w:lineRule="exact"/>
        <w:rPr>
          <w:sz w:val="20"/>
          <w:szCs w:val="20"/>
          <w:color w:val="auto"/>
        </w:rPr>
      </w:pPr>
    </w:p>
    <w:p>
      <w:pPr>
        <w:spacing w:after="0"/>
        <w:rPr>
          <w:sz w:val="20"/>
          <w:szCs w:val="20"/>
          <w:color w:val="auto"/>
        </w:rPr>
      </w:pPr>
      <w:r>
        <w:rPr>
          <w:rFonts w:ascii="Arial" w:cs="Arial" w:eastAsia="Arial" w:hAnsi="Arial"/>
          <w:sz w:val="24"/>
          <w:szCs w:val="24"/>
          <w:color w:val="131413"/>
        </w:rPr>
        <w:t>The relative importance of predictors</w:t>
      </w:r>
    </w:p>
    <w:p>
      <w:pPr>
        <w:spacing w:after="0" w:line="267" w:lineRule="exact"/>
        <w:rPr>
          <w:sz w:val="20"/>
          <w:szCs w:val="20"/>
          <w:color w:val="auto"/>
        </w:rPr>
      </w:pPr>
    </w:p>
    <w:p>
      <w:pPr>
        <w:jc w:val="both"/>
        <w:ind w:right="20"/>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results of GDM showed that together the four predictors could explain 11.5%, 8.9%, 9.9%, 10.2%, and 14.8% of the variation in the compositional dissimilarity of adult trees, sap-lings/seedlings, trees, shrubs, and woody plants, respectively. The vegetation type and the patch size had higher relative importance than other variables (Table </w:t>
      </w:r>
      <w:hyperlink w:anchor="page9">
        <w:r>
          <w:rPr>
            <w:rFonts w:ascii="Times New Roman" w:cs="Times New Roman" w:eastAsia="Times New Roman" w:hAnsi="Times New Roman"/>
            <w:sz w:val="19"/>
            <w:szCs w:val="19"/>
            <w:color w:val="0000FF"/>
          </w:rPr>
          <w:t>6</w:t>
        </w:r>
      </w:hyperlink>
      <w:r>
        <w:rPr>
          <w:rFonts w:ascii="Times New Roman" w:cs="Times New Roman" w:eastAsia="Times New Roman" w:hAnsi="Times New Roman"/>
          <w:sz w:val="19"/>
          <w:szCs w:val="19"/>
          <w:color w:val="131413"/>
        </w:rPr>
        <w:t>).</w:t>
      </w:r>
    </w:p>
    <w:p>
      <w:pPr>
        <w:spacing w:after="0" w:line="3" w:lineRule="exact"/>
        <w:rPr>
          <w:sz w:val="20"/>
          <w:szCs w:val="20"/>
          <w:color w:val="auto"/>
        </w:rPr>
      </w:pPr>
    </w:p>
    <w:p>
      <w:pPr>
        <w:jc w:val="both"/>
        <w:ind w:right="20" w:firstLine="227"/>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partial response graph of the GDMs shows how the rate of compositional turnover varies along the gradient of an explanatory variable. Compositional turnover is the change in species composition (Legendre et al., </w:t>
      </w:r>
      <w:hyperlink w:anchor="page9">
        <w:r>
          <w:rPr>
            <w:rFonts w:ascii="Times New Roman" w:cs="Times New Roman" w:eastAsia="Times New Roman" w:hAnsi="Times New Roman"/>
            <w:sz w:val="20"/>
            <w:szCs w:val="20"/>
            <w:color w:val="0000FF"/>
          </w:rPr>
          <w:t>2005</w:t>
        </w:r>
      </w:hyperlink>
      <w:r>
        <w:rPr>
          <w:rFonts w:ascii="Times New Roman" w:cs="Times New Roman" w:eastAsia="Times New Roman" w:hAnsi="Times New Roman"/>
          <w:sz w:val="20"/>
          <w:szCs w:val="20"/>
          <w:color w:val="131413"/>
        </w:rPr>
        <w:t xml:space="preserve">). The maximum height in the y-axis indicates the total amount of composition-al turnover associated with the variable, holding all other var-iables constant. The results indicated that the rates and total amount of compositional turnover were different for woody plants, tree species, adult trees, and sapling/seedlings, and shrubs (Fig. </w:t>
      </w:r>
      <w:hyperlink w:anchor="page9">
        <w:r>
          <w:rPr>
            <w:rFonts w:ascii="Times New Roman" w:cs="Times New Roman" w:eastAsia="Times New Roman" w:hAnsi="Times New Roman"/>
            <w:sz w:val="20"/>
            <w:szCs w:val="20"/>
            <w:color w:val="0000FF"/>
          </w:rPr>
          <w:t>2</w:t>
        </w:r>
      </w:hyperlink>
      <w:r>
        <w:rPr>
          <w:rFonts w:ascii="Times New Roman" w:cs="Times New Roman" w:eastAsia="Times New Roman" w:hAnsi="Times New Roman"/>
          <w:sz w:val="20"/>
          <w:szCs w:val="20"/>
          <w:color w:val="131413"/>
        </w:rPr>
        <w:t>).</w:t>
      </w: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Arial" w:cs="Arial" w:eastAsia="Arial" w:hAnsi="Arial"/>
          <w:sz w:val="24"/>
          <w:szCs w:val="24"/>
          <w:color w:val="131413"/>
        </w:rPr>
        <w:t>Discussion</w:t>
      </w:r>
    </w:p>
    <w:p>
      <w:pPr>
        <w:spacing w:after="0" w:line="265" w:lineRule="exact"/>
        <w:rPr>
          <w:sz w:val="20"/>
          <w:szCs w:val="20"/>
          <w:color w:val="auto"/>
        </w:rPr>
      </w:pPr>
    </w:p>
    <w:p>
      <w:pPr>
        <w:jc w:val="both"/>
        <w:ind w:right="20"/>
        <w:spacing w:after="0" w:line="246" w:lineRule="auto"/>
        <w:rPr>
          <w:sz w:val="20"/>
          <w:szCs w:val="20"/>
          <w:color w:val="auto"/>
        </w:rPr>
      </w:pPr>
      <w:r>
        <w:rPr>
          <w:rFonts w:ascii="Times New Roman" w:cs="Times New Roman" w:eastAsia="Times New Roman" w:hAnsi="Times New Roman"/>
          <w:sz w:val="20"/>
          <w:szCs w:val="20"/>
          <w:color w:val="131413"/>
        </w:rPr>
        <w:t>The remnant forest in Guiyang provides habitats to a large number of woody plant species, especially native species.</w:t>
      </w:r>
    </w:p>
    <w:p>
      <w:pPr>
        <w:spacing w:after="0" w:line="200" w:lineRule="exact"/>
        <w:rPr>
          <w:sz w:val="20"/>
          <w:szCs w:val="20"/>
          <w:color w:val="auto"/>
        </w:rPr>
      </w:pPr>
    </w:p>
    <w:p>
      <w:pPr>
        <w:sectPr>
          <w:pgSz w:w="11900" w:h="15817" w:orient="portrait"/>
          <w:cols w:equalWidth="0" w:num="2">
            <w:col w:w="4780" w:space="320"/>
            <w:col w:w="4780"/>
          </w:cols>
          <w:pgMar w:left="1020" w:top="649" w:right="1006" w:bottom="339" w:gutter="0" w:footer="0" w:header="0"/>
          <w:type w:val="continuous"/>
        </w:sectPr>
      </w:pPr>
    </w:p>
    <w:p>
      <w:pPr>
        <w:spacing w:after="0" w:line="185" w:lineRule="exact"/>
        <w:rPr>
          <w:sz w:val="20"/>
          <w:szCs w:val="20"/>
          <w:color w:val="auto"/>
        </w:rPr>
      </w:pPr>
    </w:p>
    <w:p>
      <w:pPr>
        <w:spacing w:after="0"/>
        <w:rPr>
          <w:sz w:val="20"/>
          <w:szCs w:val="20"/>
          <w:color w:val="auto"/>
        </w:rPr>
      </w:pPr>
      <w:r>
        <w:rPr>
          <w:rFonts w:ascii="Arial" w:cs="Arial" w:eastAsia="Arial" w:hAnsi="Arial"/>
          <w:sz w:val="24"/>
          <w:szCs w:val="24"/>
          <w:color w:val="131413"/>
        </w:rPr>
        <w:t>Results</w:t>
      </w:r>
    </w:p>
    <w:p>
      <w:pPr>
        <w:spacing w:after="0" w:line="248" w:lineRule="exact"/>
        <w:rPr>
          <w:sz w:val="20"/>
          <w:szCs w:val="20"/>
          <w:color w:val="auto"/>
        </w:rPr>
      </w:pPr>
    </w:p>
    <w:p>
      <w:pPr>
        <w:ind w:right="20"/>
        <w:spacing w:after="0" w:line="234" w:lineRule="auto"/>
        <w:rPr>
          <w:sz w:val="20"/>
          <w:szCs w:val="20"/>
          <w:color w:val="auto"/>
        </w:rPr>
      </w:pPr>
      <w:r>
        <w:rPr>
          <w:rFonts w:ascii="Arial" w:cs="Arial" w:eastAsia="Arial" w:hAnsi="Arial"/>
          <w:sz w:val="22"/>
          <w:szCs w:val="22"/>
          <w:color w:val="131413"/>
        </w:rPr>
        <w:t>Taxonomic diversity of woody plants of the remnant forest</w:t>
      </w:r>
    </w:p>
    <w:p>
      <w:pPr>
        <w:spacing w:after="0" w:line="272" w:lineRule="exact"/>
        <w:rPr>
          <w:sz w:val="20"/>
          <w:szCs w:val="20"/>
          <w:color w:val="auto"/>
        </w:rPr>
      </w:pPr>
    </w:p>
    <w:p>
      <w:pPr>
        <w:jc w:val="both"/>
        <w:spacing w:after="0" w:line="272"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We recorded a total of 305 woody plant species in the 54 remnant forest patches (Table </w:t>
      </w:r>
      <w:hyperlink w:anchor="page9">
        <w:r>
          <w:rPr>
            <w:rFonts w:ascii="Times New Roman" w:cs="Times New Roman" w:eastAsia="Times New Roman" w:hAnsi="Times New Roman"/>
            <w:sz w:val="19"/>
            <w:szCs w:val="19"/>
            <w:color w:val="0000FF"/>
          </w:rPr>
          <w:t>2</w:t>
        </w:r>
      </w:hyperlink>
      <w:r>
        <w:rPr>
          <w:rFonts w:ascii="Times New Roman" w:cs="Times New Roman" w:eastAsia="Times New Roman" w:hAnsi="Times New Roman"/>
          <w:sz w:val="19"/>
          <w:szCs w:val="19"/>
          <w:color w:val="131413"/>
        </w:rPr>
        <w:t>). Among the 179 identified tree species, 34 species, 50 species, and 95 species were found</w:t>
      </w:r>
    </w:p>
    <w:p>
      <w:pPr>
        <w:spacing w:after="0" w:line="20" w:lineRule="exact"/>
        <w:rPr>
          <w:sz w:val="20"/>
          <w:szCs w:val="20"/>
          <w:color w:val="auto"/>
        </w:rPr>
      </w:pPr>
      <w:r>
        <w:rPr>
          <w:sz w:val="20"/>
          <w:szCs w:val="20"/>
          <w:color w:val="auto"/>
        </w:rPr>
        <w:br w:type="column"/>
      </w:r>
    </w:p>
    <w:p>
      <w:pPr>
        <w:spacing w:after="0" w:line="231" w:lineRule="exact"/>
        <w:rPr>
          <w:sz w:val="20"/>
          <w:szCs w:val="20"/>
          <w:color w:val="auto"/>
        </w:rPr>
      </w:pPr>
    </w:p>
    <w:p>
      <w:pPr>
        <w:spacing w:after="0"/>
        <w:tabs>
          <w:tab w:leader="none" w:pos="680" w:val="left"/>
        </w:tabs>
        <w:rPr>
          <w:sz w:val="20"/>
          <w:szCs w:val="20"/>
          <w:color w:val="auto"/>
        </w:rPr>
      </w:pPr>
      <w:r>
        <w:rPr>
          <w:rFonts w:ascii="Arial" w:cs="Arial" w:eastAsia="Arial" w:hAnsi="Arial"/>
          <w:sz w:val="17"/>
          <w:szCs w:val="17"/>
          <w:color w:val="131413"/>
        </w:rPr>
        <w:t>Table 3</w:t>
      </w:r>
      <w:r>
        <w:rPr>
          <w:sz w:val="20"/>
          <w:szCs w:val="20"/>
          <w:color w:val="auto"/>
        </w:rPr>
        <w:tab/>
      </w:r>
      <w:r>
        <w:rPr>
          <w:rFonts w:ascii="Times New Roman" w:cs="Times New Roman" w:eastAsia="Times New Roman" w:hAnsi="Times New Roman"/>
          <w:sz w:val="16"/>
          <w:szCs w:val="16"/>
          <w:color w:val="131413"/>
        </w:rPr>
        <w:t>Number of species in different layers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46355</wp:posOffset>
                </wp:positionV>
                <wp:extent cx="303022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30220" cy="4763"/>
                        </a:xfrm>
                        <a:prstGeom prst="line">
                          <a:avLst/>
                        </a:prstGeom>
                        <a:solidFill>
                          <a:srgbClr val="FFFFFF"/>
                        </a:solidFill>
                        <a:ln w="19899">
                          <a:solidFill>
                            <a:srgbClr val="131413"/>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3.65pt" to="238.25pt,3.65pt" o:allowincell="f" strokecolor="#131413" strokeweight="1.5669pt"/>
            </w:pict>
          </mc:Fallback>
        </mc:AlternateContent>
        <mc:AlternateContent>
          <mc:Choice Requires="wps">
            <w:drawing>
              <wp:anchor simplePos="0" relativeHeight="251657728" behindDoc="1" locked="0" layoutInCell="0" allowOverlap="1">
                <wp:simplePos x="0" y="0"/>
                <wp:positionH relativeFrom="column">
                  <wp:posOffset>3019425</wp:posOffset>
                </wp:positionH>
                <wp:positionV relativeFrom="paragraph">
                  <wp:posOffset>46355</wp:posOffset>
                </wp:positionV>
                <wp:extent cx="12700"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199">
                          <a:solidFill>
                            <a:srgbClr val="131413"/>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75pt,3.65pt" to="238.75pt,3.65pt" o:allowincell="f" strokecolor="#131413" strokeweight="0.5669pt"/>
            </w:pict>
          </mc:Fallback>
        </mc:AlternateContent>
      </w:r>
    </w:p>
    <w:p>
      <w:pPr>
        <w:spacing w:after="0" w:line="156" w:lineRule="exact"/>
        <w:rPr>
          <w:sz w:val="20"/>
          <w:szCs w:val="20"/>
          <w:color w:val="auto"/>
        </w:rPr>
      </w:pPr>
    </w:p>
    <w:tbl>
      <w:tblPr>
        <w:tblLayout w:type="fixed"/>
        <w:tblInd w:w="0" w:type="dxa"/>
        <w:tblCellMar>
          <w:top w:w="0" w:type="dxa"/>
          <w:left w:w="0" w:type="dxa"/>
          <w:bottom w:w="0" w:type="dxa"/>
          <w:right w:w="0" w:type="dxa"/>
        </w:tblCellMar>
      </w:tblPr>
      <w:tr>
        <w:trPr>
          <w:trHeight w:val="195"/>
        </w:trPr>
        <w:tc>
          <w:tcPr>
            <w:tcW w:w="660" w:type="dxa"/>
            <w:vAlign w:val="bottom"/>
          </w:tcPr>
          <w:p>
            <w:pPr>
              <w:spacing w:after="0"/>
              <w:rPr>
                <w:sz w:val="20"/>
                <w:szCs w:val="20"/>
                <w:color w:val="auto"/>
              </w:rPr>
            </w:pPr>
            <w:r>
              <w:rPr>
                <w:rFonts w:ascii="Times New Roman" w:cs="Times New Roman" w:eastAsia="Times New Roman" w:hAnsi="Times New Roman"/>
                <w:sz w:val="17"/>
                <w:szCs w:val="17"/>
                <w:color w:val="131413"/>
              </w:rPr>
              <w:t>Traits</w:t>
            </w:r>
          </w:p>
        </w:tc>
        <w:tc>
          <w:tcPr>
            <w:tcW w:w="880" w:type="dxa"/>
            <w:vAlign w:val="bottom"/>
          </w:tcPr>
          <w:p>
            <w:pPr>
              <w:spacing w:after="0"/>
              <w:rPr>
                <w:sz w:val="17"/>
                <w:szCs w:val="17"/>
                <w:color w:val="auto"/>
              </w:rPr>
            </w:pPr>
          </w:p>
        </w:tc>
        <w:tc>
          <w:tcPr>
            <w:tcW w:w="1100" w:type="dxa"/>
            <w:vAlign w:val="bottom"/>
          </w:tcPr>
          <w:p>
            <w:pPr>
              <w:jc w:val="right"/>
              <w:ind w:right="115"/>
              <w:spacing w:after="0"/>
              <w:rPr>
                <w:sz w:val="20"/>
                <w:szCs w:val="20"/>
                <w:color w:val="auto"/>
              </w:rPr>
            </w:pPr>
            <w:r>
              <w:rPr>
                <w:rFonts w:ascii="Times New Roman" w:cs="Times New Roman" w:eastAsia="Times New Roman" w:hAnsi="Times New Roman"/>
                <w:sz w:val="17"/>
                <w:szCs w:val="17"/>
                <w:color w:val="131413"/>
              </w:rPr>
              <w:t>Adult tree</w:t>
            </w:r>
          </w:p>
        </w:tc>
        <w:tc>
          <w:tcPr>
            <w:tcW w:w="1360" w:type="dxa"/>
            <w:vAlign w:val="bottom"/>
          </w:tcPr>
          <w:p>
            <w:pPr>
              <w:jc w:val="right"/>
              <w:spacing w:after="0"/>
              <w:rPr>
                <w:sz w:val="20"/>
                <w:szCs w:val="20"/>
                <w:color w:val="auto"/>
              </w:rPr>
            </w:pPr>
            <w:r>
              <w:rPr>
                <w:rFonts w:ascii="Times New Roman" w:cs="Times New Roman" w:eastAsia="Times New Roman" w:hAnsi="Times New Roman"/>
                <w:sz w:val="17"/>
                <w:szCs w:val="17"/>
                <w:color w:val="131413"/>
              </w:rPr>
              <w:t>Sapling/seedling</w:t>
            </w:r>
          </w:p>
        </w:tc>
        <w:tc>
          <w:tcPr>
            <w:tcW w:w="140" w:type="dxa"/>
            <w:vAlign w:val="bottom"/>
          </w:tcPr>
          <w:p>
            <w:pPr>
              <w:spacing w:after="0"/>
              <w:rPr>
                <w:sz w:val="17"/>
                <w:szCs w:val="17"/>
                <w:color w:val="auto"/>
              </w:rPr>
            </w:pPr>
          </w:p>
        </w:tc>
        <w:tc>
          <w:tcPr>
            <w:tcW w:w="640" w:type="dxa"/>
            <w:vAlign w:val="bottom"/>
            <w:gridSpan w:val="2"/>
          </w:tcPr>
          <w:p>
            <w:pPr>
              <w:ind w:left="240"/>
              <w:spacing w:after="0"/>
              <w:rPr>
                <w:sz w:val="20"/>
                <w:szCs w:val="20"/>
                <w:color w:val="auto"/>
              </w:rPr>
            </w:pPr>
            <w:r>
              <w:rPr>
                <w:rFonts w:ascii="Times New Roman" w:cs="Times New Roman" w:eastAsia="Times New Roman" w:hAnsi="Times New Roman"/>
                <w:sz w:val="17"/>
                <w:szCs w:val="17"/>
                <w:color w:val="131413"/>
                <w:w w:val="93"/>
              </w:rPr>
              <w:t>Shrub</w:t>
            </w:r>
          </w:p>
        </w:tc>
      </w:tr>
      <w:tr>
        <w:trPr>
          <w:trHeight w:val="107"/>
        </w:trPr>
        <w:tc>
          <w:tcPr>
            <w:tcW w:w="660" w:type="dxa"/>
            <w:vAlign w:val="bottom"/>
            <w:tcBorders>
              <w:bottom w:val="single" w:sz="8" w:color="131413"/>
            </w:tcBorders>
          </w:tcPr>
          <w:p>
            <w:pPr>
              <w:spacing w:after="0"/>
              <w:rPr>
                <w:sz w:val="9"/>
                <w:szCs w:val="9"/>
                <w:color w:val="auto"/>
              </w:rPr>
            </w:pPr>
          </w:p>
        </w:tc>
        <w:tc>
          <w:tcPr>
            <w:tcW w:w="880" w:type="dxa"/>
            <w:vAlign w:val="bottom"/>
            <w:tcBorders>
              <w:bottom w:val="single" w:sz="8" w:color="131413"/>
            </w:tcBorders>
          </w:tcPr>
          <w:p>
            <w:pPr>
              <w:spacing w:after="0"/>
              <w:rPr>
                <w:sz w:val="9"/>
                <w:szCs w:val="9"/>
                <w:color w:val="auto"/>
              </w:rPr>
            </w:pPr>
          </w:p>
        </w:tc>
        <w:tc>
          <w:tcPr>
            <w:tcW w:w="1100" w:type="dxa"/>
            <w:vAlign w:val="bottom"/>
            <w:tcBorders>
              <w:bottom w:val="single" w:sz="8" w:color="131413"/>
            </w:tcBorders>
          </w:tcPr>
          <w:p>
            <w:pPr>
              <w:spacing w:after="0"/>
              <w:rPr>
                <w:sz w:val="9"/>
                <w:szCs w:val="9"/>
                <w:color w:val="auto"/>
              </w:rPr>
            </w:pPr>
          </w:p>
        </w:tc>
        <w:tc>
          <w:tcPr>
            <w:tcW w:w="1360" w:type="dxa"/>
            <w:vAlign w:val="bottom"/>
            <w:tcBorders>
              <w:bottom w:val="single" w:sz="8" w:color="131413"/>
            </w:tcBorders>
          </w:tcPr>
          <w:p>
            <w:pPr>
              <w:spacing w:after="0"/>
              <w:rPr>
                <w:sz w:val="9"/>
                <w:szCs w:val="9"/>
                <w:color w:val="auto"/>
              </w:rPr>
            </w:pPr>
          </w:p>
        </w:tc>
        <w:tc>
          <w:tcPr>
            <w:tcW w:w="140" w:type="dxa"/>
            <w:vAlign w:val="bottom"/>
            <w:tcBorders>
              <w:bottom w:val="single" w:sz="8" w:color="131413"/>
            </w:tcBorders>
          </w:tcPr>
          <w:p>
            <w:pPr>
              <w:spacing w:after="0"/>
              <w:rPr>
                <w:sz w:val="9"/>
                <w:szCs w:val="9"/>
                <w:color w:val="auto"/>
              </w:rPr>
            </w:pPr>
          </w:p>
        </w:tc>
        <w:tc>
          <w:tcPr>
            <w:tcW w:w="620" w:type="dxa"/>
            <w:vAlign w:val="bottom"/>
            <w:tcBorders>
              <w:bottom w:val="single" w:sz="8" w:color="131413"/>
            </w:tcBorders>
          </w:tcPr>
          <w:p>
            <w:pPr>
              <w:spacing w:after="0"/>
              <w:rPr>
                <w:sz w:val="9"/>
                <w:szCs w:val="9"/>
                <w:color w:val="auto"/>
              </w:rPr>
            </w:pPr>
          </w:p>
        </w:tc>
        <w:tc>
          <w:tcPr>
            <w:tcW w:w="20" w:type="dxa"/>
            <w:vAlign w:val="bottom"/>
          </w:tcPr>
          <w:p>
            <w:pPr>
              <w:spacing w:after="0"/>
              <w:rPr>
                <w:sz w:val="9"/>
                <w:szCs w:val="9"/>
                <w:color w:val="auto"/>
              </w:rPr>
            </w:pPr>
          </w:p>
        </w:tc>
      </w:tr>
      <w:tr>
        <w:trPr>
          <w:trHeight w:val="282"/>
        </w:trPr>
        <w:tc>
          <w:tcPr>
            <w:tcW w:w="660" w:type="dxa"/>
            <w:vAlign w:val="bottom"/>
          </w:tcPr>
          <w:p>
            <w:pPr>
              <w:spacing w:after="0"/>
              <w:rPr>
                <w:sz w:val="20"/>
                <w:szCs w:val="20"/>
                <w:color w:val="auto"/>
              </w:rPr>
            </w:pPr>
            <w:r>
              <w:rPr>
                <w:rFonts w:ascii="Times New Roman" w:cs="Times New Roman" w:eastAsia="Times New Roman" w:hAnsi="Times New Roman"/>
                <w:sz w:val="17"/>
                <w:szCs w:val="17"/>
                <w:color w:val="131413"/>
              </w:rPr>
              <w:t>Origin</w:t>
            </w:r>
          </w:p>
        </w:tc>
        <w:tc>
          <w:tcPr>
            <w:tcW w:w="880" w:type="dxa"/>
            <w:vAlign w:val="bottom"/>
          </w:tcPr>
          <w:p>
            <w:pPr>
              <w:ind w:left="220"/>
              <w:spacing w:after="0"/>
              <w:rPr>
                <w:sz w:val="20"/>
                <w:szCs w:val="20"/>
                <w:color w:val="auto"/>
              </w:rPr>
            </w:pPr>
            <w:r>
              <w:rPr>
                <w:rFonts w:ascii="Times New Roman" w:cs="Times New Roman" w:eastAsia="Times New Roman" w:hAnsi="Times New Roman"/>
                <w:sz w:val="17"/>
                <w:szCs w:val="17"/>
                <w:color w:val="131413"/>
              </w:rPr>
              <w:t>Native</w:t>
            </w:r>
          </w:p>
        </w:tc>
        <w:tc>
          <w:tcPr>
            <w:tcW w:w="1100" w:type="dxa"/>
            <w:vAlign w:val="bottom"/>
          </w:tcPr>
          <w:p>
            <w:pPr>
              <w:jc w:val="right"/>
              <w:ind w:right="535"/>
              <w:spacing w:after="0"/>
              <w:rPr>
                <w:sz w:val="20"/>
                <w:szCs w:val="20"/>
                <w:color w:val="auto"/>
              </w:rPr>
            </w:pPr>
            <w:r>
              <w:rPr>
                <w:rFonts w:ascii="Times New Roman" w:cs="Times New Roman" w:eastAsia="Times New Roman" w:hAnsi="Times New Roman"/>
                <w:sz w:val="17"/>
                <w:szCs w:val="17"/>
                <w:color w:val="131413"/>
              </w:rPr>
              <w:t>123</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141</w:t>
            </w:r>
          </w:p>
        </w:tc>
        <w:tc>
          <w:tcPr>
            <w:tcW w:w="760" w:type="dxa"/>
            <w:vAlign w:val="bottom"/>
            <w:gridSpan w:val="2"/>
          </w:tcPr>
          <w:p>
            <w:pPr>
              <w:jc w:val="right"/>
              <w:ind w:right="55"/>
              <w:spacing w:after="0"/>
              <w:rPr>
                <w:sz w:val="20"/>
                <w:szCs w:val="20"/>
                <w:color w:val="auto"/>
              </w:rPr>
            </w:pPr>
            <w:r>
              <w:rPr>
                <w:rFonts w:ascii="Times New Roman" w:cs="Times New Roman" w:eastAsia="Times New Roman" w:hAnsi="Times New Roman"/>
                <w:sz w:val="17"/>
                <w:szCs w:val="17"/>
                <w:color w:val="131413"/>
              </w:rPr>
              <w:t>121</w:t>
            </w:r>
          </w:p>
        </w:tc>
        <w:tc>
          <w:tcPr>
            <w:tcW w:w="20" w:type="dxa"/>
            <w:vAlign w:val="bottom"/>
          </w:tcPr>
          <w:p>
            <w:pPr>
              <w:spacing w:after="0"/>
              <w:rPr>
                <w:sz w:val="24"/>
                <w:szCs w:val="24"/>
                <w:color w:val="auto"/>
              </w:rPr>
            </w:pPr>
          </w:p>
        </w:tc>
      </w:tr>
      <w:tr>
        <w:trPr>
          <w:trHeight w:val="254"/>
        </w:trPr>
        <w:tc>
          <w:tcPr>
            <w:tcW w:w="660" w:type="dxa"/>
            <w:vAlign w:val="bottom"/>
          </w:tcPr>
          <w:p>
            <w:pPr>
              <w:spacing w:after="0"/>
              <w:rPr>
                <w:sz w:val="22"/>
                <w:szCs w:val="22"/>
                <w:color w:val="auto"/>
              </w:rPr>
            </w:pPr>
          </w:p>
        </w:tc>
        <w:tc>
          <w:tcPr>
            <w:tcW w:w="880" w:type="dxa"/>
            <w:vAlign w:val="bottom"/>
          </w:tcPr>
          <w:p>
            <w:pPr>
              <w:ind w:left="220"/>
              <w:spacing w:after="0"/>
              <w:rPr>
                <w:sz w:val="20"/>
                <w:szCs w:val="20"/>
                <w:color w:val="auto"/>
              </w:rPr>
            </w:pPr>
            <w:r>
              <w:rPr>
                <w:rFonts w:ascii="Times New Roman" w:cs="Times New Roman" w:eastAsia="Times New Roman" w:hAnsi="Times New Roman"/>
                <w:sz w:val="17"/>
                <w:szCs w:val="17"/>
                <w:color w:val="131413"/>
              </w:rPr>
              <w:t>Exotic</w:t>
            </w:r>
          </w:p>
        </w:tc>
        <w:tc>
          <w:tcPr>
            <w:tcW w:w="1100" w:type="dxa"/>
            <w:vAlign w:val="bottom"/>
          </w:tcPr>
          <w:p>
            <w:pPr>
              <w:jc w:val="right"/>
              <w:ind w:right="535"/>
              <w:spacing w:after="0"/>
              <w:rPr>
                <w:sz w:val="20"/>
                <w:szCs w:val="20"/>
                <w:color w:val="auto"/>
              </w:rPr>
            </w:pPr>
            <w:r>
              <w:rPr>
                <w:rFonts w:ascii="Times New Roman" w:cs="Times New Roman" w:eastAsia="Times New Roman" w:hAnsi="Times New Roman"/>
                <w:sz w:val="17"/>
                <w:szCs w:val="17"/>
                <w:color w:val="131413"/>
              </w:rPr>
              <w:t>6</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4</w:t>
            </w:r>
          </w:p>
        </w:tc>
        <w:tc>
          <w:tcPr>
            <w:tcW w:w="760" w:type="dxa"/>
            <w:vAlign w:val="bottom"/>
            <w:gridSpan w:val="2"/>
          </w:tcPr>
          <w:p>
            <w:pPr>
              <w:jc w:val="right"/>
              <w:ind w:right="55"/>
              <w:spacing w:after="0"/>
              <w:rPr>
                <w:sz w:val="20"/>
                <w:szCs w:val="20"/>
                <w:color w:val="auto"/>
              </w:rPr>
            </w:pPr>
            <w:r>
              <w:rPr>
                <w:rFonts w:ascii="Times New Roman" w:cs="Times New Roman" w:eastAsia="Times New Roman" w:hAnsi="Times New Roman"/>
                <w:sz w:val="17"/>
                <w:szCs w:val="17"/>
                <w:color w:val="131413"/>
              </w:rPr>
              <w:t>5</w:t>
            </w:r>
          </w:p>
        </w:tc>
        <w:tc>
          <w:tcPr>
            <w:tcW w:w="20" w:type="dxa"/>
            <w:vAlign w:val="bottom"/>
          </w:tcPr>
          <w:p>
            <w:pPr>
              <w:spacing w:after="0"/>
              <w:rPr>
                <w:sz w:val="22"/>
                <w:szCs w:val="22"/>
                <w:color w:val="auto"/>
              </w:rPr>
            </w:pPr>
          </w:p>
        </w:tc>
      </w:tr>
      <w:tr>
        <w:trPr>
          <w:trHeight w:val="254"/>
        </w:trPr>
        <w:tc>
          <w:tcPr>
            <w:tcW w:w="660" w:type="dxa"/>
            <w:vAlign w:val="bottom"/>
          </w:tcPr>
          <w:p>
            <w:pPr>
              <w:spacing w:after="0"/>
              <w:rPr>
                <w:sz w:val="22"/>
                <w:szCs w:val="22"/>
                <w:color w:val="auto"/>
              </w:rPr>
            </w:pPr>
          </w:p>
        </w:tc>
        <w:tc>
          <w:tcPr>
            <w:tcW w:w="880" w:type="dxa"/>
            <w:vAlign w:val="bottom"/>
          </w:tcPr>
          <w:p>
            <w:pPr>
              <w:ind w:left="220"/>
              <w:spacing w:after="0"/>
              <w:rPr>
                <w:sz w:val="20"/>
                <w:szCs w:val="20"/>
                <w:color w:val="auto"/>
              </w:rPr>
            </w:pPr>
            <w:r>
              <w:rPr>
                <w:rFonts w:ascii="Times New Roman" w:cs="Times New Roman" w:eastAsia="Times New Roman" w:hAnsi="Times New Roman"/>
                <w:sz w:val="17"/>
                <w:szCs w:val="17"/>
                <w:color w:val="131413"/>
              </w:rPr>
              <w:t>Total</w:t>
            </w:r>
          </w:p>
        </w:tc>
        <w:tc>
          <w:tcPr>
            <w:tcW w:w="1100" w:type="dxa"/>
            <w:vAlign w:val="bottom"/>
          </w:tcPr>
          <w:p>
            <w:pPr>
              <w:jc w:val="right"/>
              <w:ind w:right="535"/>
              <w:spacing w:after="0"/>
              <w:rPr>
                <w:sz w:val="20"/>
                <w:szCs w:val="20"/>
                <w:color w:val="auto"/>
              </w:rPr>
            </w:pPr>
            <w:r>
              <w:rPr>
                <w:rFonts w:ascii="Times New Roman" w:cs="Times New Roman" w:eastAsia="Times New Roman" w:hAnsi="Times New Roman"/>
                <w:sz w:val="17"/>
                <w:szCs w:val="17"/>
                <w:color w:val="131413"/>
              </w:rPr>
              <w:t>129</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145</w:t>
            </w:r>
          </w:p>
        </w:tc>
        <w:tc>
          <w:tcPr>
            <w:tcW w:w="760" w:type="dxa"/>
            <w:vAlign w:val="bottom"/>
            <w:gridSpan w:val="2"/>
          </w:tcPr>
          <w:p>
            <w:pPr>
              <w:jc w:val="right"/>
              <w:ind w:right="55"/>
              <w:spacing w:after="0"/>
              <w:rPr>
                <w:sz w:val="20"/>
                <w:szCs w:val="20"/>
                <w:color w:val="auto"/>
              </w:rPr>
            </w:pPr>
            <w:r>
              <w:rPr>
                <w:rFonts w:ascii="Times New Roman" w:cs="Times New Roman" w:eastAsia="Times New Roman" w:hAnsi="Times New Roman"/>
                <w:sz w:val="17"/>
                <w:szCs w:val="17"/>
                <w:color w:val="131413"/>
              </w:rPr>
              <w:t>126</w:t>
            </w:r>
          </w:p>
        </w:tc>
        <w:tc>
          <w:tcPr>
            <w:tcW w:w="20" w:type="dxa"/>
            <w:vAlign w:val="bottom"/>
          </w:tcPr>
          <w:p>
            <w:pPr>
              <w:spacing w:after="0"/>
              <w:rPr>
                <w:sz w:val="22"/>
                <w:szCs w:val="22"/>
                <w:color w:val="auto"/>
              </w:rPr>
            </w:pPr>
          </w:p>
        </w:tc>
      </w:tr>
      <w:tr>
        <w:trPr>
          <w:trHeight w:val="254"/>
        </w:trPr>
        <w:tc>
          <w:tcPr>
            <w:tcW w:w="1540" w:type="dxa"/>
            <w:vAlign w:val="bottom"/>
            <w:gridSpan w:val="2"/>
          </w:tcPr>
          <w:p>
            <w:pPr>
              <w:spacing w:after="0"/>
              <w:rPr>
                <w:sz w:val="20"/>
                <w:szCs w:val="20"/>
                <w:color w:val="auto"/>
              </w:rPr>
            </w:pPr>
            <w:r>
              <w:rPr>
                <w:rFonts w:ascii="Times New Roman" w:cs="Times New Roman" w:eastAsia="Times New Roman" w:hAnsi="Times New Roman"/>
                <w:sz w:val="17"/>
                <w:szCs w:val="17"/>
                <w:color w:val="131413"/>
              </w:rPr>
              <w:t>Ornamental use</w:t>
            </w:r>
          </w:p>
        </w:tc>
        <w:tc>
          <w:tcPr>
            <w:tcW w:w="1100" w:type="dxa"/>
            <w:vAlign w:val="bottom"/>
          </w:tcPr>
          <w:p>
            <w:pPr>
              <w:jc w:val="right"/>
              <w:ind w:right="535"/>
              <w:spacing w:after="0"/>
              <w:rPr>
                <w:sz w:val="20"/>
                <w:szCs w:val="20"/>
                <w:color w:val="auto"/>
              </w:rPr>
            </w:pPr>
            <w:r>
              <w:rPr>
                <w:rFonts w:ascii="Times New Roman" w:cs="Times New Roman" w:eastAsia="Times New Roman" w:hAnsi="Times New Roman"/>
                <w:sz w:val="17"/>
                <w:szCs w:val="17"/>
                <w:color w:val="131413"/>
              </w:rPr>
              <w:t>30</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29</w:t>
            </w:r>
          </w:p>
        </w:tc>
        <w:tc>
          <w:tcPr>
            <w:tcW w:w="760" w:type="dxa"/>
            <w:vAlign w:val="bottom"/>
            <w:gridSpan w:val="2"/>
          </w:tcPr>
          <w:p>
            <w:pPr>
              <w:jc w:val="right"/>
              <w:ind w:right="55"/>
              <w:spacing w:after="0"/>
              <w:rPr>
                <w:sz w:val="20"/>
                <w:szCs w:val="20"/>
                <w:color w:val="auto"/>
              </w:rPr>
            </w:pPr>
            <w:r>
              <w:rPr>
                <w:rFonts w:ascii="Times New Roman" w:cs="Times New Roman" w:eastAsia="Times New Roman" w:hAnsi="Times New Roman"/>
                <w:sz w:val="17"/>
                <w:szCs w:val="17"/>
                <w:color w:val="131413"/>
              </w:rPr>
              <w:t>50</w:t>
            </w:r>
          </w:p>
        </w:tc>
        <w:tc>
          <w:tcPr>
            <w:tcW w:w="20" w:type="dxa"/>
            <w:vAlign w:val="bottom"/>
          </w:tcPr>
          <w:p>
            <w:pPr>
              <w:spacing w:after="0"/>
              <w:rPr>
                <w:sz w:val="22"/>
                <w:szCs w:val="22"/>
                <w:color w:val="auto"/>
              </w:rPr>
            </w:pPr>
          </w:p>
        </w:tc>
      </w:tr>
      <w:tr>
        <w:trPr>
          <w:trHeight w:val="106"/>
        </w:trPr>
        <w:tc>
          <w:tcPr>
            <w:tcW w:w="660" w:type="dxa"/>
            <w:vAlign w:val="bottom"/>
            <w:tcBorders>
              <w:bottom w:val="single" w:sz="8" w:color="131413"/>
            </w:tcBorders>
          </w:tcPr>
          <w:p>
            <w:pPr>
              <w:spacing w:after="0"/>
              <w:rPr>
                <w:sz w:val="9"/>
                <w:szCs w:val="9"/>
                <w:color w:val="auto"/>
              </w:rPr>
            </w:pPr>
          </w:p>
        </w:tc>
        <w:tc>
          <w:tcPr>
            <w:tcW w:w="880" w:type="dxa"/>
            <w:vAlign w:val="bottom"/>
            <w:tcBorders>
              <w:bottom w:val="single" w:sz="8" w:color="131413"/>
            </w:tcBorders>
          </w:tcPr>
          <w:p>
            <w:pPr>
              <w:spacing w:after="0"/>
              <w:rPr>
                <w:sz w:val="9"/>
                <w:szCs w:val="9"/>
                <w:color w:val="auto"/>
              </w:rPr>
            </w:pPr>
          </w:p>
        </w:tc>
        <w:tc>
          <w:tcPr>
            <w:tcW w:w="1100" w:type="dxa"/>
            <w:vAlign w:val="bottom"/>
            <w:tcBorders>
              <w:bottom w:val="single" w:sz="8" w:color="131413"/>
            </w:tcBorders>
          </w:tcPr>
          <w:p>
            <w:pPr>
              <w:spacing w:after="0"/>
              <w:rPr>
                <w:sz w:val="9"/>
                <w:szCs w:val="9"/>
                <w:color w:val="auto"/>
              </w:rPr>
            </w:pPr>
          </w:p>
        </w:tc>
        <w:tc>
          <w:tcPr>
            <w:tcW w:w="1360" w:type="dxa"/>
            <w:vAlign w:val="bottom"/>
            <w:tcBorders>
              <w:bottom w:val="single" w:sz="8" w:color="131413"/>
            </w:tcBorders>
          </w:tcPr>
          <w:p>
            <w:pPr>
              <w:spacing w:after="0"/>
              <w:rPr>
                <w:sz w:val="9"/>
                <w:szCs w:val="9"/>
                <w:color w:val="auto"/>
              </w:rPr>
            </w:pPr>
          </w:p>
        </w:tc>
        <w:tc>
          <w:tcPr>
            <w:tcW w:w="140" w:type="dxa"/>
            <w:vAlign w:val="bottom"/>
            <w:tcBorders>
              <w:bottom w:val="single" w:sz="8" w:color="131413"/>
            </w:tcBorders>
          </w:tcPr>
          <w:p>
            <w:pPr>
              <w:spacing w:after="0"/>
              <w:rPr>
                <w:sz w:val="9"/>
                <w:szCs w:val="9"/>
                <w:color w:val="auto"/>
              </w:rPr>
            </w:pPr>
          </w:p>
        </w:tc>
        <w:tc>
          <w:tcPr>
            <w:tcW w:w="620" w:type="dxa"/>
            <w:vAlign w:val="bottom"/>
            <w:tcBorders>
              <w:bottom w:val="single" w:sz="8" w:color="131413"/>
            </w:tcBorders>
          </w:tcPr>
          <w:p>
            <w:pPr>
              <w:spacing w:after="0"/>
              <w:rPr>
                <w:sz w:val="9"/>
                <w:szCs w:val="9"/>
                <w:color w:val="auto"/>
              </w:rPr>
            </w:pPr>
          </w:p>
        </w:tc>
        <w:tc>
          <w:tcPr>
            <w:tcW w:w="20" w:type="dxa"/>
            <w:vAlign w:val="bottom"/>
            <w:tcBorders>
              <w:bottom w:val="single" w:sz="8" w:color="131413"/>
            </w:tcBorders>
          </w:tcPr>
          <w:p>
            <w:pPr>
              <w:spacing w:after="0"/>
              <w:rPr>
                <w:sz w:val="9"/>
                <w:szCs w:val="9"/>
                <w:color w:val="auto"/>
              </w:rPr>
            </w:pPr>
          </w:p>
        </w:tc>
      </w:tr>
      <w:tr>
        <w:trPr>
          <w:trHeight w:val="652"/>
        </w:trPr>
        <w:tc>
          <w:tcPr>
            <w:tcW w:w="66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40" w:type="dxa"/>
            <w:vAlign w:val="bottom"/>
            <w:tcBorders>
              <w:bottom w:val="single" w:sz="8" w:color="131413"/>
            </w:tcBorders>
          </w:tcPr>
          <w:p>
            <w:pPr>
              <w:spacing w:after="0"/>
              <w:rPr>
                <w:sz w:val="24"/>
                <w:szCs w:val="24"/>
                <w:color w:val="auto"/>
              </w:rPr>
            </w:pPr>
          </w:p>
        </w:tc>
        <w:tc>
          <w:tcPr>
            <w:tcW w:w="620" w:type="dxa"/>
            <w:vAlign w:val="bottom"/>
          </w:tcPr>
          <w:p>
            <w:pPr>
              <w:spacing w:after="0"/>
              <w:rPr>
                <w:sz w:val="24"/>
                <w:szCs w:val="24"/>
                <w:color w:val="auto"/>
              </w:rPr>
            </w:pPr>
          </w:p>
        </w:tc>
        <w:tc>
          <w:tcPr>
            <w:tcW w:w="2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-434340</wp:posOffset>
                </wp:positionV>
                <wp:extent cx="1206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34.1999pt" to="0.6pt,-34.19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-4445</wp:posOffset>
                </wp:positionH>
                <wp:positionV relativeFrom="paragraph">
                  <wp:posOffset>-1177290</wp:posOffset>
                </wp:positionV>
                <wp:extent cx="12065"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92.6999pt" to="0.6pt,-92.6999pt" o:allowincell="f" strokecolor="#131413" strokeweight="0.5669pt"/>
            </w:pict>
          </mc:Fallback>
        </mc:AlternateContent>
        <w:drawing>
          <wp:anchor simplePos="0" relativeHeight="251657728" behindDoc="1" locked="0" layoutInCell="0" allowOverlap="1">
            <wp:simplePos x="0" y="0"/>
            <wp:positionH relativeFrom="column">
              <wp:posOffset>2526030</wp:posOffset>
            </wp:positionH>
            <wp:positionV relativeFrom="paragraph">
              <wp:posOffset>-125095</wp:posOffset>
            </wp:positionV>
            <wp:extent cx="483870" cy="13843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ectPr>
          <w:pgSz w:w="11900" w:h="15817" w:orient="portrait"/>
          <w:cols w:equalWidth="0" w:num="2">
            <w:col w:w="4760" w:space="340"/>
            <w:col w:w="4780"/>
          </w:cols>
          <w:pgMar w:left="1020" w:top="649" w:right="1006" w:bottom="339" w:gutter="0" w:footer="0" w:header="0"/>
          <w:type w:val="continuous"/>
        </w:sectPr>
      </w:pPr>
    </w:p>
    <w:bookmarkStart w:id="5" w:name="page6"/>
    <w:bookmarkEnd w:id="5"/>
    <w:p>
      <w:pPr>
        <w:ind w:left="8980"/>
        <w:spacing w:after="0"/>
        <w:rPr>
          <w:sz w:val="20"/>
          <w:szCs w:val="20"/>
          <w:color w:val="auto"/>
        </w:rPr>
      </w:pPr>
      <w:r>
        <w:rPr>
          <w:rFonts w:ascii="Arial" w:cs="Arial" w:eastAsia="Arial" w:hAnsi="Arial"/>
          <w:sz w:val="13"/>
          <w:szCs w:val="13"/>
          <w:color w:val="131413"/>
        </w:rPr>
        <w:t>Urban Ecosyst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48895</wp:posOffset>
                </wp:positionV>
                <wp:extent cx="0" cy="2540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85pt" to="0pt,5.85pt" o:allowincell="f" strokecolor="#131413"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61595</wp:posOffset>
                </wp:positionV>
                <wp:extent cx="627634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6340" cy="4763"/>
                        </a:xfrm>
                        <a:prstGeom prst="line">
                          <a:avLst/>
                        </a:prstGeom>
                        <a:solidFill>
                          <a:srgbClr val="FFFFFF"/>
                        </a:solidFill>
                        <a:ln w="25660">
                          <a:solidFill>
                            <a:srgbClr val="131413"/>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85pt" to="493.75pt,4.85pt" o:allowincell="f" strokecolor="#131413" strokeweight="2.0205pt"/>
            </w:pict>
          </mc:Fallback>
        </mc:AlternateContent>
        <mc:AlternateContent>
          <mc:Choice Requires="wps">
            <w:drawing>
              <wp:anchor simplePos="0" relativeHeight="251657728" behindDoc="1" locked="0" layoutInCell="0" allowOverlap="1">
                <wp:simplePos x="0" y="0"/>
                <wp:positionH relativeFrom="column">
                  <wp:posOffset>6264275</wp:posOffset>
                </wp:positionH>
                <wp:positionV relativeFrom="paragraph">
                  <wp:posOffset>48895</wp:posOffset>
                </wp:positionV>
                <wp:extent cx="0" cy="2540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25pt,3.85pt" to="493.25pt,5.85pt" o:allowincell="f" strokecolor="#131413" strokeweight="1pt"/>
            </w:pict>
          </mc:Fallback>
        </mc:AlternateContent>
      </w:r>
    </w:p>
    <w:p>
      <w:pPr>
        <w:sectPr>
          <w:pgSz w:w="11900" w:h="15817" w:orient="portrait"/>
          <w:cols w:equalWidth="0" w:num="1">
            <w:col w:w="9880"/>
          </w:cols>
          <w:pgMar w:left="1020" w:top="649" w:right="1006" w:bottom="339" w:gutter="0" w:footer="0" w:header="0"/>
        </w:sectPr>
      </w:pPr>
    </w:p>
    <w:p>
      <w:pPr>
        <w:spacing w:after="0" w:line="328" w:lineRule="exact"/>
        <w:rPr>
          <w:sz w:val="20"/>
          <w:szCs w:val="20"/>
          <w:color w:val="auto"/>
        </w:rPr>
      </w:pPr>
    </w:p>
    <w:p>
      <w:pPr>
        <w:jc w:val="both"/>
        <w:ind w:right="20"/>
        <w:spacing w:after="0" w:line="234" w:lineRule="auto"/>
        <w:rPr>
          <w:sz w:val="20"/>
          <w:szCs w:val="20"/>
          <w:color w:val="auto"/>
        </w:rPr>
      </w:pPr>
      <w:r>
        <w:rPr>
          <w:rFonts w:ascii="Arial" w:cs="Arial" w:eastAsia="Arial" w:hAnsi="Arial"/>
          <w:sz w:val="17"/>
          <w:szCs w:val="17"/>
          <w:color w:val="131413"/>
        </w:rPr>
        <w:t xml:space="preserve">Table 4 </w:t>
      </w:r>
      <w:r>
        <w:rPr>
          <w:rFonts w:ascii="Times New Roman" w:cs="Times New Roman" w:eastAsia="Times New Roman" w:hAnsi="Times New Roman"/>
          <w:sz w:val="17"/>
          <w:szCs w:val="17"/>
          <w:color w:val="131413"/>
        </w:rPr>
        <w:t>Mean stem density, basal area, and dbh of the three types of</w:t>
      </w:r>
      <w:r>
        <w:rPr>
          <w:rFonts w:ascii="Arial" w:cs="Arial" w:eastAsia="Arial" w:hAnsi="Arial"/>
          <w:sz w:val="17"/>
          <w:szCs w:val="17"/>
          <w:color w:val="131413"/>
        </w:rPr>
        <w:t xml:space="preserve"> </w:t>
      </w:r>
      <w:r>
        <w:rPr>
          <w:rFonts w:ascii="Times New Roman" w:cs="Times New Roman" w:eastAsia="Times New Roman" w:hAnsi="Times New Roman"/>
          <w:sz w:val="17"/>
          <w:szCs w:val="17"/>
          <w:color w:val="131413"/>
        </w:rPr>
        <w:t>forest patches. Standard errors are shown in parentheses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50800</wp:posOffset>
                </wp:positionV>
                <wp:extent cx="3029585"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29585" cy="4763"/>
                        </a:xfrm>
                        <a:prstGeom prst="line">
                          <a:avLst/>
                        </a:prstGeom>
                        <a:solidFill>
                          <a:srgbClr val="FFFFFF"/>
                        </a:solidFill>
                        <a:ln w="19899">
                          <a:solidFill>
                            <a:srgbClr val="131413"/>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pt" to="238.1pt,4pt" o:allowincell="f" strokecolor="#131413" strokeweight="1.5669pt"/>
            </w:pict>
          </mc:Fallback>
        </mc:AlternateContent>
        <mc:AlternateContent>
          <mc:Choice Requires="wps">
            <w:drawing>
              <wp:anchor simplePos="0" relativeHeight="251657728" behindDoc="1" locked="0" layoutInCell="0" allowOverlap="1">
                <wp:simplePos x="0" y="0"/>
                <wp:positionH relativeFrom="column">
                  <wp:posOffset>3017520</wp:posOffset>
                </wp:positionH>
                <wp:positionV relativeFrom="paragraph">
                  <wp:posOffset>50800</wp:posOffset>
                </wp:positionV>
                <wp:extent cx="1270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199">
                          <a:solidFill>
                            <a:srgbClr val="131413"/>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6pt,4pt" to="238.6pt,4pt" o:allowincell="f" strokecolor="#131413" strokeweight="0.5669pt"/>
            </w:pict>
          </mc:Fallback>
        </mc:AlternateContent>
      </w:r>
    </w:p>
    <w:p>
      <w:pPr>
        <w:spacing w:after="0" w:line="163" w:lineRule="exact"/>
        <w:rPr>
          <w:sz w:val="20"/>
          <w:szCs w:val="20"/>
          <w:color w:val="auto"/>
        </w:rPr>
      </w:pPr>
    </w:p>
    <w:tbl>
      <w:tblPr>
        <w:tblLayout w:type="fixed"/>
        <w:tblInd w:w="0" w:type="dxa"/>
        <w:tblCellMar>
          <w:top w:w="0" w:type="dxa"/>
          <w:left w:w="0" w:type="dxa"/>
          <w:bottom w:w="0" w:type="dxa"/>
          <w:right w:w="0" w:type="dxa"/>
        </w:tblCellMar>
      </w:tblPr>
      <w:tr>
        <w:trPr>
          <w:trHeight w:val="195"/>
        </w:trPr>
        <w:tc>
          <w:tcPr>
            <w:tcW w:w="2040" w:type="dxa"/>
            <w:vAlign w:val="bottom"/>
          </w:tcPr>
          <w:p>
            <w:pPr>
              <w:spacing w:after="0"/>
              <w:rPr>
                <w:sz w:val="20"/>
                <w:szCs w:val="20"/>
                <w:color w:val="auto"/>
              </w:rPr>
            </w:pPr>
            <w:r>
              <w:rPr>
                <w:rFonts w:ascii="Times New Roman" w:cs="Times New Roman" w:eastAsia="Times New Roman" w:hAnsi="Times New Roman"/>
                <w:sz w:val="17"/>
                <w:szCs w:val="17"/>
                <w:color w:val="131413"/>
              </w:rPr>
              <w:t>Characteristic</w:t>
            </w:r>
          </w:p>
        </w:tc>
        <w:tc>
          <w:tcPr>
            <w:tcW w:w="1000" w:type="dxa"/>
            <w:vAlign w:val="bottom"/>
          </w:tcPr>
          <w:p>
            <w:pPr>
              <w:jc w:val="right"/>
              <w:ind w:right="55"/>
              <w:spacing w:after="0"/>
              <w:rPr>
                <w:sz w:val="20"/>
                <w:szCs w:val="20"/>
                <w:color w:val="auto"/>
              </w:rPr>
            </w:pPr>
            <w:r>
              <w:rPr>
                <w:rFonts w:ascii="Times New Roman" w:cs="Times New Roman" w:eastAsia="Times New Roman" w:hAnsi="Times New Roman"/>
                <w:sz w:val="17"/>
                <w:szCs w:val="17"/>
                <w:color w:val="131413"/>
              </w:rPr>
              <w:t>Coniferous</w:t>
            </w:r>
          </w:p>
        </w:tc>
        <w:tc>
          <w:tcPr>
            <w:tcW w:w="900" w:type="dxa"/>
            <w:vAlign w:val="bottom"/>
          </w:tcPr>
          <w:p>
            <w:pPr>
              <w:jc w:val="right"/>
              <w:ind w:right="255"/>
              <w:spacing w:after="0"/>
              <w:rPr>
                <w:sz w:val="20"/>
                <w:szCs w:val="20"/>
                <w:color w:val="auto"/>
              </w:rPr>
            </w:pPr>
            <w:r>
              <w:rPr>
                <w:rFonts w:ascii="Times New Roman" w:cs="Times New Roman" w:eastAsia="Times New Roman" w:hAnsi="Times New Roman"/>
                <w:sz w:val="17"/>
                <w:szCs w:val="17"/>
                <w:color w:val="131413"/>
              </w:rPr>
              <w:t>Mixed</w:t>
            </w:r>
          </w:p>
        </w:tc>
        <w:tc>
          <w:tcPr>
            <w:tcW w:w="840" w:type="dxa"/>
            <w:vAlign w:val="bottom"/>
            <w:gridSpan w:val="2"/>
          </w:tcPr>
          <w:p>
            <w:pPr>
              <w:jc w:val="right"/>
              <w:ind w:right="60"/>
              <w:spacing w:after="0"/>
              <w:rPr>
                <w:sz w:val="20"/>
                <w:szCs w:val="20"/>
                <w:color w:val="auto"/>
              </w:rPr>
            </w:pPr>
            <w:r>
              <w:rPr>
                <w:rFonts w:ascii="Times New Roman" w:cs="Times New Roman" w:eastAsia="Times New Roman" w:hAnsi="Times New Roman"/>
                <w:sz w:val="17"/>
                <w:szCs w:val="17"/>
                <w:color w:val="131413"/>
              </w:rPr>
              <w:t>Broadleaf</w:t>
            </w:r>
          </w:p>
        </w:tc>
      </w:tr>
      <w:tr>
        <w:trPr>
          <w:trHeight w:val="108"/>
        </w:trPr>
        <w:tc>
          <w:tcPr>
            <w:tcW w:w="2040" w:type="dxa"/>
            <w:vAlign w:val="bottom"/>
            <w:tcBorders>
              <w:bottom w:val="single" w:sz="8" w:color="131413"/>
            </w:tcBorders>
          </w:tcPr>
          <w:p>
            <w:pPr>
              <w:spacing w:after="0"/>
              <w:rPr>
                <w:sz w:val="9"/>
                <w:szCs w:val="9"/>
                <w:color w:val="auto"/>
              </w:rPr>
            </w:pPr>
          </w:p>
        </w:tc>
        <w:tc>
          <w:tcPr>
            <w:tcW w:w="1000" w:type="dxa"/>
            <w:vAlign w:val="bottom"/>
            <w:tcBorders>
              <w:bottom w:val="single" w:sz="8" w:color="131413"/>
            </w:tcBorders>
          </w:tcPr>
          <w:p>
            <w:pPr>
              <w:spacing w:after="0"/>
              <w:rPr>
                <w:sz w:val="9"/>
                <w:szCs w:val="9"/>
                <w:color w:val="auto"/>
              </w:rPr>
            </w:pPr>
          </w:p>
        </w:tc>
        <w:tc>
          <w:tcPr>
            <w:tcW w:w="900" w:type="dxa"/>
            <w:vAlign w:val="bottom"/>
            <w:tcBorders>
              <w:bottom w:val="single" w:sz="8" w:color="131413"/>
            </w:tcBorders>
          </w:tcPr>
          <w:p>
            <w:pPr>
              <w:spacing w:after="0"/>
              <w:rPr>
                <w:sz w:val="9"/>
                <w:szCs w:val="9"/>
                <w:color w:val="auto"/>
              </w:rPr>
            </w:pPr>
          </w:p>
        </w:tc>
        <w:tc>
          <w:tcPr>
            <w:tcW w:w="820" w:type="dxa"/>
            <w:vAlign w:val="bottom"/>
            <w:tcBorders>
              <w:bottom w:val="single" w:sz="8" w:color="131413"/>
            </w:tcBorders>
          </w:tcPr>
          <w:p>
            <w:pPr>
              <w:spacing w:after="0"/>
              <w:rPr>
                <w:sz w:val="9"/>
                <w:szCs w:val="9"/>
                <w:color w:val="auto"/>
              </w:rPr>
            </w:pPr>
          </w:p>
        </w:tc>
        <w:tc>
          <w:tcPr>
            <w:tcW w:w="20" w:type="dxa"/>
            <w:vAlign w:val="bottom"/>
          </w:tcPr>
          <w:p>
            <w:pPr>
              <w:spacing w:after="0"/>
              <w:rPr>
                <w:sz w:val="9"/>
                <w:szCs w:val="9"/>
                <w:color w:val="auto"/>
              </w:rPr>
            </w:pPr>
          </w:p>
        </w:tc>
      </w:tr>
      <w:tr>
        <w:trPr>
          <w:trHeight w:val="281"/>
        </w:trPr>
        <w:tc>
          <w:tcPr>
            <w:tcW w:w="2040" w:type="dxa"/>
            <w:vAlign w:val="bottom"/>
          </w:tcPr>
          <w:p>
            <w:pPr>
              <w:spacing w:after="0"/>
              <w:rPr>
                <w:sz w:val="20"/>
                <w:szCs w:val="20"/>
                <w:color w:val="auto"/>
              </w:rPr>
            </w:pPr>
            <w:r>
              <w:rPr>
                <w:rFonts w:ascii="Times New Roman" w:cs="Times New Roman" w:eastAsia="Times New Roman" w:hAnsi="Times New Roman"/>
                <w:sz w:val="17"/>
                <w:szCs w:val="17"/>
                <w:color w:val="131413"/>
              </w:rPr>
              <w:t>Mean stem density (stem/ha)</w:t>
            </w:r>
          </w:p>
        </w:tc>
        <w:tc>
          <w:tcPr>
            <w:tcW w:w="1000" w:type="dxa"/>
            <w:vAlign w:val="bottom"/>
          </w:tcPr>
          <w:p>
            <w:pPr>
              <w:jc w:val="right"/>
              <w:ind w:right="95"/>
              <w:spacing w:after="0"/>
              <w:rPr>
                <w:sz w:val="20"/>
                <w:szCs w:val="20"/>
                <w:color w:val="auto"/>
              </w:rPr>
            </w:pPr>
            <w:r>
              <w:rPr>
                <w:rFonts w:ascii="Times New Roman" w:cs="Times New Roman" w:eastAsia="Times New Roman" w:hAnsi="Times New Roman"/>
                <w:sz w:val="17"/>
                <w:szCs w:val="17"/>
                <w:color w:val="131413"/>
              </w:rPr>
              <w:t>1025(150)</w:t>
            </w:r>
          </w:p>
        </w:tc>
        <w:tc>
          <w:tcPr>
            <w:tcW w:w="900" w:type="dxa"/>
            <w:vAlign w:val="bottom"/>
          </w:tcPr>
          <w:p>
            <w:pPr>
              <w:jc w:val="right"/>
              <w:ind w:right="95"/>
              <w:spacing w:after="0"/>
              <w:rPr>
                <w:sz w:val="20"/>
                <w:szCs w:val="20"/>
                <w:color w:val="auto"/>
              </w:rPr>
            </w:pPr>
            <w:r>
              <w:rPr>
                <w:rFonts w:ascii="Times New Roman" w:cs="Times New Roman" w:eastAsia="Times New Roman" w:hAnsi="Times New Roman"/>
                <w:sz w:val="17"/>
                <w:szCs w:val="17"/>
                <w:color w:val="131413"/>
              </w:rPr>
              <w:t>1175(75)</w:t>
            </w:r>
          </w:p>
        </w:tc>
        <w:tc>
          <w:tcPr>
            <w:tcW w:w="840" w:type="dxa"/>
            <w:vAlign w:val="bottom"/>
            <w:gridSpan w:val="2"/>
          </w:tcPr>
          <w:p>
            <w:pPr>
              <w:jc w:val="right"/>
              <w:ind w:right="20"/>
              <w:spacing w:after="0"/>
              <w:rPr>
                <w:sz w:val="20"/>
                <w:szCs w:val="20"/>
                <w:color w:val="auto"/>
              </w:rPr>
            </w:pPr>
            <w:r>
              <w:rPr>
                <w:rFonts w:ascii="Times New Roman" w:cs="Times New Roman" w:eastAsia="Times New Roman" w:hAnsi="Times New Roman"/>
                <w:sz w:val="17"/>
                <w:szCs w:val="17"/>
                <w:color w:val="131413"/>
              </w:rPr>
              <w:t>1525(125)</w:t>
            </w:r>
          </w:p>
        </w:tc>
      </w:tr>
      <w:tr>
        <w:trPr>
          <w:trHeight w:val="285"/>
        </w:trPr>
        <w:tc>
          <w:tcPr>
            <w:tcW w:w="2040" w:type="dxa"/>
            <w:vAlign w:val="bottom"/>
          </w:tcPr>
          <w:p>
            <w:pPr>
              <w:spacing w:after="0"/>
              <w:rPr>
                <w:sz w:val="20"/>
                <w:szCs w:val="20"/>
                <w:color w:val="auto"/>
              </w:rPr>
            </w:pPr>
            <w:r>
              <w:rPr>
                <w:rFonts w:ascii="Times New Roman" w:cs="Times New Roman" w:eastAsia="Times New Roman" w:hAnsi="Times New Roman"/>
                <w:sz w:val="17"/>
                <w:szCs w:val="17"/>
                <w:color w:val="131413"/>
              </w:rPr>
              <w:t>Mean basal area (m</w:t>
            </w:r>
            <w:r>
              <w:rPr>
                <w:rFonts w:ascii="Times New Roman" w:cs="Times New Roman" w:eastAsia="Times New Roman" w:hAnsi="Times New Roman"/>
                <w:sz w:val="22"/>
                <w:szCs w:val="22"/>
                <w:color w:val="131413"/>
                <w:vertAlign w:val="superscript"/>
              </w:rPr>
              <w:t>2</w:t>
            </w:r>
            <w:r>
              <w:rPr>
                <w:rFonts w:ascii="Times New Roman" w:cs="Times New Roman" w:eastAsia="Times New Roman" w:hAnsi="Times New Roman"/>
                <w:sz w:val="17"/>
                <w:szCs w:val="17"/>
                <w:color w:val="131413"/>
              </w:rPr>
              <w:t>/ha)</w:t>
            </w:r>
          </w:p>
        </w:tc>
        <w:tc>
          <w:tcPr>
            <w:tcW w:w="1000" w:type="dxa"/>
            <w:vAlign w:val="bottom"/>
          </w:tcPr>
          <w:p>
            <w:pPr>
              <w:jc w:val="right"/>
              <w:ind w:right="135"/>
              <w:spacing w:after="0"/>
              <w:rPr>
                <w:sz w:val="20"/>
                <w:szCs w:val="20"/>
                <w:color w:val="auto"/>
              </w:rPr>
            </w:pPr>
            <w:r>
              <w:rPr>
                <w:rFonts w:ascii="Times New Roman" w:cs="Times New Roman" w:eastAsia="Times New Roman" w:hAnsi="Times New Roman"/>
                <w:sz w:val="17"/>
                <w:szCs w:val="17"/>
                <w:color w:val="131413"/>
              </w:rPr>
              <w:t>25.6(2.1)</w:t>
            </w:r>
          </w:p>
        </w:tc>
        <w:tc>
          <w:tcPr>
            <w:tcW w:w="900" w:type="dxa"/>
            <w:vAlign w:val="bottom"/>
          </w:tcPr>
          <w:p>
            <w:pPr>
              <w:jc w:val="right"/>
              <w:ind w:right="35"/>
              <w:spacing w:after="0"/>
              <w:rPr>
                <w:sz w:val="20"/>
                <w:szCs w:val="20"/>
                <w:color w:val="auto"/>
              </w:rPr>
            </w:pPr>
            <w:r>
              <w:rPr>
                <w:rFonts w:ascii="Times New Roman" w:cs="Times New Roman" w:eastAsia="Times New Roman" w:hAnsi="Times New Roman"/>
                <w:sz w:val="17"/>
                <w:szCs w:val="17"/>
                <w:color w:val="131413"/>
              </w:rPr>
              <w:t>19.9(1.5)</w:t>
            </w:r>
          </w:p>
        </w:tc>
        <w:tc>
          <w:tcPr>
            <w:tcW w:w="820" w:type="dxa"/>
            <w:vAlign w:val="bottom"/>
          </w:tcPr>
          <w:p>
            <w:pPr>
              <w:jc w:val="right"/>
              <w:spacing w:after="0"/>
              <w:rPr>
                <w:sz w:val="20"/>
                <w:szCs w:val="20"/>
                <w:color w:val="auto"/>
              </w:rPr>
            </w:pPr>
            <w:r>
              <w:rPr>
                <w:rFonts w:ascii="Times New Roman" w:cs="Times New Roman" w:eastAsia="Times New Roman" w:hAnsi="Times New Roman"/>
                <w:sz w:val="17"/>
                <w:szCs w:val="17"/>
                <w:color w:val="131413"/>
              </w:rPr>
              <w:t>18.8(1.1)</w:t>
            </w:r>
          </w:p>
        </w:tc>
        <w:tc>
          <w:tcPr>
            <w:tcW w:w="20" w:type="dxa"/>
            <w:vAlign w:val="bottom"/>
          </w:tcPr>
          <w:p>
            <w:pPr>
              <w:spacing w:after="0"/>
              <w:rPr>
                <w:sz w:val="24"/>
                <w:szCs w:val="24"/>
                <w:color w:val="auto"/>
              </w:rPr>
            </w:pPr>
          </w:p>
        </w:tc>
      </w:tr>
      <w:tr>
        <w:trPr>
          <w:trHeight w:val="223"/>
        </w:trPr>
        <w:tc>
          <w:tcPr>
            <w:tcW w:w="2040" w:type="dxa"/>
            <w:vAlign w:val="bottom"/>
          </w:tcPr>
          <w:p>
            <w:pPr>
              <w:spacing w:after="0"/>
              <w:rPr>
                <w:sz w:val="20"/>
                <w:szCs w:val="20"/>
                <w:color w:val="auto"/>
              </w:rPr>
            </w:pPr>
            <w:r>
              <w:rPr>
                <w:rFonts w:ascii="Times New Roman" w:cs="Times New Roman" w:eastAsia="Times New Roman" w:hAnsi="Times New Roman"/>
                <w:sz w:val="17"/>
                <w:szCs w:val="17"/>
                <w:color w:val="131413"/>
              </w:rPr>
              <w:t>Mean DBH (cm)</w:t>
            </w:r>
          </w:p>
        </w:tc>
        <w:tc>
          <w:tcPr>
            <w:tcW w:w="1000" w:type="dxa"/>
            <w:vAlign w:val="bottom"/>
          </w:tcPr>
          <w:p>
            <w:pPr>
              <w:jc w:val="right"/>
              <w:ind w:right="135"/>
              <w:spacing w:after="0"/>
              <w:rPr>
                <w:sz w:val="20"/>
                <w:szCs w:val="20"/>
                <w:color w:val="auto"/>
              </w:rPr>
            </w:pPr>
            <w:r>
              <w:rPr>
                <w:rFonts w:ascii="Times New Roman" w:cs="Times New Roman" w:eastAsia="Times New Roman" w:hAnsi="Times New Roman"/>
                <w:sz w:val="17"/>
                <w:szCs w:val="17"/>
                <w:color w:val="131413"/>
              </w:rPr>
              <w:t>16.8(1.3)</w:t>
            </w:r>
          </w:p>
        </w:tc>
        <w:tc>
          <w:tcPr>
            <w:tcW w:w="900" w:type="dxa"/>
            <w:vAlign w:val="bottom"/>
          </w:tcPr>
          <w:p>
            <w:pPr>
              <w:jc w:val="right"/>
              <w:ind w:right="35"/>
              <w:spacing w:after="0"/>
              <w:rPr>
                <w:sz w:val="20"/>
                <w:szCs w:val="20"/>
                <w:color w:val="auto"/>
              </w:rPr>
            </w:pPr>
            <w:r>
              <w:rPr>
                <w:rFonts w:ascii="Times New Roman" w:cs="Times New Roman" w:eastAsia="Times New Roman" w:hAnsi="Times New Roman"/>
                <w:sz w:val="17"/>
                <w:szCs w:val="17"/>
                <w:color w:val="131413"/>
              </w:rPr>
              <w:t>12.8(0.6)</w:t>
            </w:r>
          </w:p>
        </w:tc>
        <w:tc>
          <w:tcPr>
            <w:tcW w:w="820" w:type="dxa"/>
            <w:vAlign w:val="bottom"/>
          </w:tcPr>
          <w:p>
            <w:pPr>
              <w:jc w:val="right"/>
              <w:spacing w:after="0"/>
              <w:rPr>
                <w:sz w:val="20"/>
                <w:szCs w:val="20"/>
                <w:color w:val="auto"/>
              </w:rPr>
            </w:pPr>
            <w:r>
              <w:rPr>
                <w:rFonts w:ascii="Times New Roman" w:cs="Times New Roman" w:eastAsia="Times New Roman" w:hAnsi="Times New Roman"/>
                <w:sz w:val="17"/>
                <w:szCs w:val="17"/>
                <w:color w:val="131413"/>
              </w:rPr>
              <w:t>11.5(0.5)</w:t>
            </w:r>
          </w:p>
        </w:tc>
        <w:tc>
          <w:tcPr>
            <w:tcW w:w="20" w:type="dxa"/>
            <w:vAlign w:val="bottom"/>
          </w:tcPr>
          <w:p>
            <w:pPr>
              <w:spacing w:after="0"/>
              <w:rPr>
                <w:sz w:val="19"/>
                <w:szCs w:val="19"/>
                <w:color w:val="auto"/>
              </w:rPr>
            </w:pPr>
          </w:p>
        </w:tc>
      </w:tr>
      <w:tr>
        <w:trPr>
          <w:trHeight w:val="106"/>
        </w:trPr>
        <w:tc>
          <w:tcPr>
            <w:tcW w:w="2040" w:type="dxa"/>
            <w:vAlign w:val="bottom"/>
            <w:tcBorders>
              <w:bottom w:val="single" w:sz="8" w:color="131413"/>
            </w:tcBorders>
          </w:tcPr>
          <w:p>
            <w:pPr>
              <w:spacing w:after="0"/>
              <w:rPr>
                <w:sz w:val="9"/>
                <w:szCs w:val="9"/>
                <w:color w:val="auto"/>
              </w:rPr>
            </w:pPr>
          </w:p>
        </w:tc>
        <w:tc>
          <w:tcPr>
            <w:tcW w:w="1000" w:type="dxa"/>
            <w:vAlign w:val="bottom"/>
            <w:tcBorders>
              <w:bottom w:val="single" w:sz="8" w:color="131413"/>
            </w:tcBorders>
          </w:tcPr>
          <w:p>
            <w:pPr>
              <w:spacing w:after="0"/>
              <w:rPr>
                <w:sz w:val="9"/>
                <w:szCs w:val="9"/>
                <w:color w:val="auto"/>
              </w:rPr>
            </w:pPr>
          </w:p>
        </w:tc>
        <w:tc>
          <w:tcPr>
            <w:tcW w:w="900" w:type="dxa"/>
            <w:vAlign w:val="bottom"/>
            <w:tcBorders>
              <w:bottom w:val="single" w:sz="8" w:color="131413"/>
            </w:tcBorders>
          </w:tcPr>
          <w:p>
            <w:pPr>
              <w:spacing w:after="0"/>
              <w:rPr>
                <w:sz w:val="9"/>
                <w:szCs w:val="9"/>
                <w:color w:val="auto"/>
              </w:rPr>
            </w:pPr>
          </w:p>
        </w:tc>
        <w:tc>
          <w:tcPr>
            <w:tcW w:w="820" w:type="dxa"/>
            <w:vAlign w:val="bottom"/>
            <w:tcBorders>
              <w:bottom w:val="single" w:sz="8" w:color="131413"/>
            </w:tcBorders>
          </w:tcPr>
          <w:p>
            <w:pPr>
              <w:spacing w:after="0"/>
              <w:rPr>
                <w:sz w:val="9"/>
                <w:szCs w:val="9"/>
                <w:color w:val="auto"/>
              </w:rPr>
            </w:pPr>
          </w:p>
        </w:tc>
        <w:tc>
          <w:tcPr>
            <w:tcW w:w="20" w:type="dxa"/>
            <w:vAlign w:val="bottom"/>
            <w:tcBorders>
              <w:bottom w:val="single" w:sz="8" w:color="131413"/>
            </w:tcBorders>
          </w:tcPr>
          <w:p>
            <w:pPr>
              <w:spacing w:after="0"/>
              <w:rPr>
                <w:sz w:val="9"/>
                <w:szCs w:val="9"/>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-9525</wp:posOffset>
                </wp:positionV>
                <wp:extent cx="1206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1">
                          <a:solidFill>
                            <a:srgbClr val="131413"/>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0.7499pt" to="0.5pt,-0.7499pt" o:allowincell="f" strokecolor="#131413" strokeweight="0.567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-590550</wp:posOffset>
                </wp:positionV>
                <wp:extent cx="12065"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1">
                          <a:solidFill>
                            <a:srgbClr val="131413"/>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6.4999pt" to="0.5pt,-46.4999pt" o:allowincell="f" strokecolor="#131413" strokeweight="0.567pt"/>
            </w:pict>
          </mc:Fallback>
        </mc:AlternateContent>
      </w:r>
    </w:p>
    <w:p>
      <w:pPr>
        <w:spacing w:after="0" w:line="200" w:lineRule="exact"/>
        <w:rPr>
          <w:sz w:val="20"/>
          <w:szCs w:val="20"/>
          <w:color w:val="auto"/>
        </w:rPr>
      </w:pPr>
    </w:p>
    <w:p>
      <w:pPr>
        <w:spacing w:after="0" w:line="226" w:lineRule="exact"/>
        <w:rPr>
          <w:sz w:val="20"/>
          <w:szCs w:val="20"/>
          <w:color w:val="auto"/>
        </w:rPr>
      </w:pPr>
    </w:p>
    <w:p>
      <w:pPr>
        <w:jc w:val="both"/>
        <w:ind w:right="20"/>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We recorded 305 woody plant species, and 95.7% of these species were native species. On the contrary, only 117 woody plant species were found in planted urban green spaces in Guiyang, while over 40% of them were exotic species (Wang and Yu </w:t>
      </w:r>
      <w:hyperlink w:anchor="page9">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This vast difference is because a few woody plant species, especially exotic species with high or-namental value, are frequently used in urban tree planting in China (Yan and Yang </w:t>
      </w:r>
      <w:hyperlink w:anchor="page9">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The result showed that the rem-nant forest plays a vital role in conserving native woody plant species in a rapidly urbanized environment like Guiyang. Other studies had a similar finding. For example, native spe-cies account for over 90% of woody plant species found in the urban remnant forest in Puerto Rico (Lugo-Perez and Sabat-Guernica </w:t>
      </w:r>
      <w:hyperlink w:anchor="page9">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w:t>
      </w:r>
    </w:p>
    <w:p>
      <w:pPr>
        <w:spacing w:after="0" w:line="5" w:lineRule="exact"/>
        <w:rPr>
          <w:rFonts w:ascii="Times New Roman" w:cs="Times New Roman" w:eastAsia="Times New Roman" w:hAnsi="Times New Roman"/>
          <w:sz w:val="19"/>
          <w:szCs w:val="19"/>
          <w:color w:val="131413"/>
        </w:rPr>
      </w:pPr>
    </w:p>
    <w:p>
      <w:pPr>
        <w:jc w:val="both"/>
        <w:ind w:right="20" w:firstLine="227"/>
        <w:spacing w:after="0" w:line="239"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We found that the within-patch </w:t>
      </w:r>
      <w:r>
        <w:rPr>
          <w:rFonts w:ascii="Arial" w:cs="Arial" w:eastAsia="Arial" w:hAnsi="Arial"/>
          <w:sz w:val="19"/>
          <w:szCs w:val="19"/>
          <w:color w:val="131413"/>
        </w:rPr>
        <w:t>α</w:t>
      </w:r>
      <w:r>
        <w:rPr>
          <w:rFonts w:ascii="Times New Roman" w:cs="Times New Roman" w:eastAsia="Times New Roman" w:hAnsi="Times New Roman"/>
          <w:sz w:val="19"/>
          <w:szCs w:val="19"/>
          <w:color w:val="131413"/>
        </w:rPr>
        <w:t>-diversity of shrubs (E</w:t>
      </w:r>
      <w:r>
        <w:rPr>
          <w:rFonts w:ascii="Arial" w:cs="Arial" w:eastAsia="Arial" w:hAnsi="Arial"/>
          <w:sz w:val="25"/>
          <w:szCs w:val="25"/>
          <w:color w:val="131413"/>
          <w:vertAlign w:val="subscript"/>
        </w:rPr>
        <w:t>α</w:t>
      </w:r>
      <w:r>
        <w:rPr>
          <w:rFonts w:ascii="Times New Roman" w:cs="Times New Roman" w:eastAsia="Times New Roman" w:hAnsi="Times New Roman"/>
          <w:sz w:val="19"/>
          <w:szCs w:val="19"/>
          <w:color w:val="131413"/>
        </w:rPr>
        <w:t>=4.48) was higher than that of trees (E</w:t>
      </w:r>
      <w:r>
        <w:rPr>
          <w:rFonts w:ascii="Arial" w:cs="Arial" w:eastAsia="Arial" w:hAnsi="Arial"/>
          <w:sz w:val="25"/>
          <w:szCs w:val="25"/>
          <w:color w:val="131413"/>
          <w:vertAlign w:val="subscript"/>
        </w:rPr>
        <w:t>α</w:t>
      </w:r>
      <w:r>
        <w:rPr>
          <w:rFonts w:ascii="Times New Roman" w:cs="Times New Roman" w:eastAsia="Times New Roman" w:hAnsi="Times New Roman"/>
          <w:sz w:val="19"/>
          <w:szCs w:val="19"/>
          <w:color w:val="131413"/>
        </w:rPr>
        <w:t>=3.94). The lower E</w:t>
      </w:r>
      <w:r>
        <w:rPr>
          <w:rFonts w:ascii="Arial" w:cs="Arial" w:eastAsia="Arial" w:hAnsi="Arial"/>
          <w:sz w:val="25"/>
          <w:szCs w:val="25"/>
          <w:color w:val="131413"/>
          <w:vertAlign w:val="subscript"/>
        </w:rPr>
        <w:t>α</w:t>
      </w:r>
      <w:r>
        <w:rPr>
          <w:rFonts w:ascii="Times New Roman" w:cs="Times New Roman" w:eastAsia="Times New Roman" w:hAnsi="Times New Roman"/>
          <w:sz w:val="19"/>
          <w:szCs w:val="19"/>
          <w:color w:val="131413"/>
        </w:rPr>
        <w:t xml:space="preserve"> of trees may be due to their larger sizes, higher demands for living space, more extended growth period, and slower regen-eration than shrubs (Körner </w:t>
      </w:r>
      <w:hyperlink w:anchor="page9">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The within-patch </w:t>
      </w:r>
      <w:r>
        <w:rPr>
          <w:rFonts w:ascii="Arial" w:cs="Arial" w:eastAsia="Arial" w:hAnsi="Arial"/>
          <w:sz w:val="19"/>
          <w:szCs w:val="19"/>
          <w:color w:val="131413"/>
        </w:rPr>
        <w:t>α</w:t>
      </w:r>
      <w:r>
        <w:rPr>
          <w:rFonts w:ascii="Times New Roman" w:cs="Times New Roman" w:eastAsia="Times New Roman" w:hAnsi="Times New Roman"/>
          <w:sz w:val="19"/>
          <w:szCs w:val="19"/>
          <w:color w:val="131413"/>
        </w:rPr>
        <w:t>-diver-sity of sapling/seedlings (E</w:t>
      </w:r>
      <w:r>
        <w:rPr>
          <w:rFonts w:ascii="Arial" w:cs="Arial" w:eastAsia="Arial" w:hAnsi="Arial"/>
          <w:sz w:val="25"/>
          <w:szCs w:val="25"/>
          <w:color w:val="131413"/>
          <w:vertAlign w:val="subscript"/>
        </w:rPr>
        <w:t>α</w:t>
      </w:r>
      <w:r>
        <w:rPr>
          <w:rFonts w:ascii="Times New Roman" w:cs="Times New Roman" w:eastAsia="Times New Roman" w:hAnsi="Times New Roman"/>
          <w:sz w:val="19"/>
          <w:szCs w:val="19"/>
          <w:color w:val="131413"/>
        </w:rPr>
        <w:t>=3.61) was higher than that of adult trees (E</w:t>
      </w:r>
      <w:r>
        <w:rPr>
          <w:rFonts w:ascii="Arial" w:cs="Arial" w:eastAsia="Arial" w:hAnsi="Arial"/>
          <w:sz w:val="25"/>
          <w:szCs w:val="25"/>
          <w:color w:val="131413"/>
          <w:vertAlign w:val="subscript"/>
        </w:rPr>
        <w:t>α</w:t>
      </w:r>
      <w:r>
        <w:rPr>
          <w:rFonts w:ascii="Times New Roman" w:cs="Times New Roman" w:eastAsia="Times New Roman" w:hAnsi="Times New Roman"/>
          <w:sz w:val="19"/>
          <w:szCs w:val="19"/>
          <w:color w:val="131413"/>
        </w:rPr>
        <w:t xml:space="preserve">=2.50). This pattern may be explained by the process of self-thinning occurring in the remnant forest patches, which prevent some species in the sapling/seedling layer to grow into adult trees (Schnitzler and Borlea </w:t>
      </w:r>
      <w:hyperlink w:anchor="page9">
        <w:r>
          <w:rPr>
            <w:rFonts w:ascii="Times New Roman" w:cs="Times New Roman" w:eastAsia="Times New Roman" w:hAnsi="Times New Roman"/>
            <w:sz w:val="19"/>
            <w:szCs w:val="19"/>
            <w:color w:val="0000FF"/>
          </w:rPr>
          <w:t>1998</w:t>
        </w:r>
      </w:hyperlink>
      <w:r>
        <w:rPr>
          <w:rFonts w:ascii="Times New Roman" w:cs="Times New Roman" w:eastAsia="Times New Roman" w:hAnsi="Times New Roman"/>
          <w:sz w:val="19"/>
          <w:szCs w:val="19"/>
          <w:color w:val="131413"/>
        </w:rPr>
        <w:t>).</w:t>
      </w:r>
    </w:p>
    <w:p>
      <w:pPr>
        <w:spacing w:after="0" w:line="35" w:lineRule="exact"/>
        <w:rPr>
          <w:sz w:val="20"/>
          <w:szCs w:val="20"/>
          <w:color w:val="auto"/>
        </w:rPr>
      </w:pPr>
    </w:p>
    <w:p>
      <w:pPr>
        <w:jc w:val="both"/>
        <w:ind w:right="20" w:firstLine="227"/>
        <w:spacing w:after="0" w:line="259" w:lineRule="auto"/>
        <w:rPr>
          <w:sz w:val="20"/>
          <w:szCs w:val="20"/>
          <w:color w:val="auto"/>
        </w:rPr>
      </w:pPr>
      <w:r>
        <w:rPr>
          <w:rFonts w:ascii="Times New Roman" w:cs="Times New Roman" w:eastAsia="Times New Roman" w:hAnsi="Times New Roman"/>
          <w:sz w:val="19"/>
          <w:szCs w:val="19"/>
          <w:color w:val="131413"/>
        </w:rPr>
        <w:t>All types of woody plants had non-significant composi-tional dissimilarities among patches within the same group (</w:t>
      </w:r>
      <w:r>
        <w:rPr>
          <w:rFonts w:ascii="Arial" w:cs="Arial" w:eastAsia="Arial" w:hAnsi="Arial"/>
          <w:sz w:val="19"/>
          <w:szCs w:val="19"/>
          <w:color w:val="131413"/>
        </w:rPr>
        <w:t>β</w:t>
      </w:r>
      <w:r>
        <w:rPr>
          <w:rFonts w:ascii="Times New Roman" w:cs="Times New Roman" w:eastAsia="Times New Roman" w:hAnsi="Times New Roman"/>
          <w:sz w:val="25"/>
          <w:szCs w:val="25"/>
          <w:color w:val="131413"/>
          <w:vertAlign w:val="subscript"/>
        </w:rPr>
        <w:t>1</w:t>
      </w:r>
      <w:r>
        <w:rPr>
          <w:rFonts w:ascii="Times New Roman" w:cs="Times New Roman" w:eastAsia="Times New Roman" w:hAnsi="Times New Roman"/>
          <w:sz w:val="19"/>
          <w:szCs w:val="19"/>
          <w:color w:val="131413"/>
        </w:rPr>
        <w:t>-diversity). This result showed that remnant patches with the same vegetation type, similar sizes, and similar percent-ages of surrounding impervious surfaces tend to have similar species composition of woody plants, no matter where they were located. The compositional dissimilarity among groups</w:t>
      </w:r>
    </w:p>
    <w:p>
      <w:pPr>
        <w:spacing w:after="0" w:line="20" w:lineRule="exact"/>
        <w:rPr>
          <w:sz w:val="20"/>
          <w:szCs w:val="20"/>
          <w:color w:val="auto"/>
        </w:rPr>
      </w:pPr>
      <w:r>
        <w:rPr>
          <w:sz w:val="20"/>
          <w:szCs w:val="20"/>
          <w:color w:val="auto"/>
        </w:rPr>
        <w:br w:type="column"/>
      </w:r>
    </w:p>
    <w:p>
      <w:pPr>
        <w:spacing w:after="0" w:line="286" w:lineRule="exact"/>
        <w:rPr>
          <w:sz w:val="20"/>
          <w:szCs w:val="20"/>
          <w:color w:val="auto"/>
        </w:rPr>
      </w:pPr>
    </w:p>
    <w:p>
      <w:pPr>
        <w:jc w:val="both"/>
        <w:ind w:right="20"/>
        <w:spacing w:after="0" w:line="260"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w:t>
      </w:r>
      <w:r>
        <w:rPr>
          <w:rFonts w:ascii="Arial" w:cs="Arial" w:eastAsia="Arial" w:hAnsi="Arial"/>
          <w:sz w:val="19"/>
          <w:szCs w:val="19"/>
          <w:color w:val="131413"/>
        </w:rPr>
        <w:t>β</w:t>
      </w:r>
      <w:r>
        <w:rPr>
          <w:rFonts w:ascii="Times New Roman" w:cs="Times New Roman" w:eastAsia="Times New Roman" w:hAnsi="Times New Roman"/>
          <w:sz w:val="25"/>
          <w:szCs w:val="25"/>
          <w:color w:val="131413"/>
          <w:vertAlign w:val="subscript"/>
        </w:rPr>
        <w:t>2</w:t>
      </w:r>
      <w:r>
        <w:rPr>
          <w:rFonts w:ascii="Times New Roman" w:cs="Times New Roman" w:eastAsia="Times New Roman" w:hAnsi="Times New Roman"/>
          <w:sz w:val="19"/>
          <w:szCs w:val="19"/>
          <w:color w:val="131413"/>
        </w:rPr>
        <w:t xml:space="preserve">-diversity) of shrubs was lower than that of tree species. The lower </w:t>
      </w:r>
      <w:r>
        <w:rPr>
          <w:rFonts w:ascii="Arial" w:cs="Arial" w:eastAsia="Arial" w:hAnsi="Arial"/>
          <w:sz w:val="19"/>
          <w:szCs w:val="19"/>
          <w:color w:val="131413"/>
        </w:rPr>
        <w:t>β</w:t>
      </w:r>
      <w:r>
        <w:rPr>
          <w:rFonts w:ascii="Times New Roman" w:cs="Times New Roman" w:eastAsia="Times New Roman" w:hAnsi="Times New Roman"/>
          <w:sz w:val="25"/>
          <w:szCs w:val="25"/>
          <w:color w:val="131413"/>
          <w:vertAlign w:val="subscript"/>
        </w:rPr>
        <w:t>2</w:t>
      </w:r>
      <w:r>
        <w:rPr>
          <w:rFonts w:ascii="Times New Roman" w:cs="Times New Roman" w:eastAsia="Times New Roman" w:hAnsi="Times New Roman"/>
          <w:sz w:val="19"/>
          <w:szCs w:val="19"/>
          <w:color w:val="131413"/>
        </w:rPr>
        <w:t xml:space="preserve">-diversity and the higher percentage of ornamen-tal species in the shrub layer may indicate a homogenization effect possibly caused by the invasion of ornamental shrub species into the remnant forest patches. About 40% of shrub species found in the remnant forests were also used as orna-mental species, while this percentage for tree species was only 21%. Our finding was in contrast to the finding of early stud-ies that shrub species composition was more sensitive to the change of spatial patterns than tree species (Echeverría et al. </w:t>
      </w:r>
      <w:hyperlink w:anchor="page9">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Moffatt et al.</w:t>
      </w:r>
      <w:r>
        <w:rPr>
          <w:rFonts w:ascii="Times New Roman" w:cs="Times New Roman" w:eastAsia="Times New Roman" w:hAnsi="Times New Roman"/>
          <w:sz w:val="19"/>
          <w:szCs w:val="19"/>
          <w:color w:val="0000FF"/>
        </w:rPr>
        <w:t xml:space="preserve"> </w:t>
      </w:r>
      <w:hyperlink w:anchor="page9">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w:t>
      </w:r>
    </w:p>
    <w:p>
      <w:pPr>
        <w:jc w:val="both"/>
        <w:ind w:right="20" w:firstLine="227"/>
        <w:spacing w:after="0" w:line="284" w:lineRule="auto"/>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t xml:space="preserve">The </w:t>
      </w:r>
      <w:r>
        <w:rPr>
          <w:rFonts w:ascii="Arial" w:cs="Arial" w:eastAsia="Arial" w:hAnsi="Arial"/>
          <w:sz w:val="18"/>
          <w:szCs w:val="18"/>
          <w:color w:val="131413"/>
        </w:rPr>
        <w:t>β</w:t>
      </w:r>
      <w:r>
        <w:rPr>
          <w:rFonts w:ascii="Times New Roman" w:cs="Times New Roman" w:eastAsia="Times New Roman" w:hAnsi="Times New Roman"/>
          <w:sz w:val="23"/>
          <w:szCs w:val="23"/>
          <w:color w:val="131413"/>
          <w:vertAlign w:val="subscript"/>
        </w:rPr>
        <w:t>2</w:t>
      </w:r>
      <w:r>
        <w:rPr>
          <w:rFonts w:ascii="Times New Roman" w:cs="Times New Roman" w:eastAsia="Times New Roman" w:hAnsi="Times New Roman"/>
          <w:sz w:val="18"/>
          <w:szCs w:val="18"/>
          <w:color w:val="131413"/>
        </w:rPr>
        <w:t>-diversity was significant for both adult trees and saplings/seedlings. This indicated that the patch size, the vegetation type, and the composition of land cover types in surrounding areas impacted the tree species composition of remnant patches. Heckmann et al. (</w:t>
      </w:r>
      <w:hyperlink w:anchor="page9">
        <w:r>
          <w:rPr>
            <w:rFonts w:ascii="Times New Roman" w:cs="Times New Roman" w:eastAsia="Times New Roman" w:hAnsi="Times New Roman"/>
            <w:sz w:val="18"/>
            <w:szCs w:val="18"/>
            <w:color w:val="0000FF"/>
          </w:rPr>
          <w:t>2008</w:t>
        </w:r>
      </w:hyperlink>
      <w:r>
        <w:rPr>
          <w:rFonts w:ascii="Times New Roman" w:cs="Times New Roman" w:eastAsia="Times New Roman" w:hAnsi="Times New Roman"/>
          <w:sz w:val="18"/>
          <w:szCs w:val="18"/>
          <w:color w:val="131413"/>
        </w:rPr>
        <w:t xml:space="preserve">) found that the species composition of trees differed significantly along the urban gra-dient. Here our result showed that the difference could not be attributed to urban gradient alone. In addition, the </w:t>
      </w:r>
      <w:r>
        <w:rPr>
          <w:rFonts w:ascii="Arial" w:cs="Arial" w:eastAsia="Arial" w:hAnsi="Arial"/>
          <w:sz w:val="18"/>
          <w:szCs w:val="18"/>
          <w:color w:val="131413"/>
        </w:rPr>
        <w:t>β</w:t>
      </w:r>
      <w:r>
        <w:rPr>
          <w:rFonts w:ascii="Times New Roman" w:cs="Times New Roman" w:eastAsia="Times New Roman" w:hAnsi="Times New Roman"/>
          <w:sz w:val="23"/>
          <w:szCs w:val="23"/>
          <w:color w:val="131413"/>
          <w:vertAlign w:val="subscript"/>
        </w:rPr>
        <w:t>2</w:t>
      </w:r>
      <w:r>
        <w:rPr>
          <w:rFonts w:ascii="Times New Roman" w:cs="Times New Roman" w:eastAsia="Times New Roman" w:hAnsi="Times New Roman"/>
          <w:sz w:val="18"/>
          <w:szCs w:val="18"/>
          <w:color w:val="131413"/>
        </w:rPr>
        <w:t xml:space="preserve">-diversity of adult trees was higher than that of sapling/seedlings. Saplings/seedlings are more vulnerable to human disturbances than adult trees (Ribeiro et al. </w:t>
      </w:r>
      <w:hyperlink w:anchor="page9">
        <w:r>
          <w:rPr>
            <w:rFonts w:ascii="Times New Roman" w:cs="Times New Roman" w:eastAsia="Times New Roman" w:hAnsi="Times New Roman"/>
            <w:sz w:val="18"/>
            <w:szCs w:val="18"/>
            <w:color w:val="0000FF"/>
          </w:rPr>
          <w:t>2016</w:t>
        </w:r>
      </w:hyperlink>
      <w:r>
        <w:rPr>
          <w:rFonts w:ascii="Times New Roman" w:cs="Times New Roman" w:eastAsia="Times New Roman" w:hAnsi="Times New Roman"/>
          <w:sz w:val="18"/>
          <w:szCs w:val="18"/>
          <w:color w:val="131413"/>
        </w:rPr>
        <w:t xml:space="preserve">). It is believed that species found in the sampling/seedling layer are more likely to be gen-eralists and have high urban tolerance. Urban tolerance is the ability of a species to tolerate soil compaction, water shortage, restricted small rooting space, and higher temperatures in cities (Nock et al. </w:t>
      </w:r>
      <w:hyperlink w:anchor="page9">
        <w:r>
          <w:rPr>
            <w:rFonts w:ascii="Times New Roman" w:cs="Times New Roman" w:eastAsia="Times New Roman" w:hAnsi="Times New Roman"/>
            <w:sz w:val="18"/>
            <w:szCs w:val="18"/>
            <w:color w:val="0000FF"/>
          </w:rPr>
          <w:t>2013</w:t>
        </w:r>
      </w:hyperlink>
      <w:r>
        <w:rPr>
          <w:rFonts w:ascii="Times New Roman" w:cs="Times New Roman" w:eastAsia="Times New Roman" w:hAnsi="Times New Roman"/>
          <w:sz w:val="18"/>
          <w:szCs w:val="18"/>
          <w:color w:val="131413"/>
        </w:rPr>
        <w:t>). In our study, 26% of tree species in the sapling/seedling layer can be classified as urban tolerant species according to the criteria specified in Roloff et al. (</w:t>
      </w:r>
      <w:hyperlink w:anchor="page9">
        <w:r>
          <w:rPr>
            <w:rFonts w:ascii="Times New Roman" w:cs="Times New Roman" w:eastAsia="Times New Roman" w:hAnsi="Times New Roman"/>
            <w:sz w:val="18"/>
            <w:szCs w:val="18"/>
            <w:color w:val="0000FF"/>
          </w:rPr>
          <w:t>2009</w:t>
        </w:r>
      </w:hyperlink>
      <w:r>
        <w:rPr>
          <w:rFonts w:ascii="Times New Roman" w:cs="Times New Roman" w:eastAsia="Times New Roman" w:hAnsi="Times New Roman"/>
          <w:sz w:val="18"/>
          <w:szCs w:val="18"/>
          <w:color w:val="131413"/>
        </w:rPr>
        <w:t xml:space="preserve">) (See Table </w:t>
      </w:r>
      <w:hyperlink w:anchor="page9">
        <w:r>
          <w:rPr>
            <w:rFonts w:ascii="Times New Roman" w:cs="Times New Roman" w:eastAsia="Times New Roman" w:hAnsi="Times New Roman"/>
            <w:sz w:val="18"/>
            <w:szCs w:val="18"/>
            <w:color w:val="0000FF"/>
          </w:rPr>
          <w:t>S3</w:t>
        </w:r>
        <w:r>
          <w:rPr>
            <w:rFonts w:ascii="Times New Roman" w:cs="Times New Roman" w:eastAsia="Times New Roman" w:hAnsi="Times New Roman"/>
            <w:sz w:val="18"/>
            <w:szCs w:val="18"/>
            <w:color w:val="131413"/>
          </w:rPr>
          <w:t xml:space="preserve"> </w:t>
        </w:r>
      </w:hyperlink>
      <w:r>
        <w:rPr>
          <w:rFonts w:ascii="Times New Roman" w:cs="Times New Roman" w:eastAsia="Times New Roman" w:hAnsi="Times New Roman"/>
          <w:sz w:val="18"/>
          <w:szCs w:val="18"/>
          <w:color w:val="131413"/>
        </w:rPr>
        <w:t xml:space="preserve">for more details). The occurrence of 14 urban tolerant species in 18 groups was more than 50% (Table </w:t>
      </w:r>
      <w:hyperlink w:anchor="page9">
        <w:r>
          <w:rPr>
            <w:rFonts w:ascii="Times New Roman" w:cs="Times New Roman" w:eastAsia="Times New Roman" w:hAnsi="Times New Roman"/>
            <w:sz w:val="18"/>
            <w:szCs w:val="18"/>
            <w:color w:val="0000FF"/>
          </w:rPr>
          <w:t>S3</w:t>
        </w:r>
      </w:hyperlink>
      <w:r>
        <w:rPr>
          <w:rFonts w:ascii="Times New Roman" w:cs="Times New Roman" w:eastAsia="Times New Roman" w:hAnsi="Times New Roman"/>
          <w:sz w:val="18"/>
          <w:szCs w:val="18"/>
          <w:color w:val="131413"/>
        </w:rPr>
        <w:t>). This homogenization effect may partially explain the finding that the species composition of the saplings/seedings was more sim-ilar between patches than that of adult trees. This finding justi-fied the necessity to differentiate the ontogenetic stages of trees in studies. Because adult trees are longer-lived, so the rapid urbanization is a more important determinant of tree sapling/ seedling. This legacy effect may influence the future tree com-position in urban remnant forests if the impact of urbanization impedes the recruitment of canopy tree species significantly.</w:t>
      </w:r>
    </w:p>
    <w:p>
      <w:pPr>
        <w:spacing w:after="0" w:line="200" w:lineRule="exact"/>
        <w:rPr>
          <w:rFonts w:ascii="Times New Roman" w:cs="Times New Roman" w:eastAsia="Times New Roman" w:hAnsi="Times New Roman"/>
          <w:sz w:val="18"/>
          <w:szCs w:val="18"/>
          <w:color w:val="131413"/>
        </w:rPr>
      </w:pPr>
    </w:p>
    <w:p>
      <w:pPr>
        <w:sectPr>
          <w:pgSz w:w="11900" w:h="15817" w:orient="portrait"/>
          <w:cols w:equalWidth="0" w:num="2">
            <w:col w:w="4780" w:space="320"/>
            <w:col w:w="4780"/>
          </w:cols>
          <w:pgMar w:left="1020" w:top="649" w:right="1006" w:bottom="339" w:gutter="0" w:footer="0" w:header="0"/>
          <w:type w:val="continuous"/>
        </w:sectPr>
      </w:pPr>
    </w:p>
    <w:p>
      <w:pPr>
        <w:spacing w:after="0" w:line="366" w:lineRule="exact"/>
        <w:rPr>
          <w:rFonts w:ascii="Times New Roman" w:cs="Times New Roman" w:eastAsia="Times New Roman" w:hAnsi="Times New Roman"/>
          <w:sz w:val="18"/>
          <w:szCs w:val="18"/>
          <w:color w:val="131413"/>
        </w:rPr>
      </w:pPr>
    </w:p>
    <w:p>
      <w:pPr>
        <w:spacing w:after="0"/>
        <w:tabs>
          <w:tab w:leader="none" w:pos="680" w:val="left"/>
        </w:tabs>
        <w:rPr>
          <w:sz w:val="20"/>
          <w:szCs w:val="20"/>
          <w:color w:val="auto"/>
        </w:rPr>
      </w:pPr>
      <w:r>
        <w:rPr>
          <w:rFonts w:ascii="Arial" w:cs="Arial" w:eastAsia="Arial" w:hAnsi="Arial"/>
          <w:sz w:val="17"/>
          <w:szCs w:val="17"/>
          <w:color w:val="131413"/>
        </w:rPr>
        <w:t>Table 5</w:t>
      </w:r>
      <w:r>
        <w:rPr>
          <w:sz w:val="20"/>
          <w:szCs w:val="20"/>
          <w:color w:val="auto"/>
        </w:rPr>
        <w:tab/>
      </w:r>
      <w:r>
        <w:rPr>
          <w:rFonts w:ascii="Times New Roman" w:cs="Times New Roman" w:eastAsia="Times New Roman" w:hAnsi="Times New Roman"/>
          <w:sz w:val="16"/>
          <w:szCs w:val="16"/>
          <w:color w:val="131413"/>
        </w:rPr>
        <w:t>Hierarchical taxonomic diversity (inside the parenthesis are P-values of the permutation tests)</w:t>
      </w:r>
    </w:p>
    <w:p>
      <w:pPr>
        <w:spacing w:after="0" w:line="20" w:lineRule="exact"/>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mc:AlternateContent>
          <mc:Choice Requires="wps">
            <w:drawing>
              <wp:anchor simplePos="0" relativeHeight="251657728" behindDoc="1" locked="0" layoutInCell="0" allowOverlap="1">
                <wp:simplePos x="0" y="0"/>
                <wp:positionH relativeFrom="column">
                  <wp:posOffset>-5715</wp:posOffset>
                </wp:positionH>
                <wp:positionV relativeFrom="paragraph">
                  <wp:posOffset>52705</wp:posOffset>
                </wp:positionV>
                <wp:extent cx="626999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9990" cy="4763"/>
                        </a:xfrm>
                        <a:prstGeom prst="line">
                          <a:avLst/>
                        </a:prstGeom>
                        <a:solidFill>
                          <a:srgbClr val="FFFFFF"/>
                        </a:solidFill>
                        <a:ln w="19899">
                          <a:solidFill>
                            <a:srgbClr val="131413"/>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15pt" to="493.25pt,4.15pt" o:allowincell="f" strokecolor="#131413" strokeweight="1.5669pt"/>
            </w:pict>
          </mc:Fallback>
        </mc:AlternateContent>
        <mc:AlternateContent>
          <mc:Choice Requires="wps">
            <w:drawing>
              <wp:anchor simplePos="0" relativeHeight="251657728" behindDoc="1" locked="0" layoutInCell="0" allowOverlap="1">
                <wp:simplePos x="0" y="0"/>
                <wp:positionH relativeFrom="column">
                  <wp:posOffset>6257925</wp:posOffset>
                </wp:positionH>
                <wp:positionV relativeFrom="paragraph">
                  <wp:posOffset>52705</wp:posOffset>
                </wp:positionV>
                <wp:extent cx="1270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199">
                          <a:solidFill>
                            <a:srgbClr val="131413"/>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2.75pt,4.15pt" to="493.75pt,4.15pt" o:allowincell="f" strokecolor="#131413" strokeweight="0.5669pt"/>
            </w:pict>
          </mc:Fallback>
        </mc:AlternateContent>
      </w:r>
    </w:p>
    <w:p>
      <w:pPr>
        <w:spacing w:after="0" w:line="166" w:lineRule="exact"/>
        <w:rPr>
          <w:rFonts w:ascii="Times New Roman" w:cs="Times New Roman" w:eastAsia="Times New Roman" w:hAnsi="Times New Roman"/>
          <w:sz w:val="18"/>
          <w:szCs w:val="18"/>
          <w:color w:val="131413"/>
        </w:rPr>
      </w:pPr>
    </w:p>
    <w:tbl>
      <w:tblPr>
        <w:tblLayout w:type="fixed"/>
        <w:tblInd w:w="0" w:type="dxa"/>
        <w:tblCellMar>
          <w:top w:w="0" w:type="dxa"/>
          <w:left w:w="0" w:type="dxa"/>
          <w:bottom w:w="0" w:type="dxa"/>
          <w:right w:w="0" w:type="dxa"/>
        </w:tblCellMar>
      </w:tblPr>
      <w:tr>
        <w:trPr>
          <w:trHeight w:val="195"/>
        </w:trPr>
        <w:tc>
          <w:tcPr>
            <w:tcW w:w="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240" w:type="dxa"/>
            <w:vAlign w:val="bottom"/>
          </w:tcPr>
          <w:p>
            <w:pPr>
              <w:spacing w:after="0"/>
              <w:rPr>
                <w:sz w:val="17"/>
                <w:szCs w:val="17"/>
                <w:color w:val="auto"/>
              </w:rPr>
            </w:pPr>
          </w:p>
        </w:tc>
        <w:tc>
          <w:tcPr>
            <w:tcW w:w="1140" w:type="dxa"/>
            <w:vAlign w:val="bottom"/>
          </w:tcPr>
          <w:p>
            <w:pPr>
              <w:spacing w:after="0"/>
              <w:rPr>
                <w:sz w:val="17"/>
                <w:szCs w:val="17"/>
                <w:color w:val="auto"/>
              </w:rPr>
            </w:pPr>
          </w:p>
        </w:tc>
        <w:tc>
          <w:tcPr>
            <w:tcW w:w="1600" w:type="dxa"/>
            <w:vAlign w:val="bottom"/>
          </w:tcPr>
          <w:p>
            <w:pPr>
              <w:ind w:left="420"/>
              <w:spacing w:after="0"/>
              <w:rPr>
                <w:sz w:val="20"/>
                <w:szCs w:val="20"/>
                <w:color w:val="auto"/>
              </w:rPr>
            </w:pPr>
            <w:r>
              <w:rPr>
                <w:rFonts w:ascii="Times New Roman" w:cs="Times New Roman" w:eastAsia="Times New Roman" w:hAnsi="Times New Roman"/>
                <w:sz w:val="17"/>
                <w:szCs w:val="17"/>
                <w:color w:val="131413"/>
              </w:rPr>
              <w:t>Adult tree</w:t>
            </w:r>
          </w:p>
        </w:tc>
        <w:tc>
          <w:tcPr>
            <w:tcW w:w="1780" w:type="dxa"/>
            <w:vAlign w:val="bottom"/>
          </w:tcPr>
          <w:p>
            <w:pPr>
              <w:ind w:left="420"/>
              <w:spacing w:after="0"/>
              <w:rPr>
                <w:sz w:val="20"/>
                <w:szCs w:val="20"/>
                <w:color w:val="auto"/>
              </w:rPr>
            </w:pPr>
            <w:r>
              <w:rPr>
                <w:rFonts w:ascii="Times New Roman" w:cs="Times New Roman" w:eastAsia="Times New Roman" w:hAnsi="Times New Roman"/>
                <w:sz w:val="17"/>
                <w:szCs w:val="17"/>
                <w:color w:val="131413"/>
              </w:rPr>
              <w:t>Sapling/</w:t>
            </w:r>
          </w:p>
        </w:tc>
        <w:tc>
          <w:tcPr>
            <w:tcW w:w="1760" w:type="dxa"/>
            <w:vAlign w:val="bottom"/>
          </w:tcPr>
          <w:p>
            <w:pPr>
              <w:ind w:left="580"/>
              <w:spacing w:after="0"/>
              <w:rPr>
                <w:sz w:val="20"/>
                <w:szCs w:val="20"/>
                <w:color w:val="auto"/>
              </w:rPr>
            </w:pPr>
            <w:r>
              <w:rPr>
                <w:rFonts w:ascii="Times New Roman" w:cs="Times New Roman" w:eastAsia="Times New Roman" w:hAnsi="Times New Roman"/>
                <w:sz w:val="17"/>
                <w:szCs w:val="17"/>
                <w:color w:val="131413"/>
              </w:rPr>
              <w:t>Tree</w:t>
            </w:r>
          </w:p>
        </w:tc>
        <w:tc>
          <w:tcPr>
            <w:tcW w:w="1200" w:type="dxa"/>
            <w:vAlign w:val="bottom"/>
            <w:gridSpan w:val="2"/>
          </w:tcPr>
          <w:p>
            <w:pPr>
              <w:ind w:left="420"/>
              <w:spacing w:after="0"/>
              <w:rPr>
                <w:sz w:val="20"/>
                <w:szCs w:val="20"/>
                <w:color w:val="auto"/>
              </w:rPr>
            </w:pPr>
            <w:r>
              <w:rPr>
                <w:rFonts w:ascii="Times New Roman" w:cs="Times New Roman" w:eastAsia="Times New Roman" w:hAnsi="Times New Roman"/>
                <w:sz w:val="17"/>
                <w:szCs w:val="17"/>
                <w:color w:val="131413"/>
              </w:rPr>
              <w:t>Shrub</w:t>
            </w:r>
          </w:p>
        </w:tc>
      </w:tr>
      <w:tr>
        <w:trPr>
          <w:trHeight w:val="200"/>
        </w:trPr>
        <w:tc>
          <w:tcPr>
            <w:tcW w:w="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240" w:type="dxa"/>
            <w:vAlign w:val="bottom"/>
          </w:tcPr>
          <w:p>
            <w:pPr>
              <w:spacing w:after="0"/>
              <w:rPr>
                <w:sz w:val="17"/>
                <w:szCs w:val="17"/>
                <w:color w:val="auto"/>
              </w:rPr>
            </w:pPr>
          </w:p>
        </w:tc>
        <w:tc>
          <w:tcPr>
            <w:tcW w:w="1140" w:type="dxa"/>
            <w:vAlign w:val="bottom"/>
          </w:tcPr>
          <w:p>
            <w:pPr>
              <w:spacing w:after="0"/>
              <w:rPr>
                <w:sz w:val="17"/>
                <w:szCs w:val="17"/>
                <w:color w:val="auto"/>
              </w:rPr>
            </w:pPr>
          </w:p>
        </w:tc>
        <w:tc>
          <w:tcPr>
            <w:tcW w:w="1600" w:type="dxa"/>
            <w:vAlign w:val="bottom"/>
          </w:tcPr>
          <w:p>
            <w:pPr>
              <w:spacing w:after="0"/>
              <w:rPr>
                <w:sz w:val="17"/>
                <w:szCs w:val="17"/>
                <w:color w:val="auto"/>
              </w:rPr>
            </w:pPr>
          </w:p>
        </w:tc>
        <w:tc>
          <w:tcPr>
            <w:tcW w:w="1780" w:type="dxa"/>
            <w:vAlign w:val="bottom"/>
          </w:tcPr>
          <w:p>
            <w:pPr>
              <w:ind w:left="420"/>
              <w:spacing w:after="0"/>
              <w:rPr>
                <w:sz w:val="20"/>
                <w:szCs w:val="20"/>
                <w:color w:val="auto"/>
              </w:rPr>
            </w:pPr>
            <w:r>
              <w:rPr>
                <w:rFonts w:ascii="Times New Roman" w:cs="Times New Roman" w:eastAsia="Times New Roman" w:hAnsi="Times New Roman"/>
                <w:sz w:val="17"/>
                <w:szCs w:val="17"/>
                <w:color w:val="131413"/>
              </w:rPr>
              <w:t>seedling</w:t>
            </w:r>
          </w:p>
        </w:tc>
        <w:tc>
          <w:tcPr>
            <w:tcW w:w="1760" w:type="dxa"/>
            <w:vAlign w:val="bottom"/>
          </w:tcPr>
          <w:p>
            <w:pPr>
              <w:spacing w:after="0"/>
              <w:rPr>
                <w:sz w:val="17"/>
                <w:szCs w:val="17"/>
                <w:color w:val="auto"/>
              </w:rPr>
            </w:pPr>
          </w:p>
        </w:tc>
        <w:tc>
          <w:tcPr>
            <w:tcW w:w="118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107"/>
        </w:trPr>
        <w:tc>
          <w:tcPr>
            <w:tcW w:w="20" w:type="dxa"/>
            <w:vAlign w:val="bottom"/>
            <w:tcBorders>
              <w:bottom w:val="single" w:sz="8" w:color="131413"/>
            </w:tcBorders>
          </w:tcPr>
          <w:p>
            <w:pPr>
              <w:spacing w:after="0"/>
              <w:rPr>
                <w:sz w:val="9"/>
                <w:szCs w:val="9"/>
                <w:color w:val="auto"/>
              </w:rPr>
            </w:pPr>
          </w:p>
        </w:tc>
        <w:tc>
          <w:tcPr>
            <w:tcW w:w="140" w:type="dxa"/>
            <w:vAlign w:val="bottom"/>
            <w:tcBorders>
              <w:bottom w:val="single" w:sz="8" w:color="131413"/>
            </w:tcBorders>
          </w:tcPr>
          <w:p>
            <w:pPr>
              <w:spacing w:after="0"/>
              <w:rPr>
                <w:sz w:val="9"/>
                <w:szCs w:val="9"/>
                <w:color w:val="auto"/>
              </w:rPr>
            </w:pPr>
          </w:p>
        </w:tc>
        <w:tc>
          <w:tcPr>
            <w:tcW w:w="2240" w:type="dxa"/>
            <w:vAlign w:val="bottom"/>
            <w:tcBorders>
              <w:bottom w:val="single" w:sz="8" w:color="131413"/>
            </w:tcBorders>
          </w:tcPr>
          <w:p>
            <w:pPr>
              <w:spacing w:after="0"/>
              <w:rPr>
                <w:sz w:val="9"/>
                <w:szCs w:val="9"/>
                <w:color w:val="auto"/>
              </w:rPr>
            </w:pPr>
          </w:p>
        </w:tc>
        <w:tc>
          <w:tcPr>
            <w:tcW w:w="1140" w:type="dxa"/>
            <w:vAlign w:val="bottom"/>
            <w:tcBorders>
              <w:bottom w:val="single" w:sz="8" w:color="131413"/>
            </w:tcBorders>
          </w:tcPr>
          <w:p>
            <w:pPr>
              <w:spacing w:after="0"/>
              <w:rPr>
                <w:sz w:val="9"/>
                <w:szCs w:val="9"/>
                <w:color w:val="auto"/>
              </w:rPr>
            </w:pPr>
          </w:p>
        </w:tc>
        <w:tc>
          <w:tcPr>
            <w:tcW w:w="1600" w:type="dxa"/>
            <w:vAlign w:val="bottom"/>
            <w:tcBorders>
              <w:bottom w:val="single" w:sz="8" w:color="131413"/>
            </w:tcBorders>
          </w:tcPr>
          <w:p>
            <w:pPr>
              <w:spacing w:after="0"/>
              <w:rPr>
                <w:sz w:val="9"/>
                <w:szCs w:val="9"/>
                <w:color w:val="auto"/>
              </w:rPr>
            </w:pPr>
          </w:p>
        </w:tc>
        <w:tc>
          <w:tcPr>
            <w:tcW w:w="1780" w:type="dxa"/>
            <w:vAlign w:val="bottom"/>
            <w:tcBorders>
              <w:bottom w:val="single" w:sz="8" w:color="131413"/>
            </w:tcBorders>
          </w:tcPr>
          <w:p>
            <w:pPr>
              <w:spacing w:after="0"/>
              <w:rPr>
                <w:sz w:val="9"/>
                <w:szCs w:val="9"/>
                <w:color w:val="auto"/>
              </w:rPr>
            </w:pPr>
          </w:p>
        </w:tc>
        <w:tc>
          <w:tcPr>
            <w:tcW w:w="1760" w:type="dxa"/>
            <w:vAlign w:val="bottom"/>
            <w:tcBorders>
              <w:bottom w:val="single" w:sz="8" w:color="131413"/>
            </w:tcBorders>
          </w:tcPr>
          <w:p>
            <w:pPr>
              <w:spacing w:after="0"/>
              <w:rPr>
                <w:sz w:val="9"/>
                <w:szCs w:val="9"/>
                <w:color w:val="auto"/>
              </w:rPr>
            </w:pPr>
          </w:p>
        </w:tc>
        <w:tc>
          <w:tcPr>
            <w:tcW w:w="1180" w:type="dxa"/>
            <w:vAlign w:val="bottom"/>
            <w:tcBorders>
              <w:bottom w:val="single" w:sz="8" w:color="131413"/>
            </w:tcBorders>
          </w:tcPr>
          <w:p>
            <w:pPr>
              <w:spacing w:after="0"/>
              <w:rPr>
                <w:sz w:val="9"/>
                <w:szCs w:val="9"/>
                <w:color w:val="auto"/>
              </w:rPr>
            </w:pPr>
          </w:p>
        </w:tc>
        <w:tc>
          <w:tcPr>
            <w:tcW w:w="20" w:type="dxa"/>
            <w:vAlign w:val="bottom"/>
          </w:tcPr>
          <w:p>
            <w:pPr>
              <w:spacing w:after="0"/>
              <w:rPr>
                <w:sz w:val="9"/>
                <w:szCs w:val="9"/>
                <w:color w:val="auto"/>
              </w:rPr>
            </w:pPr>
          </w:p>
        </w:tc>
      </w:tr>
      <w:tr>
        <w:trPr>
          <w:trHeight w:val="319"/>
        </w:trPr>
        <w:tc>
          <w:tcPr>
            <w:tcW w:w="2400" w:type="dxa"/>
            <w:vAlign w:val="bottom"/>
            <w:gridSpan w:val="3"/>
          </w:tcPr>
          <w:p>
            <w:pPr>
              <w:spacing w:after="0"/>
              <w:rPr>
                <w:sz w:val="20"/>
                <w:szCs w:val="20"/>
                <w:color w:val="auto"/>
              </w:rPr>
            </w:pPr>
            <w:r>
              <w:rPr>
                <w:rFonts w:ascii="Times New Roman" w:cs="Times New Roman" w:eastAsia="Times New Roman" w:hAnsi="Times New Roman"/>
                <w:sz w:val="17"/>
                <w:szCs w:val="17"/>
                <w:color w:val="131413"/>
              </w:rPr>
              <w:t>Among groups</w:t>
            </w:r>
          </w:p>
        </w:tc>
        <w:tc>
          <w:tcPr>
            <w:tcW w:w="1140" w:type="dxa"/>
            <w:vAlign w:val="bottom"/>
          </w:tcPr>
          <w:p>
            <w:pPr>
              <w:ind w:left="420"/>
              <w:spacing w:after="0" w:line="320" w:lineRule="exact"/>
              <w:rPr>
                <w:sz w:val="20"/>
                <w:szCs w:val="20"/>
                <w:color w:val="auto"/>
              </w:rPr>
            </w:pPr>
            <w:r>
              <w:rPr>
                <w:rFonts w:ascii="Times New Roman" w:cs="Times New Roman" w:eastAsia="Times New Roman" w:hAnsi="Times New Roman"/>
                <w:sz w:val="33"/>
                <w:szCs w:val="33"/>
                <w:color w:val="131413"/>
                <w:vertAlign w:val="superscript"/>
              </w:rPr>
              <w:t>E</w:t>
            </w:r>
            <w:r>
              <w:rPr>
                <w:rFonts w:ascii="Arial" w:cs="Arial" w:eastAsia="Arial" w:hAnsi="Arial"/>
                <w:sz w:val="11"/>
                <w:szCs w:val="11"/>
                <w:color w:val="131413"/>
              </w:rPr>
              <w:t>β</w:t>
            </w:r>
            <w:r>
              <w:rPr>
                <w:rFonts w:ascii="Times New Roman" w:cs="Times New Roman" w:eastAsia="Times New Roman" w:hAnsi="Times New Roman"/>
                <w:sz w:val="11"/>
                <w:szCs w:val="11"/>
                <w:color w:val="131413"/>
              </w:rPr>
              <w:t>2</w:t>
            </w:r>
          </w:p>
        </w:tc>
        <w:tc>
          <w:tcPr>
            <w:tcW w:w="1600" w:type="dxa"/>
            <w:vAlign w:val="bottom"/>
          </w:tcPr>
          <w:p>
            <w:pPr>
              <w:ind w:left="420"/>
              <w:spacing w:after="0"/>
              <w:rPr>
                <w:sz w:val="20"/>
                <w:szCs w:val="20"/>
                <w:color w:val="auto"/>
              </w:rPr>
            </w:pPr>
            <w:r>
              <w:rPr>
                <w:rFonts w:ascii="Times New Roman" w:cs="Times New Roman" w:eastAsia="Times New Roman" w:hAnsi="Times New Roman"/>
                <w:sz w:val="17"/>
                <w:szCs w:val="17"/>
                <w:color w:val="131413"/>
              </w:rPr>
              <w:t>2.14</w:t>
            </w:r>
          </w:p>
        </w:tc>
        <w:tc>
          <w:tcPr>
            <w:tcW w:w="1780" w:type="dxa"/>
            <w:vAlign w:val="bottom"/>
          </w:tcPr>
          <w:p>
            <w:pPr>
              <w:ind w:left="420"/>
              <w:spacing w:after="0"/>
              <w:rPr>
                <w:sz w:val="20"/>
                <w:szCs w:val="20"/>
                <w:color w:val="auto"/>
              </w:rPr>
            </w:pPr>
            <w:r>
              <w:rPr>
                <w:rFonts w:ascii="Times New Roman" w:cs="Times New Roman" w:eastAsia="Times New Roman" w:hAnsi="Times New Roman"/>
                <w:sz w:val="17"/>
                <w:szCs w:val="17"/>
                <w:color w:val="131413"/>
              </w:rPr>
              <w:t>1.94</w:t>
            </w:r>
          </w:p>
        </w:tc>
        <w:tc>
          <w:tcPr>
            <w:tcW w:w="1760" w:type="dxa"/>
            <w:vAlign w:val="bottom"/>
          </w:tcPr>
          <w:p>
            <w:pPr>
              <w:ind w:left="580"/>
              <w:spacing w:after="0"/>
              <w:rPr>
                <w:sz w:val="20"/>
                <w:szCs w:val="20"/>
                <w:color w:val="auto"/>
              </w:rPr>
            </w:pPr>
            <w:r>
              <w:rPr>
                <w:rFonts w:ascii="Times New Roman" w:cs="Times New Roman" w:eastAsia="Times New Roman" w:hAnsi="Times New Roman"/>
                <w:sz w:val="17"/>
                <w:szCs w:val="17"/>
                <w:color w:val="131413"/>
              </w:rPr>
              <w:t>1.99</w:t>
            </w:r>
          </w:p>
        </w:tc>
        <w:tc>
          <w:tcPr>
            <w:tcW w:w="1180" w:type="dxa"/>
            <w:vAlign w:val="bottom"/>
          </w:tcPr>
          <w:p>
            <w:pPr>
              <w:ind w:left="420"/>
              <w:spacing w:after="0"/>
              <w:rPr>
                <w:sz w:val="20"/>
                <w:szCs w:val="20"/>
                <w:color w:val="auto"/>
              </w:rPr>
            </w:pPr>
            <w:r>
              <w:rPr>
                <w:rFonts w:ascii="Times New Roman" w:cs="Times New Roman" w:eastAsia="Times New Roman" w:hAnsi="Times New Roman"/>
                <w:sz w:val="17"/>
                <w:szCs w:val="17"/>
                <w:color w:val="131413"/>
              </w:rPr>
              <w:t>1.45</w:t>
            </w:r>
          </w:p>
        </w:tc>
        <w:tc>
          <w:tcPr>
            <w:tcW w:w="20" w:type="dxa"/>
            <w:vAlign w:val="bottom"/>
          </w:tcPr>
          <w:p>
            <w:pPr>
              <w:spacing w:after="0"/>
              <w:rPr>
                <w:sz w:val="24"/>
                <w:szCs w:val="24"/>
                <w:color w:val="auto"/>
              </w:rPr>
            </w:pPr>
          </w:p>
        </w:tc>
      </w:tr>
      <w:tr>
        <w:trPr>
          <w:trHeight w:val="181"/>
        </w:trPr>
        <w:tc>
          <w:tcPr>
            <w:tcW w:w="2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240" w:type="dxa"/>
            <w:vAlign w:val="bottom"/>
          </w:tcPr>
          <w:p>
            <w:pPr>
              <w:spacing w:after="0"/>
              <w:rPr>
                <w:sz w:val="15"/>
                <w:szCs w:val="15"/>
                <w:color w:val="auto"/>
              </w:rPr>
            </w:pPr>
          </w:p>
        </w:tc>
        <w:tc>
          <w:tcPr>
            <w:tcW w:w="1140" w:type="dxa"/>
            <w:vAlign w:val="bottom"/>
          </w:tcPr>
          <w:p>
            <w:pPr>
              <w:ind w:left="480"/>
              <w:spacing w:after="0" w:line="181" w:lineRule="exact"/>
              <w:rPr>
                <w:sz w:val="20"/>
                <w:szCs w:val="20"/>
                <w:color w:val="auto"/>
              </w:rPr>
            </w:pPr>
            <w:r>
              <w:rPr>
                <w:rFonts w:ascii="Times New Roman" w:cs="Times New Roman" w:eastAsia="Times New Roman" w:hAnsi="Times New Roman"/>
                <w:sz w:val="20"/>
                <w:szCs w:val="20"/>
                <w:color w:val="131413"/>
                <w:vertAlign w:val="subscript"/>
              </w:rPr>
              <w:t>E</w:t>
            </w:r>
            <w:r>
              <w:rPr>
                <w:rFonts w:ascii="Times New Roman" w:cs="Times New Roman" w:eastAsia="Times New Roman" w:hAnsi="Times New Roman"/>
                <w:sz w:val="9"/>
                <w:szCs w:val="9"/>
                <w:color w:val="131413"/>
              </w:rPr>
              <w:t>**</w:t>
            </w:r>
          </w:p>
        </w:tc>
        <w:tc>
          <w:tcPr>
            <w:tcW w:w="1600" w:type="dxa"/>
            <w:vAlign w:val="bottom"/>
          </w:tcPr>
          <w:p>
            <w:pPr>
              <w:ind w:left="420"/>
              <w:spacing w:after="0" w:line="181" w:lineRule="exact"/>
              <w:rPr>
                <w:sz w:val="20"/>
                <w:szCs w:val="20"/>
                <w:color w:val="auto"/>
              </w:rPr>
            </w:pPr>
            <w:r>
              <w:rPr>
                <w:rFonts w:ascii="Times New Roman" w:cs="Times New Roman" w:eastAsia="Times New Roman" w:hAnsi="Times New Roman"/>
                <w:sz w:val="17"/>
                <w:szCs w:val="17"/>
                <w:color w:val="131413"/>
              </w:rPr>
              <w:t>0.07(0.001)</w:t>
            </w:r>
          </w:p>
        </w:tc>
        <w:tc>
          <w:tcPr>
            <w:tcW w:w="1780" w:type="dxa"/>
            <w:vAlign w:val="bottom"/>
          </w:tcPr>
          <w:p>
            <w:pPr>
              <w:ind w:left="420"/>
              <w:spacing w:after="0" w:line="181" w:lineRule="exact"/>
              <w:rPr>
                <w:sz w:val="20"/>
                <w:szCs w:val="20"/>
                <w:color w:val="auto"/>
              </w:rPr>
            </w:pPr>
            <w:r>
              <w:rPr>
                <w:rFonts w:ascii="Times New Roman" w:cs="Times New Roman" w:eastAsia="Times New Roman" w:hAnsi="Times New Roman"/>
                <w:sz w:val="17"/>
                <w:szCs w:val="17"/>
                <w:color w:val="131413"/>
              </w:rPr>
              <w:t>0.06(0.007)</w:t>
            </w:r>
          </w:p>
        </w:tc>
        <w:tc>
          <w:tcPr>
            <w:tcW w:w="1760" w:type="dxa"/>
            <w:vAlign w:val="bottom"/>
          </w:tcPr>
          <w:p>
            <w:pPr>
              <w:ind w:left="580"/>
              <w:spacing w:after="0" w:line="181" w:lineRule="exact"/>
              <w:rPr>
                <w:sz w:val="20"/>
                <w:szCs w:val="20"/>
                <w:color w:val="auto"/>
              </w:rPr>
            </w:pPr>
            <w:r>
              <w:rPr>
                <w:rFonts w:ascii="Times New Roman" w:cs="Times New Roman" w:eastAsia="Times New Roman" w:hAnsi="Times New Roman"/>
                <w:sz w:val="17"/>
                <w:szCs w:val="17"/>
                <w:color w:val="131413"/>
              </w:rPr>
              <w:t>0.06(0.002)</w:t>
            </w:r>
          </w:p>
        </w:tc>
        <w:tc>
          <w:tcPr>
            <w:tcW w:w="1200" w:type="dxa"/>
            <w:vAlign w:val="bottom"/>
            <w:gridSpan w:val="2"/>
          </w:tcPr>
          <w:p>
            <w:pPr>
              <w:ind w:left="420"/>
              <w:spacing w:after="0" w:line="181" w:lineRule="exact"/>
              <w:rPr>
                <w:sz w:val="20"/>
                <w:szCs w:val="20"/>
                <w:color w:val="auto"/>
              </w:rPr>
            </w:pPr>
            <w:r>
              <w:rPr>
                <w:rFonts w:ascii="Times New Roman" w:cs="Times New Roman" w:eastAsia="Times New Roman" w:hAnsi="Times New Roman"/>
                <w:sz w:val="17"/>
                <w:szCs w:val="17"/>
                <w:color w:val="131413"/>
                <w:w w:val="95"/>
              </w:rPr>
              <w:t>0.03(0.194)</w:t>
            </w:r>
          </w:p>
        </w:tc>
      </w:tr>
      <w:tr>
        <w:trPr>
          <w:trHeight w:val="94"/>
        </w:trPr>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240" w:type="dxa"/>
            <w:vAlign w:val="bottom"/>
          </w:tcPr>
          <w:p>
            <w:pPr>
              <w:spacing w:after="0"/>
              <w:rPr>
                <w:sz w:val="8"/>
                <w:szCs w:val="8"/>
                <w:color w:val="auto"/>
              </w:rPr>
            </w:pPr>
          </w:p>
        </w:tc>
        <w:tc>
          <w:tcPr>
            <w:tcW w:w="1140" w:type="dxa"/>
            <w:vAlign w:val="bottom"/>
          </w:tcPr>
          <w:p>
            <w:pPr>
              <w:ind w:left="580"/>
              <w:spacing w:after="0" w:line="95" w:lineRule="exact"/>
              <w:rPr>
                <w:sz w:val="20"/>
                <w:szCs w:val="20"/>
                <w:color w:val="auto"/>
              </w:rPr>
            </w:pPr>
            <w:r>
              <w:rPr>
                <w:rFonts w:ascii="Arial" w:cs="Arial" w:eastAsia="Arial" w:hAnsi="Arial"/>
                <w:sz w:val="10"/>
                <w:szCs w:val="10"/>
                <w:color w:val="131413"/>
              </w:rPr>
              <w:t>β</w:t>
            </w:r>
            <w:r>
              <w:rPr>
                <w:rFonts w:ascii="Times New Roman" w:cs="Times New Roman" w:eastAsia="Times New Roman" w:hAnsi="Times New Roman"/>
                <w:sz w:val="10"/>
                <w:szCs w:val="10"/>
                <w:color w:val="131413"/>
              </w:rPr>
              <w:t>2</w:t>
            </w:r>
          </w:p>
        </w:tc>
        <w:tc>
          <w:tcPr>
            <w:tcW w:w="1600" w:type="dxa"/>
            <w:vAlign w:val="bottom"/>
          </w:tcPr>
          <w:p>
            <w:pPr>
              <w:spacing w:after="0"/>
              <w:rPr>
                <w:sz w:val="8"/>
                <w:szCs w:val="8"/>
                <w:color w:val="auto"/>
              </w:rPr>
            </w:pPr>
          </w:p>
        </w:tc>
        <w:tc>
          <w:tcPr>
            <w:tcW w:w="1780" w:type="dxa"/>
            <w:vAlign w:val="bottom"/>
          </w:tcPr>
          <w:p>
            <w:pPr>
              <w:spacing w:after="0"/>
              <w:rPr>
                <w:sz w:val="8"/>
                <w:szCs w:val="8"/>
                <w:color w:val="auto"/>
              </w:rPr>
            </w:pPr>
          </w:p>
        </w:tc>
        <w:tc>
          <w:tcPr>
            <w:tcW w:w="1760" w:type="dxa"/>
            <w:vAlign w:val="bottom"/>
          </w:tcPr>
          <w:p>
            <w:pPr>
              <w:spacing w:after="0"/>
              <w:rPr>
                <w:sz w:val="8"/>
                <w:szCs w:val="8"/>
                <w:color w:val="auto"/>
              </w:rPr>
            </w:pPr>
          </w:p>
        </w:tc>
        <w:tc>
          <w:tcPr>
            <w:tcW w:w="1180" w:type="dxa"/>
            <w:vAlign w:val="bottom"/>
          </w:tcPr>
          <w:p>
            <w:pPr>
              <w:spacing w:after="0"/>
              <w:rPr>
                <w:sz w:val="8"/>
                <w:szCs w:val="8"/>
                <w:color w:val="auto"/>
              </w:rPr>
            </w:pPr>
          </w:p>
        </w:tc>
        <w:tc>
          <w:tcPr>
            <w:tcW w:w="20" w:type="dxa"/>
            <w:vAlign w:val="bottom"/>
          </w:tcPr>
          <w:p>
            <w:pPr>
              <w:spacing w:after="0"/>
              <w:rPr>
                <w:sz w:val="8"/>
                <w:szCs w:val="8"/>
                <w:color w:val="auto"/>
              </w:rPr>
            </w:pPr>
          </w:p>
        </w:tc>
      </w:tr>
      <w:tr>
        <w:trPr>
          <w:trHeight w:val="232"/>
        </w:trPr>
        <w:tc>
          <w:tcPr>
            <w:tcW w:w="2400" w:type="dxa"/>
            <w:vAlign w:val="bottom"/>
            <w:gridSpan w:val="3"/>
          </w:tcPr>
          <w:p>
            <w:pPr>
              <w:spacing w:after="0"/>
              <w:rPr>
                <w:sz w:val="20"/>
                <w:szCs w:val="20"/>
                <w:color w:val="auto"/>
              </w:rPr>
            </w:pPr>
            <w:r>
              <w:rPr>
                <w:rFonts w:ascii="Times New Roman" w:cs="Times New Roman" w:eastAsia="Times New Roman" w:hAnsi="Times New Roman"/>
                <w:sz w:val="17"/>
                <w:szCs w:val="17"/>
                <w:color w:val="131413"/>
              </w:rPr>
              <w:t>Among patches within groups</w:t>
            </w:r>
          </w:p>
        </w:tc>
        <w:tc>
          <w:tcPr>
            <w:tcW w:w="1140" w:type="dxa"/>
            <w:vAlign w:val="bottom"/>
          </w:tcPr>
          <w:p>
            <w:pPr>
              <w:ind w:left="420"/>
              <w:spacing w:after="0" w:line="232" w:lineRule="exact"/>
              <w:rPr>
                <w:sz w:val="20"/>
                <w:szCs w:val="20"/>
                <w:color w:val="auto"/>
              </w:rPr>
            </w:pPr>
            <w:r>
              <w:rPr>
                <w:rFonts w:ascii="Times New Roman" w:cs="Times New Roman" w:eastAsia="Times New Roman" w:hAnsi="Times New Roman"/>
                <w:sz w:val="26"/>
                <w:szCs w:val="26"/>
                <w:color w:val="131413"/>
                <w:vertAlign w:val="superscript"/>
              </w:rPr>
              <w:t>E</w:t>
            </w:r>
            <w:r>
              <w:rPr>
                <w:rFonts w:ascii="Arial" w:cs="Arial" w:eastAsia="Arial" w:hAnsi="Arial"/>
                <w:sz w:val="10"/>
                <w:szCs w:val="10"/>
                <w:color w:val="131413"/>
              </w:rPr>
              <w:t>β</w:t>
            </w:r>
            <w:r>
              <w:rPr>
                <w:rFonts w:ascii="Times New Roman" w:cs="Times New Roman" w:eastAsia="Times New Roman" w:hAnsi="Times New Roman"/>
                <w:sz w:val="10"/>
                <w:szCs w:val="10"/>
                <w:color w:val="131413"/>
              </w:rPr>
              <w:t>1</w:t>
            </w:r>
          </w:p>
        </w:tc>
        <w:tc>
          <w:tcPr>
            <w:tcW w:w="1600" w:type="dxa"/>
            <w:vAlign w:val="bottom"/>
          </w:tcPr>
          <w:p>
            <w:pPr>
              <w:ind w:left="420"/>
              <w:spacing w:after="0"/>
              <w:rPr>
                <w:sz w:val="20"/>
                <w:szCs w:val="20"/>
                <w:color w:val="auto"/>
              </w:rPr>
            </w:pPr>
            <w:r>
              <w:rPr>
                <w:rFonts w:ascii="Times New Roman" w:cs="Times New Roman" w:eastAsia="Times New Roman" w:hAnsi="Times New Roman"/>
                <w:sz w:val="17"/>
                <w:szCs w:val="17"/>
                <w:color w:val="131413"/>
              </w:rPr>
              <w:t>1.35</w:t>
            </w:r>
          </w:p>
        </w:tc>
        <w:tc>
          <w:tcPr>
            <w:tcW w:w="1780" w:type="dxa"/>
            <w:vAlign w:val="bottom"/>
          </w:tcPr>
          <w:p>
            <w:pPr>
              <w:ind w:left="420"/>
              <w:spacing w:after="0"/>
              <w:rPr>
                <w:sz w:val="20"/>
                <w:szCs w:val="20"/>
                <w:color w:val="auto"/>
              </w:rPr>
            </w:pPr>
            <w:r>
              <w:rPr>
                <w:rFonts w:ascii="Times New Roman" w:cs="Times New Roman" w:eastAsia="Times New Roman" w:hAnsi="Times New Roman"/>
                <w:sz w:val="17"/>
                <w:szCs w:val="17"/>
                <w:color w:val="131413"/>
              </w:rPr>
              <w:t>1.63</w:t>
            </w:r>
          </w:p>
        </w:tc>
        <w:tc>
          <w:tcPr>
            <w:tcW w:w="1760" w:type="dxa"/>
            <w:vAlign w:val="bottom"/>
          </w:tcPr>
          <w:p>
            <w:pPr>
              <w:ind w:left="580"/>
              <w:spacing w:after="0"/>
              <w:rPr>
                <w:sz w:val="20"/>
                <w:szCs w:val="20"/>
                <w:color w:val="auto"/>
              </w:rPr>
            </w:pPr>
            <w:r>
              <w:rPr>
                <w:rFonts w:ascii="Times New Roman" w:cs="Times New Roman" w:eastAsia="Times New Roman" w:hAnsi="Times New Roman"/>
                <w:sz w:val="17"/>
                <w:szCs w:val="17"/>
                <w:color w:val="131413"/>
              </w:rPr>
              <w:t>1.52</w:t>
            </w:r>
          </w:p>
        </w:tc>
        <w:tc>
          <w:tcPr>
            <w:tcW w:w="1180" w:type="dxa"/>
            <w:vAlign w:val="bottom"/>
          </w:tcPr>
          <w:p>
            <w:pPr>
              <w:ind w:left="420"/>
              <w:spacing w:after="0"/>
              <w:rPr>
                <w:sz w:val="20"/>
                <w:szCs w:val="20"/>
                <w:color w:val="auto"/>
              </w:rPr>
            </w:pPr>
            <w:r>
              <w:rPr>
                <w:rFonts w:ascii="Times New Roman" w:cs="Times New Roman" w:eastAsia="Times New Roman" w:hAnsi="Times New Roman"/>
                <w:sz w:val="17"/>
                <w:szCs w:val="17"/>
                <w:color w:val="131413"/>
              </w:rPr>
              <w:t>1.59</w:t>
            </w:r>
          </w:p>
        </w:tc>
        <w:tc>
          <w:tcPr>
            <w:tcW w:w="20" w:type="dxa"/>
            <w:vAlign w:val="bottom"/>
          </w:tcPr>
          <w:p>
            <w:pPr>
              <w:spacing w:after="0"/>
              <w:rPr>
                <w:sz w:val="20"/>
                <w:szCs w:val="20"/>
                <w:color w:val="auto"/>
              </w:rPr>
            </w:pPr>
          </w:p>
        </w:tc>
      </w:tr>
      <w:tr>
        <w:trPr>
          <w:trHeight w:val="181"/>
        </w:trPr>
        <w:tc>
          <w:tcPr>
            <w:tcW w:w="2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240" w:type="dxa"/>
            <w:vAlign w:val="bottom"/>
          </w:tcPr>
          <w:p>
            <w:pPr>
              <w:spacing w:after="0"/>
              <w:rPr>
                <w:sz w:val="15"/>
                <w:szCs w:val="15"/>
                <w:color w:val="auto"/>
              </w:rPr>
            </w:pPr>
          </w:p>
        </w:tc>
        <w:tc>
          <w:tcPr>
            <w:tcW w:w="1140" w:type="dxa"/>
            <w:vAlign w:val="bottom"/>
          </w:tcPr>
          <w:p>
            <w:pPr>
              <w:ind w:left="480"/>
              <w:spacing w:after="0" w:line="182" w:lineRule="exact"/>
              <w:rPr>
                <w:sz w:val="20"/>
                <w:szCs w:val="20"/>
                <w:color w:val="auto"/>
              </w:rPr>
            </w:pPr>
            <w:r>
              <w:rPr>
                <w:rFonts w:ascii="Times New Roman" w:cs="Times New Roman" w:eastAsia="Times New Roman" w:hAnsi="Times New Roman"/>
                <w:sz w:val="20"/>
                <w:szCs w:val="20"/>
                <w:color w:val="131413"/>
                <w:vertAlign w:val="subscript"/>
              </w:rPr>
              <w:t>E</w:t>
            </w:r>
            <w:r>
              <w:rPr>
                <w:rFonts w:ascii="Times New Roman" w:cs="Times New Roman" w:eastAsia="Times New Roman" w:hAnsi="Times New Roman"/>
                <w:sz w:val="9"/>
                <w:szCs w:val="9"/>
                <w:color w:val="131413"/>
              </w:rPr>
              <w:t>**</w:t>
            </w:r>
          </w:p>
        </w:tc>
        <w:tc>
          <w:tcPr>
            <w:tcW w:w="1600" w:type="dxa"/>
            <w:vAlign w:val="bottom"/>
          </w:tcPr>
          <w:p>
            <w:pPr>
              <w:ind w:left="420"/>
              <w:spacing w:after="0" w:line="181" w:lineRule="exact"/>
              <w:rPr>
                <w:sz w:val="20"/>
                <w:szCs w:val="20"/>
                <w:color w:val="auto"/>
              </w:rPr>
            </w:pPr>
            <w:r>
              <w:rPr>
                <w:rFonts w:ascii="Times New Roman" w:cs="Times New Roman" w:eastAsia="Times New Roman" w:hAnsi="Times New Roman"/>
                <w:sz w:val="17"/>
                <w:szCs w:val="17"/>
                <w:color w:val="131413"/>
              </w:rPr>
              <w:t>0.17(0.26)</w:t>
            </w:r>
          </w:p>
        </w:tc>
        <w:tc>
          <w:tcPr>
            <w:tcW w:w="1780" w:type="dxa"/>
            <w:vAlign w:val="bottom"/>
          </w:tcPr>
          <w:p>
            <w:pPr>
              <w:ind w:left="420"/>
              <w:spacing w:after="0" w:line="181" w:lineRule="exact"/>
              <w:rPr>
                <w:sz w:val="20"/>
                <w:szCs w:val="20"/>
                <w:color w:val="auto"/>
              </w:rPr>
            </w:pPr>
            <w:r>
              <w:rPr>
                <w:rFonts w:ascii="Times New Roman" w:cs="Times New Roman" w:eastAsia="Times New Roman" w:hAnsi="Times New Roman"/>
                <w:sz w:val="17"/>
                <w:szCs w:val="17"/>
                <w:color w:val="131413"/>
              </w:rPr>
              <w:t>0.31(0.25)</w:t>
            </w:r>
          </w:p>
        </w:tc>
        <w:tc>
          <w:tcPr>
            <w:tcW w:w="1760" w:type="dxa"/>
            <w:vAlign w:val="bottom"/>
          </w:tcPr>
          <w:p>
            <w:pPr>
              <w:ind w:left="580"/>
              <w:spacing w:after="0" w:line="181" w:lineRule="exact"/>
              <w:rPr>
                <w:sz w:val="20"/>
                <w:szCs w:val="20"/>
                <w:color w:val="auto"/>
              </w:rPr>
            </w:pPr>
            <w:r>
              <w:rPr>
                <w:rFonts w:ascii="Times New Roman" w:cs="Times New Roman" w:eastAsia="Times New Roman" w:hAnsi="Times New Roman"/>
                <w:sz w:val="17"/>
                <w:szCs w:val="17"/>
                <w:color w:val="131413"/>
              </w:rPr>
              <w:t>0.26(0.065)</w:t>
            </w:r>
          </w:p>
        </w:tc>
        <w:tc>
          <w:tcPr>
            <w:tcW w:w="1200" w:type="dxa"/>
            <w:vAlign w:val="bottom"/>
            <w:gridSpan w:val="2"/>
          </w:tcPr>
          <w:p>
            <w:pPr>
              <w:ind w:left="420"/>
              <w:spacing w:after="0" w:line="181" w:lineRule="exact"/>
              <w:rPr>
                <w:sz w:val="20"/>
                <w:szCs w:val="20"/>
                <w:color w:val="auto"/>
              </w:rPr>
            </w:pPr>
            <w:r>
              <w:rPr>
                <w:rFonts w:ascii="Times New Roman" w:cs="Times New Roman" w:eastAsia="Times New Roman" w:hAnsi="Times New Roman"/>
                <w:sz w:val="17"/>
                <w:szCs w:val="17"/>
                <w:color w:val="131413"/>
                <w:w w:val="95"/>
              </w:rPr>
              <w:t>0.30(0.297)</w:t>
            </w:r>
          </w:p>
        </w:tc>
      </w:tr>
      <w:tr>
        <w:trPr>
          <w:trHeight w:val="94"/>
        </w:trPr>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240" w:type="dxa"/>
            <w:vAlign w:val="bottom"/>
          </w:tcPr>
          <w:p>
            <w:pPr>
              <w:spacing w:after="0"/>
              <w:rPr>
                <w:sz w:val="8"/>
                <w:szCs w:val="8"/>
                <w:color w:val="auto"/>
              </w:rPr>
            </w:pPr>
          </w:p>
        </w:tc>
        <w:tc>
          <w:tcPr>
            <w:tcW w:w="1140" w:type="dxa"/>
            <w:vAlign w:val="bottom"/>
          </w:tcPr>
          <w:p>
            <w:pPr>
              <w:ind w:left="580"/>
              <w:spacing w:after="0" w:line="95" w:lineRule="exact"/>
              <w:rPr>
                <w:sz w:val="20"/>
                <w:szCs w:val="20"/>
                <w:color w:val="auto"/>
              </w:rPr>
            </w:pPr>
            <w:r>
              <w:rPr>
                <w:rFonts w:ascii="Arial" w:cs="Arial" w:eastAsia="Arial" w:hAnsi="Arial"/>
                <w:sz w:val="10"/>
                <w:szCs w:val="10"/>
                <w:color w:val="131413"/>
              </w:rPr>
              <w:t>β</w:t>
            </w:r>
            <w:r>
              <w:rPr>
                <w:rFonts w:ascii="Times New Roman" w:cs="Times New Roman" w:eastAsia="Times New Roman" w:hAnsi="Times New Roman"/>
                <w:sz w:val="10"/>
                <w:szCs w:val="10"/>
                <w:color w:val="131413"/>
              </w:rPr>
              <w:t>1</w:t>
            </w:r>
          </w:p>
        </w:tc>
        <w:tc>
          <w:tcPr>
            <w:tcW w:w="1600" w:type="dxa"/>
            <w:vAlign w:val="bottom"/>
          </w:tcPr>
          <w:p>
            <w:pPr>
              <w:spacing w:after="0"/>
              <w:rPr>
                <w:sz w:val="8"/>
                <w:szCs w:val="8"/>
                <w:color w:val="auto"/>
              </w:rPr>
            </w:pPr>
          </w:p>
        </w:tc>
        <w:tc>
          <w:tcPr>
            <w:tcW w:w="1780" w:type="dxa"/>
            <w:vAlign w:val="bottom"/>
          </w:tcPr>
          <w:p>
            <w:pPr>
              <w:spacing w:after="0"/>
              <w:rPr>
                <w:sz w:val="8"/>
                <w:szCs w:val="8"/>
                <w:color w:val="auto"/>
              </w:rPr>
            </w:pPr>
          </w:p>
        </w:tc>
        <w:tc>
          <w:tcPr>
            <w:tcW w:w="1760" w:type="dxa"/>
            <w:vAlign w:val="bottom"/>
          </w:tcPr>
          <w:p>
            <w:pPr>
              <w:spacing w:after="0"/>
              <w:rPr>
                <w:sz w:val="8"/>
                <w:szCs w:val="8"/>
                <w:color w:val="auto"/>
              </w:rPr>
            </w:pPr>
          </w:p>
        </w:tc>
        <w:tc>
          <w:tcPr>
            <w:tcW w:w="1180" w:type="dxa"/>
            <w:vAlign w:val="bottom"/>
          </w:tcPr>
          <w:p>
            <w:pPr>
              <w:spacing w:after="0"/>
              <w:rPr>
                <w:sz w:val="8"/>
                <w:szCs w:val="8"/>
                <w:color w:val="auto"/>
              </w:rPr>
            </w:pPr>
          </w:p>
        </w:tc>
        <w:tc>
          <w:tcPr>
            <w:tcW w:w="20" w:type="dxa"/>
            <w:vAlign w:val="bottom"/>
          </w:tcPr>
          <w:p>
            <w:pPr>
              <w:spacing w:after="0"/>
              <w:rPr>
                <w:sz w:val="8"/>
                <w:szCs w:val="8"/>
                <w:color w:val="auto"/>
              </w:rPr>
            </w:pPr>
          </w:p>
        </w:tc>
      </w:tr>
      <w:tr>
        <w:trPr>
          <w:trHeight w:val="254"/>
        </w:trPr>
        <w:tc>
          <w:tcPr>
            <w:tcW w:w="2400" w:type="dxa"/>
            <w:vAlign w:val="bottom"/>
            <w:gridSpan w:val="3"/>
          </w:tcPr>
          <w:p>
            <w:pPr>
              <w:spacing w:after="0"/>
              <w:rPr>
                <w:sz w:val="20"/>
                <w:szCs w:val="20"/>
                <w:color w:val="auto"/>
              </w:rPr>
            </w:pPr>
            <w:r>
              <w:rPr>
                <w:rFonts w:ascii="Times New Roman" w:cs="Times New Roman" w:eastAsia="Times New Roman" w:hAnsi="Times New Roman"/>
                <w:sz w:val="17"/>
                <w:szCs w:val="17"/>
                <w:color w:val="131413"/>
              </w:rPr>
              <w:t>Within patches</w:t>
            </w:r>
          </w:p>
        </w:tc>
        <w:tc>
          <w:tcPr>
            <w:tcW w:w="1140" w:type="dxa"/>
            <w:vAlign w:val="bottom"/>
          </w:tcPr>
          <w:p>
            <w:pPr>
              <w:ind w:left="420"/>
              <w:spacing w:after="0"/>
              <w:rPr>
                <w:sz w:val="20"/>
                <w:szCs w:val="20"/>
                <w:color w:val="auto"/>
              </w:rPr>
            </w:pPr>
            <w:r>
              <w:rPr>
                <w:rFonts w:ascii="Times New Roman" w:cs="Times New Roman" w:eastAsia="Times New Roman" w:hAnsi="Times New Roman"/>
                <w:sz w:val="17"/>
                <w:szCs w:val="17"/>
                <w:color w:val="131413"/>
              </w:rPr>
              <w:t>E</w:t>
            </w:r>
            <w:r>
              <w:rPr>
                <w:rFonts w:ascii="Arial" w:cs="Arial" w:eastAsia="Arial" w:hAnsi="Arial"/>
                <w:sz w:val="22"/>
                <w:szCs w:val="22"/>
                <w:color w:val="131413"/>
                <w:vertAlign w:val="subscript"/>
              </w:rPr>
              <w:t>α</w:t>
            </w:r>
          </w:p>
        </w:tc>
        <w:tc>
          <w:tcPr>
            <w:tcW w:w="1600" w:type="dxa"/>
            <w:vAlign w:val="bottom"/>
          </w:tcPr>
          <w:p>
            <w:pPr>
              <w:ind w:left="420"/>
              <w:spacing w:after="0"/>
              <w:rPr>
                <w:sz w:val="20"/>
                <w:szCs w:val="20"/>
                <w:color w:val="auto"/>
              </w:rPr>
            </w:pPr>
            <w:r>
              <w:rPr>
                <w:rFonts w:ascii="Times New Roman" w:cs="Times New Roman" w:eastAsia="Times New Roman" w:hAnsi="Times New Roman"/>
                <w:sz w:val="17"/>
                <w:szCs w:val="17"/>
                <w:color w:val="131413"/>
              </w:rPr>
              <w:t>2.50</w:t>
            </w:r>
          </w:p>
        </w:tc>
        <w:tc>
          <w:tcPr>
            <w:tcW w:w="1780" w:type="dxa"/>
            <w:vAlign w:val="bottom"/>
          </w:tcPr>
          <w:p>
            <w:pPr>
              <w:ind w:left="420"/>
              <w:spacing w:after="0"/>
              <w:rPr>
                <w:sz w:val="20"/>
                <w:szCs w:val="20"/>
                <w:color w:val="auto"/>
              </w:rPr>
            </w:pPr>
            <w:r>
              <w:rPr>
                <w:rFonts w:ascii="Times New Roman" w:cs="Times New Roman" w:eastAsia="Times New Roman" w:hAnsi="Times New Roman"/>
                <w:sz w:val="17"/>
                <w:szCs w:val="17"/>
                <w:color w:val="131413"/>
              </w:rPr>
              <w:t>3.61</w:t>
            </w:r>
          </w:p>
        </w:tc>
        <w:tc>
          <w:tcPr>
            <w:tcW w:w="1760" w:type="dxa"/>
            <w:vAlign w:val="bottom"/>
          </w:tcPr>
          <w:p>
            <w:pPr>
              <w:ind w:left="580"/>
              <w:spacing w:after="0"/>
              <w:rPr>
                <w:sz w:val="20"/>
                <w:szCs w:val="20"/>
                <w:color w:val="auto"/>
              </w:rPr>
            </w:pPr>
            <w:r>
              <w:rPr>
                <w:rFonts w:ascii="Times New Roman" w:cs="Times New Roman" w:eastAsia="Times New Roman" w:hAnsi="Times New Roman"/>
                <w:sz w:val="17"/>
                <w:szCs w:val="17"/>
                <w:color w:val="131413"/>
              </w:rPr>
              <w:t>3.94</w:t>
            </w:r>
          </w:p>
        </w:tc>
        <w:tc>
          <w:tcPr>
            <w:tcW w:w="1180" w:type="dxa"/>
            <w:vAlign w:val="bottom"/>
          </w:tcPr>
          <w:p>
            <w:pPr>
              <w:ind w:left="420"/>
              <w:spacing w:after="0"/>
              <w:rPr>
                <w:sz w:val="20"/>
                <w:szCs w:val="20"/>
                <w:color w:val="auto"/>
              </w:rPr>
            </w:pPr>
            <w:r>
              <w:rPr>
                <w:rFonts w:ascii="Times New Roman" w:cs="Times New Roman" w:eastAsia="Times New Roman" w:hAnsi="Times New Roman"/>
                <w:sz w:val="17"/>
                <w:szCs w:val="17"/>
                <w:color w:val="131413"/>
              </w:rPr>
              <w:t>4.48</w:t>
            </w:r>
          </w:p>
        </w:tc>
        <w:tc>
          <w:tcPr>
            <w:tcW w:w="20" w:type="dxa"/>
            <w:vAlign w:val="bottom"/>
          </w:tcPr>
          <w:p>
            <w:pPr>
              <w:spacing w:after="0"/>
              <w:rPr>
                <w:sz w:val="22"/>
                <w:szCs w:val="22"/>
                <w:color w:val="auto"/>
              </w:rPr>
            </w:pPr>
          </w:p>
        </w:tc>
      </w:tr>
      <w:tr>
        <w:trPr>
          <w:trHeight w:val="301"/>
        </w:trPr>
        <w:tc>
          <w:tcPr>
            <w:tcW w:w="2400" w:type="dxa"/>
            <w:vAlign w:val="bottom"/>
            <w:tcBorders>
              <w:bottom w:val="single" w:sz="8" w:color="131413"/>
            </w:tcBorders>
            <w:gridSpan w:val="3"/>
          </w:tcPr>
          <w:p>
            <w:pPr>
              <w:spacing w:after="0"/>
              <w:rPr>
                <w:sz w:val="20"/>
                <w:szCs w:val="20"/>
                <w:color w:val="auto"/>
              </w:rPr>
            </w:pPr>
            <w:r>
              <w:rPr>
                <w:rFonts w:ascii="Times New Roman" w:cs="Times New Roman" w:eastAsia="Times New Roman" w:hAnsi="Times New Roman"/>
                <w:sz w:val="17"/>
                <w:szCs w:val="17"/>
                <w:color w:val="131413"/>
              </w:rPr>
              <w:t>Total</w:t>
            </w:r>
          </w:p>
        </w:tc>
        <w:tc>
          <w:tcPr>
            <w:tcW w:w="1140" w:type="dxa"/>
            <w:vAlign w:val="bottom"/>
            <w:tcBorders>
              <w:bottom w:val="single" w:sz="8" w:color="131413"/>
            </w:tcBorders>
          </w:tcPr>
          <w:p>
            <w:pPr>
              <w:ind w:left="420"/>
              <w:spacing w:after="0"/>
              <w:rPr>
                <w:sz w:val="20"/>
                <w:szCs w:val="20"/>
                <w:color w:val="auto"/>
              </w:rPr>
            </w:pPr>
            <w:r>
              <w:rPr>
                <w:rFonts w:ascii="Times New Roman" w:cs="Times New Roman" w:eastAsia="Times New Roman" w:hAnsi="Times New Roman"/>
                <w:sz w:val="17"/>
                <w:szCs w:val="17"/>
                <w:color w:val="131413"/>
              </w:rPr>
              <w:t>E</w:t>
            </w:r>
            <w:r>
              <w:rPr>
                <w:rFonts w:ascii="Arial" w:cs="Arial" w:eastAsia="Arial" w:hAnsi="Arial"/>
                <w:sz w:val="22"/>
                <w:szCs w:val="22"/>
                <w:color w:val="131413"/>
                <w:vertAlign w:val="subscript"/>
              </w:rPr>
              <w:t>γ</w:t>
            </w:r>
          </w:p>
        </w:tc>
        <w:tc>
          <w:tcPr>
            <w:tcW w:w="1600" w:type="dxa"/>
            <w:vAlign w:val="bottom"/>
            <w:tcBorders>
              <w:bottom w:val="single" w:sz="8" w:color="131413"/>
            </w:tcBorders>
          </w:tcPr>
          <w:p>
            <w:pPr>
              <w:ind w:left="420"/>
              <w:spacing w:after="0"/>
              <w:rPr>
                <w:sz w:val="20"/>
                <w:szCs w:val="20"/>
                <w:color w:val="auto"/>
              </w:rPr>
            </w:pPr>
            <w:r>
              <w:rPr>
                <w:rFonts w:ascii="Times New Roman" w:cs="Times New Roman" w:eastAsia="Times New Roman" w:hAnsi="Times New Roman"/>
                <w:sz w:val="17"/>
                <w:szCs w:val="17"/>
                <w:color w:val="131413"/>
              </w:rPr>
              <w:t>7.20</w:t>
            </w:r>
          </w:p>
        </w:tc>
        <w:tc>
          <w:tcPr>
            <w:tcW w:w="1780" w:type="dxa"/>
            <w:vAlign w:val="bottom"/>
            <w:tcBorders>
              <w:bottom w:val="single" w:sz="8" w:color="131413"/>
            </w:tcBorders>
          </w:tcPr>
          <w:p>
            <w:pPr>
              <w:ind w:left="420"/>
              <w:spacing w:after="0"/>
              <w:rPr>
                <w:sz w:val="20"/>
                <w:szCs w:val="20"/>
                <w:color w:val="auto"/>
              </w:rPr>
            </w:pPr>
            <w:r>
              <w:rPr>
                <w:rFonts w:ascii="Times New Roman" w:cs="Times New Roman" w:eastAsia="Times New Roman" w:hAnsi="Times New Roman"/>
                <w:sz w:val="17"/>
                <w:szCs w:val="17"/>
                <w:color w:val="131413"/>
              </w:rPr>
              <w:t>11.41</w:t>
            </w:r>
          </w:p>
        </w:tc>
        <w:tc>
          <w:tcPr>
            <w:tcW w:w="1760" w:type="dxa"/>
            <w:vAlign w:val="bottom"/>
            <w:tcBorders>
              <w:bottom w:val="single" w:sz="8" w:color="131413"/>
            </w:tcBorders>
          </w:tcPr>
          <w:p>
            <w:pPr>
              <w:ind w:left="580"/>
              <w:spacing w:after="0"/>
              <w:rPr>
                <w:sz w:val="20"/>
                <w:szCs w:val="20"/>
                <w:color w:val="auto"/>
              </w:rPr>
            </w:pPr>
            <w:r>
              <w:rPr>
                <w:rFonts w:ascii="Times New Roman" w:cs="Times New Roman" w:eastAsia="Times New Roman" w:hAnsi="Times New Roman"/>
                <w:sz w:val="17"/>
                <w:szCs w:val="17"/>
                <w:color w:val="131413"/>
              </w:rPr>
              <w:t>11.92</w:t>
            </w:r>
          </w:p>
        </w:tc>
        <w:tc>
          <w:tcPr>
            <w:tcW w:w="1180" w:type="dxa"/>
            <w:vAlign w:val="bottom"/>
            <w:tcBorders>
              <w:bottom w:val="single" w:sz="8" w:color="131413"/>
            </w:tcBorders>
          </w:tcPr>
          <w:p>
            <w:pPr>
              <w:ind w:left="420"/>
              <w:spacing w:after="0"/>
              <w:rPr>
                <w:sz w:val="20"/>
                <w:szCs w:val="20"/>
                <w:color w:val="auto"/>
              </w:rPr>
            </w:pPr>
            <w:r>
              <w:rPr>
                <w:rFonts w:ascii="Times New Roman" w:cs="Times New Roman" w:eastAsia="Times New Roman" w:hAnsi="Times New Roman"/>
                <w:sz w:val="17"/>
                <w:szCs w:val="17"/>
                <w:color w:val="131413"/>
              </w:rPr>
              <w:t>10.37</w:t>
            </w:r>
          </w:p>
        </w:tc>
        <w:tc>
          <w:tcPr>
            <w:tcW w:w="20" w:type="dxa"/>
            <w:vAlign w:val="bottom"/>
            <w:tcBorders>
              <w:bottom w:val="single" w:sz="8" w:color="131413"/>
            </w:tcBorders>
          </w:tcPr>
          <w:p>
            <w:pPr>
              <w:spacing w:after="0"/>
              <w:rPr>
                <w:sz w:val="24"/>
                <w:szCs w:val="24"/>
                <w:color w:val="auto"/>
              </w:rPr>
            </w:pPr>
          </w:p>
        </w:tc>
      </w:tr>
      <w:tr>
        <w:trPr>
          <w:trHeight w:val="652"/>
        </w:trPr>
        <w:tc>
          <w:tcPr>
            <w:tcW w:w="20" w:type="dxa"/>
            <w:vAlign w:val="bottom"/>
          </w:tcPr>
          <w:p>
            <w:pPr>
              <w:spacing w:after="0"/>
              <w:rPr>
                <w:sz w:val="24"/>
                <w:szCs w:val="24"/>
                <w:color w:val="auto"/>
              </w:rPr>
            </w:pPr>
          </w:p>
        </w:tc>
        <w:tc>
          <w:tcPr>
            <w:tcW w:w="140" w:type="dxa"/>
            <w:vAlign w:val="bottom"/>
            <w:tcBorders>
              <w:bottom w:val="single" w:sz="8" w:color="131413"/>
            </w:tcBorders>
          </w:tcPr>
          <w:p>
            <w:pPr>
              <w:spacing w:after="0"/>
              <w:rPr>
                <w:sz w:val="24"/>
                <w:szCs w:val="24"/>
                <w:color w:val="auto"/>
              </w:rPr>
            </w:pPr>
          </w:p>
        </w:tc>
        <w:tc>
          <w:tcPr>
            <w:tcW w:w="224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20" w:type="dxa"/>
            <w:vAlign w:val="bottom"/>
          </w:tcPr>
          <w:p>
            <w:pPr>
              <w:spacing w:after="0"/>
              <w:rPr>
                <w:sz w:val="24"/>
                <w:szCs w:val="24"/>
                <w:color w:val="auto"/>
              </w:rPr>
            </w:pPr>
          </w:p>
        </w:tc>
      </w:tr>
    </w:tbl>
    <w:p>
      <w:pPr>
        <w:spacing w:after="0" w:line="20" w:lineRule="exact"/>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mc:AlternateContent>
          <mc:Choice Requires="wps">
            <w:drawing>
              <wp:anchor simplePos="0" relativeHeight="251657728" behindDoc="1" locked="0" layoutInCell="0" allowOverlap="1">
                <wp:simplePos x="0" y="0"/>
                <wp:positionH relativeFrom="column">
                  <wp:posOffset>-5715</wp:posOffset>
                </wp:positionH>
                <wp:positionV relativeFrom="paragraph">
                  <wp:posOffset>-434340</wp:posOffset>
                </wp:positionV>
                <wp:extent cx="12065"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34.1999pt" to="0.5pt,-34.19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-1499870</wp:posOffset>
                </wp:positionV>
                <wp:extent cx="12065"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18.0999pt" to="0.5pt,-118.0999pt" o:allowincell="f" strokecolor="#131413" strokeweight="0.5669pt"/>
            </w:pict>
          </mc:Fallback>
        </mc:AlternateContent>
        <w:drawing>
          <wp:anchor simplePos="0" relativeHeight="251657728" behindDoc="1" locked="0" layoutInCell="0" allowOverlap="1">
            <wp:simplePos x="0" y="0"/>
            <wp:positionH relativeFrom="column">
              <wp:posOffset>0</wp:posOffset>
            </wp:positionH>
            <wp:positionV relativeFrom="paragraph">
              <wp:posOffset>-125095</wp:posOffset>
            </wp:positionV>
            <wp:extent cx="483870" cy="13843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ectPr>
          <w:pgSz w:w="11900" w:h="15817" w:orient="portrait"/>
          <w:cols w:equalWidth="0" w:num="1">
            <w:col w:w="9880"/>
          </w:cols>
          <w:pgMar w:left="1020" w:top="649" w:right="1006" w:bottom="339" w:gutter="0" w:footer="0" w:header="0"/>
          <w:type w:val="continuous"/>
        </w:sectPr>
      </w:pPr>
    </w:p>
    <w:bookmarkStart w:id="6" w:name="page7"/>
    <w:bookmarkEnd w:id="6"/>
    <w:p>
      <w:pPr>
        <w:spacing w:after="0"/>
        <w:rPr>
          <w:sz w:val="20"/>
          <w:szCs w:val="20"/>
          <w:color w:val="auto"/>
        </w:rPr>
      </w:pPr>
      <w:r>
        <w:rPr>
          <w:rFonts w:ascii="Arial" w:cs="Arial" w:eastAsia="Arial" w:hAnsi="Arial"/>
          <w:sz w:val="13"/>
          <w:szCs w:val="13"/>
          <w:color w:val="131413"/>
        </w:rPr>
        <w:t>Urban Ecosyst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61595</wp:posOffset>
                </wp:positionV>
                <wp:extent cx="627634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6340" cy="4763"/>
                        </a:xfrm>
                        <a:prstGeom prst="line">
                          <a:avLst/>
                        </a:prstGeom>
                        <a:solidFill>
                          <a:srgbClr val="FFFFFF"/>
                        </a:solidFill>
                        <a:ln w="25660">
                          <a:solidFill>
                            <a:srgbClr val="131413"/>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85pt" to="493.75pt,4.85pt" o:allowincell="f" strokecolor="#131413" strokeweight="2.0205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48895</wp:posOffset>
                </wp:positionV>
                <wp:extent cx="0" cy="2540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85pt" to="0pt,5.85pt" o:allowincell="f" strokecolor="#131413" strokeweight="1pt"/>
            </w:pict>
          </mc:Fallback>
        </mc:AlternateContent>
        <mc:AlternateContent>
          <mc:Choice Requires="wps">
            <w:drawing>
              <wp:anchor simplePos="0" relativeHeight="251657728" behindDoc="1" locked="0" layoutInCell="0" allowOverlap="1">
                <wp:simplePos x="0" y="0"/>
                <wp:positionH relativeFrom="column">
                  <wp:posOffset>6264275</wp:posOffset>
                </wp:positionH>
                <wp:positionV relativeFrom="paragraph">
                  <wp:posOffset>48895</wp:posOffset>
                </wp:positionV>
                <wp:extent cx="0" cy="2540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25pt,3.85pt" to="493.25pt,5.85pt" o:allowincell="f" strokecolor="#131413" strokeweight="1pt"/>
            </w:pict>
          </mc:Fallback>
        </mc:AlternateContent>
      </w:r>
    </w:p>
    <w:p>
      <w:pPr>
        <w:sectPr>
          <w:pgSz w:w="11900" w:h="15817" w:orient="portrait"/>
          <w:cols w:equalWidth="0" w:num="1">
            <w:col w:w="9880"/>
          </w:cols>
          <w:pgMar w:left="1020" w:top="649" w:right="1006" w:bottom="919" w:gutter="0" w:footer="0" w:header="0"/>
        </w:sectPr>
      </w:pPr>
    </w:p>
    <w:p>
      <w:pPr>
        <w:spacing w:after="0" w:line="328" w:lineRule="exact"/>
        <w:rPr>
          <w:sz w:val="20"/>
          <w:szCs w:val="20"/>
          <w:color w:val="auto"/>
        </w:rPr>
      </w:pPr>
    </w:p>
    <w:p>
      <w:pPr>
        <w:jc w:val="both"/>
        <w:spacing w:after="0" w:line="238" w:lineRule="auto"/>
        <w:rPr>
          <w:sz w:val="20"/>
          <w:szCs w:val="20"/>
          <w:color w:val="auto"/>
        </w:rPr>
      </w:pPr>
      <w:r>
        <w:rPr>
          <w:rFonts w:ascii="Arial" w:cs="Arial" w:eastAsia="Arial" w:hAnsi="Arial"/>
          <w:sz w:val="17"/>
          <w:szCs w:val="17"/>
          <w:color w:val="131413"/>
        </w:rPr>
        <w:t xml:space="preserve">Table 6 </w:t>
      </w:r>
      <w:r>
        <w:rPr>
          <w:rFonts w:ascii="Times New Roman" w:cs="Times New Roman" w:eastAsia="Times New Roman" w:hAnsi="Times New Roman"/>
          <w:sz w:val="17"/>
          <w:szCs w:val="17"/>
          <w:color w:val="131413"/>
        </w:rPr>
        <w:t>Relative importance (%)</w:t>
      </w:r>
      <w:r>
        <w:rPr>
          <w:rFonts w:ascii="Arial" w:cs="Arial" w:eastAsia="Arial" w:hAnsi="Arial"/>
          <w:sz w:val="17"/>
          <w:szCs w:val="17"/>
          <w:color w:val="131413"/>
        </w:rPr>
        <w:t xml:space="preserve"> </w:t>
      </w:r>
      <w:r>
        <w:rPr>
          <w:rFonts w:ascii="Times New Roman" w:cs="Times New Roman" w:eastAsia="Times New Roman" w:hAnsi="Times New Roman"/>
          <w:sz w:val="17"/>
          <w:szCs w:val="17"/>
          <w:color w:val="131413"/>
        </w:rPr>
        <w:t>of predictors estimated using the GDMs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6"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95"/>
        </w:trPr>
        <w:tc>
          <w:tcPr>
            <w:tcW w:w="2360" w:type="dxa"/>
            <w:vAlign w:val="bottom"/>
          </w:tcPr>
          <w:p>
            <w:pPr>
              <w:spacing w:after="0"/>
              <w:rPr>
                <w:sz w:val="20"/>
                <w:szCs w:val="20"/>
                <w:color w:val="auto"/>
              </w:rPr>
            </w:pPr>
            <w:r>
              <w:rPr>
                <w:rFonts w:ascii="Times New Roman" w:cs="Times New Roman" w:eastAsia="Times New Roman" w:hAnsi="Times New Roman"/>
                <w:sz w:val="17"/>
                <w:szCs w:val="17"/>
                <w:color w:val="131413"/>
              </w:rPr>
              <w:t>Explained variable</w:t>
            </w:r>
          </w:p>
        </w:tc>
        <w:tc>
          <w:tcPr>
            <w:tcW w:w="98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Adult tree</w:t>
            </w:r>
          </w:p>
        </w:tc>
        <w:tc>
          <w:tcPr>
            <w:tcW w:w="150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Sapling/ Seedling</w:t>
            </w:r>
          </w:p>
        </w:tc>
        <w:tc>
          <w:tcPr>
            <w:tcW w:w="7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Tree</w:t>
            </w:r>
          </w:p>
        </w:tc>
        <w:tc>
          <w:tcPr>
            <w:tcW w:w="7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Shrub</w:t>
            </w:r>
          </w:p>
        </w:tc>
        <w:tc>
          <w:tcPr>
            <w:tcW w:w="1040" w:type="dxa"/>
            <w:vAlign w:val="bottom"/>
            <w:gridSpan w:val="2"/>
          </w:tcPr>
          <w:p>
            <w:pPr>
              <w:ind w:left="160"/>
              <w:spacing w:after="0"/>
              <w:rPr>
                <w:sz w:val="20"/>
                <w:szCs w:val="20"/>
                <w:color w:val="auto"/>
              </w:rPr>
            </w:pPr>
            <w:r>
              <w:rPr>
                <w:rFonts w:ascii="Times New Roman" w:cs="Times New Roman" w:eastAsia="Times New Roman" w:hAnsi="Times New Roman"/>
                <w:sz w:val="17"/>
                <w:szCs w:val="17"/>
                <w:color w:val="131413"/>
                <w:w w:val="97"/>
              </w:rPr>
              <w:t>Woody plant</w:t>
            </w:r>
          </w:p>
        </w:tc>
      </w:tr>
      <w:tr>
        <w:trPr>
          <w:trHeight w:val="108"/>
        </w:trPr>
        <w:tc>
          <w:tcPr>
            <w:tcW w:w="2360" w:type="dxa"/>
            <w:vAlign w:val="bottom"/>
            <w:tcBorders>
              <w:bottom w:val="single" w:sz="8" w:color="131413"/>
            </w:tcBorders>
          </w:tcPr>
          <w:p>
            <w:pPr>
              <w:spacing w:after="0"/>
              <w:rPr>
                <w:sz w:val="9"/>
                <w:szCs w:val="9"/>
                <w:color w:val="auto"/>
              </w:rPr>
            </w:pPr>
          </w:p>
        </w:tc>
        <w:tc>
          <w:tcPr>
            <w:tcW w:w="980" w:type="dxa"/>
            <w:vAlign w:val="bottom"/>
            <w:tcBorders>
              <w:bottom w:val="single" w:sz="8" w:color="131413"/>
            </w:tcBorders>
          </w:tcPr>
          <w:p>
            <w:pPr>
              <w:spacing w:after="0"/>
              <w:rPr>
                <w:sz w:val="9"/>
                <w:szCs w:val="9"/>
                <w:color w:val="auto"/>
              </w:rPr>
            </w:pPr>
          </w:p>
        </w:tc>
        <w:tc>
          <w:tcPr>
            <w:tcW w:w="1500" w:type="dxa"/>
            <w:vAlign w:val="bottom"/>
            <w:tcBorders>
              <w:bottom w:val="single" w:sz="8" w:color="131413"/>
            </w:tcBorders>
          </w:tcPr>
          <w:p>
            <w:pPr>
              <w:spacing w:after="0"/>
              <w:rPr>
                <w:sz w:val="9"/>
                <w:szCs w:val="9"/>
                <w:color w:val="auto"/>
              </w:rPr>
            </w:pPr>
          </w:p>
        </w:tc>
        <w:tc>
          <w:tcPr>
            <w:tcW w:w="720" w:type="dxa"/>
            <w:vAlign w:val="bottom"/>
            <w:tcBorders>
              <w:bottom w:val="single" w:sz="8" w:color="131413"/>
            </w:tcBorders>
          </w:tcPr>
          <w:p>
            <w:pPr>
              <w:spacing w:after="0"/>
              <w:rPr>
                <w:sz w:val="9"/>
                <w:szCs w:val="9"/>
                <w:color w:val="auto"/>
              </w:rPr>
            </w:pPr>
          </w:p>
        </w:tc>
        <w:tc>
          <w:tcPr>
            <w:tcW w:w="720" w:type="dxa"/>
            <w:vAlign w:val="bottom"/>
            <w:tcBorders>
              <w:bottom w:val="single" w:sz="8" w:color="131413"/>
            </w:tcBorders>
          </w:tcPr>
          <w:p>
            <w:pPr>
              <w:spacing w:after="0"/>
              <w:rPr>
                <w:sz w:val="9"/>
                <w:szCs w:val="9"/>
                <w:color w:val="auto"/>
              </w:rPr>
            </w:pPr>
          </w:p>
        </w:tc>
        <w:tc>
          <w:tcPr>
            <w:tcW w:w="1020" w:type="dxa"/>
            <w:vAlign w:val="bottom"/>
            <w:tcBorders>
              <w:bottom w:val="single" w:sz="8" w:color="131413"/>
            </w:tcBorders>
          </w:tcPr>
          <w:p>
            <w:pPr>
              <w:spacing w:after="0"/>
              <w:rPr>
                <w:sz w:val="9"/>
                <w:szCs w:val="9"/>
                <w:color w:val="auto"/>
              </w:rPr>
            </w:pPr>
          </w:p>
        </w:tc>
        <w:tc>
          <w:tcPr>
            <w:tcW w:w="20" w:type="dxa"/>
            <w:vAlign w:val="bottom"/>
          </w:tcPr>
          <w:p>
            <w:pPr>
              <w:spacing w:after="0"/>
              <w:rPr>
                <w:sz w:val="9"/>
                <w:szCs w:val="9"/>
                <w:color w:val="auto"/>
              </w:rPr>
            </w:pPr>
          </w:p>
        </w:tc>
      </w:tr>
      <w:tr>
        <w:trPr>
          <w:trHeight w:val="281"/>
        </w:trPr>
        <w:tc>
          <w:tcPr>
            <w:tcW w:w="2360" w:type="dxa"/>
            <w:vAlign w:val="bottom"/>
          </w:tcPr>
          <w:p>
            <w:pPr>
              <w:spacing w:after="0"/>
              <w:rPr>
                <w:sz w:val="20"/>
                <w:szCs w:val="20"/>
                <w:color w:val="auto"/>
              </w:rPr>
            </w:pPr>
            <w:r>
              <w:rPr>
                <w:rFonts w:ascii="Times New Roman" w:cs="Times New Roman" w:eastAsia="Times New Roman" w:hAnsi="Times New Roman"/>
                <w:sz w:val="17"/>
                <w:szCs w:val="17"/>
                <w:color w:val="131413"/>
              </w:rPr>
              <w:t>Patch size</w:t>
            </w:r>
          </w:p>
        </w:tc>
        <w:tc>
          <w:tcPr>
            <w:tcW w:w="98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33.49</w:t>
            </w:r>
          </w:p>
        </w:tc>
        <w:tc>
          <w:tcPr>
            <w:tcW w:w="150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8.03</w:t>
            </w:r>
          </w:p>
        </w:tc>
        <w:tc>
          <w:tcPr>
            <w:tcW w:w="7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25.12</w:t>
            </w:r>
          </w:p>
        </w:tc>
        <w:tc>
          <w:tcPr>
            <w:tcW w:w="7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40.53</w:t>
            </w:r>
          </w:p>
        </w:tc>
        <w:tc>
          <w:tcPr>
            <w:tcW w:w="10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36.35</w:t>
            </w:r>
          </w:p>
        </w:tc>
        <w:tc>
          <w:tcPr>
            <w:tcW w:w="20" w:type="dxa"/>
            <w:vAlign w:val="bottom"/>
          </w:tcPr>
          <w:p>
            <w:pPr>
              <w:spacing w:after="0"/>
              <w:rPr>
                <w:sz w:val="24"/>
                <w:szCs w:val="24"/>
                <w:color w:val="auto"/>
              </w:rPr>
            </w:pPr>
          </w:p>
        </w:tc>
      </w:tr>
      <w:tr>
        <w:trPr>
          <w:trHeight w:val="254"/>
        </w:trPr>
        <w:tc>
          <w:tcPr>
            <w:tcW w:w="2360" w:type="dxa"/>
            <w:vAlign w:val="bottom"/>
          </w:tcPr>
          <w:p>
            <w:pPr>
              <w:spacing w:after="0"/>
              <w:rPr>
                <w:sz w:val="20"/>
                <w:szCs w:val="20"/>
                <w:color w:val="auto"/>
              </w:rPr>
            </w:pPr>
            <w:r>
              <w:rPr>
                <w:rFonts w:ascii="Times New Roman" w:cs="Times New Roman" w:eastAsia="Times New Roman" w:hAnsi="Times New Roman"/>
                <w:sz w:val="17"/>
                <w:szCs w:val="17"/>
                <w:color w:val="131413"/>
              </w:rPr>
              <w:t>Vegetation type</w:t>
            </w:r>
          </w:p>
        </w:tc>
        <w:tc>
          <w:tcPr>
            <w:tcW w:w="98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48.00</w:t>
            </w:r>
          </w:p>
        </w:tc>
        <w:tc>
          <w:tcPr>
            <w:tcW w:w="150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61.67</w:t>
            </w:r>
          </w:p>
        </w:tc>
        <w:tc>
          <w:tcPr>
            <w:tcW w:w="7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51.28</w:t>
            </w:r>
          </w:p>
        </w:tc>
        <w:tc>
          <w:tcPr>
            <w:tcW w:w="7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38.43</w:t>
            </w:r>
          </w:p>
        </w:tc>
        <w:tc>
          <w:tcPr>
            <w:tcW w:w="10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40.32</w:t>
            </w:r>
          </w:p>
        </w:tc>
        <w:tc>
          <w:tcPr>
            <w:tcW w:w="20" w:type="dxa"/>
            <w:vAlign w:val="bottom"/>
          </w:tcPr>
          <w:p>
            <w:pPr>
              <w:spacing w:after="0"/>
              <w:rPr>
                <w:sz w:val="22"/>
                <w:szCs w:val="22"/>
                <w:color w:val="auto"/>
              </w:rPr>
            </w:pPr>
          </w:p>
        </w:tc>
      </w:tr>
      <w:tr>
        <w:trPr>
          <w:trHeight w:val="254"/>
        </w:trPr>
        <w:tc>
          <w:tcPr>
            <w:tcW w:w="2360" w:type="dxa"/>
            <w:vAlign w:val="bottom"/>
          </w:tcPr>
          <w:p>
            <w:pPr>
              <w:spacing w:after="0"/>
              <w:rPr>
                <w:sz w:val="20"/>
                <w:szCs w:val="20"/>
                <w:color w:val="auto"/>
              </w:rPr>
            </w:pPr>
            <w:r>
              <w:rPr>
                <w:rFonts w:ascii="Times New Roman" w:cs="Times New Roman" w:eastAsia="Times New Roman" w:hAnsi="Times New Roman"/>
                <w:sz w:val="17"/>
                <w:szCs w:val="17"/>
                <w:color w:val="131413"/>
              </w:rPr>
              <w:t>Percentage of impervious surface</w:t>
            </w:r>
          </w:p>
        </w:tc>
        <w:tc>
          <w:tcPr>
            <w:tcW w:w="98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6.29</w:t>
            </w:r>
          </w:p>
        </w:tc>
        <w:tc>
          <w:tcPr>
            <w:tcW w:w="150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6.12</w:t>
            </w:r>
          </w:p>
        </w:tc>
        <w:tc>
          <w:tcPr>
            <w:tcW w:w="7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0.00</w:t>
            </w:r>
          </w:p>
        </w:tc>
        <w:tc>
          <w:tcPr>
            <w:tcW w:w="7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0.00</w:t>
            </w:r>
          </w:p>
        </w:tc>
        <w:tc>
          <w:tcPr>
            <w:tcW w:w="10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0.00</w:t>
            </w:r>
          </w:p>
        </w:tc>
        <w:tc>
          <w:tcPr>
            <w:tcW w:w="20" w:type="dxa"/>
            <w:vAlign w:val="bottom"/>
          </w:tcPr>
          <w:p>
            <w:pPr>
              <w:spacing w:after="0"/>
              <w:rPr>
                <w:sz w:val="22"/>
                <w:szCs w:val="22"/>
                <w:color w:val="auto"/>
              </w:rPr>
            </w:pPr>
          </w:p>
        </w:tc>
      </w:tr>
      <w:tr>
        <w:trPr>
          <w:trHeight w:val="254"/>
        </w:trPr>
        <w:tc>
          <w:tcPr>
            <w:tcW w:w="2360" w:type="dxa"/>
            <w:vAlign w:val="bottom"/>
          </w:tcPr>
          <w:p>
            <w:pPr>
              <w:spacing w:after="0"/>
              <w:rPr>
                <w:sz w:val="20"/>
                <w:szCs w:val="20"/>
                <w:color w:val="auto"/>
              </w:rPr>
            </w:pPr>
            <w:r>
              <w:rPr>
                <w:rFonts w:ascii="Times New Roman" w:cs="Times New Roman" w:eastAsia="Times New Roman" w:hAnsi="Times New Roman"/>
                <w:sz w:val="17"/>
                <w:szCs w:val="17"/>
                <w:color w:val="131413"/>
              </w:rPr>
              <w:t>Spatial distance</w:t>
            </w:r>
          </w:p>
        </w:tc>
        <w:tc>
          <w:tcPr>
            <w:tcW w:w="98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12.17</w:t>
            </w:r>
          </w:p>
        </w:tc>
        <w:tc>
          <w:tcPr>
            <w:tcW w:w="150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19.04</w:t>
            </w:r>
          </w:p>
        </w:tc>
        <w:tc>
          <w:tcPr>
            <w:tcW w:w="7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20.10</w:t>
            </w:r>
          </w:p>
        </w:tc>
        <w:tc>
          <w:tcPr>
            <w:tcW w:w="7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18.68</w:t>
            </w:r>
          </w:p>
        </w:tc>
        <w:tc>
          <w:tcPr>
            <w:tcW w:w="10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20.82</w:t>
            </w:r>
          </w:p>
        </w:tc>
        <w:tc>
          <w:tcPr>
            <w:tcW w:w="20" w:type="dxa"/>
            <w:vAlign w:val="bottom"/>
          </w:tcPr>
          <w:p>
            <w:pPr>
              <w:spacing w:after="0"/>
              <w:rPr>
                <w:sz w:val="22"/>
                <w:szCs w:val="22"/>
                <w:color w:val="auto"/>
              </w:rPr>
            </w:pPr>
          </w:p>
        </w:tc>
      </w:tr>
      <w:tr>
        <w:trPr>
          <w:trHeight w:val="254"/>
        </w:trPr>
        <w:tc>
          <w:tcPr>
            <w:tcW w:w="2360" w:type="dxa"/>
            <w:vAlign w:val="bottom"/>
          </w:tcPr>
          <w:p>
            <w:pPr>
              <w:spacing w:after="0"/>
              <w:rPr>
                <w:sz w:val="20"/>
                <w:szCs w:val="20"/>
                <w:color w:val="auto"/>
              </w:rPr>
            </w:pPr>
            <w:r>
              <w:rPr>
                <w:rFonts w:ascii="Times New Roman" w:cs="Times New Roman" w:eastAsia="Times New Roman" w:hAnsi="Times New Roman"/>
                <w:sz w:val="17"/>
                <w:szCs w:val="17"/>
                <w:color w:val="131413"/>
              </w:rPr>
              <w:t>Overlap</w:t>
            </w:r>
          </w:p>
        </w:tc>
        <w:tc>
          <w:tcPr>
            <w:tcW w:w="98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0.05</w:t>
            </w:r>
          </w:p>
        </w:tc>
        <w:tc>
          <w:tcPr>
            <w:tcW w:w="150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5.14</w:t>
            </w:r>
          </w:p>
        </w:tc>
        <w:tc>
          <w:tcPr>
            <w:tcW w:w="7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3.50</w:t>
            </w:r>
          </w:p>
        </w:tc>
        <w:tc>
          <w:tcPr>
            <w:tcW w:w="7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2.36</w:t>
            </w:r>
          </w:p>
        </w:tc>
        <w:tc>
          <w:tcPr>
            <w:tcW w:w="102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2.51</w:t>
            </w:r>
          </w:p>
        </w:tc>
        <w:tc>
          <w:tcPr>
            <w:tcW w:w="20" w:type="dxa"/>
            <w:vAlign w:val="bottom"/>
          </w:tcPr>
          <w:p>
            <w:pPr>
              <w:spacing w:after="0"/>
              <w:rPr>
                <w:sz w:val="22"/>
                <w:szCs w:val="22"/>
                <w:color w:val="auto"/>
              </w:rPr>
            </w:pPr>
          </w:p>
        </w:tc>
      </w:tr>
      <w:tr>
        <w:trPr>
          <w:trHeight w:val="106"/>
        </w:trPr>
        <w:tc>
          <w:tcPr>
            <w:tcW w:w="2360" w:type="dxa"/>
            <w:vAlign w:val="bottom"/>
            <w:tcBorders>
              <w:bottom w:val="single" w:sz="8" w:color="131413"/>
            </w:tcBorders>
          </w:tcPr>
          <w:p>
            <w:pPr>
              <w:spacing w:after="0"/>
              <w:rPr>
                <w:sz w:val="9"/>
                <w:szCs w:val="9"/>
                <w:color w:val="auto"/>
              </w:rPr>
            </w:pPr>
          </w:p>
        </w:tc>
        <w:tc>
          <w:tcPr>
            <w:tcW w:w="980" w:type="dxa"/>
            <w:vAlign w:val="bottom"/>
            <w:tcBorders>
              <w:bottom w:val="single" w:sz="8" w:color="131413"/>
            </w:tcBorders>
          </w:tcPr>
          <w:p>
            <w:pPr>
              <w:spacing w:after="0"/>
              <w:rPr>
                <w:sz w:val="9"/>
                <w:szCs w:val="9"/>
                <w:color w:val="auto"/>
              </w:rPr>
            </w:pPr>
          </w:p>
        </w:tc>
        <w:tc>
          <w:tcPr>
            <w:tcW w:w="1500" w:type="dxa"/>
            <w:vAlign w:val="bottom"/>
            <w:tcBorders>
              <w:bottom w:val="single" w:sz="8" w:color="131413"/>
            </w:tcBorders>
          </w:tcPr>
          <w:p>
            <w:pPr>
              <w:spacing w:after="0"/>
              <w:rPr>
                <w:sz w:val="9"/>
                <w:szCs w:val="9"/>
                <w:color w:val="auto"/>
              </w:rPr>
            </w:pPr>
          </w:p>
        </w:tc>
        <w:tc>
          <w:tcPr>
            <w:tcW w:w="720" w:type="dxa"/>
            <w:vAlign w:val="bottom"/>
            <w:tcBorders>
              <w:bottom w:val="single" w:sz="8" w:color="131413"/>
            </w:tcBorders>
          </w:tcPr>
          <w:p>
            <w:pPr>
              <w:spacing w:after="0"/>
              <w:rPr>
                <w:sz w:val="9"/>
                <w:szCs w:val="9"/>
                <w:color w:val="auto"/>
              </w:rPr>
            </w:pPr>
          </w:p>
        </w:tc>
        <w:tc>
          <w:tcPr>
            <w:tcW w:w="720" w:type="dxa"/>
            <w:vAlign w:val="bottom"/>
            <w:tcBorders>
              <w:bottom w:val="single" w:sz="8" w:color="131413"/>
            </w:tcBorders>
          </w:tcPr>
          <w:p>
            <w:pPr>
              <w:spacing w:after="0"/>
              <w:rPr>
                <w:sz w:val="9"/>
                <w:szCs w:val="9"/>
                <w:color w:val="auto"/>
              </w:rPr>
            </w:pPr>
          </w:p>
        </w:tc>
        <w:tc>
          <w:tcPr>
            <w:tcW w:w="1020" w:type="dxa"/>
            <w:vAlign w:val="bottom"/>
            <w:tcBorders>
              <w:bottom w:val="single" w:sz="8" w:color="131413"/>
            </w:tcBorders>
          </w:tcPr>
          <w:p>
            <w:pPr>
              <w:spacing w:after="0"/>
              <w:rPr>
                <w:sz w:val="9"/>
                <w:szCs w:val="9"/>
                <w:color w:val="auto"/>
              </w:rPr>
            </w:pPr>
          </w:p>
        </w:tc>
        <w:tc>
          <w:tcPr>
            <w:tcW w:w="20" w:type="dxa"/>
            <w:vAlign w:val="bottom"/>
            <w:tcBorders>
              <w:bottom w:val="single" w:sz="8" w:color="131413"/>
            </w:tcBorders>
          </w:tcPr>
          <w:p>
            <w:pPr>
              <w:spacing w:after="0"/>
              <w:rPr>
                <w:sz w:val="9"/>
                <w:szCs w:val="9"/>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wp:posOffset>
                </wp:positionH>
                <wp:positionV relativeFrom="paragraph">
                  <wp:posOffset>-1174115</wp:posOffset>
                </wp:positionV>
                <wp:extent cx="4650105"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50105" cy="4763"/>
                        </a:xfrm>
                        <a:prstGeom prst="line">
                          <a:avLst/>
                        </a:prstGeom>
                        <a:solidFill>
                          <a:srgbClr val="FFFFFF"/>
                        </a:solidFill>
                        <a:ln w="19899">
                          <a:solidFill>
                            <a:srgbClr val="131413"/>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8999pt,-92.4499pt" to="365.25pt,-92.4499pt" o:allowincell="f" strokecolor="#131413" strokeweight="1.5669pt"/>
            </w:pict>
          </mc:Fallback>
        </mc:AlternateContent>
        <mc:AlternateContent>
          <mc:Choice Requires="wps">
            <w:drawing>
              <wp:anchor simplePos="0" relativeHeight="251657728" behindDoc="1" locked="0" layoutInCell="0" allowOverlap="1">
                <wp:simplePos x="0" y="0"/>
                <wp:positionH relativeFrom="column">
                  <wp:posOffset>4632325</wp:posOffset>
                </wp:positionH>
                <wp:positionV relativeFrom="paragraph">
                  <wp:posOffset>-1174115</wp:posOffset>
                </wp:positionV>
                <wp:extent cx="1270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199">
                          <a:solidFill>
                            <a:srgbClr val="131413"/>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4.75pt,-92.4499pt" to="365.75pt,-92.44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-11430</wp:posOffset>
                </wp:positionH>
                <wp:positionV relativeFrom="paragraph">
                  <wp:posOffset>-9525</wp:posOffset>
                </wp:positionV>
                <wp:extent cx="12065"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8999pt,-0.7499pt" to="0.05pt,-0.74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-11430</wp:posOffset>
                </wp:positionH>
                <wp:positionV relativeFrom="paragraph">
                  <wp:posOffset>-913130</wp:posOffset>
                </wp:positionV>
                <wp:extent cx="12065"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1">
                          <a:solidFill>
                            <a:srgbClr val="131413"/>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8999pt,-71.8999pt" to="0.05pt,-71.8999pt" o:allowincell="f" strokecolor="#131413" strokeweight="0.567pt"/>
            </w:pict>
          </mc:Fallback>
        </mc:AlternateContent>
      </w:r>
    </w:p>
    <w:p>
      <w:pPr>
        <w:spacing w:after="0" w:line="200" w:lineRule="exact"/>
        <w:rPr>
          <w:sz w:val="20"/>
          <w:szCs w:val="20"/>
          <w:color w:val="auto"/>
        </w:rPr>
      </w:pPr>
    </w:p>
    <w:p>
      <w:pPr>
        <w:sectPr>
          <w:pgSz w:w="11900" w:h="15817" w:orient="portrait"/>
          <w:cols w:equalWidth="0" w:num="2">
            <w:col w:w="2200" w:space="360"/>
            <w:col w:w="7320"/>
          </w:cols>
          <w:pgMar w:left="1020" w:top="649" w:right="1006" w:bottom="919" w:gutter="0" w:footer="0" w:header="0"/>
          <w:type w:val="continuous"/>
        </w:sectPr>
      </w:pPr>
    </w:p>
    <w:p>
      <w:pPr>
        <w:spacing w:after="0" w:line="157"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 xml:space="preserve">The GDM results further indicated that the effects of patch attributes and landscape patterns of surrounding environments varied among different types of woody plants. We found that the vegetation type of the remnant forest patch affected the compositional dissimilarity of sapling/seedlings among patches (61.67%) more than those of adult trees (48%) and shrubs (38.43%). Vegetation type influences the seed source from local canopy trees, the germination process, and habitat availability of sapling/seedlings (Olejniczak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Therefore, the vegetation type accounted for a large portion of the variation in the species composition of saplings/seed-lings. The variation in the species composition of adult tree species in the same group was low because the vegetation type was mainly determined by the dominant species in adult trees. Early studies have found that the vegetation type can affect the compositional dissimilarity of woody plants (Akinyemi et al. </w:t>
      </w:r>
      <w:hyperlink w:anchor="page9">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Zhang et al.</w:t>
      </w:r>
      <w:r>
        <w:rPr>
          <w:rFonts w:ascii="Times New Roman" w:cs="Times New Roman" w:eastAsia="Times New Roman" w:hAnsi="Times New Roman"/>
          <w:sz w:val="19"/>
          <w:szCs w:val="19"/>
          <w:color w:val="0000FF"/>
        </w:rPr>
        <w:t xml:space="preserve"> </w:t>
      </w:r>
      <w:hyperlink w:anchor="page9">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We further showed that the magni-tude of influence was different for different types of woody plants.</w:t>
      </w:r>
    </w:p>
    <w:p>
      <w:pPr>
        <w:spacing w:after="0" w:line="10"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 xml:space="preserve">The patch size has a higher relative importance in affecting the compositional dissimilarity of shrubs (40.53%) than for adult trees (33.49%) and sapling/seedlings (8.03%). A possi-ble mechanism through which the patch size influences the compositional dissimilarity of a plant community is to provide different light conditions to plants in interior and edge zones, especially for the understory plants (Harper et al. </w:t>
      </w:r>
      <w:hyperlink w:anchor="page9">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The low impact on the composition similarity of sapling/seedlings may be due to their tolerance to a low-light condition at this ontogenetic stage. Also, we found that the slope of curves was steeper when the size of the patch was smaller (Fig. </w:t>
      </w:r>
      <w:hyperlink w:anchor="page9">
        <w:r>
          <w:rPr>
            <w:rFonts w:ascii="Times New Roman" w:cs="Times New Roman" w:eastAsia="Times New Roman" w:hAnsi="Times New Roman"/>
            <w:sz w:val="19"/>
            <w:szCs w:val="19"/>
            <w:color w:val="0000FF"/>
          </w:rPr>
          <w:t>2c, d, e</w:t>
        </w:r>
      </w:hyperlink>
      <w:r>
        <w:rPr>
          <w:rFonts w:ascii="Times New Roman" w:cs="Times New Roman" w:eastAsia="Times New Roman" w:hAnsi="Times New Roman"/>
          <w:sz w:val="19"/>
          <w:szCs w:val="19"/>
          <w:color w:val="131413"/>
        </w:rPr>
        <w:t xml:space="preserve">), which indicated that the rates of compositional turnover along the patch size for woody plant species, tree species, and shrub species increased faster when the patch size was smaller. This finding might be due to the fact that small patches often pos-sess some unique species (Wintle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While the im-portance of large patches in maintaining the </w:t>
      </w:r>
      <w:r>
        <w:rPr>
          <w:rFonts w:ascii="Arial" w:cs="Arial" w:eastAsia="Arial" w:hAnsi="Arial"/>
          <w:sz w:val="19"/>
          <w:szCs w:val="19"/>
          <w:color w:val="131413"/>
        </w:rPr>
        <w:t>α</w:t>
      </w:r>
      <w:r>
        <w:rPr>
          <w:rFonts w:ascii="Times New Roman" w:cs="Times New Roman" w:eastAsia="Times New Roman" w:hAnsi="Times New Roman"/>
          <w:sz w:val="19"/>
          <w:szCs w:val="19"/>
          <w:color w:val="131413"/>
        </w:rPr>
        <w:t xml:space="preserve">-diversity has been well noted in other studies (Capmourteres and Anand </w:t>
      </w:r>
      <w:hyperlink w:anchor="page9">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Nielsen et al.</w:t>
      </w:r>
      <w:r>
        <w:rPr>
          <w:rFonts w:ascii="Times New Roman" w:cs="Times New Roman" w:eastAsia="Times New Roman" w:hAnsi="Times New Roman"/>
          <w:sz w:val="19"/>
          <w:szCs w:val="19"/>
          <w:color w:val="0000FF"/>
        </w:rPr>
        <w:t xml:space="preserve"> </w:t>
      </w:r>
      <w:hyperlink w:anchor="page9">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our results showed the importance</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of preserving the small patches in order to maintain the </w:t>
      </w:r>
      <w:r>
        <w:rPr>
          <w:rFonts w:ascii="Arial" w:cs="Arial" w:eastAsia="Arial" w:hAnsi="Arial"/>
          <w:sz w:val="19"/>
          <w:szCs w:val="19"/>
          <w:color w:val="131413"/>
        </w:rPr>
        <w:t>β</w:t>
      </w:r>
      <w:r>
        <w:rPr>
          <w:rFonts w:ascii="Times New Roman" w:cs="Times New Roman" w:eastAsia="Times New Roman" w:hAnsi="Times New Roman"/>
          <w:sz w:val="19"/>
          <w:szCs w:val="19"/>
          <w:color w:val="131413"/>
        </w:rPr>
        <w:t>-diversity of the entire urban remnant forest.</w:t>
      </w:r>
    </w:p>
    <w:p>
      <w:pPr>
        <w:spacing w:after="0" w:line="10" w:lineRule="exact"/>
        <w:rPr>
          <w:rFonts w:ascii="Times New Roman" w:cs="Times New Roman" w:eastAsia="Times New Roman" w:hAnsi="Times New Roman"/>
          <w:sz w:val="19"/>
          <w:szCs w:val="19"/>
          <w:color w:val="131413"/>
        </w:rPr>
      </w:pPr>
    </w:p>
    <w:p>
      <w:pPr>
        <w:jc w:val="both"/>
        <w:ind w:firstLine="227"/>
        <w:spacing w:after="0" w:line="272" w:lineRule="auto"/>
        <w:rPr>
          <w:sz w:val="20"/>
          <w:szCs w:val="20"/>
          <w:color w:val="auto"/>
        </w:rPr>
      </w:pPr>
      <w:r>
        <w:rPr>
          <w:rFonts w:ascii="Times New Roman" w:cs="Times New Roman" w:eastAsia="Times New Roman" w:hAnsi="Times New Roman"/>
          <w:sz w:val="19"/>
          <w:szCs w:val="19"/>
          <w:color w:val="131413"/>
        </w:rPr>
        <w:t>The influence of landscape patterns of surrounding areas on the compositional dissimilarity of woody plants was de-tectable but considerably lower than these of patch attributes. The percentage of impervious surfaces in surrounding areas</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136" w:lineRule="exact"/>
        <w:rPr>
          <w:rFonts w:ascii="Times New Roman" w:cs="Times New Roman" w:eastAsia="Times New Roman" w:hAnsi="Times New Roman"/>
          <w:sz w:val="19"/>
          <w:szCs w:val="19"/>
          <w:color w:val="131413"/>
        </w:rPr>
      </w:pPr>
    </w:p>
    <w:p>
      <w:pPr>
        <w:jc w:val="both"/>
        <w:ind w:right="20"/>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influenced the compositional dissimilarity of adult trees (6.29%) and sapling/seedlings (6.12%) more than that of shrubs (0%). Existing studies found that the increase of im-pervious cover in surrounding areas leads to homogenization of species composition due to the decrease of specialists and the increase of commonly shared species (Uchida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Our result showed that this effect was relatively small and primarily associated with tree species. Furthermore, the rates of compositional turnover along the percentage of impervious surfaces for adult trees and sapling/seedlings reached asymp-tote when the percentage of impervious surfaces reached about 35%. This indicated that the influence of surrounding impervious areas on the compositional dissimilarity of trees in remnant forests stayed at a certain level when the percentage of the impervious area was high. A possible explanation is that the homogenization effect by surrounding areas reached the balance with the intrinsic dynamics of the woody plant com-munity (Zelnik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However, more studies are needed to test this explanation.</w:t>
      </w:r>
    </w:p>
    <w:p>
      <w:pPr>
        <w:spacing w:after="0" w:line="10" w:lineRule="exact"/>
        <w:rPr>
          <w:sz w:val="20"/>
          <w:szCs w:val="20"/>
          <w:color w:val="auto"/>
        </w:rPr>
      </w:pPr>
    </w:p>
    <w:p>
      <w:pPr>
        <w:jc w:val="both"/>
        <w:ind w:right="20" w:firstLine="227"/>
        <w:spacing w:after="0" w:line="288" w:lineRule="auto"/>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t xml:space="preserve">The relative importance of spatial distance on the composi-tional dissimilarity of adult trees (12.17%) was less than sapling/seedlings (19.04%) and shrubs (18.68%). Spatial dis-tances affect the species composition of patches through spa-tially structured speciation or seed dispersal patterns (König et al. </w:t>
      </w:r>
      <w:hyperlink w:anchor="page9">
        <w:r>
          <w:rPr>
            <w:rFonts w:ascii="Times New Roman" w:cs="Times New Roman" w:eastAsia="Times New Roman" w:hAnsi="Times New Roman"/>
            <w:sz w:val="18"/>
            <w:szCs w:val="18"/>
            <w:color w:val="0000FF"/>
          </w:rPr>
          <w:t>2017</w:t>
        </w:r>
      </w:hyperlink>
      <w:r>
        <w:rPr>
          <w:rFonts w:ascii="Times New Roman" w:cs="Times New Roman" w:eastAsia="Times New Roman" w:hAnsi="Times New Roman"/>
          <w:sz w:val="18"/>
          <w:szCs w:val="18"/>
          <w:color w:val="131413"/>
        </w:rPr>
        <w:t xml:space="preserve">). Therefore, the spatial distance was more closely associated with the compositional dissimilarity of sapling/ seedlings because the seed dispersal affected sapling/seedlings more directly than adult trees. The GDM analysis showed that the four predictors explained less than 15% of the variation in the data. The seemly low explanation power by the four pre-dictors is expected because the species diversity of remnant forests is affected by myriad exogenous and endogenous factors (Hahs and McDonnell </w:t>
      </w:r>
      <w:hyperlink w:anchor="page9">
        <w:r>
          <w:rPr>
            <w:rFonts w:ascii="Times New Roman" w:cs="Times New Roman" w:eastAsia="Times New Roman" w:hAnsi="Times New Roman"/>
            <w:sz w:val="18"/>
            <w:szCs w:val="18"/>
            <w:color w:val="0000FF"/>
          </w:rPr>
          <w:t>2007</w:t>
        </w:r>
      </w:hyperlink>
      <w:r>
        <w:rPr>
          <w:rFonts w:ascii="Times New Roman" w:cs="Times New Roman" w:eastAsia="Times New Roman" w:hAnsi="Times New Roman"/>
          <w:sz w:val="18"/>
          <w:szCs w:val="18"/>
          <w:color w:val="131413"/>
        </w:rPr>
        <w:t xml:space="preserve">; Heckmann et al. </w:t>
      </w:r>
      <w:hyperlink w:anchor="page9">
        <w:r>
          <w:rPr>
            <w:rFonts w:ascii="Times New Roman" w:cs="Times New Roman" w:eastAsia="Times New Roman" w:hAnsi="Times New Roman"/>
            <w:sz w:val="18"/>
            <w:szCs w:val="18"/>
            <w:color w:val="0000FF"/>
          </w:rPr>
          <w:t>2008</w:t>
        </w:r>
      </w:hyperlink>
      <w:r>
        <w:rPr>
          <w:rFonts w:ascii="Times New Roman" w:cs="Times New Roman" w:eastAsia="Times New Roman" w:hAnsi="Times New Roman"/>
          <w:sz w:val="18"/>
          <w:szCs w:val="18"/>
          <w:color w:val="131413"/>
        </w:rPr>
        <w:t xml:space="preserve">; Ramalho et al. </w:t>
      </w:r>
      <w:hyperlink w:anchor="page9">
        <w:r>
          <w:rPr>
            <w:rFonts w:ascii="Times New Roman" w:cs="Times New Roman" w:eastAsia="Times New Roman" w:hAnsi="Times New Roman"/>
            <w:sz w:val="18"/>
            <w:szCs w:val="18"/>
            <w:color w:val="0000FF"/>
          </w:rPr>
          <w:t>2014</w:t>
        </w:r>
      </w:hyperlink>
      <w:r>
        <w:rPr>
          <w:rFonts w:ascii="Times New Roman" w:cs="Times New Roman" w:eastAsia="Times New Roman" w:hAnsi="Times New Roman"/>
          <w:sz w:val="18"/>
          <w:szCs w:val="18"/>
          <w:color w:val="131413"/>
        </w:rPr>
        <w:t>). However, our analysis confirmed that the effects of the four predictors were significant and detectable.</w:t>
      </w:r>
    </w:p>
    <w:p>
      <w:pPr>
        <w:spacing w:after="0" w:line="11" w:lineRule="exact"/>
        <w:rPr>
          <w:rFonts w:ascii="Times New Roman" w:cs="Times New Roman" w:eastAsia="Times New Roman" w:hAnsi="Times New Roman"/>
          <w:sz w:val="18"/>
          <w:szCs w:val="18"/>
          <w:color w:val="131413"/>
        </w:rPr>
      </w:pPr>
    </w:p>
    <w:p>
      <w:pPr>
        <w:jc w:val="both"/>
        <w:ind w:right="20" w:firstLine="227"/>
        <w:spacing w:after="0" w:line="273" w:lineRule="auto"/>
        <w:rPr>
          <w:sz w:val="20"/>
          <w:szCs w:val="20"/>
          <w:color w:val="auto"/>
        </w:rPr>
      </w:pPr>
      <w:r>
        <w:rPr>
          <w:rFonts w:ascii="Times New Roman" w:cs="Times New Roman" w:eastAsia="Times New Roman" w:hAnsi="Times New Roman"/>
          <w:sz w:val="19"/>
          <w:szCs w:val="19"/>
          <w:color w:val="131413"/>
        </w:rPr>
        <w:t xml:space="preserve">Our findings have some implications for conserving rem-nant forests in rapidly urbanized regions: (1) It is equally im-portant to preserve large remnant patches and small remnant patches. Our results showed that while large patches had higher </w:t>
      </w:r>
      <w:r>
        <w:rPr>
          <w:rFonts w:ascii="Arial" w:cs="Arial" w:eastAsia="Arial" w:hAnsi="Arial"/>
          <w:sz w:val="19"/>
          <w:szCs w:val="19"/>
          <w:color w:val="131413"/>
        </w:rPr>
        <w:t>α</w:t>
      </w:r>
      <w:r>
        <w:rPr>
          <w:rFonts w:ascii="Times New Roman" w:cs="Times New Roman" w:eastAsia="Times New Roman" w:hAnsi="Times New Roman"/>
          <w:sz w:val="19"/>
          <w:szCs w:val="19"/>
          <w:color w:val="131413"/>
        </w:rPr>
        <w:t xml:space="preserve">-diversity than that of small patches, small patches are important to maintaining the taxonomic </w:t>
      </w:r>
      <w:r>
        <w:rPr>
          <w:rFonts w:ascii="Arial" w:cs="Arial" w:eastAsia="Arial" w:hAnsi="Arial"/>
          <w:sz w:val="19"/>
          <w:szCs w:val="19"/>
          <w:color w:val="131413"/>
        </w:rPr>
        <w:t>β</w:t>
      </w:r>
      <w:r>
        <w:rPr>
          <w:rFonts w:ascii="Times New Roman" w:cs="Times New Roman" w:eastAsia="Times New Roman" w:hAnsi="Times New Roman"/>
          <w:sz w:val="19"/>
          <w:szCs w:val="19"/>
          <w:color w:val="131413"/>
        </w:rPr>
        <w:t>-diversity among patches. Also, small patches often face higher risks than larger patches to be developed. (2) More attention should be paid to sapling/seedlings in the remnant forests. Although</w:t>
      </w:r>
    </w:p>
    <w:p>
      <w:pPr>
        <w:spacing w:after="0" w:line="20" w:lineRule="exact"/>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drawing>
          <wp:anchor simplePos="0" relativeHeight="251657728" behindDoc="1" locked="0" layoutInCell="0" allowOverlap="1">
            <wp:simplePos x="0" y="0"/>
            <wp:positionH relativeFrom="column">
              <wp:posOffset>2526030</wp:posOffset>
            </wp:positionH>
            <wp:positionV relativeFrom="paragraph">
              <wp:posOffset>243205</wp:posOffset>
            </wp:positionV>
            <wp:extent cx="483870" cy="13843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ectPr>
          <w:pgSz w:w="11900" w:h="15817" w:orient="portrait"/>
          <w:cols w:equalWidth="0" w:num="2">
            <w:col w:w="4760" w:space="340"/>
            <w:col w:w="4780"/>
          </w:cols>
          <w:pgMar w:left="1020" w:top="649" w:right="1006" w:bottom="919" w:gutter="0" w:footer="0" w:header="0"/>
          <w:type w:val="continuous"/>
        </w:sectPr>
      </w:pPr>
    </w:p>
    <w:bookmarkStart w:id="7" w:name="page8"/>
    <w:bookmarkEnd w:id="7"/>
    <w:p>
      <w:pPr>
        <w:ind w:left="8980"/>
        <w:spacing w:after="0"/>
        <w:rPr>
          <w:sz w:val="20"/>
          <w:szCs w:val="20"/>
          <w:color w:val="auto"/>
        </w:rPr>
      </w:pPr>
      <w:r>
        <w:rPr>
          <w:rFonts w:ascii="Arial" w:cs="Arial" w:eastAsia="Arial" w:hAnsi="Arial"/>
          <w:sz w:val="13"/>
          <w:szCs w:val="13"/>
          <w:color w:val="131413"/>
        </w:rPr>
        <w:t>Urban Ecosyst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48895</wp:posOffset>
            </wp:positionV>
            <wp:extent cx="6276975" cy="70250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extLst>
                    </a:blip>
                    <a:srcRect/>
                    <a:stretch>
                      <a:fillRect/>
                    </a:stretch>
                  </pic:blipFill>
                  <pic:spPr bwMode="auto">
                    <a:xfrm>
                      <a:off x="0" y="0"/>
                      <a:ext cx="6276975" cy="7025005"/>
                    </a:xfrm>
                    <a:prstGeom prst="rect">
                      <a:avLst/>
                    </a:prstGeom>
                    <a:noFill/>
                  </pic:spPr>
                </pic:pic>
              </a:graphicData>
            </a:graphic>
          </wp:anchor>
        </w:drawing>
      </w:r>
    </w:p>
    <w:p>
      <w:pPr>
        <w:sectPr>
          <w:pgSz w:w="11900" w:h="15817" w:orient="portrait"/>
          <w:cols w:equalWidth="0" w:num="1">
            <w:col w:w="9860"/>
          </w:cols>
          <w:pgMar w:left="1020" w:top="649" w:right="1026" w:bottom="90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both"/>
        <w:spacing w:after="0" w:line="259" w:lineRule="auto"/>
        <w:rPr>
          <w:sz w:val="20"/>
          <w:szCs w:val="20"/>
          <w:color w:val="auto"/>
        </w:rPr>
      </w:pPr>
      <w:r>
        <w:rPr>
          <w:rFonts w:ascii="Arial" w:cs="Arial" w:eastAsia="Arial" w:hAnsi="Arial"/>
          <w:sz w:val="16"/>
          <w:szCs w:val="16"/>
          <w:color w:val="131413"/>
        </w:rPr>
        <w:t xml:space="preserve">Fig. 2 </w:t>
      </w:r>
      <w:r>
        <w:rPr>
          <w:rFonts w:ascii="Times New Roman" w:cs="Times New Roman" w:eastAsia="Times New Roman" w:hAnsi="Times New Roman"/>
          <w:sz w:val="16"/>
          <w:szCs w:val="16"/>
          <w:color w:val="131413"/>
        </w:rPr>
        <w:t>Partial response graph of the GDMs for (a) adult trees, (b) sapling/</w:t>
      </w:r>
      <w:r>
        <w:rPr>
          <w:rFonts w:ascii="Arial" w:cs="Arial" w:eastAsia="Arial" w:hAnsi="Arial"/>
          <w:sz w:val="16"/>
          <w:szCs w:val="16"/>
          <w:color w:val="131413"/>
        </w:rPr>
        <w:t xml:space="preserve"> </w:t>
      </w:r>
      <w:r>
        <w:rPr>
          <w:rFonts w:ascii="Times New Roman" w:cs="Times New Roman" w:eastAsia="Times New Roman" w:hAnsi="Times New Roman"/>
          <w:sz w:val="16"/>
          <w:szCs w:val="16"/>
          <w:color w:val="131413"/>
        </w:rPr>
        <w:t>seedlings, (c) trees, (d) shrubs, and (e) woody plants. Type 1 for coniferous forest stands, 2 for mixed forest stands, and 3 for broadleaf</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7"/>
          <w:szCs w:val="17"/>
          <w:color w:val="131413"/>
        </w:rPr>
        <w:t>forest stands. The percentage of impervious surface areas was not a significant factor for shrub and all woody plants</w:t>
      </w:r>
    </w:p>
    <w:p>
      <w:pPr>
        <w:spacing w:after="0" w:line="414" w:lineRule="exact"/>
        <w:rPr>
          <w:sz w:val="20"/>
          <w:szCs w:val="20"/>
          <w:color w:val="auto"/>
        </w:rPr>
      </w:pPr>
    </w:p>
    <w:p>
      <w:pPr>
        <w:sectPr>
          <w:pgSz w:w="11900" w:h="15817" w:orient="portrait"/>
          <w:cols w:equalWidth="0" w:num="2">
            <w:col w:w="4760" w:space="340"/>
            <w:col w:w="4760"/>
          </w:cols>
          <w:pgMar w:left="1020" w:top="649" w:right="1026" w:bottom="905" w:gutter="0" w:footer="0" w:header="0"/>
          <w:type w:val="continuous"/>
        </w:sectPr>
      </w:pPr>
    </w:p>
    <w:p>
      <w:pPr>
        <w:spacing w:after="0" w:line="244" w:lineRule="exact"/>
        <w:rPr>
          <w:sz w:val="20"/>
          <w:szCs w:val="20"/>
          <w:color w:val="auto"/>
        </w:rPr>
      </w:pPr>
    </w:p>
    <w:p>
      <w:pPr>
        <w:jc w:val="both"/>
        <w:spacing w:after="0" w:line="256" w:lineRule="auto"/>
        <w:rPr>
          <w:sz w:val="20"/>
          <w:szCs w:val="20"/>
          <w:color w:val="auto"/>
        </w:rPr>
      </w:pPr>
      <w:r>
        <w:rPr>
          <w:rFonts w:ascii="Times New Roman" w:cs="Times New Roman" w:eastAsia="Times New Roman" w:hAnsi="Times New Roman"/>
          <w:sz w:val="20"/>
          <w:szCs w:val="20"/>
          <w:color w:val="131413"/>
        </w:rPr>
        <w:t xml:space="preserve">the sapling/seedling layer in the remnant forests had higher </w:t>
      </w:r>
      <w:r>
        <w:rPr>
          <w:rFonts w:ascii="Arial" w:cs="Arial" w:eastAsia="Arial" w:hAnsi="Arial"/>
          <w:sz w:val="20"/>
          <w:szCs w:val="20"/>
          <w:color w:val="131413"/>
        </w:rPr>
        <w:t>α</w:t>
      </w:r>
      <w:r>
        <w:rPr>
          <w:rFonts w:ascii="Times New Roman" w:cs="Times New Roman" w:eastAsia="Times New Roman" w:hAnsi="Times New Roman"/>
          <w:sz w:val="20"/>
          <w:szCs w:val="20"/>
          <w:color w:val="131413"/>
        </w:rPr>
        <w:t xml:space="preserve">-diversity than that of adult trees, its </w:t>
      </w:r>
      <w:r>
        <w:rPr>
          <w:rFonts w:ascii="Arial" w:cs="Arial" w:eastAsia="Arial" w:hAnsi="Arial"/>
          <w:sz w:val="20"/>
          <w:szCs w:val="20"/>
          <w:color w:val="131413"/>
        </w:rPr>
        <w:t>β</w:t>
      </w:r>
      <w:r>
        <w:rPr>
          <w:rFonts w:ascii="Times New Roman" w:cs="Times New Roman" w:eastAsia="Times New Roman" w:hAnsi="Times New Roman"/>
          <w:sz w:val="20"/>
          <w:szCs w:val="20"/>
          <w:color w:val="131413"/>
        </w:rPr>
        <w:t>-diversity was lower. Conservation programs only focused on preserving the diver-sity of adult trees may neglect the risk of homogenization in the future.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252730</wp:posOffset>
            </wp:positionV>
            <wp:extent cx="483870" cy="1384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26" w:lineRule="exact"/>
        <w:rPr>
          <w:sz w:val="20"/>
          <w:szCs w:val="20"/>
          <w:color w:val="auto"/>
        </w:rPr>
      </w:pPr>
    </w:p>
    <w:p>
      <w:pPr>
        <w:jc w:val="both"/>
        <w:ind w:firstLine="227"/>
        <w:spacing w:after="0" w:line="291" w:lineRule="auto"/>
        <w:rPr>
          <w:sz w:val="20"/>
          <w:szCs w:val="20"/>
          <w:color w:val="auto"/>
        </w:rPr>
      </w:pPr>
      <w:r>
        <w:rPr>
          <w:rFonts w:ascii="Times New Roman" w:cs="Times New Roman" w:eastAsia="Times New Roman" w:hAnsi="Times New Roman"/>
          <w:sz w:val="18"/>
          <w:szCs w:val="18"/>
          <w:color w:val="131413"/>
        </w:rPr>
        <w:t>While our study provides useful information for conserving remnant forests in urban environments, there are some limita-tions that should be noted. We used 500 m as the buffer dis-tance to study the impact of landscape patterns of surrounding areas on species diversity of remnant patches. A range of</w:t>
      </w:r>
    </w:p>
    <w:p>
      <w:pPr>
        <w:sectPr>
          <w:pgSz w:w="11900" w:h="15817" w:orient="portrait"/>
          <w:cols w:equalWidth="0" w:num="2">
            <w:col w:w="4760" w:space="340"/>
            <w:col w:w="4760"/>
          </w:cols>
          <w:pgMar w:left="1020" w:top="649" w:right="1026" w:bottom="905" w:gutter="0" w:footer="0" w:header="0"/>
          <w:type w:val="continuous"/>
        </w:sectPr>
      </w:pPr>
    </w:p>
    <w:bookmarkStart w:id="8" w:name="page9"/>
    <w:bookmarkEnd w:id="8"/>
    <w:p>
      <w:pPr>
        <w:spacing w:after="0"/>
        <w:rPr>
          <w:sz w:val="20"/>
          <w:szCs w:val="20"/>
          <w:color w:val="auto"/>
        </w:rPr>
      </w:pPr>
      <w:r>
        <w:rPr>
          <w:rFonts w:ascii="Arial" w:cs="Arial" w:eastAsia="Arial" w:hAnsi="Arial"/>
          <w:sz w:val="13"/>
          <w:szCs w:val="13"/>
          <w:color w:val="131413"/>
        </w:rPr>
        <w:t>Urban Ecosyst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48895</wp:posOffset>
                </wp:positionV>
                <wp:extent cx="0" cy="2540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85pt" to="0pt,5.85pt" o:allowincell="f" strokecolor="#131413"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61595</wp:posOffset>
                </wp:positionV>
                <wp:extent cx="6276340"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6340" cy="4763"/>
                        </a:xfrm>
                        <a:prstGeom prst="line">
                          <a:avLst/>
                        </a:prstGeom>
                        <a:solidFill>
                          <a:srgbClr val="FFFFFF"/>
                        </a:solidFill>
                        <a:ln w="25660">
                          <a:solidFill>
                            <a:srgbClr val="131413"/>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85pt" to="493.75pt,4.85pt" o:allowincell="f" strokecolor="#131413" strokeweight="2.0205pt"/>
            </w:pict>
          </mc:Fallback>
        </mc:AlternateContent>
        <mc:AlternateContent>
          <mc:Choice Requires="wps">
            <w:drawing>
              <wp:anchor simplePos="0" relativeHeight="251657728" behindDoc="1" locked="0" layoutInCell="0" allowOverlap="1">
                <wp:simplePos x="0" y="0"/>
                <wp:positionH relativeFrom="column">
                  <wp:posOffset>6264275</wp:posOffset>
                </wp:positionH>
                <wp:positionV relativeFrom="paragraph">
                  <wp:posOffset>48895</wp:posOffset>
                </wp:positionV>
                <wp:extent cx="0" cy="2540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25pt,3.85pt" to="493.25pt,5.85pt" o:allowincell="f" strokecolor="#131413" strokeweight="1pt"/>
            </w:pict>
          </mc:Fallback>
        </mc:AlternateContent>
      </w:r>
    </w:p>
    <w:p>
      <w:pPr>
        <w:sectPr>
          <w:pgSz w:w="11900" w:h="15817" w:orient="portrait"/>
          <w:cols w:equalWidth="0" w:num="1">
            <w:col w:w="9860"/>
          </w:cols>
          <w:pgMar w:left="1020" w:top="649" w:right="1026" w:bottom="925" w:gutter="0" w:footer="0" w:header="0"/>
        </w:sectPr>
      </w:pPr>
    </w:p>
    <w:p>
      <w:pPr>
        <w:spacing w:after="0" w:line="353"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buffer distances can be used to examine the impact at different spatial scales. In addition, we only considered the geographic distance in this study. Distance metrics that incorporate the heterogeneity of urban matrix (e.g., least-cost distance) may characterize the resistance to species dispersal better. Despite these limitations, to look into the divergent impacts on differ-ent types of woody plants and to treat the landscape patterns of surrounding areas explicitly in the analysis have helped us to gain a better understanding of the interactions between the remnant forest and the urban environment. As most studies on this topic were conducted in cities located in the temperate climate zone, an additional benefit of our study is that the applicability of findings from existing studies to other regions can be tested.</w:t>
      </w:r>
    </w:p>
    <w:p>
      <w:pPr>
        <w:spacing w:after="0" w:line="200" w:lineRule="exact"/>
        <w:rPr>
          <w:sz w:val="20"/>
          <w:szCs w:val="20"/>
          <w:color w:val="auto"/>
        </w:rPr>
      </w:pPr>
    </w:p>
    <w:p>
      <w:pPr>
        <w:spacing w:after="0" w:line="308" w:lineRule="exact"/>
        <w:rPr>
          <w:sz w:val="20"/>
          <w:szCs w:val="20"/>
          <w:color w:val="auto"/>
        </w:rPr>
      </w:pPr>
    </w:p>
    <w:p>
      <w:pPr>
        <w:spacing w:after="0"/>
        <w:rPr>
          <w:sz w:val="20"/>
          <w:szCs w:val="20"/>
          <w:color w:val="auto"/>
        </w:rPr>
      </w:pPr>
      <w:r>
        <w:rPr>
          <w:rFonts w:ascii="Arial" w:cs="Arial" w:eastAsia="Arial" w:hAnsi="Arial"/>
          <w:sz w:val="24"/>
          <w:szCs w:val="24"/>
          <w:color w:val="131413"/>
        </w:rPr>
        <w:t>Conclusion</w:t>
      </w:r>
    </w:p>
    <w:p>
      <w:pPr>
        <w:spacing w:after="0" w:line="265" w:lineRule="exact"/>
        <w:rPr>
          <w:sz w:val="20"/>
          <w:szCs w:val="20"/>
          <w:color w:val="auto"/>
        </w:rPr>
      </w:pPr>
    </w:p>
    <w:p>
      <w:pPr>
        <w:jc w:val="both"/>
        <w:spacing w:after="0" w:line="289" w:lineRule="auto"/>
        <w:rPr>
          <w:sz w:val="20"/>
          <w:szCs w:val="20"/>
          <w:color w:val="auto"/>
        </w:rPr>
      </w:pPr>
      <w:r>
        <w:rPr>
          <w:rFonts w:ascii="Times New Roman" w:cs="Times New Roman" w:eastAsia="Times New Roman" w:hAnsi="Times New Roman"/>
          <w:sz w:val="18"/>
          <w:szCs w:val="18"/>
          <w:color w:val="131413"/>
        </w:rPr>
        <w:t xml:space="preserve">Knowledge of the woody plant species diversity of remnant forests in urban areas and the factors influencing the diversity is crucial for their conservation. In this study, we quantified the taxonomic diversity of woody plants in a remnant urban forest at multiple levels. We analyzed the relative importance of patch attributes and the landscape pattern of surrounding environments on the compositional dissimilarity of woody plants. Our results revealed a divergent pattern of influences on different types of woody plants. Based on our results, we recommended to preserve small remnant patches and pay more attention to the species composition of the sapling/ seedling layer in order to maintain the </w:t>
      </w:r>
      <w:r>
        <w:rPr>
          <w:rFonts w:ascii="Arial" w:cs="Arial" w:eastAsia="Arial" w:hAnsi="Arial"/>
          <w:sz w:val="18"/>
          <w:szCs w:val="18"/>
          <w:color w:val="131413"/>
        </w:rPr>
        <w:t>β</w:t>
      </w:r>
      <w:r>
        <w:rPr>
          <w:rFonts w:ascii="Times New Roman" w:cs="Times New Roman" w:eastAsia="Times New Roman" w:hAnsi="Times New Roman"/>
          <w:sz w:val="18"/>
          <w:szCs w:val="18"/>
          <w:color w:val="131413"/>
        </w:rPr>
        <w:t>-diversity of remnant forest. Our study provides useful information on preserving the plant diversity of remnant urban forests in rapidly urban-ized regions. Future studies can build upon our study to further explore the influence of the urban matrix on remnant forests.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Arial" w:cs="Arial" w:eastAsia="Arial" w:hAnsi="Arial"/>
          <w:sz w:val="24"/>
          <w:szCs w:val="24"/>
          <w:color w:val="131413"/>
        </w:rPr>
        <w:t>References</w:t>
      </w:r>
    </w:p>
    <w:p>
      <w:pPr>
        <w:spacing w:after="0" w:line="243" w:lineRule="exact"/>
        <w:rPr>
          <w:sz w:val="20"/>
          <w:szCs w:val="20"/>
          <w:color w:val="auto"/>
        </w:rPr>
      </w:pPr>
    </w:p>
    <w:p>
      <w:pPr>
        <w:jc w:val="both"/>
        <w:ind w:left="340" w:hanging="338"/>
        <w:spacing w:after="0" w:line="261" w:lineRule="auto"/>
        <w:rPr>
          <w:sz w:val="20"/>
          <w:szCs w:val="20"/>
          <w:color w:val="auto"/>
        </w:rPr>
      </w:pPr>
      <w:r>
        <w:rPr>
          <w:rFonts w:ascii="Times New Roman" w:cs="Times New Roman" w:eastAsia="Times New Roman" w:hAnsi="Times New Roman"/>
          <w:sz w:val="16"/>
          <w:szCs w:val="16"/>
          <w:color w:val="131413"/>
        </w:rPr>
        <w:t>Aguilar R, Ashworth L, Galetto L, Aizen MA (2006) Plant reproductive susceptibility to habitat fragmentation: review and synthesis through</w:t>
      </w:r>
    </w:p>
    <w:p>
      <w:pPr>
        <w:ind w:left="340" w:hanging="1"/>
        <w:spacing w:after="0" w:line="234" w:lineRule="auto"/>
        <w:tabs>
          <w:tab w:leader="none" w:pos="480" w:val="left"/>
        </w:tabs>
        <w:numPr>
          <w:ilvl w:val="0"/>
          <w:numId w:val="5"/>
        </w:numPr>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meta-analysis. Ecol Lett 9:968</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980. </w:t>
      </w:r>
      <w:hyperlink r:id="rId23">
        <w:r>
          <w:rPr>
            <w:rFonts w:ascii="Times New Roman" w:cs="Times New Roman" w:eastAsia="Times New Roman" w:hAnsi="Times New Roman"/>
            <w:sz w:val="17"/>
            <w:szCs w:val="17"/>
            <w:color w:val="0000FF"/>
          </w:rPr>
          <w:t>https://doi.org/10.1111/j.</w:t>
        </w:r>
      </w:hyperlink>
      <w:r>
        <w:rPr>
          <w:rFonts w:ascii="Times New Roman" w:cs="Times New Roman" w:eastAsia="Times New Roman" w:hAnsi="Times New Roman"/>
          <w:sz w:val="17"/>
          <w:szCs w:val="17"/>
          <w:color w:val="131413"/>
        </w:rPr>
        <w:t xml:space="preserve"> </w:t>
      </w:r>
      <w:hyperlink r:id="rId23">
        <w:r>
          <w:rPr>
            <w:rFonts w:ascii="Times New Roman" w:cs="Times New Roman" w:eastAsia="Times New Roman" w:hAnsi="Times New Roman"/>
            <w:sz w:val="17"/>
            <w:szCs w:val="17"/>
            <w:color w:val="0000FF"/>
          </w:rPr>
          <w:t>1461-0248.2006.00927.x</w:t>
        </w:r>
      </w:hyperlink>
    </w:p>
    <w:p>
      <w:pPr>
        <w:spacing w:after="0" w:line="38" w:lineRule="exact"/>
        <w:rPr>
          <w:rFonts w:ascii="Times New Roman" w:cs="Times New Roman" w:eastAsia="Times New Roman" w:hAnsi="Times New Roman"/>
          <w:sz w:val="17"/>
          <w:szCs w:val="17"/>
          <w:color w:val="131413"/>
        </w:rPr>
      </w:pPr>
    </w:p>
    <w:p>
      <w:pPr>
        <w:jc w:val="both"/>
        <w:ind w:left="340"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Akinyemi DS, Remi OS, Shakoor A, Olajide OS (2019) Nestedness and modularity in fragmented Shasha Forest reserve, southwestern Nigeria. J Sustain Forest 38:292</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304. </w:t>
      </w:r>
      <w:hyperlink r:id="rId24">
        <w:r>
          <w:rPr>
            <w:rFonts w:ascii="Times New Roman" w:cs="Times New Roman" w:eastAsia="Times New Roman" w:hAnsi="Times New Roman"/>
            <w:sz w:val="17"/>
            <w:szCs w:val="17"/>
            <w:color w:val="0000FF"/>
          </w:rPr>
          <w:t>https://doi.org/10.1080/</w:t>
        </w:r>
      </w:hyperlink>
      <w:r>
        <w:rPr>
          <w:rFonts w:ascii="Times New Roman" w:cs="Times New Roman" w:eastAsia="Times New Roman" w:hAnsi="Times New Roman"/>
          <w:sz w:val="17"/>
          <w:szCs w:val="17"/>
          <w:color w:val="131413"/>
        </w:rPr>
        <w:t xml:space="preserve"> </w:t>
      </w:r>
      <w:hyperlink r:id="rId24">
        <w:r>
          <w:rPr>
            <w:rFonts w:ascii="Times New Roman" w:cs="Times New Roman" w:eastAsia="Times New Roman" w:hAnsi="Times New Roman"/>
            <w:sz w:val="17"/>
            <w:szCs w:val="17"/>
            <w:color w:val="0000FF"/>
          </w:rPr>
          <w:t>10549811.2018.1546598</w:t>
        </w:r>
      </w:hyperlink>
    </w:p>
    <w:p>
      <w:pPr>
        <w:spacing w:after="0" w:line="37" w:lineRule="exact"/>
        <w:rPr>
          <w:sz w:val="20"/>
          <w:szCs w:val="20"/>
          <w:color w:val="auto"/>
        </w:rPr>
      </w:pPr>
    </w:p>
    <w:p>
      <w:pPr>
        <w:jc w:val="both"/>
        <w:ind w:left="340"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Alberti M (2010) Maintaining ecological integrity and sustaining ecosys-tem function in urban areas. Curr Opin Environ Sustain 2:178</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184. </w:t>
      </w:r>
      <w:hyperlink r:id="rId25">
        <w:r>
          <w:rPr>
            <w:rFonts w:ascii="Times New Roman" w:cs="Times New Roman" w:eastAsia="Times New Roman" w:hAnsi="Times New Roman"/>
            <w:sz w:val="17"/>
            <w:szCs w:val="17"/>
            <w:color w:val="0000FF"/>
          </w:rPr>
          <w:t>https://doi.org/10.1016/j.cosust.2010.07.002</w:t>
        </w:r>
      </w:hyperlink>
    </w:p>
    <w:p>
      <w:pPr>
        <w:spacing w:after="0" w:line="37" w:lineRule="exact"/>
        <w:rPr>
          <w:sz w:val="20"/>
          <w:szCs w:val="20"/>
          <w:color w:val="auto"/>
        </w:rPr>
      </w:pPr>
    </w:p>
    <w:p>
      <w:pPr>
        <w:jc w:val="both"/>
        <w:ind w:left="340" w:hanging="338"/>
        <w:spacing w:after="0" w:line="259" w:lineRule="auto"/>
        <w:rPr>
          <w:sz w:val="20"/>
          <w:szCs w:val="20"/>
          <w:color w:val="auto"/>
        </w:rPr>
      </w:pPr>
      <w:r>
        <w:rPr>
          <w:rFonts w:ascii="Times New Roman" w:cs="Times New Roman" w:eastAsia="Times New Roman" w:hAnsi="Times New Roman"/>
          <w:sz w:val="16"/>
          <w:szCs w:val="16"/>
          <w:color w:val="131413"/>
        </w:rPr>
        <w:t>Barth BJ, FitzGibbon SI, Wilson RS (2015) New urban developments that retain more remnant trees have greater bird diversity. Landsc</w:t>
      </w:r>
    </w:p>
    <w:p>
      <w:pPr>
        <w:spacing w:after="0" w:line="20" w:lineRule="exact"/>
        <w:rPr>
          <w:sz w:val="20"/>
          <w:szCs w:val="20"/>
          <w:color w:val="auto"/>
        </w:rPr>
      </w:pPr>
      <w:r>
        <w:rPr>
          <w:sz w:val="20"/>
          <w:szCs w:val="20"/>
          <w:color w:val="auto"/>
        </w:rPr>
        <w:br w:type="column"/>
      </w:r>
    </w:p>
    <w:p>
      <w:pPr>
        <w:spacing w:after="0" w:line="310" w:lineRule="exact"/>
        <w:rPr>
          <w:sz w:val="20"/>
          <w:szCs w:val="20"/>
          <w:color w:val="auto"/>
        </w:rPr>
      </w:pPr>
    </w:p>
    <w:p>
      <w:pPr>
        <w:ind w:left="340"/>
        <w:spacing w:after="0" w:line="235"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Urban Plan 136:122</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129. </w:t>
      </w:r>
      <w:hyperlink r:id="rId26">
        <w:r>
          <w:rPr>
            <w:rFonts w:ascii="Times New Roman" w:cs="Times New Roman" w:eastAsia="Times New Roman" w:hAnsi="Times New Roman"/>
            <w:sz w:val="17"/>
            <w:szCs w:val="17"/>
            <w:color w:val="0000FF"/>
          </w:rPr>
          <w:t>https://doi.org/10.1016/j.landurbplan.</w:t>
        </w:r>
      </w:hyperlink>
      <w:r>
        <w:rPr>
          <w:rFonts w:ascii="Times New Roman" w:cs="Times New Roman" w:eastAsia="Times New Roman" w:hAnsi="Times New Roman"/>
          <w:sz w:val="17"/>
          <w:szCs w:val="17"/>
          <w:color w:val="131413"/>
        </w:rPr>
        <w:t xml:space="preserve"> </w:t>
      </w:r>
      <w:hyperlink r:id="rId26">
        <w:r>
          <w:rPr>
            <w:rFonts w:ascii="Times New Roman" w:cs="Times New Roman" w:eastAsia="Times New Roman" w:hAnsi="Times New Roman"/>
            <w:sz w:val="17"/>
            <w:szCs w:val="17"/>
            <w:color w:val="0000FF"/>
          </w:rPr>
          <w:t>2014.11.003</w:t>
        </w:r>
      </w:hyperlink>
    </w:p>
    <w:p>
      <w:pPr>
        <w:spacing w:after="0" w:line="28" w:lineRule="exact"/>
        <w:rPr>
          <w:sz w:val="20"/>
          <w:szCs w:val="20"/>
          <w:color w:val="auto"/>
        </w:rPr>
      </w:pPr>
    </w:p>
    <w:p>
      <w:pPr>
        <w:jc w:val="both"/>
        <w:ind w:left="340" w:hanging="338"/>
        <w:spacing w:after="0" w:line="242"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Bonte D, Van Dyck H, Bullock JM, Coulon A, Delgado M, Gibbs M, Lehouck V, Matthysen E, Mustin K, Saastamoinen M, Schtickzelle N, Stevens VM, Vandewoestijne S, Baguette M, Barton K, Benton TG, Chaput-Bardy A, Clobert AJ, Dytham C, Hovestadt T, Meier CM, Palmer SCF, Turlure C, Travis JMJ (2012) Costs of dispersal. Biol Rev 87:290</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312. </w:t>
      </w:r>
      <w:hyperlink r:id="rId27">
        <w:r>
          <w:rPr>
            <w:rFonts w:ascii="Times New Roman" w:cs="Times New Roman" w:eastAsia="Times New Roman" w:hAnsi="Times New Roman"/>
            <w:sz w:val="17"/>
            <w:szCs w:val="17"/>
            <w:color w:val="0000FF"/>
          </w:rPr>
          <w:t>https://doi.org/10.1111/j.1469-185X.2011.</w:t>
        </w:r>
      </w:hyperlink>
      <w:r>
        <w:rPr>
          <w:rFonts w:ascii="Times New Roman" w:cs="Times New Roman" w:eastAsia="Times New Roman" w:hAnsi="Times New Roman"/>
          <w:sz w:val="17"/>
          <w:szCs w:val="17"/>
          <w:color w:val="131413"/>
        </w:rPr>
        <w:t xml:space="preserve"> </w:t>
      </w:r>
      <w:hyperlink r:id="rId27">
        <w:r>
          <w:rPr>
            <w:rFonts w:ascii="Times New Roman" w:cs="Times New Roman" w:eastAsia="Times New Roman" w:hAnsi="Times New Roman"/>
            <w:sz w:val="17"/>
            <w:szCs w:val="17"/>
            <w:color w:val="0000FF"/>
          </w:rPr>
          <w:t>00201.x</w:t>
        </w:r>
      </w:hyperlink>
    </w:p>
    <w:p>
      <w:pPr>
        <w:spacing w:after="0" w:line="30" w:lineRule="exact"/>
        <w:rPr>
          <w:sz w:val="20"/>
          <w:szCs w:val="20"/>
          <w:color w:val="auto"/>
        </w:rPr>
      </w:pPr>
    </w:p>
    <w:p>
      <w:pPr>
        <w:jc w:val="both"/>
        <w:ind w:left="340"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Capmourteres V, Anand M (2016) Assessing ecological integrity: a multi-scale structural and functional approach using structural equa-tion Modeling. Ecol Indic 71:258</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269. </w:t>
      </w:r>
      <w:hyperlink r:id="rId28">
        <w:r>
          <w:rPr>
            <w:rFonts w:ascii="Times New Roman" w:cs="Times New Roman" w:eastAsia="Times New Roman" w:hAnsi="Times New Roman"/>
            <w:sz w:val="17"/>
            <w:szCs w:val="17"/>
            <w:color w:val="0000FF"/>
          </w:rPr>
          <w:t>https://doi.org/10.1016/j.</w:t>
        </w:r>
      </w:hyperlink>
      <w:r>
        <w:rPr>
          <w:rFonts w:ascii="Times New Roman" w:cs="Times New Roman" w:eastAsia="Times New Roman" w:hAnsi="Times New Roman"/>
          <w:sz w:val="17"/>
          <w:szCs w:val="17"/>
          <w:color w:val="131413"/>
        </w:rPr>
        <w:t xml:space="preserve"> </w:t>
      </w:r>
      <w:hyperlink r:id="rId28">
        <w:r>
          <w:rPr>
            <w:rFonts w:ascii="Times New Roman" w:cs="Times New Roman" w:eastAsia="Times New Roman" w:hAnsi="Times New Roman"/>
            <w:sz w:val="17"/>
            <w:szCs w:val="17"/>
            <w:color w:val="0000FF"/>
          </w:rPr>
          <w:t>ecolind.2016.07.006</w:t>
        </w:r>
      </w:hyperlink>
    </w:p>
    <w:p>
      <w:pPr>
        <w:spacing w:after="0" w:line="28" w:lineRule="exact"/>
        <w:rPr>
          <w:sz w:val="20"/>
          <w:szCs w:val="20"/>
          <w:color w:val="auto"/>
        </w:rPr>
      </w:pPr>
    </w:p>
    <w:p>
      <w:pPr>
        <w:jc w:val="right"/>
        <w:spacing w:after="0" w:line="263"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Carreiro MM, Tripler CE (2005) Forest remnants along urban-rural gra-dients: examining their potential for global change research. Ecosystems 8:568</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582. </w:t>
      </w:r>
      <w:hyperlink r:id="rId29">
        <w:r>
          <w:rPr>
            <w:rFonts w:ascii="Times New Roman" w:cs="Times New Roman" w:eastAsia="Times New Roman" w:hAnsi="Times New Roman"/>
            <w:sz w:val="16"/>
            <w:szCs w:val="16"/>
            <w:color w:val="0000FF"/>
          </w:rPr>
          <w:t>https://doi.org/10.1007/s10021-003-0172-6</w:t>
        </w:r>
      </w:hyperlink>
      <w:r>
        <w:rPr>
          <w:rFonts w:ascii="Times New Roman" w:cs="Times New Roman" w:eastAsia="Times New Roman" w:hAnsi="Times New Roman"/>
          <w:sz w:val="16"/>
          <w:szCs w:val="16"/>
          <w:color w:val="131413"/>
        </w:rPr>
        <w:t xml:space="preserve"> Caryl FM, Thomson K, Ree R (2013) Permeability of the urban matrix to arboreal gliding mammals: sugar gliders in Melbourne, Australia.</w:t>
      </w:r>
    </w:p>
    <w:p>
      <w:pPr>
        <w:jc w:val="center"/>
        <w:ind w:right="300"/>
        <w:spacing w:after="0" w:line="227" w:lineRule="auto"/>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Aust Ecol 38:609</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616. </w:t>
      </w:r>
      <w:hyperlink r:id="rId30">
        <w:r>
          <w:rPr>
            <w:rFonts w:ascii="Times New Roman" w:cs="Times New Roman" w:eastAsia="Times New Roman" w:hAnsi="Times New Roman"/>
            <w:sz w:val="17"/>
            <w:szCs w:val="17"/>
            <w:color w:val="0000FF"/>
          </w:rPr>
          <w:t>https://doi.org/10.1111/aec.12006</w:t>
        </w:r>
      </w:hyperlink>
    </w:p>
    <w:p>
      <w:pPr>
        <w:spacing w:after="0" w:line="29" w:lineRule="exact"/>
        <w:rPr>
          <w:sz w:val="20"/>
          <w:szCs w:val="20"/>
          <w:color w:val="auto"/>
        </w:rPr>
      </w:pPr>
    </w:p>
    <w:p>
      <w:pPr>
        <w:jc w:val="both"/>
        <w:ind w:left="340" w:hanging="338"/>
        <w:spacing w:after="0" w:line="235" w:lineRule="auto"/>
        <w:rPr>
          <w:sz w:val="20"/>
          <w:szCs w:val="20"/>
          <w:color w:val="auto"/>
        </w:rPr>
      </w:pPr>
      <w:r>
        <w:rPr>
          <w:rFonts w:ascii="Times New Roman" w:cs="Times New Roman" w:eastAsia="Times New Roman" w:hAnsi="Times New Roman"/>
          <w:sz w:val="17"/>
          <w:szCs w:val="17"/>
          <w:color w:val="131413"/>
        </w:rPr>
        <w:t>Chen Q (2004) Flora of Guizhou. Guizhou Science and Technology Press, Guiyang (in Chinese)</w:t>
      </w:r>
    </w:p>
    <w:p>
      <w:pPr>
        <w:spacing w:after="0" w:line="28" w:lineRule="exact"/>
        <w:rPr>
          <w:sz w:val="20"/>
          <w:szCs w:val="20"/>
          <w:color w:val="auto"/>
        </w:rPr>
      </w:pPr>
    </w:p>
    <w:p>
      <w:pPr>
        <w:jc w:val="both"/>
        <w:ind w:left="340" w:hanging="338"/>
        <w:spacing w:after="0" w:line="260" w:lineRule="auto"/>
        <w:rPr>
          <w:rFonts w:ascii="Times New Roman" w:cs="Times New Roman" w:eastAsia="Times New Roman" w:hAnsi="Times New Roman"/>
          <w:sz w:val="16"/>
          <w:szCs w:val="16"/>
          <w:color w:val="0000FF"/>
        </w:rPr>
      </w:pPr>
      <w:r>
        <w:rPr>
          <w:rFonts w:ascii="Times New Roman" w:cs="Times New Roman" w:eastAsia="Times New Roman" w:hAnsi="Times New Roman"/>
          <w:sz w:val="16"/>
          <w:szCs w:val="16"/>
          <w:color w:val="131413"/>
        </w:rPr>
        <w:t xml:space="preserve">Dray S, Dufour AB, Thioulouse J (2018) ade4: Analysis of ecological data: exploratory and Euclidean methods in environmental sciences. </w:t>
      </w:r>
      <w:hyperlink r:id="rId31">
        <w:r>
          <w:rPr>
            <w:rFonts w:ascii="Times New Roman" w:cs="Times New Roman" w:eastAsia="Times New Roman" w:hAnsi="Times New Roman"/>
            <w:sz w:val="16"/>
            <w:szCs w:val="16"/>
            <w:color w:val="0000FF"/>
          </w:rPr>
          <w:t>https://CRAN.R-project.org/package=ade4</w:t>
        </w:r>
      </w:hyperlink>
    </w:p>
    <w:p>
      <w:pPr>
        <w:spacing w:after="0" w:line="14" w:lineRule="exact"/>
        <w:rPr>
          <w:sz w:val="20"/>
          <w:szCs w:val="20"/>
          <w:color w:val="auto"/>
        </w:rPr>
      </w:pPr>
    </w:p>
    <w:p>
      <w:pPr>
        <w:jc w:val="both"/>
        <w:ind w:left="340" w:hanging="338"/>
        <w:spacing w:after="0" w:line="241"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Echeverría C, Newton AC, Lara A, Benayas JMR, Coomes DA (2007) Impacts of forest fragmentation on species composition and forest structure in the temperate landscape of southern Chile. Glob Ecol Biogeogr 16:426</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439. </w:t>
      </w:r>
      <w:hyperlink r:id="rId32">
        <w:r>
          <w:rPr>
            <w:rFonts w:ascii="Times New Roman" w:cs="Times New Roman" w:eastAsia="Times New Roman" w:hAnsi="Times New Roman"/>
            <w:sz w:val="17"/>
            <w:szCs w:val="17"/>
            <w:color w:val="0000FF"/>
          </w:rPr>
          <w:t>https://doi.org/10.1111/j.1466-8238.2007.</w:t>
        </w:r>
      </w:hyperlink>
      <w:r>
        <w:rPr>
          <w:rFonts w:ascii="Times New Roman" w:cs="Times New Roman" w:eastAsia="Times New Roman" w:hAnsi="Times New Roman"/>
          <w:sz w:val="17"/>
          <w:szCs w:val="17"/>
          <w:color w:val="131413"/>
        </w:rPr>
        <w:t xml:space="preserve"> </w:t>
      </w:r>
      <w:hyperlink r:id="rId32">
        <w:r>
          <w:rPr>
            <w:rFonts w:ascii="Times New Roman" w:cs="Times New Roman" w:eastAsia="Times New Roman" w:hAnsi="Times New Roman"/>
            <w:sz w:val="17"/>
            <w:szCs w:val="17"/>
            <w:color w:val="0000FF"/>
          </w:rPr>
          <w:t>00311.x</w:t>
        </w:r>
      </w:hyperlink>
    </w:p>
    <w:p>
      <w:pPr>
        <w:spacing w:after="0" w:line="28" w:lineRule="exact"/>
        <w:rPr>
          <w:sz w:val="20"/>
          <w:szCs w:val="20"/>
          <w:color w:val="auto"/>
        </w:rPr>
      </w:pPr>
    </w:p>
    <w:p>
      <w:pPr>
        <w:jc w:val="both"/>
        <w:ind w:left="340"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Fahey RT, Casali M (2017) Distribution of forest ecosystems over two centuries in a highly urbanized landscape. Landsc Urban Plan 164: 13</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24. </w:t>
      </w:r>
      <w:hyperlink r:id="rId33">
        <w:r>
          <w:rPr>
            <w:rFonts w:ascii="Times New Roman" w:cs="Times New Roman" w:eastAsia="Times New Roman" w:hAnsi="Times New Roman"/>
            <w:sz w:val="16"/>
            <w:szCs w:val="16"/>
            <w:color w:val="0000FF"/>
          </w:rPr>
          <w:t>https://doi.org/10.1016/j.landurbplan.2017.03.008</w:t>
        </w:r>
      </w:hyperlink>
    </w:p>
    <w:p>
      <w:pPr>
        <w:spacing w:after="0" w:line="12" w:lineRule="exact"/>
        <w:rPr>
          <w:sz w:val="20"/>
          <w:szCs w:val="20"/>
          <w:color w:val="auto"/>
        </w:rPr>
      </w:pPr>
    </w:p>
    <w:p>
      <w:pPr>
        <w:jc w:val="both"/>
        <w:ind w:left="340"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Fang J, Wang X, Shen Z, Tang Z, He J, Yu D, Jiang Y, Wang Z, Zheng C, Zhu J, Gao Z (2009) Methods and protocols for plant community inventory. Biol Sci 17:533</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548. </w:t>
      </w:r>
      <w:hyperlink r:id="rId34">
        <w:r>
          <w:rPr>
            <w:rFonts w:ascii="Times New Roman" w:cs="Times New Roman" w:eastAsia="Times New Roman" w:hAnsi="Times New Roman"/>
            <w:sz w:val="17"/>
            <w:szCs w:val="17"/>
            <w:color w:val="0000FF"/>
          </w:rPr>
          <w:t>https://doi.org/10.3724/SP.J.1003.</w:t>
        </w:r>
      </w:hyperlink>
      <w:r>
        <w:rPr>
          <w:rFonts w:ascii="Times New Roman" w:cs="Times New Roman" w:eastAsia="Times New Roman" w:hAnsi="Times New Roman"/>
          <w:sz w:val="17"/>
          <w:szCs w:val="17"/>
          <w:color w:val="131413"/>
        </w:rPr>
        <w:t xml:space="preserve"> </w:t>
      </w:r>
      <w:hyperlink r:id="rId34">
        <w:r>
          <w:rPr>
            <w:rFonts w:ascii="Times New Roman" w:cs="Times New Roman" w:eastAsia="Times New Roman" w:hAnsi="Times New Roman"/>
            <w:sz w:val="17"/>
            <w:szCs w:val="17"/>
            <w:color w:val="0000FF"/>
          </w:rPr>
          <w:t xml:space="preserve">2009.09253 </w:t>
        </w:r>
      </w:hyperlink>
      <w:r>
        <w:rPr>
          <w:rFonts w:ascii="Times New Roman" w:cs="Times New Roman" w:eastAsia="Times New Roman" w:hAnsi="Times New Roman"/>
          <w:sz w:val="17"/>
          <w:szCs w:val="17"/>
          <w:color w:val="131413"/>
        </w:rPr>
        <w:t>(in</w:t>
      </w:r>
      <w:r>
        <w:rPr>
          <w:rFonts w:ascii="Times New Roman" w:cs="Times New Roman" w:eastAsia="Times New Roman" w:hAnsi="Times New Roman"/>
          <w:sz w:val="17"/>
          <w:szCs w:val="17"/>
          <w:color w:val="0000FF"/>
        </w:rPr>
        <w:t xml:space="preserve"> </w:t>
      </w:r>
      <w:r>
        <w:rPr>
          <w:rFonts w:ascii="Times New Roman" w:cs="Times New Roman" w:eastAsia="Times New Roman" w:hAnsi="Times New Roman"/>
          <w:sz w:val="17"/>
          <w:szCs w:val="17"/>
          <w:color w:val="131413"/>
        </w:rPr>
        <w:t>Chinese)</w:t>
      </w:r>
    </w:p>
    <w:p>
      <w:pPr>
        <w:spacing w:after="0" w:line="28" w:lineRule="exact"/>
        <w:rPr>
          <w:sz w:val="20"/>
          <w:szCs w:val="20"/>
          <w:color w:val="auto"/>
        </w:rPr>
      </w:pPr>
    </w:p>
    <w:p>
      <w:pPr>
        <w:jc w:val="both"/>
        <w:ind w:left="340"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Ferrier S, Manion G, Elith J, Richardson K (2007) Using generalized dissimilarity modelling to analyse and predict patterns of beta diver-sity in regional biodiversity assessment. Divers Distrib 13:252</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264. </w:t>
      </w:r>
      <w:hyperlink r:id="rId35">
        <w:r>
          <w:rPr>
            <w:rFonts w:ascii="Times New Roman" w:cs="Times New Roman" w:eastAsia="Times New Roman" w:hAnsi="Times New Roman"/>
            <w:sz w:val="17"/>
            <w:szCs w:val="17"/>
            <w:color w:val="0000FF"/>
          </w:rPr>
          <w:t>https://doi.org/10.1111/j.1472-4642.2007.00341.x</w:t>
        </w:r>
      </w:hyperlink>
    </w:p>
    <w:p>
      <w:pPr>
        <w:spacing w:after="0" w:line="29" w:lineRule="exact"/>
        <w:rPr>
          <w:sz w:val="20"/>
          <w:szCs w:val="20"/>
          <w:color w:val="auto"/>
        </w:rPr>
      </w:pPr>
    </w:p>
    <w:p>
      <w:pPr>
        <w:jc w:val="both"/>
        <w:ind w:left="340" w:hanging="338"/>
        <w:spacing w:after="0" w:line="235" w:lineRule="auto"/>
        <w:rPr>
          <w:sz w:val="20"/>
          <w:szCs w:val="20"/>
          <w:color w:val="auto"/>
        </w:rPr>
      </w:pPr>
      <w:r>
        <w:rPr>
          <w:rFonts w:ascii="Times New Roman" w:cs="Times New Roman" w:eastAsia="Times New Roman" w:hAnsi="Times New Roman"/>
          <w:sz w:val="17"/>
          <w:szCs w:val="17"/>
          <w:color w:val="131413"/>
        </w:rPr>
        <w:t>Guiyang Ecological Environment Bureau (2005) The Forest Resources Inventory Data of Guiyang</w:t>
      </w:r>
    </w:p>
    <w:p>
      <w:pPr>
        <w:spacing w:after="0" w:line="29" w:lineRule="exact"/>
        <w:rPr>
          <w:sz w:val="20"/>
          <w:szCs w:val="20"/>
          <w:color w:val="auto"/>
        </w:rPr>
      </w:pPr>
    </w:p>
    <w:p>
      <w:pPr>
        <w:jc w:val="both"/>
        <w:ind w:left="340" w:hanging="338"/>
        <w:spacing w:after="0" w:line="235" w:lineRule="auto"/>
        <w:rPr>
          <w:sz w:val="20"/>
          <w:szCs w:val="20"/>
          <w:color w:val="auto"/>
        </w:rPr>
      </w:pPr>
      <w:r>
        <w:rPr>
          <w:rFonts w:ascii="Times New Roman" w:cs="Times New Roman" w:eastAsia="Times New Roman" w:hAnsi="Times New Roman"/>
          <w:sz w:val="17"/>
          <w:szCs w:val="17"/>
          <w:color w:val="131413"/>
        </w:rPr>
        <w:t>Guiyang Municipal Bureau of Statistics (1997) Statistical yearbook of Guiyang. China Statistics Press, Beijing (in Chinese)</w:t>
      </w:r>
    </w:p>
    <w:p>
      <w:pPr>
        <w:spacing w:after="0" w:line="28" w:lineRule="exact"/>
        <w:rPr>
          <w:sz w:val="20"/>
          <w:szCs w:val="20"/>
          <w:color w:val="auto"/>
        </w:rPr>
      </w:pPr>
    </w:p>
    <w:p>
      <w:pPr>
        <w:jc w:val="both"/>
        <w:ind w:left="340" w:hanging="338"/>
        <w:spacing w:after="0" w:line="235" w:lineRule="auto"/>
        <w:rPr>
          <w:sz w:val="20"/>
          <w:szCs w:val="20"/>
          <w:color w:val="auto"/>
        </w:rPr>
      </w:pPr>
      <w:r>
        <w:rPr>
          <w:rFonts w:ascii="Times New Roman" w:cs="Times New Roman" w:eastAsia="Times New Roman" w:hAnsi="Times New Roman"/>
          <w:sz w:val="17"/>
          <w:szCs w:val="17"/>
          <w:color w:val="131413"/>
        </w:rPr>
        <w:t>Guiyang Municipal Bureau of Statistics (2018) Statistical yearbook of Guiyang. China Statistics Press, Beijing (in Chinese)</w:t>
      </w:r>
    </w:p>
    <w:p>
      <w:pPr>
        <w:spacing w:after="0" w:line="29" w:lineRule="exact"/>
        <w:rPr>
          <w:sz w:val="20"/>
          <w:szCs w:val="20"/>
          <w:color w:val="auto"/>
        </w:rPr>
      </w:pPr>
    </w:p>
    <w:p>
      <w:pPr>
        <w:jc w:val="both"/>
        <w:ind w:left="340"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Hahs AK, Mcdonnell MJ (2007) Composition of the plant community in remnant patches of grassy woodland along an urban-rural gradient in Melbourne, Australia. Urban Ecosyst 10:355</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377. </w:t>
      </w:r>
      <w:hyperlink r:id="rId36">
        <w:r>
          <w:rPr>
            <w:rFonts w:ascii="Times New Roman" w:cs="Times New Roman" w:eastAsia="Times New Roman" w:hAnsi="Times New Roman"/>
            <w:sz w:val="17"/>
            <w:szCs w:val="17"/>
            <w:color w:val="0000FF"/>
          </w:rPr>
          <w:t>https://doi.org/</w:t>
        </w:r>
      </w:hyperlink>
      <w:r>
        <w:rPr>
          <w:rFonts w:ascii="Times New Roman" w:cs="Times New Roman" w:eastAsia="Times New Roman" w:hAnsi="Times New Roman"/>
          <w:sz w:val="17"/>
          <w:szCs w:val="17"/>
          <w:color w:val="131413"/>
        </w:rPr>
        <w:t xml:space="preserve"> </w:t>
      </w:r>
      <w:hyperlink r:id="rId36">
        <w:r>
          <w:rPr>
            <w:rFonts w:ascii="Times New Roman" w:cs="Times New Roman" w:eastAsia="Times New Roman" w:hAnsi="Times New Roman"/>
            <w:sz w:val="17"/>
            <w:szCs w:val="17"/>
            <w:color w:val="0000FF"/>
          </w:rPr>
          <w:t>10.1007/s11252-007-0034-7</w:t>
        </w:r>
      </w:hyperlink>
    </w:p>
    <w:p>
      <w:pPr>
        <w:spacing w:after="0" w:line="29" w:lineRule="exact"/>
        <w:rPr>
          <w:sz w:val="20"/>
          <w:szCs w:val="20"/>
          <w:color w:val="auto"/>
        </w:rPr>
      </w:pPr>
    </w:p>
    <w:p>
      <w:pPr>
        <w:jc w:val="both"/>
        <w:ind w:left="340"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Harper KA et al (2005) Edge influence on forest structure and composi-tion in fragmented landscapes. Conserv Biol 19:768</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782. </w:t>
      </w:r>
      <w:hyperlink r:id="rId37">
        <w:r>
          <w:rPr>
            <w:rFonts w:ascii="Times New Roman" w:cs="Times New Roman" w:eastAsia="Times New Roman" w:hAnsi="Times New Roman"/>
            <w:sz w:val="17"/>
            <w:szCs w:val="17"/>
            <w:color w:val="0000FF"/>
          </w:rPr>
          <w:t>https://</w:t>
        </w:r>
      </w:hyperlink>
      <w:r>
        <w:rPr>
          <w:rFonts w:ascii="Times New Roman" w:cs="Times New Roman" w:eastAsia="Times New Roman" w:hAnsi="Times New Roman"/>
          <w:sz w:val="17"/>
          <w:szCs w:val="17"/>
          <w:color w:val="131413"/>
        </w:rPr>
        <w:t xml:space="preserve"> </w:t>
      </w:r>
      <w:hyperlink r:id="rId37">
        <w:r>
          <w:rPr>
            <w:rFonts w:ascii="Times New Roman" w:cs="Times New Roman" w:eastAsia="Times New Roman" w:hAnsi="Times New Roman"/>
            <w:sz w:val="17"/>
            <w:szCs w:val="17"/>
            <w:color w:val="0000FF"/>
          </w:rPr>
          <w:t>doi.org/10.1111/j.1523-1739.2005.00045.x</w:t>
        </w:r>
      </w:hyperlink>
    </w:p>
    <w:p>
      <w:pPr>
        <w:spacing w:after="0" w:line="29" w:lineRule="exact"/>
        <w:rPr>
          <w:sz w:val="20"/>
          <w:szCs w:val="20"/>
          <w:color w:val="auto"/>
        </w:rPr>
      </w:pPr>
    </w:p>
    <w:p>
      <w:pPr>
        <w:jc w:val="both"/>
        <w:ind w:left="340" w:hanging="338"/>
        <w:spacing w:after="0" w:line="239"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Heckmann KE, Manley PN, Schlesinger MD (2008) Ecological integrity of remnant montane forests along an urban gradient in the Sierra Nevada. Forest Ecol Manag 255:2453</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2466. </w:t>
      </w:r>
      <w:hyperlink r:id="rId38">
        <w:r>
          <w:rPr>
            <w:rFonts w:ascii="Times New Roman" w:cs="Times New Roman" w:eastAsia="Times New Roman" w:hAnsi="Times New Roman"/>
            <w:sz w:val="17"/>
            <w:szCs w:val="17"/>
            <w:color w:val="0000FF"/>
          </w:rPr>
          <w:t>https://doi.org/10.</w:t>
        </w:r>
      </w:hyperlink>
      <w:r>
        <w:rPr>
          <w:rFonts w:ascii="Times New Roman" w:cs="Times New Roman" w:eastAsia="Times New Roman" w:hAnsi="Times New Roman"/>
          <w:sz w:val="17"/>
          <w:szCs w:val="17"/>
          <w:color w:val="131413"/>
        </w:rPr>
        <w:t xml:space="preserve"> </w:t>
      </w:r>
      <w:hyperlink r:id="rId38">
        <w:r>
          <w:rPr>
            <w:rFonts w:ascii="Times New Roman" w:cs="Times New Roman" w:eastAsia="Times New Roman" w:hAnsi="Times New Roman"/>
            <w:sz w:val="17"/>
            <w:szCs w:val="17"/>
            <w:color w:val="0000FF"/>
          </w:rPr>
          <w:t>1016/j.foreco.2008.01.005</w:t>
        </w:r>
      </w:hyperlink>
    </w:p>
    <w:p>
      <w:pPr>
        <w:spacing w:after="0" w:line="31" w:lineRule="exact"/>
        <w:rPr>
          <w:sz w:val="20"/>
          <w:szCs w:val="20"/>
          <w:color w:val="auto"/>
        </w:rPr>
      </w:pPr>
    </w:p>
    <w:p>
      <w:pPr>
        <w:jc w:val="both"/>
        <w:ind w:left="340"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Huang CH, Yang J, Jiang P (2018) Assessing impacts of urban form on landscape structure of urban green spaces in China using Landsat images based on Google earth engine. Remote Sens-Basel 10:1569. </w:t>
      </w:r>
      <w:hyperlink r:id="rId39">
        <w:r>
          <w:rPr>
            <w:rFonts w:ascii="Times New Roman" w:cs="Times New Roman" w:eastAsia="Times New Roman" w:hAnsi="Times New Roman"/>
            <w:sz w:val="17"/>
            <w:szCs w:val="17"/>
            <w:color w:val="0000FF"/>
          </w:rPr>
          <w:t>https://doi.org/10.3390/rs10101569</w:t>
        </w:r>
      </w:hyperlink>
    </w:p>
    <w:p>
      <w:pPr>
        <w:spacing w:after="0" w:line="29" w:lineRule="exact"/>
        <w:rPr>
          <w:sz w:val="20"/>
          <w:szCs w:val="20"/>
          <w:color w:val="auto"/>
        </w:rPr>
      </w:pPr>
    </w:p>
    <w:p>
      <w:pPr>
        <w:jc w:val="both"/>
        <w:ind w:left="340"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Jesus FM, Pivello VR, Meirelles ST, Franco GADC, Metzger JP (2012) The importance of landscape structure for seed dispersal in rain forest fragments. J Veg Sci 23:1126</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1136. </w:t>
      </w:r>
      <w:hyperlink r:id="rId40">
        <w:r>
          <w:rPr>
            <w:rFonts w:ascii="Times New Roman" w:cs="Times New Roman" w:eastAsia="Times New Roman" w:hAnsi="Times New Roman"/>
            <w:sz w:val="17"/>
            <w:szCs w:val="17"/>
            <w:color w:val="0000FF"/>
          </w:rPr>
          <w:t>https://doi.org/10.1111/</w:t>
        </w:r>
      </w:hyperlink>
      <w:r>
        <w:rPr>
          <w:rFonts w:ascii="Times New Roman" w:cs="Times New Roman" w:eastAsia="Times New Roman" w:hAnsi="Times New Roman"/>
          <w:sz w:val="17"/>
          <w:szCs w:val="17"/>
          <w:color w:val="131413"/>
        </w:rPr>
        <w:t xml:space="preserve"> </w:t>
      </w:r>
      <w:hyperlink r:id="rId40">
        <w:r>
          <w:rPr>
            <w:rFonts w:ascii="Times New Roman" w:cs="Times New Roman" w:eastAsia="Times New Roman" w:hAnsi="Times New Roman"/>
            <w:sz w:val="17"/>
            <w:szCs w:val="17"/>
            <w:color w:val="0000FF"/>
          </w:rPr>
          <w:t>j.1654-1103.2012.01418.x</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2526030</wp:posOffset>
            </wp:positionH>
            <wp:positionV relativeFrom="paragraph">
              <wp:posOffset>255905</wp:posOffset>
            </wp:positionV>
            <wp:extent cx="483870" cy="13843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ectPr>
          <w:pgSz w:w="11900" w:h="15817" w:orient="portrait"/>
          <w:cols w:equalWidth="0" w:num="2">
            <w:col w:w="4760" w:space="340"/>
            <w:col w:w="4760"/>
          </w:cols>
          <w:pgMar w:left="1020" w:top="649" w:right="1026" w:bottom="925" w:gutter="0" w:footer="0" w:header="0"/>
          <w:type w:val="continuous"/>
        </w:sectPr>
      </w:pPr>
    </w:p>
    <w:bookmarkStart w:id="9" w:name="page10"/>
    <w:bookmarkEnd w:id="9"/>
    <w:p>
      <w:pPr>
        <w:ind w:left="8640"/>
        <w:spacing w:after="0"/>
        <w:rPr>
          <w:sz w:val="20"/>
          <w:szCs w:val="20"/>
          <w:color w:val="auto"/>
        </w:rPr>
      </w:pPr>
      <w:r>
        <w:rPr>
          <w:rFonts w:ascii="Arial" w:cs="Arial" w:eastAsia="Arial" w:hAnsi="Arial"/>
          <w:sz w:val="13"/>
          <w:szCs w:val="13"/>
          <w:color w:val="131413"/>
        </w:rPr>
        <w:t>Urban Ecosyst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-215265</wp:posOffset>
                </wp:positionH>
                <wp:positionV relativeFrom="paragraph">
                  <wp:posOffset>48895</wp:posOffset>
                </wp:positionV>
                <wp:extent cx="0" cy="2540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9499pt,3.85pt" to="-16.9499pt,5.85pt" o:allowincell="f" strokecolor="#131413" strokeweight="1pt"/>
            </w:pict>
          </mc:Fallback>
        </mc:AlternateContent>
        <mc:AlternateContent>
          <mc:Choice Requires="wps">
            <w:drawing>
              <wp:anchor simplePos="0" relativeHeight="251657728" behindDoc="1" locked="0" layoutInCell="0" allowOverlap="1">
                <wp:simplePos x="0" y="0"/>
                <wp:positionH relativeFrom="column">
                  <wp:posOffset>-221615</wp:posOffset>
                </wp:positionH>
                <wp:positionV relativeFrom="paragraph">
                  <wp:posOffset>61595</wp:posOffset>
                </wp:positionV>
                <wp:extent cx="627634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6340" cy="4763"/>
                        </a:xfrm>
                        <a:prstGeom prst="line">
                          <a:avLst/>
                        </a:prstGeom>
                        <a:solidFill>
                          <a:srgbClr val="FFFFFF"/>
                        </a:solidFill>
                        <a:ln w="25660">
                          <a:solidFill>
                            <a:srgbClr val="131413"/>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4499pt,4.85pt" to="476.75pt,4.85pt" o:allowincell="f" strokecolor="#131413" strokeweight="2.0205pt"/>
            </w:pict>
          </mc:Fallback>
        </mc:AlternateContent>
        <mc:AlternateContent>
          <mc:Choice Requires="wps">
            <w:drawing>
              <wp:anchor simplePos="0" relativeHeight="251657728" behindDoc="1" locked="0" layoutInCell="0" allowOverlap="1">
                <wp:simplePos x="0" y="0"/>
                <wp:positionH relativeFrom="column">
                  <wp:posOffset>6048375</wp:posOffset>
                </wp:positionH>
                <wp:positionV relativeFrom="paragraph">
                  <wp:posOffset>48895</wp:posOffset>
                </wp:positionV>
                <wp:extent cx="0" cy="2540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6.25pt,3.85pt" to="476.25pt,5.85pt" o:allowincell="f" strokecolor="#131413" strokeweight="1pt"/>
            </w:pict>
          </mc:Fallback>
        </mc:AlternateContent>
      </w:r>
    </w:p>
    <w:p>
      <w:pPr>
        <w:sectPr>
          <w:pgSz w:w="11900" w:h="15817" w:orient="portrait"/>
          <w:cols w:equalWidth="0" w:num="1">
            <w:col w:w="9520"/>
          </w:cols>
          <w:pgMar w:left="1360" w:top="649" w:right="1026" w:bottom="925" w:gutter="0" w:footer="0" w:header="0"/>
        </w:sectPr>
      </w:pPr>
    </w:p>
    <w:p>
      <w:pPr>
        <w:spacing w:after="0" w:line="330" w:lineRule="exact"/>
        <w:rPr>
          <w:sz w:val="20"/>
          <w:szCs w:val="20"/>
          <w:color w:val="auto"/>
        </w:rPr>
      </w:pPr>
    </w:p>
    <w:p>
      <w:pPr>
        <w:jc w:val="both"/>
        <w:ind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König C, Weigelt P, Kreft H (2017) Dissecting global turnover in vascu-lar plants. Glob Ecol Biogeogr 26:228</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242. </w:t>
      </w:r>
      <w:hyperlink r:id="rId42">
        <w:r>
          <w:rPr>
            <w:rFonts w:ascii="Times New Roman" w:cs="Times New Roman" w:eastAsia="Times New Roman" w:hAnsi="Times New Roman"/>
            <w:sz w:val="17"/>
            <w:szCs w:val="17"/>
            <w:color w:val="0000FF"/>
          </w:rPr>
          <w:t>https://doi.org/10.1111/</w:t>
        </w:r>
      </w:hyperlink>
      <w:r>
        <w:rPr>
          <w:rFonts w:ascii="Times New Roman" w:cs="Times New Roman" w:eastAsia="Times New Roman" w:hAnsi="Times New Roman"/>
          <w:sz w:val="17"/>
          <w:szCs w:val="17"/>
          <w:color w:val="131413"/>
        </w:rPr>
        <w:t xml:space="preserve"> </w:t>
      </w:r>
      <w:hyperlink r:id="rId42">
        <w:r>
          <w:rPr>
            <w:rFonts w:ascii="Times New Roman" w:cs="Times New Roman" w:eastAsia="Times New Roman" w:hAnsi="Times New Roman"/>
            <w:sz w:val="17"/>
            <w:szCs w:val="17"/>
            <w:color w:val="0000FF"/>
          </w:rPr>
          <w:t>geb.12536</w:t>
        </w:r>
      </w:hyperlink>
    </w:p>
    <w:p>
      <w:pPr>
        <w:spacing w:after="0" w:line="19" w:lineRule="exact"/>
        <w:rPr>
          <w:sz w:val="20"/>
          <w:szCs w:val="20"/>
          <w:color w:val="auto"/>
        </w:rPr>
      </w:pPr>
    </w:p>
    <w:p>
      <w:pPr>
        <w:jc w:val="both"/>
        <w:ind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Körner C (2012) Treelines will be understood once the functional differ-ence between a tree and a shrub is. Ambio 41:197</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206. </w:t>
      </w:r>
      <w:hyperlink r:id="rId43">
        <w:r>
          <w:rPr>
            <w:rFonts w:ascii="Times New Roman" w:cs="Times New Roman" w:eastAsia="Times New Roman" w:hAnsi="Times New Roman"/>
            <w:sz w:val="17"/>
            <w:szCs w:val="17"/>
            <w:color w:val="0000FF"/>
          </w:rPr>
          <w:t>https://doi.</w:t>
        </w:r>
      </w:hyperlink>
      <w:r>
        <w:rPr>
          <w:rFonts w:ascii="Times New Roman" w:cs="Times New Roman" w:eastAsia="Times New Roman" w:hAnsi="Times New Roman"/>
          <w:sz w:val="17"/>
          <w:szCs w:val="17"/>
          <w:color w:val="131413"/>
        </w:rPr>
        <w:t xml:space="preserve"> </w:t>
      </w:r>
      <w:hyperlink r:id="rId43">
        <w:r>
          <w:rPr>
            <w:rFonts w:ascii="Times New Roman" w:cs="Times New Roman" w:eastAsia="Times New Roman" w:hAnsi="Times New Roman"/>
            <w:sz w:val="17"/>
            <w:szCs w:val="17"/>
            <w:color w:val="0000FF"/>
          </w:rPr>
          <w:t>org/10.1007/s13280-012-0313-2</w:t>
        </w:r>
      </w:hyperlink>
    </w:p>
    <w:p>
      <w:pPr>
        <w:spacing w:after="0" w:line="18" w:lineRule="exact"/>
        <w:rPr>
          <w:sz w:val="20"/>
          <w:szCs w:val="20"/>
          <w:color w:val="auto"/>
        </w:rPr>
      </w:pPr>
    </w:p>
    <w:p>
      <w:pPr>
        <w:jc w:val="both"/>
        <w:ind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Kowarik I, von der Lippe M (2018) Plant population success across urban ecosystems: a framework to inform biodiversity conservation in cities. J Appl Ecol 55:2354</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2361. </w:t>
      </w:r>
      <w:hyperlink r:id="rId44">
        <w:r>
          <w:rPr>
            <w:rFonts w:ascii="Times New Roman" w:cs="Times New Roman" w:eastAsia="Times New Roman" w:hAnsi="Times New Roman"/>
            <w:sz w:val="17"/>
            <w:szCs w:val="17"/>
            <w:color w:val="0000FF"/>
          </w:rPr>
          <w:t>https://doi.org/10.1111/1365-</w:t>
        </w:r>
      </w:hyperlink>
      <w:hyperlink r:id="rId44">
        <w:r>
          <w:rPr>
            <w:rFonts w:ascii="Times New Roman" w:cs="Times New Roman" w:eastAsia="Times New Roman" w:hAnsi="Times New Roman"/>
            <w:sz w:val="17"/>
            <w:szCs w:val="17"/>
            <w:color w:val="0000FF"/>
          </w:rPr>
          <w:t>2664.13144</w:t>
        </w:r>
      </w:hyperlink>
    </w:p>
    <w:p>
      <w:pPr>
        <w:spacing w:after="0" w:line="17" w:lineRule="exact"/>
        <w:rPr>
          <w:sz w:val="20"/>
          <w:szCs w:val="20"/>
          <w:color w:val="auto"/>
        </w:rPr>
      </w:pPr>
    </w:p>
    <w:p>
      <w:pPr>
        <w:jc w:val="both"/>
        <w:ind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Legendre P, Borcard D, Peres-Neto PR (2005) Analyzing beta diversity: partitioning the spatial variation of community composition data. Ecol Monogr 75:435</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450. </w:t>
      </w:r>
      <w:hyperlink r:id="rId45">
        <w:r>
          <w:rPr>
            <w:rFonts w:ascii="Times New Roman" w:cs="Times New Roman" w:eastAsia="Times New Roman" w:hAnsi="Times New Roman"/>
            <w:sz w:val="16"/>
            <w:szCs w:val="16"/>
            <w:color w:val="0000FF"/>
          </w:rPr>
          <w:t>https://doi.org/10.1890/05-0549</w:t>
        </w:r>
      </w:hyperlink>
    </w:p>
    <w:p>
      <w:pPr>
        <w:spacing w:after="0" w:line="2" w:lineRule="exact"/>
        <w:rPr>
          <w:sz w:val="20"/>
          <w:szCs w:val="20"/>
          <w:color w:val="auto"/>
        </w:rPr>
      </w:pPr>
    </w:p>
    <w:p>
      <w:pPr>
        <w:jc w:val="both"/>
        <w:ind w:hanging="338"/>
        <w:spacing w:after="0" w:line="241" w:lineRule="auto"/>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 xml:space="preserve">Lososová Z, Chytrý M, Tichý L, Danihelka J, Fajmon K, Hájek O, Kintrová K, Láníková D, Otýpková Z, </w:t>
      </w:r>
      <w:r>
        <w:rPr>
          <w:rFonts w:ascii="Arial" w:cs="Arial" w:eastAsia="Arial" w:hAnsi="Arial"/>
          <w:sz w:val="17"/>
          <w:szCs w:val="17"/>
          <w:color w:val="131413"/>
        </w:rPr>
        <w:t>Ř</w:t>
      </w:r>
      <w:r>
        <w:rPr>
          <w:rFonts w:ascii="Times New Roman" w:cs="Times New Roman" w:eastAsia="Times New Roman" w:hAnsi="Times New Roman"/>
          <w:sz w:val="17"/>
          <w:szCs w:val="17"/>
          <w:color w:val="131413"/>
        </w:rPr>
        <w:t>eho</w:t>
      </w:r>
      <w:r>
        <w:rPr>
          <w:rFonts w:ascii="Arial" w:cs="Arial" w:eastAsia="Arial" w:hAnsi="Arial"/>
          <w:sz w:val="17"/>
          <w:szCs w:val="17"/>
          <w:color w:val="131413"/>
        </w:rPr>
        <w:t>ř</w:t>
      </w:r>
      <w:r>
        <w:rPr>
          <w:rFonts w:ascii="Times New Roman" w:cs="Times New Roman" w:eastAsia="Times New Roman" w:hAnsi="Times New Roman"/>
          <w:sz w:val="17"/>
          <w:szCs w:val="17"/>
          <w:color w:val="131413"/>
        </w:rPr>
        <w:t>ek V (2012) Biotic homogenization of central European urban floras depends on resi-dence time of alien species and habitat types. Biol Conserv 145: 179</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184. </w:t>
      </w:r>
      <w:hyperlink r:id="rId46">
        <w:r>
          <w:rPr>
            <w:rFonts w:ascii="Times New Roman" w:cs="Times New Roman" w:eastAsia="Times New Roman" w:hAnsi="Times New Roman"/>
            <w:sz w:val="17"/>
            <w:szCs w:val="17"/>
            <w:color w:val="0000FF"/>
          </w:rPr>
          <w:t>https://doi.org/10.1016/j.biocon.2011.11.003</w:t>
        </w:r>
      </w:hyperlink>
    </w:p>
    <w:p>
      <w:pPr>
        <w:spacing w:after="0" w:line="16" w:lineRule="exact"/>
        <w:rPr>
          <w:sz w:val="20"/>
          <w:szCs w:val="20"/>
          <w:color w:val="auto"/>
        </w:rPr>
      </w:pPr>
    </w:p>
    <w:p>
      <w:pPr>
        <w:jc w:val="both"/>
        <w:ind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Lugo-Perez J, Sabat-Guernica AM (2011) Structure and composition of woody plants in urban forest remnants with different adjacent land-use and slope aspect. Urban Ecosyst 14:45</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58. </w:t>
      </w:r>
      <w:hyperlink r:id="rId47">
        <w:r>
          <w:rPr>
            <w:rFonts w:ascii="Times New Roman" w:cs="Times New Roman" w:eastAsia="Times New Roman" w:hAnsi="Times New Roman"/>
            <w:sz w:val="17"/>
            <w:szCs w:val="17"/>
            <w:color w:val="0000FF"/>
          </w:rPr>
          <w:t>https://doi.org/10.</w:t>
        </w:r>
      </w:hyperlink>
      <w:r>
        <w:rPr>
          <w:rFonts w:ascii="Times New Roman" w:cs="Times New Roman" w:eastAsia="Times New Roman" w:hAnsi="Times New Roman"/>
          <w:sz w:val="17"/>
          <w:szCs w:val="17"/>
          <w:color w:val="131413"/>
        </w:rPr>
        <w:t xml:space="preserve"> </w:t>
      </w:r>
      <w:hyperlink r:id="rId47">
        <w:r>
          <w:rPr>
            <w:rFonts w:ascii="Times New Roman" w:cs="Times New Roman" w:eastAsia="Times New Roman" w:hAnsi="Times New Roman"/>
            <w:sz w:val="17"/>
            <w:szCs w:val="17"/>
            <w:color w:val="0000FF"/>
          </w:rPr>
          <w:t>1007/s11252-010-0139-2</w:t>
        </w:r>
      </w:hyperlink>
    </w:p>
    <w:p>
      <w:pPr>
        <w:spacing w:after="0" w:line="18" w:lineRule="exact"/>
        <w:rPr>
          <w:sz w:val="20"/>
          <w:szCs w:val="20"/>
          <w:color w:val="auto"/>
        </w:rPr>
      </w:pPr>
    </w:p>
    <w:p>
      <w:pPr>
        <w:jc w:val="both"/>
        <w:ind w:hanging="338"/>
        <w:spacing w:after="0" w:line="235" w:lineRule="auto"/>
        <w:rPr>
          <w:sz w:val="20"/>
          <w:szCs w:val="20"/>
          <w:color w:val="auto"/>
        </w:rPr>
      </w:pPr>
      <w:r>
        <w:rPr>
          <w:rFonts w:ascii="Times New Roman" w:cs="Times New Roman" w:eastAsia="Times New Roman" w:hAnsi="Times New Roman"/>
          <w:sz w:val="17"/>
          <w:szCs w:val="17"/>
          <w:color w:val="131413"/>
        </w:rPr>
        <w:t>MacArthur RD, Wilson EO (1967) The theory island biogeography. Princton University Press, Princton</w:t>
      </w:r>
    </w:p>
    <w:p>
      <w:pPr>
        <w:spacing w:after="0" w:line="17" w:lineRule="exact"/>
        <w:rPr>
          <w:sz w:val="20"/>
          <w:szCs w:val="20"/>
          <w:color w:val="auto"/>
        </w:rPr>
      </w:pPr>
    </w:p>
    <w:p>
      <w:pPr>
        <w:jc w:val="both"/>
        <w:ind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Malkinson D, Kopel D, Wittenberg L (2018) From rural-urban gradients to patch-matrix frameworks: plant diversity patterns in urban land-scapes. Landsc Urban Plan 169:260</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268. </w:t>
      </w:r>
      <w:hyperlink r:id="rId48">
        <w:r>
          <w:rPr>
            <w:rFonts w:ascii="Times New Roman" w:cs="Times New Roman" w:eastAsia="Times New Roman" w:hAnsi="Times New Roman"/>
            <w:sz w:val="17"/>
            <w:szCs w:val="17"/>
            <w:color w:val="0000FF"/>
          </w:rPr>
          <w:t>https://doi.org/10.1016/j.</w:t>
        </w:r>
      </w:hyperlink>
      <w:r>
        <w:rPr>
          <w:rFonts w:ascii="Times New Roman" w:cs="Times New Roman" w:eastAsia="Times New Roman" w:hAnsi="Times New Roman"/>
          <w:sz w:val="17"/>
          <w:szCs w:val="17"/>
          <w:color w:val="131413"/>
        </w:rPr>
        <w:t xml:space="preserve"> </w:t>
      </w:r>
      <w:hyperlink r:id="rId48">
        <w:r>
          <w:rPr>
            <w:rFonts w:ascii="Times New Roman" w:cs="Times New Roman" w:eastAsia="Times New Roman" w:hAnsi="Times New Roman"/>
            <w:sz w:val="17"/>
            <w:szCs w:val="17"/>
            <w:color w:val="0000FF"/>
          </w:rPr>
          <w:t>landurbplan.2017.09.021</w:t>
        </w:r>
      </w:hyperlink>
    </w:p>
    <w:p>
      <w:pPr>
        <w:spacing w:after="0" w:line="18" w:lineRule="exact"/>
        <w:rPr>
          <w:sz w:val="20"/>
          <w:szCs w:val="20"/>
          <w:color w:val="auto"/>
        </w:rPr>
      </w:pPr>
    </w:p>
    <w:p>
      <w:pPr>
        <w:jc w:val="both"/>
        <w:ind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Manion G, Lisk M, Ferrier S, Nieto-Lugilde D, Mokany K, Fitzpatrick MC (2018) gdm: Generalized dissimilarity modeling. </w:t>
      </w:r>
      <w:hyperlink r:id="rId49">
        <w:r>
          <w:rPr>
            <w:rFonts w:ascii="Times New Roman" w:cs="Times New Roman" w:eastAsia="Times New Roman" w:hAnsi="Times New Roman"/>
            <w:sz w:val="17"/>
            <w:szCs w:val="17"/>
            <w:color w:val="0000FF"/>
          </w:rPr>
          <w:t>https://</w:t>
        </w:r>
      </w:hyperlink>
      <w:r>
        <w:rPr>
          <w:rFonts w:ascii="Times New Roman" w:cs="Times New Roman" w:eastAsia="Times New Roman" w:hAnsi="Times New Roman"/>
          <w:sz w:val="17"/>
          <w:szCs w:val="17"/>
          <w:color w:val="131413"/>
        </w:rPr>
        <w:t xml:space="preserve"> </w:t>
      </w:r>
      <w:hyperlink r:id="rId49">
        <w:r>
          <w:rPr>
            <w:rFonts w:ascii="Times New Roman" w:cs="Times New Roman" w:eastAsia="Times New Roman" w:hAnsi="Times New Roman"/>
            <w:sz w:val="17"/>
            <w:szCs w:val="17"/>
            <w:color w:val="0000FF"/>
          </w:rPr>
          <w:t>CRAN.R-project.org/package=gdm</w:t>
        </w:r>
      </w:hyperlink>
    </w:p>
    <w:p>
      <w:pPr>
        <w:spacing w:after="0" w:line="18" w:lineRule="exact"/>
        <w:rPr>
          <w:sz w:val="20"/>
          <w:szCs w:val="20"/>
          <w:color w:val="auto"/>
        </w:rPr>
      </w:pPr>
    </w:p>
    <w:p>
      <w:pPr>
        <w:jc w:val="both"/>
        <w:ind w:hanging="338"/>
        <w:spacing w:after="0" w:line="239"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Moffatt SF, McLachlan SM, Kenkel NC (2004) Impacts of land use on riparian forest along an urban</w:t>
      </w:r>
      <w:r>
        <w:rPr>
          <w:rFonts w:ascii="Arial" w:cs="Arial" w:eastAsia="Arial" w:hAnsi="Arial"/>
          <w:sz w:val="17"/>
          <w:szCs w:val="17"/>
          <w:color w:val="131413"/>
        </w:rPr>
        <w:t>–</w:t>
      </w:r>
      <w:r>
        <w:rPr>
          <w:rFonts w:ascii="Times New Roman" w:cs="Times New Roman" w:eastAsia="Times New Roman" w:hAnsi="Times New Roman"/>
          <w:sz w:val="17"/>
          <w:szCs w:val="17"/>
          <w:color w:val="131413"/>
        </w:rPr>
        <w:t>rural gradient in southern Manitoba. Plant Ecol 174:119</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135. </w:t>
      </w:r>
      <w:hyperlink r:id="rId50">
        <w:r>
          <w:rPr>
            <w:rFonts w:ascii="Times New Roman" w:cs="Times New Roman" w:eastAsia="Times New Roman" w:hAnsi="Times New Roman"/>
            <w:sz w:val="17"/>
            <w:szCs w:val="17"/>
            <w:color w:val="0000FF"/>
          </w:rPr>
          <w:t>https://doi.org/10.1023/B:VEGE.</w:t>
        </w:r>
      </w:hyperlink>
      <w:r>
        <w:rPr>
          <w:rFonts w:ascii="Times New Roman" w:cs="Times New Roman" w:eastAsia="Times New Roman" w:hAnsi="Times New Roman"/>
          <w:sz w:val="17"/>
          <w:szCs w:val="17"/>
          <w:color w:val="131413"/>
        </w:rPr>
        <w:t xml:space="preserve"> </w:t>
      </w:r>
      <w:hyperlink r:id="rId50">
        <w:r>
          <w:rPr>
            <w:rFonts w:ascii="Times New Roman" w:cs="Times New Roman" w:eastAsia="Times New Roman" w:hAnsi="Times New Roman"/>
            <w:sz w:val="17"/>
            <w:szCs w:val="17"/>
            <w:color w:val="0000FF"/>
          </w:rPr>
          <w:t>0000046055.27285.fd</w:t>
        </w:r>
      </w:hyperlink>
    </w:p>
    <w:p>
      <w:pPr>
        <w:spacing w:after="0" w:line="19" w:lineRule="exact"/>
        <w:rPr>
          <w:sz w:val="20"/>
          <w:szCs w:val="20"/>
          <w:color w:val="auto"/>
        </w:rPr>
      </w:pPr>
    </w:p>
    <w:p>
      <w:pPr>
        <w:jc w:val="both"/>
        <w:ind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Nielsen AB, van den Bosch M, Maruthaveeran S, van den Bosch CK (2014) Species richness in urban parks and its drivers: a review of empirical evidence. Urban Ecosyst 17:305</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327. </w:t>
      </w:r>
      <w:hyperlink r:id="rId51">
        <w:r>
          <w:rPr>
            <w:rFonts w:ascii="Times New Roman" w:cs="Times New Roman" w:eastAsia="Times New Roman" w:hAnsi="Times New Roman"/>
            <w:sz w:val="17"/>
            <w:szCs w:val="17"/>
            <w:color w:val="0000FF"/>
          </w:rPr>
          <w:t>https://doi.org/10.</w:t>
        </w:r>
      </w:hyperlink>
      <w:r>
        <w:rPr>
          <w:rFonts w:ascii="Times New Roman" w:cs="Times New Roman" w:eastAsia="Times New Roman" w:hAnsi="Times New Roman"/>
          <w:sz w:val="17"/>
          <w:szCs w:val="17"/>
          <w:color w:val="131413"/>
        </w:rPr>
        <w:t xml:space="preserve"> </w:t>
      </w:r>
      <w:hyperlink r:id="rId51">
        <w:r>
          <w:rPr>
            <w:rFonts w:ascii="Times New Roman" w:cs="Times New Roman" w:eastAsia="Times New Roman" w:hAnsi="Times New Roman"/>
            <w:sz w:val="17"/>
            <w:szCs w:val="17"/>
            <w:color w:val="0000FF"/>
          </w:rPr>
          <w:t>1007/s11252-013-0316-1</w:t>
        </w:r>
      </w:hyperlink>
    </w:p>
    <w:p>
      <w:pPr>
        <w:spacing w:after="0" w:line="18" w:lineRule="exact"/>
        <w:rPr>
          <w:sz w:val="20"/>
          <w:szCs w:val="20"/>
          <w:color w:val="auto"/>
        </w:rPr>
      </w:pPr>
    </w:p>
    <w:p>
      <w:pPr>
        <w:jc w:val="both"/>
        <w:ind w:hanging="338"/>
        <w:spacing w:after="0" w:line="241"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Niemelä J, Saarela S-R, Söderman T, Kopperoinen L, Yli-Pelkonen V, Väre S, Kotze DJ (2010) Using the ecosystem services approach for better planning and conservation of urban green spaces: a Finland case study. Biodivers Conserv 19:3225</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3243. </w:t>
      </w:r>
      <w:hyperlink r:id="rId52">
        <w:r>
          <w:rPr>
            <w:rFonts w:ascii="Times New Roman" w:cs="Times New Roman" w:eastAsia="Times New Roman" w:hAnsi="Times New Roman"/>
            <w:sz w:val="17"/>
            <w:szCs w:val="17"/>
            <w:color w:val="0000FF"/>
          </w:rPr>
          <w:t>https://doi.org/10.</w:t>
        </w:r>
      </w:hyperlink>
      <w:r>
        <w:rPr>
          <w:rFonts w:ascii="Times New Roman" w:cs="Times New Roman" w:eastAsia="Times New Roman" w:hAnsi="Times New Roman"/>
          <w:sz w:val="17"/>
          <w:szCs w:val="17"/>
          <w:color w:val="131413"/>
        </w:rPr>
        <w:t xml:space="preserve"> </w:t>
      </w:r>
      <w:hyperlink r:id="rId52">
        <w:r>
          <w:rPr>
            <w:rFonts w:ascii="Times New Roman" w:cs="Times New Roman" w:eastAsia="Times New Roman" w:hAnsi="Times New Roman"/>
            <w:sz w:val="17"/>
            <w:szCs w:val="17"/>
            <w:color w:val="0000FF"/>
          </w:rPr>
          <w:t>1007/s10531-010-9888-8</w:t>
        </w:r>
      </w:hyperlink>
    </w:p>
    <w:p>
      <w:pPr>
        <w:spacing w:after="0" w:line="18" w:lineRule="exact"/>
        <w:rPr>
          <w:sz w:val="20"/>
          <w:szCs w:val="20"/>
          <w:color w:val="auto"/>
        </w:rPr>
      </w:pPr>
    </w:p>
    <w:p>
      <w:pPr>
        <w:jc w:val="both"/>
        <w:ind w:hanging="338"/>
        <w:spacing w:after="0" w:line="239"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Niu HY, Xing JJ, Zhang HM, Wang D, Wang XR (2018) Roads limit of seed dispersal and seedling recruitment of Quercus chenii in an urban hillside forest. Urban For Urban Gree 30:307</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314. </w:t>
      </w:r>
      <w:hyperlink r:id="rId53">
        <w:r>
          <w:rPr>
            <w:rFonts w:ascii="Times New Roman" w:cs="Times New Roman" w:eastAsia="Times New Roman" w:hAnsi="Times New Roman"/>
            <w:sz w:val="17"/>
            <w:szCs w:val="17"/>
            <w:color w:val="0000FF"/>
          </w:rPr>
          <w:t>https://</w:t>
        </w:r>
      </w:hyperlink>
      <w:r>
        <w:rPr>
          <w:rFonts w:ascii="Times New Roman" w:cs="Times New Roman" w:eastAsia="Times New Roman" w:hAnsi="Times New Roman"/>
          <w:sz w:val="17"/>
          <w:szCs w:val="17"/>
          <w:color w:val="131413"/>
        </w:rPr>
        <w:t xml:space="preserve"> </w:t>
      </w:r>
      <w:hyperlink r:id="rId53">
        <w:r>
          <w:rPr>
            <w:rFonts w:ascii="Times New Roman" w:cs="Times New Roman" w:eastAsia="Times New Roman" w:hAnsi="Times New Roman"/>
            <w:sz w:val="17"/>
            <w:szCs w:val="17"/>
            <w:color w:val="0000FF"/>
          </w:rPr>
          <w:t>doi.org/10.1016/j.ufug.2018.01.023</w:t>
        </w:r>
      </w:hyperlink>
    </w:p>
    <w:p>
      <w:pPr>
        <w:spacing w:after="0" w:line="20" w:lineRule="exact"/>
        <w:rPr>
          <w:sz w:val="20"/>
          <w:szCs w:val="20"/>
          <w:color w:val="auto"/>
        </w:rPr>
      </w:pPr>
    </w:p>
    <w:p>
      <w:pPr>
        <w:jc w:val="both"/>
        <w:ind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Nock CA, Paquette A, Follett M, Nowak DJ, Messie C (2013) Effects of urbanization on tree species functional diversity in eastern North America. Ecosystems 16:1487</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1497. </w:t>
      </w:r>
      <w:hyperlink r:id="rId54">
        <w:r>
          <w:rPr>
            <w:rFonts w:ascii="Times New Roman" w:cs="Times New Roman" w:eastAsia="Times New Roman" w:hAnsi="Times New Roman"/>
            <w:sz w:val="17"/>
            <w:szCs w:val="17"/>
            <w:color w:val="0000FF"/>
          </w:rPr>
          <w:t>https://doi.org/10.1007/</w:t>
        </w:r>
      </w:hyperlink>
      <w:r>
        <w:rPr>
          <w:rFonts w:ascii="Times New Roman" w:cs="Times New Roman" w:eastAsia="Times New Roman" w:hAnsi="Times New Roman"/>
          <w:sz w:val="17"/>
          <w:szCs w:val="17"/>
          <w:color w:val="131413"/>
        </w:rPr>
        <w:t xml:space="preserve"> </w:t>
      </w:r>
      <w:hyperlink r:id="rId54">
        <w:r>
          <w:rPr>
            <w:rFonts w:ascii="Times New Roman" w:cs="Times New Roman" w:eastAsia="Times New Roman" w:hAnsi="Times New Roman"/>
            <w:sz w:val="17"/>
            <w:szCs w:val="17"/>
            <w:color w:val="0000FF"/>
          </w:rPr>
          <w:t>s10021-013-9697-5</w:t>
        </w:r>
      </w:hyperlink>
    </w:p>
    <w:p>
      <w:pPr>
        <w:spacing w:after="0" w:line="18" w:lineRule="exact"/>
        <w:rPr>
          <w:sz w:val="20"/>
          <w:szCs w:val="20"/>
          <w:color w:val="auto"/>
        </w:rPr>
      </w:pPr>
    </w:p>
    <w:p>
      <w:pPr>
        <w:jc w:val="both"/>
        <w:ind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Olejniczak MJ, Spiering DJ, Potts DL, Warren RJ (2018) Urban forests form isolated archipelagos. J Urban Ecol 4:juy007. </w:t>
      </w:r>
      <w:hyperlink r:id="rId55">
        <w:r>
          <w:rPr>
            <w:rFonts w:ascii="Times New Roman" w:cs="Times New Roman" w:eastAsia="Times New Roman" w:hAnsi="Times New Roman"/>
            <w:sz w:val="17"/>
            <w:szCs w:val="17"/>
            <w:color w:val="0000FF"/>
          </w:rPr>
          <w:t>https://doi.org/</w:t>
        </w:r>
      </w:hyperlink>
      <w:r>
        <w:rPr>
          <w:rFonts w:ascii="Times New Roman" w:cs="Times New Roman" w:eastAsia="Times New Roman" w:hAnsi="Times New Roman"/>
          <w:sz w:val="17"/>
          <w:szCs w:val="17"/>
          <w:color w:val="131413"/>
        </w:rPr>
        <w:t xml:space="preserve"> </w:t>
      </w:r>
      <w:hyperlink r:id="rId55">
        <w:r>
          <w:rPr>
            <w:rFonts w:ascii="Times New Roman" w:cs="Times New Roman" w:eastAsia="Times New Roman" w:hAnsi="Times New Roman"/>
            <w:sz w:val="17"/>
            <w:szCs w:val="17"/>
            <w:color w:val="0000FF"/>
          </w:rPr>
          <w:t>10.1093/jue/juy007</w:t>
        </w:r>
      </w:hyperlink>
    </w:p>
    <w:p>
      <w:pPr>
        <w:spacing w:after="0" w:line="18" w:lineRule="exact"/>
        <w:rPr>
          <w:sz w:val="20"/>
          <w:szCs w:val="20"/>
          <w:color w:val="auto"/>
        </w:rPr>
      </w:pPr>
    </w:p>
    <w:p>
      <w:pPr>
        <w:jc w:val="both"/>
        <w:ind w:hanging="338"/>
        <w:spacing w:after="0" w:line="235"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Pavoine S (2017) adiv: Analysis of diversity. </w:t>
      </w:r>
      <w:hyperlink r:id="rId56">
        <w:r>
          <w:rPr>
            <w:rFonts w:ascii="Times New Roman" w:cs="Times New Roman" w:eastAsia="Times New Roman" w:hAnsi="Times New Roman"/>
            <w:sz w:val="17"/>
            <w:szCs w:val="17"/>
            <w:color w:val="0000FF"/>
          </w:rPr>
          <w:t>https://cran.r-project.org/</w:t>
        </w:r>
      </w:hyperlink>
      <w:r>
        <w:rPr>
          <w:rFonts w:ascii="Times New Roman" w:cs="Times New Roman" w:eastAsia="Times New Roman" w:hAnsi="Times New Roman"/>
          <w:sz w:val="17"/>
          <w:szCs w:val="17"/>
          <w:color w:val="131413"/>
        </w:rPr>
        <w:t xml:space="preserve"> </w:t>
      </w:r>
      <w:hyperlink r:id="rId56">
        <w:r>
          <w:rPr>
            <w:rFonts w:ascii="Times New Roman" w:cs="Times New Roman" w:eastAsia="Times New Roman" w:hAnsi="Times New Roman"/>
            <w:sz w:val="17"/>
            <w:szCs w:val="17"/>
            <w:color w:val="0000FF"/>
          </w:rPr>
          <w:t>package=adiv</w:t>
        </w:r>
      </w:hyperlink>
    </w:p>
    <w:p>
      <w:pPr>
        <w:spacing w:after="0" w:line="17" w:lineRule="exact"/>
        <w:rPr>
          <w:sz w:val="20"/>
          <w:szCs w:val="20"/>
          <w:color w:val="auto"/>
        </w:rPr>
      </w:pPr>
    </w:p>
    <w:p>
      <w:pPr>
        <w:jc w:val="both"/>
        <w:ind w:hanging="338"/>
        <w:spacing w:after="0" w:line="239"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Pavoine S, Marcon E, Ricotta C (2016) </w:t>
      </w:r>
      <w:r>
        <w:rPr>
          <w:rFonts w:ascii="Arial" w:cs="Arial" w:eastAsia="Arial" w:hAnsi="Arial"/>
          <w:sz w:val="17"/>
          <w:szCs w:val="17"/>
          <w:color w:val="131413"/>
        </w:rPr>
        <w:t>‘</w:t>
      </w:r>
      <w:r>
        <w:rPr>
          <w:rFonts w:ascii="Times New Roman" w:cs="Times New Roman" w:eastAsia="Times New Roman" w:hAnsi="Times New Roman"/>
          <w:sz w:val="17"/>
          <w:szCs w:val="17"/>
          <w:color w:val="131413"/>
        </w:rPr>
        <w:t>Equivalent numbers</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 for species, phylogenetic or functional diversity in a nested hierarchy of multiple scales. Methods Ecol Evol 7:1152</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1163. </w:t>
      </w:r>
      <w:hyperlink r:id="rId57">
        <w:r>
          <w:rPr>
            <w:rFonts w:ascii="Times New Roman" w:cs="Times New Roman" w:eastAsia="Times New Roman" w:hAnsi="Times New Roman"/>
            <w:sz w:val="17"/>
            <w:szCs w:val="17"/>
            <w:color w:val="0000FF"/>
          </w:rPr>
          <w:t>https://doi.org/10.1111/</w:t>
        </w:r>
      </w:hyperlink>
      <w:r>
        <w:rPr>
          <w:rFonts w:ascii="Times New Roman" w:cs="Times New Roman" w:eastAsia="Times New Roman" w:hAnsi="Times New Roman"/>
          <w:sz w:val="17"/>
          <w:szCs w:val="17"/>
          <w:color w:val="131413"/>
        </w:rPr>
        <w:t xml:space="preserve"> </w:t>
      </w:r>
      <w:hyperlink r:id="rId57">
        <w:r>
          <w:rPr>
            <w:rFonts w:ascii="Times New Roman" w:cs="Times New Roman" w:eastAsia="Times New Roman" w:hAnsi="Times New Roman"/>
            <w:sz w:val="17"/>
            <w:szCs w:val="17"/>
            <w:color w:val="0000FF"/>
          </w:rPr>
          <w:t>2041-210X.12591</w:t>
        </w:r>
      </w:hyperlink>
    </w:p>
    <w:p>
      <w:pPr>
        <w:spacing w:after="0" w:line="20" w:lineRule="exact"/>
        <w:rPr>
          <w:sz w:val="20"/>
          <w:szCs w:val="20"/>
          <w:color w:val="auto"/>
        </w:rPr>
      </w:pPr>
    </w:p>
    <w:p>
      <w:pPr>
        <w:jc w:val="both"/>
        <w:ind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R Core Team (2019) R: A language and environment for statistical com-puting. R for Statistical Computing, Vienna. </w:t>
      </w:r>
      <w:hyperlink r:id="rId58">
        <w:r>
          <w:rPr>
            <w:rFonts w:ascii="Times New Roman" w:cs="Times New Roman" w:eastAsia="Times New Roman" w:hAnsi="Times New Roman"/>
            <w:sz w:val="17"/>
            <w:szCs w:val="17"/>
            <w:color w:val="0000FF"/>
          </w:rPr>
          <w:t>https://www.R-Project.</w:t>
        </w:r>
      </w:hyperlink>
      <w:r>
        <w:rPr>
          <w:rFonts w:ascii="Times New Roman" w:cs="Times New Roman" w:eastAsia="Times New Roman" w:hAnsi="Times New Roman"/>
          <w:sz w:val="17"/>
          <w:szCs w:val="17"/>
          <w:color w:val="131413"/>
        </w:rPr>
        <w:t xml:space="preserve"> </w:t>
      </w:r>
      <w:hyperlink r:id="rId58">
        <w:r>
          <w:rPr>
            <w:rFonts w:ascii="Times New Roman" w:cs="Times New Roman" w:eastAsia="Times New Roman" w:hAnsi="Times New Roman"/>
            <w:sz w:val="17"/>
            <w:szCs w:val="17"/>
            <w:color w:val="0000FF"/>
          </w:rPr>
          <w:t>org</w:t>
        </w:r>
      </w:hyperlink>
    </w:p>
    <w:p>
      <w:pPr>
        <w:spacing w:after="0" w:line="18" w:lineRule="exact"/>
        <w:rPr>
          <w:sz w:val="20"/>
          <w:szCs w:val="20"/>
          <w:color w:val="auto"/>
        </w:rPr>
      </w:pPr>
    </w:p>
    <w:p>
      <w:pPr>
        <w:jc w:val="both"/>
        <w:ind w:hanging="338"/>
        <w:spacing w:after="0" w:line="259" w:lineRule="auto"/>
        <w:rPr>
          <w:sz w:val="20"/>
          <w:szCs w:val="20"/>
          <w:color w:val="auto"/>
        </w:rPr>
      </w:pPr>
      <w:r>
        <w:rPr>
          <w:rFonts w:ascii="Times New Roman" w:cs="Times New Roman" w:eastAsia="Times New Roman" w:hAnsi="Times New Roman"/>
          <w:sz w:val="16"/>
          <w:szCs w:val="16"/>
          <w:color w:val="131413"/>
        </w:rPr>
        <w:t>Ramalho CE, Laliberte E, Poot P, Hobbs RJ (2014) Complex effects of fragmentation on remnant woodland plant communities of a rapidly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-215265</wp:posOffset>
            </wp:positionH>
            <wp:positionV relativeFrom="paragraph">
              <wp:posOffset>247015</wp:posOffset>
            </wp:positionV>
            <wp:extent cx="483870" cy="13843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10" w:lineRule="exact"/>
        <w:rPr>
          <w:sz w:val="20"/>
          <w:szCs w:val="20"/>
          <w:color w:val="auto"/>
        </w:rPr>
      </w:pPr>
    </w:p>
    <w:p>
      <w:pPr>
        <w:spacing w:after="0" w:line="235"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urbanizing biodiversity hotspot. Ecology 95:2466</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2478. </w:t>
      </w:r>
      <w:hyperlink r:id="rId60">
        <w:r>
          <w:rPr>
            <w:rFonts w:ascii="Times New Roman" w:cs="Times New Roman" w:eastAsia="Times New Roman" w:hAnsi="Times New Roman"/>
            <w:sz w:val="17"/>
            <w:szCs w:val="17"/>
            <w:color w:val="0000FF"/>
          </w:rPr>
          <w:t>https://doi.</w:t>
        </w:r>
      </w:hyperlink>
      <w:r>
        <w:rPr>
          <w:rFonts w:ascii="Times New Roman" w:cs="Times New Roman" w:eastAsia="Times New Roman" w:hAnsi="Times New Roman"/>
          <w:sz w:val="17"/>
          <w:szCs w:val="17"/>
          <w:color w:val="131413"/>
        </w:rPr>
        <w:t xml:space="preserve"> </w:t>
      </w:r>
      <w:hyperlink r:id="rId60">
        <w:r>
          <w:rPr>
            <w:rFonts w:ascii="Times New Roman" w:cs="Times New Roman" w:eastAsia="Times New Roman" w:hAnsi="Times New Roman"/>
            <w:sz w:val="17"/>
            <w:szCs w:val="17"/>
            <w:color w:val="0000FF"/>
          </w:rPr>
          <w:t>org/10.1890/13-1239.1</w:t>
        </w:r>
      </w:hyperlink>
    </w:p>
    <w:p>
      <w:pPr>
        <w:spacing w:after="0" w:line="36" w:lineRule="exact"/>
        <w:rPr>
          <w:sz w:val="20"/>
          <w:szCs w:val="20"/>
          <w:color w:val="auto"/>
        </w:rPr>
      </w:pPr>
    </w:p>
    <w:p>
      <w:pPr>
        <w:jc w:val="both"/>
        <w:ind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Ribeiro EMS, Santos BA, Arroyo-Rodriguez V, Tabarelli M, Souza G, Leal IR (2016) Phylogenetic impoverishment of plant communities following chronic human disturbances in the Brazilian Caatinga. Ecology 97:1583</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1592. </w:t>
      </w:r>
      <w:hyperlink r:id="rId61">
        <w:r>
          <w:rPr>
            <w:rFonts w:ascii="Times New Roman" w:cs="Times New Roman" w:eastAsia="Times New Roman" w:hAnsi="Times New Roman"/>
            <w:sz w:val="16"/>
            <w:szCs w:val="16"/>
            <w:color w:val="0000FF"/>
          </w:rPr>
          <w:t>https://doi.org/10.1890/15-1122.1</w:t>
        </w:r>
      </w:hyperlink>
    </w:p>
    <w:p>
      <w:pPr>
        <w:spacing w:after="0" w:line="22" w:lineRule="exact"/>
        <w:rPr>
          <w:sz w:val="20"/>
          <w:szCs w:val="20"/>
          <w:color w:val="auto"/>
        </w:rPr>
      </w:pPr>
    </w:p>
    <w:p>
      <w:pPr>
        <w:jc w:val="both"/>
        <w:ind w:hanging="338"/>
        <w:spacing w:after="0" w:line="237"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Ricotta C, Szeidl L (2009) Diversity partitioning of Rao</w:t>
      </w:r>
      <w:r>
        <w:rPr>
          <w:rFonts w:ascii="Arial" w:cs="Arial" w:eastAsia="Arial" w:hAnsi="Arial"/>
          <w:sz w:val="17"/>
          <w:szCs w:val="17"/>
          <w:color w:val="131413"/>
        </w:rPr>
        <w:t>’</w:t>
      </w:r>
      <w:r>
        <w:rPr>
          <w:rFonts w:ascii="Times New Roman" w:cs="Times New Roman" w:eastAsia="Times New Roman" w:hAnsi="Times New Roman"/>
          <w:sz w:val="17"/>
          <w:szCs w:val="17"/>
          <w:color w:val="131413"/>
        </w:rPr>
        <w:t>s quadratic en-tropy. Theor Popul Biol 76:299</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302. </w:t>
      </w:r>
      <w:hyperlink r:id="rId62">
        <w:r>
          <w:rPr>
            <w:rFonts w:ascii="Times New Roman" w:cs="Times New Roman" w:eastAsia="Times New Roman" w:hAnsi="Times New Roman"/>
            <w:sz w:val="17"/>
            <w:szCs w:val="17"/>
            <w:color w:val="0000FF"/>
          </w:rPr>
          <w:t>https://doi.org/10.1016/j.tpb.</w:t>
        </w:r>
      </w:hyperlink>
      <w:r>
        <w:rPr>
          <w:rFonts w:ascii="Times New Roman" w:cs="Times New Roman" w:eastAsia="Times New Roman" w:hAnsi="Times New Roman"/>
          <w:sz w:val="17"/>
          <w:szCs w:val="17"/>
          <w:color w:val="131413"/>
        </w:rPr>
        <w:t xml:space="preserve"> </w:t>
      </w:r>
      <w:hyperlink r:id="rId62">
        <w:r>
          <w:rPr>
            <w:rFonts w:ascii="Times New Roman" w:cs="Times New Roman" w:eastAsia="Times New Roman" w:hAnsi="Times New Roman"/>
            <w:sz w:val="17"/>
            <w:szCs w:val="17"/>
            <w:color w:val="0000FF"/>
          </w:rPr>
          <w:t>2009.10.001</w:t>
        </w:r>
      </w:hyperlink>
    </w:p>
    <w:p>
      <w:pPr>
        <w:spacing w:after="0" w:line="39" w:lineRule="exact"/>
        <w:rPr>
          <w:sz w:val="20"/>
          <w:szCs w:val="20"/>
          <w:color w:val="auto"/>
        </w:rPr>
      </w:pPr>
    </w:p>
    <w:p>
      <w:pPr>
        <w:jc w:val="both"/>
        <w:ind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Roloff A, Korn S, Gillner S (2009) The climate-species-matrix to select tree species for urban habitats considering climate change. Urban For Urban Gree 8:295</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308. </w:t>
      </w:r>
      <w:hyperlink r:id="rId63">
        <w:r>
          <w:rPr>
            <w:rFonts w:ascii="Times New Roman" w:cs="Times New Roman" w:eastAsia="Times New Roman" w:hAnsi="Times New Roman"/>
            <w:sz w:val="17"/>
            <w:szCs w:val="17"/>
            <w:color w:val="0000FF"/>
          </w:rPr>
          <w:t>https://doi.org/10.1016/j.ufug.2009.08.</w:t>
        </w:r>
      </w:hyperlink>
      <w:r>
        <w:rPr>
          <w:rFonts w:ascii="Times New Roman" w:cs="Times New Roman" w:eastAsia="Times New Roman" w:hAnsi="Times New Roman"/>
          <w:sz w:val="17"/>
          <w:szCs w:val="17"/>
          <w:color w:val="131413"/>
        </w:rPr>
        <w:t xml:space="preserve"> </w:t>
      </w:r>
      <w:hyperlink r:id="rId63">
        <w:r>
          <w:rPr>
            <w:rFonts w:ascii="Times New Roman" w:cs="Times New Roman" w:eastAsia="Times New Roman" w:hAnsi="Times New Roman"/>
            <w:sz w:val="17"/>
            <w:szCs w:val="17"/>
            <w:color w:val="0000FF"/>
          </w:rPr>
          <w:t>002</w:t>
        </w:r>
      </w:hyperlink>
    </w:p>
    <w:p>
      <w:pPr>
        <w:spacing w:after="0" w:line="37" w:lineRule="exact"/>
        <w:rPr>
          <w:sz w:val="20"/>
          <w:szCs w:val="20"/>
          <w:color w:val="auto"/>
        </w:rPr>
      </w:pPr>
    </w:p>
    <w:p>
      <w:pPr>
        <w:jc w:val="both"/>
        <w:ind w:hanging="338"/>
        <w:spacing w:after="0" w:line="237"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Scheiner SM (2003) Six types of species</w:t>
      </w:r>
      <w:r>
        <w:rPr>
          <w:rFonts w:ascii="Arial" w:cs="Arial" w:eastAsia="Arial" w:hAnsi="Arial"/>
          <w:sz w:val="17"/>
          <w:szCs w:val="17"/>
          <w:color w:val="131413"/>
        </w:rPr>
        <w:t>–</w:t>
      </w:r>
      <w:r>
        <w:rPr>
          <w:rFonts w:ascii="Times New Roman" w:cs="Times New Roman" w:eastAsia="Times New Roman" w:hAnsi="Times New Roman"/>
          <w:sz w:val="17"/>
          <w:szCs w:val="17"/>
          <w:color w:val="131413"/>
        </w:rPr>
        <w:t>area curves. Glob Ecol Biogeogr 12:441</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447. </w:t>
      </w:r>
      <w:hyperlink r:id="rId64">
        <w:r>
          <w:rPr>
            <w:rFonts w:ascii="Times New Roman" w:cs="Times New Roman" w:eastAsia="Times New Roman" w:hAnsi="Times New Roman"/>
            <w:sz w:val="17"/>
            <w:szCs w:val="17"/>
            <w:color w:val="0000FF"/>
          </w:rPr>
          <w:t>https://doi.org/10.1046/j.1466-822X.2003.</w:t>
        </w:r>
      </w:hyperlink>
      <w:r>
        <w:rPr>
          <w:rFonts w:ascii="Times New Roman" w:cs="Times New Roman" w:eastAsia="Times New Roman" w:hAnsi="Times New Roman"/>
          <w:sz w:val="17"/>
          <w:szCs w:val="17"/>
          <w:color w:val="131413"/>
        </w:rPr>
        <w:t xml:space="preserve"> </w:t>
      </w:r>
      <w:hyperlink r:id="rId64">
        <w:r>
          <w:rPr>
            <w:rFonts w:ascii="Times New Roman" w:cs="Times New Roman" w:eastAsia="Times New Roman" w:hAnsi="Times New Roman"/>
            <w:sz w:val="17"/>
            <w:szCs w:val="17"/>
            <w:color w:val="0000FF"/>
          </w:rPr>
          <w:t>00061.x</w:t>
        </w:r>
      </w:hyperlink>
    </w:p>
    <w:p>
      <w:pPr>
        <w:spacing w:after="0" w:line="39" w:lineRule="exact"/>
        <w:rPr>
          <w:sz w:val="20"/>
          <w:szCs w:val="20"/>
          <w:color w:val="auto"/>
        </w:rPr>
      </w:pPr>
    </w:p>
    <w:p>
      <w:pPr>
        <w:jc w:val="both"/>
        <w:ind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Scheiner SM, Willig MR (2005) Developing unified theories in ecology as exemplified with diversity gradients. Am Nat 166:458</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469. </w:t>
      </w:r>
      <w:hyperlink r:id="rId65">
        <w:r>
          <w:rPr>
            <w:rFonts w:ascii="Times New Roman" w:cs="Times New Roman" w:eastAsia="Times New Roman" w:hAnsi="Times New Roman"/>
            <w:sz w:val="17"/>
            <w:szCs w:val="17"/>
            <w:color w:val="0000FF"/>
          </w:rPr>
          <w:t>https://doi.org/10.1086/444402</w:t>
        </w:r>
      </w:hyperlink>
    </w:p>
    <w:p>
      <w:pPr>
        <w:spacing w:after="0" w:line="38" w:lineRule="exact"/>
        <w:rPr>
          <w:sz w:val="20"/>
          <w:szCs w:val="20"/>
          <w:color w:val="auto"/>
        </w:rPr>
      </w:pPr>
    </w:p>
    <w:p>
      <w:pPr>
        <w:jc w:val="both"/>
        <w:ind w:hanging="338"/>
        <w:spacing w:after="0" w:line="239"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Schnitzler A, Borlea F (1998) Lessons from natural forests as keys for sustainable management and improvement of naturalness in man-aged broadleaved forests. Forest Ecol Manag 109:293</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303. </w:t>
      </w:r>
      <w:hyperlink r:id="rId66">
        <w:r>
          <w:rPr>
            <w:rFonts w:ascii="Times New Roman" w:cs="Times New Roman" w:eastAsia="Times New Roman" w:hAnsi="Times New Roman"/>
            <w:sz w:val="17"/>
            <w:szCs w:val="17"/>
            <w:color w:val="0000FF"/>
          </w:rPr>
          <w:t>https://</w:t>
        </w:r>
      </w:hyperlink>
      <w:r>
        <w:rPr>
          <w:rFonts w:ascii="Times New Roman" w:cs="Times New Roman" w:eastAsia="Times New Roman" w:hAnsi="Times New Roman"/>
          <w:sz w:val="17"/>
          <w:szCs w:val="17"/>
          <w:color w:val="131413"/>
        </w:rPr>
        <w:t xml:space="preserve"> </w:t>
      </w:r>
      <w:hyperlink r:id="rId66">
        <w:r>
          <w:rPr>
            <w:rFonts w:ascii="Times New Roman" w:cs="Times New Roman" w:eastAsia="Times New Roman" w:hAnsi="Times New Roman"/>
            <w:sz w:val="17"/>
            <w:szCs w:val="17"/>
            <w:color w:val="0000FF"/>
          </w:rPr>
          <w:t>doi.org/10.1016/S0378-1127(98)00263-1</w:t>
        </w:r>
      </w:hyperlink>
    </w:p>
    <w:p>
      <w:pPr>
        <w:spacing w:after="0" w:line="39" w:lineRule="exact"/>
        <w:rPr>
          <w:sz w:val="20"/>
          <w:szCs w:val="20"/>
          <w:color w:val="auto"/>
        </w:rPr>
      </w:pPr>
    </w:p>
    <w:p>
      <w:pPr>
        <w:jc w:val="both"/>
        <w:ind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Sewell SR, Catterall CP (1998) Bushland modification and styles of ur-ban development: their effects on birds in south-East Queensland. Wildl Res 25:41</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63. </w:t>
      </w:r>
      <w:hyperlink r:id="rId67">
        <w:r>
          <w:rPr>
            <w:rFonts w:ascii="Times New Roman" w:cs="Times New Roman" w:eastAsia="Times New Roman" w:hAnsi="Times New Roman"/>
            <w:sz w:val="16"/>
            <w:szCs w:val="16"/>
            <w:color w:val="0000FF"/>
          </w:rPr>
          <w:t>https://doi.org/10.1071/WR96078</w:t>
        </w:r>
      </w:hyperlink>
    </w:p>
    <w:p>
      <w:pPr>
        <w:spacing w:after="0" w:line="20" w:lineRule="exact"/>
        <w:rPr>
          <w:sz w:val="20"/>
          <w:szCs w:val="20"/>
          <w:color w:val="auto"/>
        </w:rPr>
      </w:pPr>
    </w:p>
    <w:p>
      <w:pPr>
        <w:jc w:val="both"/>
        <w:ind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Stamps JA, Buechner M, Krishnan VV (1987) The effects of edge per-meability and habitat geometry on emigration from patches of hab-itat. Am Nat 129:533</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552. </w:t>
      </w:r>
      <w:hyperlink r:id="rId68">
        <w:r>
          <w:rPr>
            <w:rFonts w:ascii="Times New Roman" w:cs="Times New Roman" w:eastAsia="Times New Roman" w:hAnsi="Times New Roman"/>
            <w:sz w:val="16"/>
            <w:szCs w:val="16"/>
            <w:color w:val="0000FF"/>
          </w:rPr>
          <w:t>https://doi.org/10.1086/284656</w:t>
        </w:r>
      </w:hyperlink>
    </w:p>
    <w:p>
      <w:pPr>
        <w:spacing w:after="0" w:line="22" w:lineRule="exact"/>
        <w:rPr>
          <w:sz w:val="20"/>
          <w:szCs w:val="20"/>
          <w:color w:val="auto"/>
        </w:rPr>
      </w:pPr>
    </w:p>
    <w:p>
      <w:pPr>
        <w:jc w:val="both"/>
        <w:ind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Stiles A, Scheiner SM (2010) A multi-scale analysis of fragmentation effects on remnant plant species richness in Phoenix, Arizona. J Biogeogr 37:1721</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1729. </w:t>
      </w:r>
      <w:hyperlink r:id="rId69">
        <w:r>
          <w:rPr>
            <w:rFonts w:ascii="Times New Roman" w:cs="Times New Roman" w:eastAsia="Times New Roman" w:hAnsi="Times New Roman"/>
            <w:sz w:val="17"/>
            <w:szCs w:val="17"/>
            <w:color w:val="0000FF"/>
          </w:rPr>
          <w:t>https://doi.org/10.1111/j.1365-2699.</w:t>
        </w:r>
      </w:hyperlink>
      <w:r>
        <w:rPr>
          <w:rFonts w:ascii="Times New Roman" w:cs="Times New Roman" w:eastAsia="Times New Roman" w:hAnsi="Times New Roman"/>
          <w:sz w:val="17"/>
          <w:szCs w:val="17"/>
          <w:color w:val="131413"/>
        </w:rPr>
        <w:t xml:space="preserve"> </w:t>
      </w:r>
      <w:hyperlink r:id="rId69">
        <w:r>
          <w:rPr>
            <w:rFonts w:ascii="Times New Roman" w:cs="Times New Roman" w:eastAsia="Times New Roman" w:hAnsi="Times New Roman"/>
            <w:sz w:val="17"/>
            <w:szCs w:val="17"/>
            <w:color w:val="0000FF"/>
          </w:rPr>
          <w:t>2010.02333.x</w:t>
        </w:r>
      </w:hyperlink>
    </w:p>
    <w:p>
      <w:pPr>
        <w:spacing w:after="0" w:line="36" w:lineRule="exact"/>
        <w:rPr>
          <w:sz w:val="20"/>
          <w:szCs w:val="20"/>
          <w:color w:val="auto"/>
        </w:rPr>
      </w:pPr>
    </w:p>
    <w:p>
      <w:pPr>
        <w:jc w:val="both"/>
        <w:ind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Threlfall CG, Ossola A, Hahs AK, Williams NSG, Wilson L, Livesley SJ (2016) Variation in vegetation structure and composition across ur-ban green space types. Front Ecol Evol 4:66. </w:t>
      </w:r>
      <w:hyperlink r:id="rId70">
        <w:r>
          <w:rPr>
            <w:rFonts w:ascii="Times New Roman" w:cs="Times New Roman" w:eastAsia="Times New Roman" w:hAnsi="Times New Roman"/>
            <w:sz w:val="17"/>
            <w:szCs w:val="17"/>
            <w:color w:val="0000FF"/>
          </w:rPr>
          <w:t>https://doi.org/10.</w:t>
        </w:r>
      </w:hyperlink>
      <w:r>
        <w:rPr>
          <w:rFonts w:ascii="Times New Roman" w:cs="Times New Roman" w:eastAsia="Times New Roman" w:hAnsi="Times New Roman"/>
          <w:sz w:val="17"/>
          <w:szCs w:val="17"/>
          <w:color w:val="131413"/>
        </w:rPr>
        <w:t xml:space="preserve"> </w:t>
      </w:r>
      <w:hyperlink r:id="rId70">
        <w:r>
          <w:rPr>
            <w:rFonts w:ascii="Times New Roman" w:cs="Times New Roman" w:eastAsia="Times New Roman" w:hAnsi="Times New Roman"/>
            <w:sz w:val="17"/>
            <w:szCs w:val="17"/>
            <w:color w:val="0000FF"/>
          </w:rPr>
          <w:t>3389/fevo.2016.00066</w:t>
        </w:r>
      </w:hyperlink>
    </w:p>
    <w:p>
      <w:pPr>
        <w:spacing w:after="0" w:line="38" w:lineRule="exact"/>
        <w:rPr>
          <w:sz w:val="20"/>
          <w:szCs w:val="20"/>
          <w:color w:val="auto"/>
        </w:rPr>
      </w:pPr>
    </w:p>
    <w:p>
      <w:pPr>
        <w:jc w:val="both"/>
        <w:ind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Uchida K, Fujimoto H, Ushimaru A (2018) Urbanization promotes the loss of seasonal dynamics in the semi-natural grasslands of an east Asian megacity. Basic Appl Ecol 29:1</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11. </w:t>
      </w:r>
      <w:hyperlink r:id="rId71">
        <w:r>
          <w:rPr>
            <w:rFonts w:ascii="Times New Roman" w:cs="Times New Roman" w:eastAsia="Times New Roman" w:hAnsi="Times New Roman"/>
            <w:sz w:val="17"/>
            <w:szCs w:val="17"/>
            <w:color w:val="0000FF"/>
          </w:rPr>
          <w:t>https://doi.org/10.1016/j.</w:t>
        </w:r>
      </w:hyperlink>
      <w:r>
        <w:rPr>
          <w:rFonts w:ascii="Times New Roman" w:cs="Times New Roman" w:eastAsia="Times New Roman" w:hAnsi="Times New Roman"/>
          <w:sz w:val="17"/>
          <w:szCs w:val="17"/>
          <w:color w:val="131413"/>
        </w:rPr>
        <w:t xml:space="preserve"> </w:t>
      </w:r>
      <w:hyperlink r:id="rId71">
        <w:r>
          <w:rPr>
            <w:rFonts w:ascii="Times New Roman" w:cs="Times New Roman" w:eastAsia="Times New Roman" w:hAnsi="Times New Roman"/>
            <w:sz w:val="17"/>
            <w:szCs w:val="17"/>
            <w:color w:val="0000FF"/>
          </w:rPr>
          <w:t>baae.2018.03.009</w:t>
        </w:r>
      </w:hyperlink>
    </w:p>
    <w:p>
      <w:pPr>
        <w:spacing w:after="0" w:line="37" w:lineRule="exact"/>
        <w:rPr>
          <w:sz w:val="20"/>
          <w:szCs w:val="20"/>
          <w:color w:val="auto"/>
        </w:rPr>
      </w:pPr>
    </w:p>
    <w:p>
      <w:pPr>
        <w:jc w:val="both"/>
        <w:ind w:hanging="338"/>
        <w:spacing w:after="0" w:line="259" w:lineRule="auto"/>
        <w:rPr>
          <w:rFonts w:ascii="Times New Roman" w:cs="Times New Roman" w:eastAsia="Times New Roman" w:hAnsi="Times New Roman"/>
          <w:sz w:val="16"/>
          <w:szCs w:val="16"/>
          <w:color w:val="0000FF"/>
        </w:rPr>
      </w:pPr>
      <w:r>
        <w:rPr>
          <w:rFonts w:ascii="Times New Roman" w:cs="Times New Roman" w:eastAsia="Times New Roman" w:hAnsi="Times New Roman"/>
          <w:sz w:val="16"/>
          <w:szCs w:val="16"/>
          <w:color w:val="131413"/>
        </w:rPr>
        <w:t>Valiente-Banuet A, Verdú M (2007) Facilitation can increase the phylo-genetic diversity of plant communities. Ecol Lett 10:1029</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1036. </w:t>
      </w:r>
      <w:hyperlink r:id="rId72">
        <w:r>
          <w:rPr>
            <w:rFonts w:ascii="Times New Roman" w:cs="Times New Roman" w:eastAsia="Times New Roman" w:hAnsi="Times New Roman"/>
            <w:sz w:val="16"/>
            <w:szCs w:val="16"/>
            <w:color w:val="0000FF"/>
          </w:rPr>
          <w:t>https://doi.org/10.1111/j.1461-0248.2007.01100.x</w:t>
        </w:r>
      </w:hyperlink>
    </w:p>
    <w:p>
      <w:pPr>
        <w:spacing w:after="0" w:line="23" w:lineRule="exact"/>
        <w:rPr>
          <w:sz w:val="20"/>
          <w:szCs w:val="20"/>
          <w:color w:val="auto"/>
        </w:rPr>
      </w:pPr>
    </w:p>
    <w:p>
      <w:pPr>
        <w:jc w:val="both"/>
        <w:ind w:hanging="338"/>
        <w:spacing w:after="0" w:line="238" w:lineRule="auto"/>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Van Rossum F (2008) Conservation of long-lived perennial forest herbs in an urban context: Primula elatior as study case. Conserv Genet 9: 119</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128. </w:t>
      </w:r>
      <w:hyperlink r:id="rId73">
        <w:r>
          <w:rPr>
            <w:rFonts w:ascii="Times New Roman" w:cs="Times New Roman" w:eastAsia="Times New Roman" w:hAnsi="Times New Roman"/>
            <w:sz w:val="17"/>
            <w:szCs w:val="17"/>
            <w:color w:val="0000FF"/>
          </w:rPr>
          <w:t>https://doi.org/10.1007/s10592-007-9314-2</w:t>
        </w:r>
      </w:hyperlink>
    </w:p>
    <w:p>
      <w:pPr>
        <w:spacing w:after="0" w:line="37" w:lineRule="exact"/>
        <w:rPr>
          <w:sz w:val="20"/>
          <w:szCs w:val="20"/>
          <w:color w:val="auto"/>
        </w:rPr>
      </w:pPr>
    </w:p>
    <w:p>
      <w:pPr>
        <w:jc w:val="both"/>
        <w:ind w:hanging="338"/>
        <w:spacing w:after="0" w:line="238" w:lineRule="auto"/>
        <w:rPr>
          <w:sz w:val="20"/>
          <w:szCs w:val="20"/>
          <w:color w:val="auto"/>
        </w:rPr>
      </w:pPr>
      <w:r>
        <w:rPr>
          <w:rFonts w:ascii="Times New Roman" w:cs="Times New Roman" w:eastAsia="Times New Roman" w:hAnsi="Times New Roman"/>
          <w:sz w:val="17"/>
          <w:szCs w:val="17"/>
          <w:color w:val="131413"/>
        </w:rPr>
        <w:t>Wang S, Yu B (2010) Germplasm resources of spermatophyte in Guiyang. Guizhou Science and Technology Press, Guiyang (in Chinese)</w:t>
      </w:r>
    </w:p>
    <w:p>
      <w:pPr>
        <w:spacing w:after="0" w:line="38" w:lineRule="exact"/>
        <w:rPr>
          <w:sz w:val="20"/>
          <w:szCs w:val="20"/>
          <w:color w:val="auto"/>
        </w:rPr>
      </w:pPr>
    </w:p>
    <w:p>
      <w:pPr>
        <w:jc w:val="both"/>
        <w:ind w:hanging="338"/>
        <w:spacing w:after="0" w:line="239"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Wickham JD, Stehman SV, Fry JA, Smith JH, Homer CG (2010) Thematic accuracy of the NLCD 2001 land cover for the contermi-nous United States. Remote Sens Environ 114:1286</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1296. </w:t>
      </w:r>
      <w:hyperlink r:id="rId74">
        <w:r>
          <w:rPr>
            <w:rFonts w:ascii="Times New Roman" w:cs="Times New Roman" w:eastAsia="Times New Roman" w:hAnsi="Times New Roman"/>
            <w:sz w:val="17"/>
            <w:szCs w:val="17"/>
            <w:color w:val="0000FF"/>
          </w:rPr>
          <w:t>https://</w:t>
        </w:r>
      </w:hyperlink>
      <w:r>
        <w:rPr>
          <w:rFonts w:ascii="Times New Roman" w:cs="Times New Roman" w:eastAsia="Times New Roman" w:hAnsi="Times New Roman"/>
          <w:sz w:val="17"/>
          <w:szCs w:val="17"/>
          <w:color w:val="131413"/>
        </w:rPr>
        <w:t xml:space="preserve"> </w:t>
      </w:r>
      <w:hyperlink r:id="rId74">
        <w:r>
          <w:rPr>
            <w:rFonts w:ascii="Times New Roman" w:cs="Times New Roman" w:eastAsia="Times New Roman" w:hAnsi="Times New Roman"/>
            <w:sz w:val="17"/>
            <w:szCs w:val="17"/>
            <w:color w:val="0000FF"/>
          </w:rPr>
          <w:t>doi.org/10.1016/j.rse.2010.01.018</w:t>
        </w:r>
      </w:hyperlink>
    </w:p>
    <w:p>
      <w:pPr>
        <w:spacing w:after="0" w:line="39" w:lineRule="exact"/>
        <w:rPr>
          <w:sz w:val="20"/>
          <w:szCs w:val="20"/>
          <w:color w:val="auto"/>
        </w:rPr>
      </w:pPr>
    </w:p>
    <w:p>
      <w:pPr>
        <w:jc w:val="both"/>
        <w:ind w:hanging="338"/>
        <w:spacing w:after="0" w:line="241"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Williams MR (2011) Habitat resources, remnant vegetation condition and area determine distribution patterns and abundance of butterflies and day-flying moths in a fragmented urban landscape, Southwest Western Australia. J Insect Conserv 15:37</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54. </w:t>
      </w:r>
      <w:hyperlink r:id="rId75">
        <w:r>
          <w:rPr>
            <w:rFonts w:ascii="Times New Roman" w:cs="Times New Roman" w:eastAsia="Times New Roman" w:hAnsi="Times New Roman"/>
            <w:sz w:val="17"/>
            <w:szCs w:val="17"/>
            <w:color w:val="0000FF"/>
          </w:rPr>
          <w:t>https://doi.org/10.</w:t>
        </w:r>
      </w:hyperlink>
      <w:r>
        <w:rPr>
          <w:rFonts w:ascii="Times New Roman" w:cs="Times New Roman" w:eastAsia="Times New Roman" w:hAnsi="Times New Roman"/>
          <w:sz w:val="17"/>
          <w:szCs w:val="17"/>
          <w:color w:val="131413"/>
        </w:rPr>
        <w:t xml:space="preserve"> </w:t>
      </w:r>
      <w:hyperlink r:id="rId75">
        <w:r>
          <w:rPr>
            <w:rFonts w:ascii="Times New Roman" w:cs="Times New Roman" w:eastAsia="Times New Roman" w:hAnsi="Times New Roman"/>
            <w:sz w:val="17"/>
            <w:szCs w:val="17"/>
            <w:color w:val="0000FF"/>
          </w:rPr>
          <w:t>1007/s10841-010-9307-1</w:t>
        </w:r>
      </w:hyperlink>
    </w:p>
    <w:p>
      <w:pPr>
        <w:spacing w:after="0" w:line="37" w:lineRule="exact"/>
        <w:rPr>
          <w:sz w:val="20"/>
          <w:szCs w:val="20"/>
          <w:color w:val="auto"/>
        </w:rPr>
      </w:pPr>
    </w:p>
    <w:p>
      <w:pPr>
        <w:jc w:val="both"/>
        <w:ind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Wintle BA, Kujala H, Whitehead A, Cameron A, Veloz S, Kukkala A, Moilanen A, Gordon A, Lentini PE, Cadenhead NCR, Bekessy SA (2018) Global synthesis of conservation studies reveals the impor-tance of small habitat patches for biodiversity. P Natl Acad Sci 116: 909</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914. </w:t>
      </w:r>
      <w:hyperlink r:id="rId76">
        <w:r>
          <w:rPr>
            <w:rFonts w:ascii="Times New Roman" w:cs="Times New Roman" w:eastAsia="Times New Roman" w:hAnsi="Times New Roman"/>
            <w:sz w:val="16"/>
            <w:szCs w:val="16"/>
            <w:color w:val="0000FF"/>
          </w:rPr>
          <w:t>https://doi.org/10.1073/pnas.1813051115</w:t>
        </w:r>
      </w:hyperlink>
    </w:p>
    <w:sectPr>
      <w:pgSz w:w="11900" w:h="15817" w:orient="portrait"/>
      <w:cols w:equalWidth="0" w:num="2">
        <w:col w:w="4420" w:space="680"/>
        <w:col w:w="4420"/>
      </w:cols>
      <w:pgMar w:left="1360" w:top="649" w:right="1026" w:bottom="925"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19495CFF"/>
    <w:multiLevelType w:val="hybridMultilevel"/>
    <w:lvl w:ilvl="0">
      <w:lvlJc w:val="left"/>
      <w:lvlText w:val="#"/>
      <w:numFmt w:val="bullet"/>
      <w:start w:val="1"/>
    </w:lvl>
  </w:abstractNum>
  <w:abstractNum w:abstractNumId="1">
    <w:nsid w:val="2AE8944A"/>
    <w:multiLevelType w:val="hybridMultilevel"/>
    <w:lvl w:ilvl="0">
      <w:lvlJc w:val="left"/>
      <w:lvlText w:val="*"/>
      <w:numFmt w:val="bullet"/>
      <w:start w:val="1"/>
    </w:lvl>
  </w:abstractNum>
  <w:abstractNum w:abstractNumId="2">
    <w:nsid w:val="625558EC"/>
    <w:multiLevelType w:val="hybridMultilevel"/>
    <w:lvl w:ilvl="0">
      <w:lvlJc w:val="left"/>
      <w:lvlText w:val="%1"/>
      <w:numFmt w:val="decimal"/>
      <w:start w:val="1"/>
    </w:lvl>
  </w:abstractNum>
  <w:abstractNum w:abstractNumId="3">
    <w:nsid w:val="238E1F29"/>
    <w:multiLevelType w:val="hybridMultilevel"/>
    <w:lvl w:ilvl="0">
      <w:lvlJc w:val="left"/>
      <w:lvlText w:val="(%1)"/>
      <w:numFmt w:val="decimal"/>
      <w:start w:val="1"/>
    </w:lvl>
  </w:abstractNum>
  <w:abstractNum w:abstractNumId="4">
    <w:nsid w:val="46E87CCD"/>
    <w:multiLevelType w:val="hybridMultilevel"/>
    <w:lvl w:ilvl="0">
      <w:lvlJc w:val="left"/>
      <w:lvlText w:val="%1"/>
      <w:numFmt w:val="lowerLetter"/>
      <w:start w:val="1"/>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41" Type="http://schemas.openxmlformats.org/officeDocument/2006/relationships/image" Target="media/image14.png"/><Relationship Id="rId59" Type="http://schemas.openxmlformats.org/officeDocument/2006/relationships/image" Target="media/image15.png"/><Relationship Id="rId10" Type="http://schemas.openxmlformats.org/officeDocument/2006/relationships/hyperlink" Target="https://doi.org/10.1007/s11252-020-01040-z" TargetMode="External"/><Relationship Id="rId11" Type="http://schemas.openxmlformats.org/officeDocument/2006/relationships/hyperlink" Target="mailto:larix@tsinghua.edu.cn" TargetMode="External"/><Relationship Id="rId23" Type="http://schemas.openxmlformats.org/officeDocument/2006/relationships/hyperlink" Target="https://doi.org/10.1111/j.1461-0248.2006.00927.x" TargetMode="External"/><Relationship Id="rId24" Type="http://schemas.openxmlformats.org/officeDocument/2006/relationships/hyperlink" Target="https://doi.org/10.1080/10549811.2018.1546598" TargetMode="External"/><Relationship Id="rId25" Type="http://schemas.openxmlformats.org/officeDocument/2006/relationships/hyperlink" Target="https://doi.org/10.1016/j.cosust.2010.07.002" TargetMode="External"/><Relationship Id="rId26" Type="http://schemas.openxmlformats.org/officeDocument/2006/relationships/hyperlink" Target="https://doi.org/10.1016/j.landurbplan.2014.11.003" TargetMode="External"/><Relationship Id="rId27" Type="http://schemas.openxmlformats.org/officeDocument/2006/relationships/hyperlink" Target="https://doi.org/10.1111/j.1469-185X.2011.00201.x" TargetMode="External"/><Relationship Id="rId28" Type="http://schemas.openxmlformats.org/officeDocument/2006/relationships/hyperlink" Target="https://doi.org/10.1016/j.ecolind.2016.07.006" TargetMode="External"/><Relationship Id="rId29" Type="http://schemas.openxmlformats.org/officeDocument/2006/relationships/hyperlink" Target="https://doi.org/10.1007/s10021-003-0172-6" TargetMode="External"/><Relationship Id="rId30" Type="http://schemas.openxmlformats.org/officeDocument/2006/relationships/hyperlink" Target="https://doi.org/10.1111/aec.12006" TargetMode="External"/><Relationship Id="rId31" Type="http://schemas.openxmlformats.org/officeDocument/2006/relationships/hyperlink" Target="https://CRAN.R-roject.org/packagede4" TargetMode="External"/><Relationship Id="rId32" Type="http://schemas.openxmlformats.org/officeDocument/2006/relationships/hyperlink" Target="https://doi.org/10.1111/j.1466-8238.2007.00311.x" TargetMode="External"/><Relationship Id="rId33" Type="http://schemas.openxmlformats.org/officeDocument/2006/relationships/hyperlink" Target="https://doi.org/10.1016/j.landurbplan.2017.03.008" TargetMode="External"/><Relationship Id="rId34" Type="http://schemas.openxmlformats.org/officeDocument/2006/relationships/hyperlink" Target="https://doi.org/10.3724/SP.J.1003.2009.09253" TargetMode="External"/><Relationship Id="rId35" Type="http://schemas.openxmlformats.org/officeDocument/2006/relationships/hyperlink" Target="https://doi.org/10.1111/j.1472-4642.2007.00341.x" TargetMode="External"/><Relationship Id="rId36" Type="http://schemas.openxmlformats.org/officeDocument/2006/relationships/hyperlink" Target="https://doi.org/10.1007/s11252-007-0034-7" TargetMode="External"/><Relationship Id="rId37" Type="http://schemas.openxmlformats.org/officeDocument/2006/relationships/hyperlink" Target="https://doi.org/10.1111/j.1523-1739.2005.00045.x" TargetMode="External"/><Relationship Id="rId38" Type="http://schemas.openxmlformats.org/officeDocument/2006/relationships/hyperlink" Target="https://doi.org/10.1016/j.foreco.2008.01.005" TargetMode="External"/><Relationship Id="rId39" Type="http://schemas.openxmlformats.org/officeDocument/2006/relationships/hyperlink" Target="https://doi.org/10.3390/rs10101569" TargetMode="External"/><Relationship Id="rId40" Type="http://schemas.openxmlformats.org/officeDocument/2006/relationships/hyperlink" Target="https://doi.org/10.1111/j.1654-1103.2012.01418.x" TargetMode="External"/><Relationship Id="rId42" Type="http://schemas.openxmlformats.org/officeDocument/2006/relationships/hyperlink" Target="https://doi.org/10.1111/geb.12536" TargetMode="External"/><Relationship Id="rId43" Type="http://schemas.openxmlformats.org/officeDocument/2006/relationships/hyperlink" Target="https://doi.org/10.1007/s13280-012-0313-2" TargetMode="External"/><Relationship Id="rId44" Type="http://schemas.openxmlformats.org/officeDocument/2006/relationships/hyperlink" Target="https://doi.org/10.1111/1365-2664.13144" TargetMode="External"/><Relationship Id="rId45" Type="http://schemas.openxmlformats.org/officeDocument/2006/relationships/hyperlink" Target="https://doi.org/10.1890/05-0549" TargetMode="External"/><Relationship Id="rId46" Type="http://schemas.openxmlformats.org/officeDocument/2006/relationships/hyperlink" Target="https://doi.org/10.1016/j.biocon.2011.11.003" TargetMode="External"/><Relationship Id="rId47" Type="http://schemas.openxmlformats.org/officeDocument/2006/relationships/hyperlink" Target="https://doi.org/10.1007/s11252-010-0139-2" TargetMode="External"/><Relationship Id="rId48" Type="http://schemas.openxmlformats.org/officeDocument/2006/relationships/hyperlink" Target="https://doi.org/10.1016/j.landurbplan.2017.09.021" TargetMode="External"/><Relationship Id="rId49" Type="http://schemas.openxmlformats.org/officeDocument/2006/relationships/hyperlink" Target="https://CRAN.R-roject.org/packagedm" TargetMode="External"/><Relationship Id="rId50" Type="http://schemas.openxmlformats.org/officeDocument/2006/relationships/hyperlink" Target="https://doi.org/10.1023/B:VEGE.0000046055.27285.fd" TargetMode="External"/><Relationship Id="rId51" Type="http://schemas.openxmlformats.org/officeDocument/2006/relationships/hyperlink" Target="https://doi.org/10.1007/s11252-013-0316-1" TargetMode="External"/><Relationship Id="rId52" Type="http://schemas.openxmlformats.org/officeDocument/2006/relationships/hyperlink" Target="https://doi.org/10.1007/s10531-010-9888-8" TargetMode="External"/><Relationship Id="rId53" Type="http://schemas.openxmlformats.org/officeDocument/2006/relationships/hyperlink" Target="https://doi.org/10.1016/j.ufug.2018.01.023" TargetMode="External"/><Relationship Id="rId54" Type="http://schemas.openxmlformats.org/officeDocument/2006/relationships/hyperlink" Target="https://doi.org/10.1007/s10021-013-9697-5" TargetMode="External"/><Relationship Id="rId55" Type="http://schemas.openxmlformats.org/officeDocument/2006/relationships/hyperlink" Target="https://doi.org/10.1093/jue/juy007" TargetMode="External"/><Relationship Id="rId56" Type="http://schemas.openxmlformats.org/officeDocument/2006/relationships/hyperlink" Target="https://cran.r-roject.org/packagediv" TargetMode="External"/><Relationship Id="rId57" Type="http://schemas.openxmlformats.org/officeDocument/2006/relationships/hyperlink" Target="https://doi.org/10.1111/2041-210X.12591" TargetMode="External"/><Relationship Id="rId58" Type="http://schemas.openxmlformats.org/officeDocument/2006/relationships/hyperlink" Target="https://www.R-roject.org" TargetMode="External"/><Relationship Id="rId60" Type="http://schemas.openxmlformats.org/officeDocument/2006/relationships/hyperlink" Target="https://doi.org/10.1890/13-1239.1" TargetMode="External"/><Relationship Id="rId61" Type="http://schemas.openxmlformats.org/officeDocument/2006/relationships/hyperlink" Target="https://doi.org/10.1890/15-1122.1" TargetMode="External"/><Relationship Id="rId62" Type="http://schemas.openxmlformats.org/officeDocument/2006/relationships/hyperlink" Target="https://doi.org/10.1016/j.tpb.2009.10.001" TargetMode="External"/><Relationship Id="rId63" Type="http://schemas.openxmlformats.org/officeDocument/2006/relationships/hyperlink" Target="https://doi.org/10.1016/j.ufug.2009.08.002" TargetMode="External"/><Relationship Id="rId64" Type="http://schemas.openxmlformats.org/officeDocument/2006/relationships/hyperlink" Target="https://doi.org/10.1046/j.1466-822X.2003.00061.x" TargetMode="External"/><Relationship Id="rId65" Type="http://schemas.openxmlformats.org/officeDocument/2006/relationships/hyperlink" Target="https://doi.org/10.1086/444402" TargetMode="External"/><Relationship Id="rId66" Type="http://schemas.openxmlformats.org/officeDocument/2006/relationships/hyperlink" Target="https://doi.org/10.1016/S0378-1127(98)00263-1" TargetMode="External"/><Relationship Id="rId67" Type="http://schemas.openxmlformats.org/officeDocument/2006/relationships/hyperlink" Target="https://doi.org/10.1071/WR96078" TargetMode="External"/><Relationship Id="rId68" Type="http://schemas.openxmlformats.org/officeDocument/2006/relationships/hyperlink" Target="https://doi.org/10.1086/284656" TargetMode="External"/><Relationship Id="rId69" Type="http://schemas.openxmlformats.org/officeDocument/2006/relationships/hyperlink" Target="https://doi.org/10.1111/j.1365-2699.2010.02333.x" TargetMode="External"/><Relationship Id="rId70" Type="http://schemas.openxmlformats.org/officeDocument/2006/relationships/hyperlink" Target="https://doi.org/10.3389/fevo.2016.00066" TargetMode="External"/><Relationship Id="rId71" Type="http://schemas.openxmlformats.org/officeDocument/2006/relationships/hyperlink" Target="https://doi.org/10.1016/j.baae.2018.03.009" TargetMode="External"/><Relationship Id="rId72" Type="http://schemas.openxmlformats.org/officeDocument/2006/relationships/hyperlink" Target="https://doi.org/10.1111/j.1461-0248.2007.01100.x" TargetMode="External"/><Relationship Id="rId73" Type="http://schemas.openxmlformats.org/officeDocument/2006/relationships/hyperlink" Target="https://doi.org/10.1007/s10592-007-9314-2" TargetMode="External"/><Relationship Id="rId74" Type="http://schemas.openxmlformats.org/officeDocument/2006/relationships/hyperlink" Target="https://doi.org/10.1016/j.rse.2010.01.018" TargetMode="External"/><Relationship Id="rId75" Type="http://schemas.openxmlformats.org/officeDocument/2006/relationships/hyperlink" Target="https://doi.org/10.1007/s10841-010-9307-1" TargetMode="External"/><Relationship Id="rId76" Type="http://schemas.openxmlformats.org/officeDocument/2006/relationships/hyperlink" Target="https://doi.org/10.1073/pnas.1813051115"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2020-09-15T03:56:11Z</dcterms:created>
  <dcterms:modified xsi:type="dcterms:W3CDTF">2020-09-15T03:56:11Z</dcterms:modified>
</cp:coreProperties>
</file>