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rFonts w:ascii="Arial" w:cs="Arial" w:eastAsia="Arial" w:hAnsi="Arial"/>
          <w:sz w:val="14"/>
          <w:szCs w:val="14"/>
          <w:b w:val="1"/>
          <w:bCs w:val="1"/>
          <w:color w:val="4D4D4D"/>
        </w:rPr>
      </w:pPr>
      <w:r>
        <w:rPr>
          <w:rFonts w:ascii="Arial" w:cs="Arial" w:eastAsia="Arial" w:hAnsi="Arial"/>
          <w:sz w:val="14"/>
          <w:szCs w:val="14"/>
          <w:b w:val="1"/>
          <w:bCs w:val="1"/>
          <w:color w:val="4D4D4D"/>
        </w:rPr>
        <w:drawing>
          <wp:anchor simplePos="0" relativeHeight="251657728" behindDoc="1" locked="0" layoutInCell="0" allowOverlap="1">
            <wp:simplePos x="0" y="0"/>
            <wp:positionH relativeFrom="page">
              <wp:posOffset>565150</wp:posOffset>
            </wp:positionH>
            <wp:positionV relativeFrom="page">
              <wp:posOffset>327660</wp:posOffset>
            </wp:positionV>
            <wp:extent cx="1453515" cy="4279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453515" cy="427990"/>
                    </a:xfrm>
                    <a:prstGeom prst="rect">
                      <a:avLst/>
                    </a:prstGeom>
                    <a:noFill/>
                  </pic:spPr>
                </pic:pic>
              </a:graphicData>
            </a:graphic>
          </wp:anchor>
        </w:drawing>
      </w:r>
      <w:hyperlink r:id="rId9">
        <w:r>
          <w:rPr>
            <w:rFonts w:ascii="Arial" w:cs="Arial" w:eastAsia="Arial" w:hAnsi="Arial"/>
            <w:sz w:val="14"/>
            <w:szCs w:val="14"/>
            <w:b w:val="1"/>
            <w:bCs w:val="1"/>
            <w:color w:val="4D4D4D"/>
          </w:rPr>
          <w:t>EDITORIAL</w:t>
        </w:r>
      </w:hyperlink>
    </w:p>
    <w:p>
      <w:pPr>
        <w:jc w:val="right"/>
        <w:spacing w:after="0"/>
        <w:rPr>
          <w:rFonts w:ascii="Arial" w:cs="Arial" w:eastAsia="Arial" w:hAnsi="Arial"/>
          <w:sz w:val="14"/>
          <w:szCs w:val="14"/>
          <w:color w:val="4D4D4D"/>
        </w:rPr>
      </w:pPr>
      <w:hyperlink r:id="rId9">
        <w:r>
          <w:rPr>
            <w:rFonts w:ascii="Arial" w:cs="Arial" w:eastAsia="Arial" w:hAnsi="Arial"/>
            <w:sz w:val="14"/>
            <w:szCs w:val="14"/>
            <w:color w:val="4D4D4D"/>
          </w:rPr>
          <w:t>published: 14 July 2020</w:t>
        </w:r>
      </w:hyperlink>
    </w:p>
    <w:p>
      <w:pPr>
        <w:jc w:val="right"/>
        <w:spacing w:after="0" w:line="237" w:lineRule="auto"/>
        <w:rPr>
          <w:rFonts w:ascii="Arial" w:cs="Arial" w:eastAsia="Arial" w:hAnsi="Arial"/>
          <w:sz w:val="14"/>
          <w:szCs w:val="14"/>
          <w:color w:val="4D4D4D"/>
        </w:rPr>
      </w:pPr>
      <w:hyperlink r:id="rId10">
        <w:r>
          <w:rPr>
            <w:rFonts w:ascii="Arial" w:cs="Arial" w:eastAsia="Arial" w:hAnsi="Arial"/>
            <w:sz w:val="14"/>
            <w:szCs w:val="14"/>
            <w:color w:val="4D4D4D"/>
          </w:rPr>
          <w:t>doi: 10.3389/fmicb.2020.01439</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84455</wp:posOffset>
                </wp:positionV>
                <wp:extent cx="642048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0485" cy="4763"/>
                        </a:xfrm>
                        <a:prstGeom prst="line">
                          <a:avLst/>
                        </a:prstGeom>
                        <a:solidFill>
                          <a:srgbClr val="FFFFFF"/>
                        </a:solidFill>
                        <a:ln w="3200">
                          <a:solidFill>
                            <a:srgbClr val="4D4D4D"/>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65pt" to="505.4pt,6.65pt" o:allowincell="f" strokecolor="#4D4D4D" strokeweight="0.252pt"/>
            </w:pict>
          </mc:Fallback>
        </mc:AlternateContent>
        <w:drawing>
          <wp:anchor simplePos="0" relativeHeight="251657728" behindDoc="1" locked="0" layoutInCell="0" allowOverlap="1">
            <wp:simplePos x="0" y="0"/>
            <wp:positionH relativeFrom="column">
              <wp:posOffset>6061710</wp:posOffset>
            </wp:positionH>
            <wp:positionV relativeFrom="paragraph">
              <wp:posOffset>177800</wp:posOffset>
            </wp:positionV>
            <wp:extent cx="361950" cy="3619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361950" cy="3619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ind w:left="2660" w:right="180"/>
        <w:spacing w:after="0" w:line="216" w:lineRule="auto"/>
        <w:rPr>
          <w:rFonts w:ascii="Arial" w:cs="Arial" w:eastAsia="Arial" w:hAnsi="Arial"/>
          <w:sz w:val="42"/>
          <w:szCs w:val="42"/>
          <w:b w:val="1"/>
          <w:bCs w:val="1"/>
          <w:color w:val="auto"/>
        </w:rPr>
      </w:pPr>
      <w:hyperlink r:id="rId12">
        <w:r>
          <w:rPr>
            <w:rFonts w:ascii="Arial" w:cs="Arial" w:eastAsia="Arial" w:hAnsi="Arial"/>
            <w:sz w:val="42"/>
            <w:szCs w:val="42"/>
            <w:b w:val="1"/>
            <w:bCs w:val="1"/>
            <w:color w:val="auto"/>
          </w:rPr>
          <w:t>Editorial: Plants as Alternative Hosts</w:t>
        </w:r>
      </w:hyperlink>
      <w:r>
        <w:rPr>
          <w:rFonts w:ascii="Arial" w:cs="Arial" w:eastAsia="Arial" w:hAnsi="Arial"/>
          <w:sz w:val="42"/>
          <w:szCs w:val="42"/>
          <w:b w:val="1"/>
          <w:bCs w:val="1"/>
          <w:color w:val="auto"/>
        </w:rPr>
        <w:t xml:space="preserve"> </w:t>
      </w:r>
      <w:hyperlink r:id="rId12">
        <w:r>
          <w:rPr>
            <w:rFonts w:ascii="Arial" w:cs="Arial" w:eastAsia="Arial" w:hAnsi="Arial"/>
            <w:sz w:val="42"/>
            <w:szCs w:val="42"/>
            <w:b w:val="1"/>
            <w:bCs w:val="1"/>
            <w:color w:val="auto"/>
          </w:rPr>
          <w:t>for Human and Animal Pathogens –</w:t>
        </w:r>
      </w:hyperlink>
      <w:r>
        <w:rPr>
          <w:rFonts w:ascii="Arial" w:cs="Arial" w:eastAsia="Arial" w:hAnsi="Arial"/>
          <w:sz w:val="42"/>
          <w:szCs w:val="42"/>
          <w:b w:val="1"/>
          <w:bCs w:val="1"/>
          <w:color w:val="auto"/>
        </w:rPr>
        <w:t xml:space="preserve"> </w:t>
      </w:r>
      <w:hyperlink r:id="rId12">
        <w:r>
          <w:rPr>
            <w:rFonts w:ascii="Arial" w:cs="Arial" w:eastAsia="Arial" w:hAnsi="Arial"/>
            <w:sz w:val="42"/>
            <w:szCs w:val="42"/>
            <w:b w:val="1"/>
            <w:bCs w:val="1"/>
            <w:color w:val="auto"/>
          </w:rPr>
          <w:t>Second Edition</w:t>
        </w:r>
      </w:hyperlink>
    </w:p>
    <w:p>
      <w:pPr>
        <w:spacing w:after="0" w:line="270" w:lineRule="exact"/>
        <w:rPr>
          <w:rFonts w:ascii="Arial" w:cs="Arial" w:eastAsia="Arial" w:hAnsi="Arial"/>
          <w:sz w:val="42"/>
          <w:szCs w:val="42"/>
          <w:b w:val="1"/>
          <w:bCs w:val="1"/>
          <w:color w:val="auto"/>
        </w:rPr>
      </w:pPr>
    </w:p>
    <w:p>
      <w:pPr>
        <w:ind w:left="2660"/>
        <w:spacing w:after="0"/>
        <w:rPr>
          <w:rFonts w:ascii="Arial" w:cs="Arial" w:eastAsia="Arial" w:hAnsi="Arial"/>
          <w:sz w:val="18"/>
          <w:szCs w:val="18"/>
          <w:color w:val="auto"/>
        </w:rPr>
      </w:pPr>
      <w:hyperlink r:id="rId13">
        <w:r>
          <w:rPr>
            <w:rFonts w:ascii="Arial" w:cs="Arial" w:eastAsia="Arial" w:hAnsi="Arial"/>
            <w:sz w:val="18"/>
            <w:szCs w:val="18"/>
            <w:color w:val="auto"/>
          </w:rPr>
          <w:t>A</w:t>
        </w:r>
        <w:r>
          <w:rPr>
            <w:rFonts w:ascii="Arial" w:cs="Arial" w:eastAsia="Arial" w:hAnsi="Arial"/>
            <w:sz w:val="12"/>
            <w:szCs w:val="12"/>
            <w:color w:val="auto"/>
          </w:rPr>
          <w:t>DAM</w:t>
        </w:r>
        <w:r>
          <w:rPr>
            <w:rFonts w:ascii="Arial" w:cs="Arial" w:eastAsia="Arial" w:hAnsi="Arial"/>
            <w:sz w:val="18"/>
            <w:szCs w:val="18"/>
            <w:color w:val="auto"/>
          </w:rPr>
          <w:t xml:space="preserve"> S</w:t>
        </w:r>
        <w:r>
          <w:rPr>
            <w:rFonts w:ascii="Arial" w:cs="Arial" w:eastAsia="Arial" w:hAnsi="Arial"/>
            <w:sz w:val="12"/>
            <w:szCs w:val="12"/>
            <w:color w:val="auto"/>
          </w:rPr>
          <w:t>CHIKORA</w:t>
        </w:r>
        <w:r>
          <w:rPr>
            <w:rFonts w:ascii="Arial" w:cs="Arial" w:eastAsia="Arial" w:hAnsi="Arial"/>
            <w:sz w:val="18"/>
            <w:szCs w:val="18"/>
            <w:color w:val="auto"/>
          </w:rPr>
          <w:t xml:space="preserve"> </w:t>
        </w:r>
      </w:hyperlink>
      <w:r>
        <w:rPr>
          <w:rFonts w:ascii="Arial" w:cs="Arial" w:eastAsia="Arial" w:hAnsi="Arial"/>
          <w:sz w:val="20"/>
          <w:szCs w:val="20"/>
          <w:color w:val="auto"/>
          <w:vertAlign w:val="superscript"/>
        </w:rPr>
        <w:t>1</w:t>
      </w:r>
      <w:r>
        <w:rPr>
          <w:rFonts w:ascii="Arial" w:cs="Arial" w:eastAsia="Arial" w:hAnsi="Arial"/>
          <w:sz w:val="18"/>
          <w:szCs w:val="18"/>
          <w:color w:val="auto"/>
        </w:rPr>
        <w:t xml:space="preserve">*, </w:t>
      </w:r>
      <w:hyperlink r:id="rId14">
        <w:r>
          <w:rPr>
            <w:rFonts w:ascii="Arial" w:cs="Arial" w:eastAsia="Arial" w:hAnsi="Arial"/>
            <w:sz w:val="18"/>
            <w:szCs w:val="18"/>
            <w:color w:val="auto"/>
          </w:rPr>
          <w:t>R</w:t>
        </w:r>
        <w:r>
          <w:rPr>
            <w:rFonts w:ascii="Arial" w:cs="Arial" w:eastAsia="Arial" w:hAnsi="Arial"/>
            <w:sz w:val="12"/>
            <w:szCs w:val="12"/>
            <w:color w:val="auto"/>
          </w:rPr>
          <w:t>OBERT</w:t>
        </w:r>
        <w:r>
          <w:rPr>
            <w:rFonts w:ascii="Arial" w:cs="Arial" w:eastAsia="Arial" w:hAnsi="Arial"/>
            <w:sz w:val="18"/>
            <w:szCs w:val="18"/>
            <w:color w:val="auto"/>
          </w:rPr>
          <w:t xml:space="preserve"> W</w:t>
        </w:r>
        <w:r>
          <w:rPr>
            <w:rFonts w:ascii="Arial" w:cs="Arial" w:eastAsia="Arial" w:hAnsi="Arial"/>
            <w:sz w:val="12"/>
            <w:szCs w:val="12"/>
            <w:color w:val="auto"/>
          </w:rPr>
          <w:t>ILSON</w:t>
        </w:r>
        <w:r>
          <w:rPr>
            <w:rFonts w:ascii="Arial" w:cs="Arial" w:eastAsia="Arial" w:hAnsi="Arial"/>
            <w:sz w:val="18"/>
            <w:szCs w:val="18"/>
            <w:color w:val="auto"/>
          </w:rPr>
          <w:t xml:space="preserve"> J</w:t>
        </w:r>
        <w:r>
          <w:rPr>
            <w:rFonts w:ascii="Arial" w:cs="Arial" w:eastAsia="Arial" w:hAnsi="Arial"/>
            <w:sz w:val="12"/>
            <w:szCs w:val="12"/>
            <w:color w:val="auto"/>
          </w:rPr>
          <w:t>ACKSON</w:t>
        </w:r>
        <w:r>
          <w:rPr>
            <w:rFonts w:ascii="Arial" w:cs="Arial" w:eastAsia="Arial" w:hAnsi="Arial"/>
            <w:sz w:val="18"/>
            <w:szCs w:val="18"/>
            <w:color w:val="auto"/>
          </w:rPr>
          <w:t xml:space="preserve"> </w:t>
        </w:r>
      </w:hyperlink>
      <w:r>
        <w:rPr>
          <w:rFonts w:ascii="Arial" w:cs="Arial" w:eastAsia="Arial" w:hAnsi="Arial"/>
          <w:sz w:val="20"/>
          <w:szCs w:val="20"/>
          <w:color w:val="auto"/>
          <w:vertAlign w:val="superscript"/>
        </w:rPr>
        <w:t>2</w:t>
      </w:r>
      <w:r>
        <w:rPr>
          <w:rFonts w:ascii="Arial" w:cs="Arial" w:eastAsia="Arial" w:hAnsi="Arial"/>
          <w:sz w:val="18"/>
          <w:szCs w:val="18"/>
          <w:color w:val="auto"/>
        </w:rPr>
        <w:t xml:space="preserve">, </w:t>
      </w:r>
      <w:hyperlink r:id="rId15">
        <w:r>
          <w:rPr>
            <w:rFonts w:ascii="Arial" w:cs="Arial" w:eastAsia="Arial" w:hAnsi="Arial"/>
            <w:sz w:val="18"/>
            <w:szCs w:val="18"/>
            <w:color w:val="auto"/>
          </w:rPr>
          <w:t>L</w:t>
        </w:r>
        <w:r>
          <w:rPr>
            <w:rFonts w:ascii="Arial" w:cs="Arial" w:eastAsia="Arial" w:hAnsi="Arial"/>
            <w:sz w:val="12"/>
            <w:szCs w:val="12"/>
            <w:color w:val="auto"/>
          </w:rPr>
          <w:t>EO</w:t>
        </w:r>
        <w:r>
          <w:rPr>
            <w:rFonts w:ascii="Arial" w:cs="Arial" w:eastAsia="Arial" w:hAnsi="Arial"/>
            <w:sz w:val="18"/>
            <w:szCs w:val="18"/>
            <w:color w:val="auto"/>
          </w:rPr>
          <w:t xml:space="preserve"> V</w:t>
        </w:r>
        <w:r>
          <w:rPr>
            <w:rFonts w:ascii="Arial" w:cs="Arial" w:eastAsia="Arial" w:hAnsi="Arial"/>
            <w:sz w:val="12"/>
            <w:szCs w:val="12"/>
            <w:color w:val="auto"/>
          </w:rPr>
          <w:t>AN</w:t>
        </w:r>
        <w:r>
          <w:rPr>
            <w:rFonts w:ascii="Arial" w:cs="Arial" w:eastAsia="Arial" w:hAnsi="Arial"/>
            <w:sz w:val="18"/>
            <w:szCs w:val="18"/>
            <w:color w:val="auto"/>
          </w:rPr>
          <w:t xml:space="preserve"> O</w:t>
        </w:r>
        <w:r>
          <w:rPr>
            <w:rFonts w:ascii="Arial" w:cs="Arial" w:eastAsia="Arial" w:hAnsi="Arial"/>
            <w:sz w:val="12"/>
            <w:szCs w:val="12"/>
            <w:color w:val="auto"/>
          </w:rPr>
          <w:t>VERBEEK</w:t>
        </w:r>
        <w:r>
          <w:rPr>
            <w:rFonts w:ascii="Arial" w:cs="Arial" w:eastAsia="Arial" w:hAnsi="Arial"/>
            <w:sz w:val="18"/>
            <w:szCs w:val="18"/>
            <w:color w:val="auto"/>
          </w:rPr>
          <w:t xml:space="preserve"> </w:t>
        </w:r>
      </w:hyperlink>
      <w:r>
        <w:rPr>
          <w:rFonts w:ascii="Arial" w:cs="Arial" w:eastAsia="Arial" w:hAnsi="Arial"/>
          <w:sz w:val="20"/>
          <w:szCs w:val="20"/>
          <w:color w:val="auto"/>
          <w:vertAlign w:val="superscript"/>
        </w:rPr>
        <w:t>3</w:t>
      </w:r>
      <w:r>
        <w:rPr>
          <w:rFonts w:ascii="Arial" w:cs="Arial" w:eastAsia="Arial" w:hAnsi="Arial"/>
          <w:sz w:val="18"/>
          <w:szCs w:val="18"/>
          <w:color w:val="auto"/>
        </w:rPr>
        <w:t xml:space="preserve"> </w:t>
      </w:r>
      <w:r>
        <w:rPr>
          <w:rFonts w:ascii="Arial" w:cs="Arial" w:eastAsia="Arial" w:hAnsi="Arial"/>
          <w:sz w:val="12"/>
          <w:szCs w:val="12"/>
          <w:color w:val="auto"/>
        </w:rPr>
        <w:t>AND</w:t>
      </w:r>
      <w:r>
        <w:rPr>
          <w:rFonts w:ascii="Arial" w:cs="Arial" w:eastAsia="Arial" w:hAnsi="Arial"/>
          <w:sz w:val="18"/>
          <w:szCs w:val="18"/>
          <w:color w:val="auto"/>
        </w:rPr>
        <w:t xml:space="preserve"> </w:t>
      </w:r>
      <w:hyperlink r:id="rId16">
        <w:r>
          <w:rPr>
            <w:rFonts w:ascii="Arial" w:cs="Arial" w:eastAsia="Arial" w:hAnsi="Arial"/>
            <w:sz w:val="18"/>
            <w:szCs w:val="18"/>
            <w:color w:val="auto"/>
          </w:rPr>
          <w:t>N</w:t>
        </w:r>
        <w:r>
          <w:rPr>
            <w:rFonts w:ascii="Arial" w:cs="Arial" w:eastAsia="Arial" w:hAnsi="Arial"/>
            <w:sz w:val="12"/>
            <w:szCs w:val="12"/>
            <w:color w:val="auto"/>
          </w:rPr>
          <w:t>ICOLA</w:t>
        </w:r>
        <w:r>
          <w:rPr>
            <w:rFonts w:ascii="Arial" w:cs="Arial" w:eastAsia="Arial" w:hAnsi="Arial"/>
            <w:sz w:val="18"/>
            <w:szCs w:val="18"/>
            <w:color w:val="auto"/>
          </w:rPr>
          <w:t xml:space="preserve"> H</w:t>
        </w:r>
        <w:r>
          <w:rPr>
            <w:rFonts w:ascii="Arial" w:cs="Arial" w:eastAsia="Arial" w:hAnsi="Arial"/>
            <w:sz w:val="12"/>
            <w:szCs w:val="12"/>
            <w:color w:val="auto"/>
          </w:rPr>
          <w:t>OLDEN</w:t>
        </w:r>
        <w:r>
          <w:rPr>
            <w:rFonts w:ascii="Arial" w:cs="Arial" w:eastAsia="Arial" w:hAnsi="Arial"/>
            <w:sz w:val="18"/>
            <w:szCs w:val="18"/>
            <w:color w:val="auto"/>
          </w:rPr>
          <w:t xml:space="preserve"> </w:t>
        </w:r>
      </w:hyperlink>
      <w:r>
        <w:rPr>
          <w:rFonts w:ascii="Arial" w:cs="Arial" w:eastAsia="Arial" w:hAnsi="Arial"/>
          <w:sz w:val="20"/>
          <w:szCs w:val="20"/>
          <w:color w:val="auto"/>
          <w:vertAlign w:val="superscript"/>
        </w:rPr>
        <w:t>4</w:t>
      </w:r>
    </w:p>
    <w:p>
      <w:pPr>
        <w:spacing w:after="0" w:line="185" w:lineRule="exact"/>
        <w:rPr>
          <w:rFonts w:ascii="Arial" w:cs="Arial" w:eastAsia="Arial" w:hAnsi="Arial"/>
          <w:sz w:val="18"/>
          <w:szCs w:val="18"/>
          <w:color w:val="auto"/>
        </w:rPr>
      </w:pPr>
    </w:p>
    <w:p>
      <w:pPr>
        <w:jc w:val="both"/>
        <w:ind w:left="2660" w:hanging="3"/>
        <w:spacing w:after="0" w:line="250" w:lineRule="auto"/>
        <w:tabs>
          <w:tab w:leader="none" w:pos="2733" w:val="left"/>
        </w:tabs>
        <w:numPr>
          <w:ilvl w:val="0"/>
          <w:numId w:val="1"/>
        </w:numPr>
        <w:rPr>
          <w:rFonts w:ascii="Arial" w:cs="Arial" w:eastAsia="Arial" w:hAnsi="Arial"/>
          <w:sz w:val="16"/>
          <w:szCs w:val="16"/>
          <w:color w:val="auto"/>
          <w:vertAlign w:val="superscript"/>
        </w:rPr>
      </w:pPr>
      <w:r>
        <w:rPr>
          <w:rFonts w:ascii="Arial" w:cs="Arial" w:eastAsia="Arial" w:hAnsi="Arial"/>
          <w:sz w:val="14"/>
          <w:szCs w:val="14"/>
          <w:color w:val="auto"/>
        </w:rPr>
        <w:t xml:space="preserve">Julius Kühn-Institut, Institute for Epidemiology and Pathogen Diagnostic, Braunschweig, Germany, </w:t>
      </w:r>
      <w:r>
        <w:rPr>
          <w:rFonts w:ascii="Arial" w:cs="Arial" w:eastAsia="Arial" w:hAnsi="Arial"/>
          <w:sz w:val="16"/>
          <w:szCs w:val="16"/>
          <w:color w:val="auto"/>
          <w:vertAlign w:val="superscript"/>
        </w:rPr>
        <w:t>2</w:t>
      </w:r>
      <w:r>
        <w:rPr>
          <w:rFonts w:ascii="Arial" w:cs="Arial" w:eastAsia="Arial" w:hAnsi="Arial"/>
          <w:sz w:val="14"/>
          <w:szCs w:val="14"/>
          <w:color w:val="auto"/>
        </w:rPr>
        <w:t xml:space="preserve"> School of Biosciences and Birmingham Institute of Forest Research, University of Birmingham, Birmingham, United Kingdom, </w:t>
      </w:r>
      <w:r>
        <w:rPr>
          <w:rFonts w:ascii="Arial" w:cs="Arial" w:eastAsia="Arial" w:hAnsi="Arial"/>
          <w:sz w:val="16"/>
          <w:szCs w:val="16"/>
          <w:color w:val="auto"/>
          <w:vertAlign w:val="superscript"/>
        </w:rPr>
        <w:t>3</w:t>
      </w:r>
      <w:r>
        <w:rPr>
          <w:rFonts w:ascii="Arial" w:cs="Arial" w:eastAsia="Arial" w:hAnsi="Arial"/>
          <w:sz w:val="14"/>
          <w:szCs w:val="14"/>
          <w:color w:val="auto"/>
        </w:rPr>
        <w:t xml:space="preserve"> Wageningen Plant Research, Wageningen University and Research, Wageningen, Netherlands, </w:t>
      </w:r>
      <w:r>
        <w:rPr>
          <w:rFonts w:ascii="Arial" w:cs="Arial" w:eastAsia="Arial" w:hAnsi="Arial"/>
          <w:sz w:val="16"/>
          <w:szCs w:val="16"/>
          <w:color w:val="auto"/>
          <w:vertAlign w:val="superscript"/>
        </w:rPr>
        <w:t>4</w:t>
      </w:r>
      <w:r>
        <w:rPr>
          <w:rFonts w:ascii="Arial" w:cs="Arial" w:eastAsia="Arial" w:hAnsi="Arial"/>
          <w:sz w:val="14"/>
          <w:szCs w:val="14"/>
          <w:color w:val="auto"/>
        </w:rPr>
        <w:t xml:space="preserve"> The James Hutton Institute, Cell and Molecular Sciences, Dundee, United Kingdom</w:t>
      </w:r>
    </w:p>
    <w:p>
      <w:pPr>
        <w:spacing w:after="0" w:line="198" w:lineRule="exact"/>
        <w:rPr>
          <w:rFonts w:ascii="Arial" w:cs="Arial" w:eastAsia="Arial" w:hAnsi="Arial"/>
          <w:sz w:val="18"/>
          <w:szCs w:val="18"/>
          <w:color w:val="auto"/>
        </w:rPr>
      </w:pPr>
    </w:p>
    <w:p>
      <w:pPr>
        <w:ind w:left="2660"/>
        <w:spacing w:after="0"/>
        <w:rPr>
          <w:sz w:val="20"/>
          <w:szCs w:val="20"/>
          <w:color w:val="auto"/>
        </w:rPr>
      </w:pPr>
      <w:r>
        <w:rPr>
          <w:rFonts w:ascii="Arial" w:cs="Arial" w:eastAsia="Arial" w:hAnsi="Arial"/>
          <w:sz w:val="14"/>
          <w:szCs w:val="14"/>
          <w:b w:val="1"/>
          <w:bCs w:val="1"/>
          <w:color w:val="auto"/>
        </w:rPr>
        <w:t xml:space="preserve">Keywords: human pathogens on plants, </w:t>
      </w:r>
      <w:r>
        <w:rPr>
          <w:rFonts w:ascii="Arial" w:cs="Arial" w:eastAsia="Arial" w:hAnsi="Arial"/>
          <w:sz w:val="14"/>
          <w:szCs w:val="14"/>
          <w:b w:val="1"/>
          <w:bCs w:val="1"/>
          <w:i w:val="1"/>
          <w:iCs w:val="1"/>
          <w:color w:val="auto"/>
        </w:rPr>
        <w:t>Salmonella</w:t>
      </w:r>
      <w:r>
        <w:rPr>
          <w:rFonts w:ascii="Arial" w:cs="Arial" w:eastAsia="Arial" w:hAnsi="Arial"/>
          <w:sz w:val="14"/>
          <w:szCs w:val="14"/>
          <w:b w:val="1"/>
          <w:bCs w:val="1"/>
          <w:color w:val="auto"/>
        </w:rPr>
        <w:t xml:space="preserve">, </w:t>
      </w:r>
      <w:r>
        <w:rPr>
          <w:rFonts w:ascii="Arial" w:cs="Arial" w:eastAsia="Arial" w:hAnsi="Arial"/>
          <w:sz w:val="14"/>
          <w:szCs w:val="14"/>
          <w:b w:val="1"/>
          <w:bCs w:val="1"/>
          <w:i w:val="1"/>
          <w:iCs w:val="1"/>
          <w:color w:val="auto"/>
        </w:rPr>
        <w:t>E. coil</w:t>
      </w:r>
      <w:r>
        <w:rPr>
          <w:rFonts w:ascii="Arial" w:cs="Arial" w:eastAsia="Arial" w:hAnsi="Arial"/>
          <w:sz w:val="14"/>
          <w:szCs w:val="14"/>
          <w:b w:val="1"/>
          <w:bCs w:val="1"/>
          <w:color w:val="auto"/>
        </w:rPr>
        <w:t>, fresh produce, crop plants</w:t>
      </w:r>
    </w:p>
    <w:p>
      <w:pPr>
        <w:sectPr>
          <w:pgSz w:w="11900" w:h="15590" w:orient="portrait"/>
          <w:cols w:equalWidth="0" w:num="1">
            <w:col w:w="10100"/>
          </w:cols>
          <w:pgMar w:left="900" w:top="680" w:right="905" w:bottom="56"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57" w:lineRule="exact"/>
        <w:rPr>
          <w:rFonts w:ascii="Arial" w:cs="Arial" w:eastAsia="Arial" w:hAnsi="Arial"/>
          <w:sz w:val="18"/>
          <w:szCs w:val="18"/>
          <w:color w:val="auto"/>
        </w:rPr>
      </w:pPr>
    </w:p>
    <w:p>
      <w:pPr>
        <w:ind w:left="1640"/>
        <w:spacing w:after="0"/>
        <w:rPr>
          <w:sz w:val="20"/>
          <w:szCs w:val="20"/>
          <w:color w:val="auto"/>
        </w:rPr>
      </w:pPr>
      <w:r>
        <w:rPr>
          <w:rFonts w:ascii="Arial" w:cs="Arial" w:eastAsia="Arial" w:hAnsi="Arial"/>
          <w:sz w:val="13"/>
          <w:szCs w:val="13"/>
          <w:b w:val="1"/>
          <w:bCs w:val="1"/>
          <w:i w:val="1"/>
          <w:iCs w:val="1"/>
          <w:color w:val="auto"/>
        </w:rPr>
        <w:t>Edited by:</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544830</wp:posOffset>
            </wp:positionH>
            <wp:positionV relativeFrom="paragraph">
              <wp:posOffset>-351790</wp:posOffset>
            </wp:positionV>
            <wp:extent cx="910590" cy="996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910590" cy="99695"/>
                    </a:xfrm>
                    <a:prstGeom prst="rect">
                      <a:avLst/>
                    </a:prstGeom>
                    <a:noFill/>
                  </pic:spPr>
                </pic:pic>
              </a:graphicData>
            </a:graphic>
          </wp:anchor>
        </w:drawing>
      </w:r>
    </w:p>
    <w:p>
      <w:pPr>
        <w:spacing w:after="0" w:line="22"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Jens Staal,</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Ghent University, Belgium</w:t>
      </w:r>
    </w:p>
    <w:p>
      <w:pPr>
        <w:spacing w:after="0" w:line="114"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Reviewed by:</w:t>
      </w:r>
    </w:p>
    <w:p>
      <w:pPr>
        <w:spacing w:after="0" w:line="42"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Ganyu Gu,</w:t>
      </w:r>
    </w:p>
    <w:p>
      <w:pPr>
        <w:spacing w:after="0" w:line="50"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3"/>
          <w:szCs w:val="13"/>
          <w:color w:val="auto"/>
        </w:rPr>
        <w:t>Agricultural Research Service (USDA),</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United States</w:t>
      </w:r>
    </w:p>
    <w:p>
      <w:pPr>
        <w:spacing w:after="0" w:line="126" w:lineRule="exact"/>
        <w:rPr>
          <w:rFonts w:ascii="Arial" w:cs="Arial" w:eastAsia="Arial" w:hAnsi="Arial"/>
          <w:sz w:val="18"/>
          <w:szCs w:val="18"/>
          <w:color w:val="auto"/>
        </w:rPr>
      </w:pPr>
    </w:p>
    <w:p>
      <w:pPr>
        <w:ind w:left="1100"/>
        <w:spacing w:after="0"/>
        <w:rPr>
          <w:sz w:val="20"/>
          <w:szCs w:val="20"/>
          <w:color w:val="auto"/>
        </w:rPr>
      </w:pPr>
      <w:r>
        <w:rPr>
          <w:rFonts w:ascii="Arial" w:cs="Arial" w:eastAsia="Arial" w:hAnsi="Arial"/>
          <w:sz w:val="13"/>
          <w:szCs w:val="13"/>
          <w:b w:val="1"/>
          <w:bCs w:val="1"/>
          <w:i w:val="1"/>
          <w:iCs w:val="1"/>
          <w:color w:val="auto"/>
        </w:rPr>
        <w:t>*Correspondence:</w:t>
      </w:r>
    </w:p>
    <w:p>
      <w:pPr>
        <w:spacing w:after="0" w:line="42"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Adam Schikora</w:t>
      </w:r>
    </w:p>
    <w:p>
      <w:pPr>
        <w:spacing w:after="0" w:line="38" w:lineRule="exact"/>
        <w:rPr>
          <w:rFonts w:ascii="Arial" w:cs="Arial" w:eastAsia="Arial" w:hAnsi="Arial"/>
          <w:sz w:val="18"/>
          <w:szCs w:val="18"/>
          <w:color w:val="auto"/>
        </w:rPr>
      </w:pPr>
    </w:p>
    <w:p>
      <w:pPr>
        <w:jc w:val="right"/>
        <w:spacing w:after="0"/>
        <w:rPr>
          <w:rFonts w:ascii="Arial" w:cs="Arial" w:eastAsia="Arial" w:hAnsi="Arial"/>
          <w:sz w:val="14"/>
          <w:szCs w:val="14"/>
          <w:color w:val="auto"/>
        </w:rPr>
      </w:pPr>
      <w:hyperlink r:id="rId18">
        <w:r>
          <w:rPr>
            <w:rFonts w:ascii="Arial" w:cs="Arial" w:eastAsia="Arial" w:hAnsi="Arial"/>
            <w:sz w:val="14"/>
            <w:szCs w:val="14"/>
            <w:color w:val="auto"/>
          </w:rPr>
          <w:t>adam.schikora@julius-kuehn.de</w:t>
        </w:r>
      </w:hyperlink>
    </w:p>
    <w:p>
      <w:pPr>
        <w:spacing w:after="0" w:line="299" w:lineRule="exact"/>
        <w:rPr>
          <w:rFonts w:ascii="Arial" w:cs="Arial" w:eastAsia="Arial" w:hAnsi="Arial"/>
          <w:sz w:val="18"/>
          <w:szCs w:val="18"/>
          <w:color w:val="auto"/>
        </w:rPr>
      </w:pPr>
    </w:p>
    <w:p>
      <w:pPr>
        <w:ind w:left="1120"/>
        <w:spacing w:after="0"/>
        <w:rPr>
          <w:sz w:val="20"/>
          <w:szCs w:val="20"/>
          <w:color w:val="auto"/>
        </w:rPr>
      </w:pPr>
      <w:r>
        <w:rPr>
          <w:rFonts w:ascii="Arial" w:cs="Arial" w:eastAsia="Arial" w:hAnsi="Arial"/>
          <w:sz w:val="13"/>
          <w:szCs w:val="13"/>
          <w:b w:val="1"/>
          <w:bCs w:val="1"/>
          <w:i w:val="1"/>
          <w:iCs w:val="1"/>
          <w:color w:val="auto"/>
        </w:rPr>
        <w:t>Specialty section:</w:t>
      </w:r>
    </w:p>
    <w:p>
      <w:pPr>
        <w:spacing w:after="0" w:line="74" w:lineRule="exact"/>
        <w:rPr>
          <w:rFonts w:ascii="Arial" w:cs="Arial" w:eastAsia="Arial" w:hAnsi="Arial"/>
          <w:sz w:val="18"/>
          <w:szCs w:val="18"/>
          <w:color w:val="auto"/>
        </w:rPr>
      </w:pPr>
    </w:p>
    <w:p>
      <w:pPr>
        <w:jc w:val="right"/>
        <w:ind w:left="580"/>
        <w:spacing w:after="0" w:line="309" w:lineRule="auto"/>
        <w:rPr>
          <w:sz w:val="20"/>
          <w:szCs w:val="20"/>
          <w:color w:val="auto"/>
        </w:rPr>
      </w:pPr>
      <w:r>
        <w:rPr>
          <w:rFonts w:ascii="Arial" w:cs="Arial" w:eastAsia="Arial" w:hAnsi="Arial"/>
          <w:sz w:val="13"/>
          <w:szCs w:val="13"/>
          <w:color w:val="auto"/>
        </w:rPr>
        <w:t>This article was submitted to Plant Microbe Interactions, a section of the journal Frontiers in Microbiology</w:t>
      </w:r>
    </w:p>
    <w:p>
      <w:pPr>
        <w:spacing w:after="0" w:line="97" w:lineRule="exact"/>
        <w:rPr>
          <w:rFonts w:ascii="Arial" w:cs="Arial" w:eastAsia="Arial" w:hAnsi="Arial"/>
          <w:sz w:val="18"/>
          <w:szCs w:val="18"/>
          <w:color w:val="auto"/>
        </w:rPr>
      </w:pPr>
    </w:p>
    <w:p>
      <w:pPr>
        <w:ind w:left="800"/>
        <w:spacing w:after="0"/>
        <w:rPr>
          <w:sz w:val="20"/>
          <w:szCs w:val="20"/>
          <w:color w:val="auto"/>
        </w:rPr>
      </w:pPr>
      <w:r>
        <w:rPr>
          <w:rFonts w:ascii="Arial" w:cs="Arial" w:eastAsia="Arial" w:hAnsi="Arial"/>
          <w:sz w:val="13"/>
          <w:szCs w:val="13"/>
          <w:b w:val="1"/>
          <w:bCs w:val="1"/>
          <w:i w:val="1"/>
          <w:iCs w:val="1"/>
          <w:color w:val="auto"/>
        </w:rPr>
        <w:t xml:space="preserve">Received: </w:t>
      </w:r>
      <w:r>
        <w:rPr>
          <w:rFonts w:ascii="Arial" w:cs="Arial" w:eastAsia="Arial" w:hAnsi="Arial"/>
          <w:sz w:val="13"/>
          <w:szCs w:val="13"/>
          <w:color w:val="auto"/>
        </w:rPr>
        <w:t>04 May 2020</w:t>
      </w:r>
    </w:p>
    <w:p>
      <w:pPr>
        <w:spacing w:after="0" w:line="50" w:lineRule="exact"/>
        <w:rPr>
          <w:rFonts w:ascii="Arial" w:cs="Arial" w:eastAsia="Arial" w:hAnsi="Arial"/>
          <w:sz w:val="18"/>
          <w:szCs w:val="18"/>
          <w:color w:val="auto"/>
        </w:rPr>
      </w:pPr>
    </w:p>
    <w:p>
      <w:pPr>
        <w:ind w:left="760"/>
        <w:spacing w:after="0"/>
        <w:rPr>
          <w:sz w:val="20"/>
          <w:szCs w:val="20"/>
          <w:color w:val="auto"/>
        </w:rPr>
      </w:pPr>
      <w:r>
        <w:rPr>
          <w:rFonts w:ascii="Arial" w:cs="Arial" w:eastAsia="Arial" w:hAnsi="Arial"/>
          <w:sz w:val="13"/>
          <w:szCs w:val="13"/>
          <w:b w:val="1"/>
          <w:bCs w:val="1"/>
          <w:i w:val="1"/>
          <w:iCs w:val="1"/>
          <w:color w:val="auto"/>
        </w:rPr>
        <w:t xml:space="preserve">Accepted: </w:t>
      </w:r>
      <w:r>
        <w:rPr>
          <w:rFonts w:ascii="Arial" w:cs="Arial" w:eastAsia="Arial" w:hAnsi="Arial"/>
          <w:sz w:val="13"/>
          <w:szCs w:val="13"/>
          <w:color w:val="auto"/>
        </w:rPr>
        <w:t>03 June 2020</w:t>
      </w:r>
    </w:p>
    <w:p>
      <w:pPr>
        <w:spacing w:after="0" w:line="50" w:lineRule="exact"/>
        <w:rPr>
          <w:rFonts w:ascii="Arial" w:cs="Arial" w:eastAsia="Arial" w:hAnsi="Arial"/>
          <w:sz w:val="18"/>
          <w:szCs w:val="18"/>
          <w:color w:val="auto"/>
        </w:rPr>
      </w:pPr>
    </w:p>
    <w:p>
      <w:pPr>
        <w:ind w:left="780"/>
        <w:spacing w:after="0"/>
        <w:rPr>
          <w:sz w:val="20"/>
          <w:szCs w:val="20"/>
          <w:color w:val="auto"/>
        </w:rPr>
      </w:pPr>
      <w:r>
        <w:rPr>
          <w:rFonts w:ascii="Arial" w:cs="Arial" w:eastAsia="Arial" w:hAnsi="Arial"/>
          <w:sz w:val="13"/>
          <w:szCs w:val="13"/>
          <w:b w:val="1"/>
          <w:bCs w:val="1"/>
          <w:i w:val="1"/>
          <w:iCs w:val="1"/>
          <w:color w:val="auto"/>
        </w:rPr>
        <w:t xml:space="preserve">Published: </w:t>
      </w:r>
      <w:r>
        <w:rPr>
          <w:rFonts w:ascii="Arial" w:cs="Arial" w:eastAsia="Arial" w:hAnsi="Arial"/>
          <w:sz w:val="13"/>
          <w:szCs w:val="13"/>
          <w:color w:val="auto"/>
        </w:rPr>
        <w:t>14 July 2020</w:t>
      </w:r>
    </w:p>
    <w:p>
      <w:pPr>
        <w:spacing w:after="0" w:line="126" w:lineRule="exact"/>
        <w:rPr>
          <w:rFonts w:ascii="Arial" w:cs="Arial" w:eastAsia="Arial" w:hAnsi="Arial"/>
          <w:sz w:val="18"/>
          <w:szCs w:val="18"/>
          <w:color w:val="auto"/>
        </w:rPr>
      </w:pPr>
    </w:p>
    <w:p>
      <w:pPr>
        <w:ind w:left="1740"/>
        <w:spacing w:after="0"/>
        <w:rPr>
          <w:sz w:val="20"/>
          <w:szCs w:val="20"/>
          <w:color w:val="auto"/>
        </w:rPr>
      </w:pPr>
      <w:r>
        <w:rPr>
          <w:rFonts w:ascii="Arial" w:cs="Arial" w:eastAsia="Arial" w:hAnsi="Arial"/>
          <w:sz w:val="13"/>
          <w:szCs w:val="13"/>
          <w:b w:val="1"/>
          <w:bCs w:val="1"/>
          <w:i w:val="1"/>
          <w:iCs w:val="1"/>
          <w:color w:val="auto"/>
        </w:rPr>
        <w:t>Citation:</w:t>
      </w:r>
    </w:p>
    <w:p>
      <w:pPr>
        <w:spacing w:after="0" w:line="74" w:lineRule="exact"/>
        <w:rPr>
          <w:rFonts w:ascii="Arial" w:cs="Arial" w:eastAsia="Arial" w:hAnsi="Arial"/>
          <w:sz w:val="18"/>
          <w:szCs w:val="18"/>
          <w:color w:val="auto"/>
        </w:rPr>
      </w:pPr>
    </w:p>
    <w:p>
      <w:pPr>
        <w:jc w:val="both"/>
        <w:ind w:left="320" w:firstLine="209"/>
        <w:spacing w:after="0" w:line="288" w:lineRule="auto"/>
        <w:rPr>
          <w:sz w:val="20"/>
          <w:szCs w:val="20"/>
          <w:color w:val="auto"/>
        </w:rPr>
      </w:pPr>
      <w:r>
        <w:rPr>
          <w:rFonts w:ascii="Arial" w:cs="Arial" w:eastAsia="Arial" w:hAnsi="Arial"/>
          <w:sz w:val="13"/>
          <w:szCs w:val="13"/>
          <w:color w:val="auto"/>
        </w:rPr>
        <w:t>Schikora A, Jackson RW, Van Overbeek L and Holden N (2020)</w:t>
      </w:r>
    </w:p>
    <w:p>
      <w:pPr>
        <w:spacing w:after="0" w:line="40" w:lineRule="exact"/>
        <w:rPr>
          <w:rFonts w:ascii="Arial" w:cs="Arial" w:eastAsia="Arial" w:hAnsi="Arial"/>
          <w:sz w:val="18"/>
          <w:szCs w:val="18"/>
          <w:color w:val="auto"/>
        </w:rPr>
      </w:pPr>
    </w:p>
    <w:p>
      <w:pPr>
        <w:jc w:val="right"/>
        <w:ind w:left="140"/>
        <w:spacing w:after="0" w:line="273" w:lineRule="auto"/>
        <w:rPr>
          <w:sz w:val="20"/>
          <w:szCs w:val="20"/>
          <w:color w:val="auto"/>
        </w:rPr>
      </w:pPr>
      <w:r>
        <w:rPr>
          <w:rFonts w:ascii="Arial" w:cs="Arial" w:eastAsia="Arial" w:hAnsi="Arial"/>
          <w:sz w:val="14"/>
          <w:szCs w:val="14"/>
          <w:color w:val="auto"/>
        </w:rPr>
        <w:t>Editorial: Plants as Alternative Hosts for Human and Animal Pathogens – Second Edition.</w:t>
      </w:r>
    </w:p>
    <w:p>
      <w:pPr>
        <w:spacing w:after="0" w:line="17"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Front. Microbiol. 11:1439.</w:t>
      </w:r>
    </w:p>
    <w:p>
      <w:pPr>
        <w:spacing w:after="0" w:line="50" w:lineRule="exact"/>
        <w:rPr>
          <w:rFonts w:ascii="Arial" w:cs="Arial" w:eastAsia="Arial" w:hAnsi="Arial"/>
          <w:sz w:val="18"/>
          <w:szCs w:val="18"/>
          <w:color w:val="auto"/>
        </w:rPr>
      </w:pPr>
    </w:p>
    <w:p>
      <w:pPr>
        <w:ind w:left="380"/>
        <w:spacing w:after="0"/>
        <w:rPr>
          <w:rFonts w:ascii="Arial" w:cs="Arial" w:eastAsia="Arial" w:hAnsi="Arial"/>
          <w:sz w:val="13"/>
          <w:szCs w:val="13"/>
          <w:color w:val="auto"/>
        </w:rPr>
      </w:pPr>
      <w:r>
        <w:rPr>
          <w:rFonts w:ascii="Arial" w:cs="Arial" w:eastAsia="Arial" w:hAnsi="Arial"/>
          <w:sz w:val="13"/>
          <w:szCs w:val="13"/>
          <w:color w:val="auto"/>
        </w:rPr>
        <w:t xml:space="preserve">doi: </w:t>
      </w:r>
      <w:hyperlink r:id="rId10">
        <w:r>
          <w:rPr>
            <w:rFonts w:ascii="Arial" w:cs="Arial" w:eastAsia="Arial" w:hAnsi="Arial"/>
            <w:sz w:val="13"/>
            <w:szCs w:val="13"/>
            <w:color w:val="auto"/>
          </w:rPr>
          <w:t>10.3389/fmicb.2020.01439</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38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9"/>
          <w:szCs w:val="19"/>
          <w:b w:val="1"/>
          <w:bCs w:val="1"/>
          <w:color w:val="auto"/>
        </w:rPr>
        <w:t>Editorial on the Research Topic</w:t>
      </w:r>
    </w:p>
    <w:p>
      <w:pPr>
        <w:spacing w:after="0" w:line="260" w:lineRule="exact"/>
        <w:rPr>
          <w:rFonts w:ascii="Arial" w:cs="Arial" w:eastAsia="Arial" w:hAnsi="Arial"/>
          <w:sz w:val="18"/>
          <w:szCs w:val="18"/>
          <w:color w:val="auto"/>
        </w:rPr>
      </w:pPr>
    </w:p>
    <w:p>
      <w:pPr>
        <w:spacing w:after="0"/>
        <w:rPr>
          <w:rFonts w:ascii="Arial" w:cs="Arial" w:eastAsia="Arial" w:hAnsi="Arial"/>
          <w:sz w:val="19"/>
          <w:szCs w:val="19"/>
          <w:b w:val="1"/>
          <w:bCs w:val="1"/>
          <w:color w:val="auto"/>
        </w:rPr>
      </w:pPr>
      <w:hyperlink r:id="rId19">
        <w:r>
          <w:rPr>
            <w:rFonts w:ascii="Arial" w:cs="Arial" w:eastAsia="Arial" w:hAnsi="Arial"/>
            <w:sz w:val="19"/>
            <w:szCs w:val="19"/>
            <w:b w:val="1"/>
            <w:bCs w:val="1"/>
            <w:color w:val="auto"/>
          </w:rPr>
          <w:t>Plants as Alternative Hosts for Human and Animal Pathogens – Second Edition</w:t>
        </w:r>
      </w:hyperlink>
    </w:p>
    <w:p>
      <w:pPr>
        <w:spacing w:after="0" w:line="278" w:lineRule="exact"/>
        <w:rPr>
          <w:rFonts w:ascii="Arial" w:cs="Arial" w:eastAsia="Arial" w:hAnsi="Arial"/>
          <w:sz w:val="18"/>
          <w:szCs w:val="18"/>
          <w:color w:val="auto"/>
        </w:rPr>
      </w:pPr>
    </w:p>
    <w:p>
      <w:pPr>
        <w:jc w:val="both"/>
        <w:spacing w:after="0" w:line="263" w:lineRule="auto"/>
        <w:rPr>
          <w:sz w:val="20"/>
          <w:szCs w:val="20"/>
          <w:color w:val="auto"/>
        </w:rPr>
      </w:pPr>
      <w:r>
        <w:rPr>
          <w:rFonts w:ascii="Arial" w:cs="Arial" w:eastAsia="Arial" w:hAnsi="Arial"/>
          <w:sz w:val="18"/>
          <w:szCs w:val="18"/>
          <w:color w:val="auto"/>
        </w:rPr>
        <w:t>Outbreaks of food-borne diseases are often associated with minimally processed fruits and vegetables. Interactions between human pathogens and plants are not incidental, transient or passive. For many, there is a defined and specific molecular basis. Both partners, the microbe and plant, play active roles in this interaction. Our understanding on how human pathogens colonize plants, especially in the face of microbial competition, is far from clear. Since these pathogens pose a health risk, important aspects include detection and surveillance, inevitably related to epidemiology, risk analysis, and therefore relevant to food safety, whether in the field or in the factory. This eBook second edition provides new discoveries in the field and incorporates a collection of articles focusing on several aspects of interactions between diverse human pathogens and crop plants. Those range from comprehensive approaches in food safety, through adaptation to the plant environment to shifts in the structure of microbial communities during the change in global climate.</w:t>
      </w:r>
    </w:p>
    <w:p>
      <w:pPr>
        <w:spacing w:after="0" w:line="28" w:lineRule="exact"/>
        <w:rPr>
          <w:rFonts w:ascii="Arial" w:cs="Arial" w:eastAsia="Arial" w:hAnsi="Arial"/>
          <w:sz w:val="18"/>
          <w:szCs w:val="18"/>
          <w:color w:val="auto"/>
        </w:rPr>
      </w:pPr>
    </w:p>
    <w:p>
      <w:pPr>
        <w:jc w:val="both"/>
        <w:ind w:firstLine="229"/>
        <w:spacing w:after="0" w:line="298" w:lineRule="auto"/>
        <w:rPr>
          <w:rFonts w:ascii="Arial" w:cs="Arial" w:eastAsia="Arial" w:hAnsi="Arial"/>
          <w:sz w:val="16"/>
          <w:szCs w:val="16"/>
          <w:color w:val="auto"/>
        </w:rPr>
      </w:pPr>
      <w:r>
        <w:rPr>
          <w:rFonts w:ascii="Arial" w:cs="Arial" w:eastAsia="Arial" w:hAnsi="Arial"/>
          <w:sz w:val="16"/>
          <w:szCs w:val="16"/>
          <w:color w:val="auto"/>
        </w:rPr>
        <w:t xml:space="preserve">Requirement for safe produce is of utmost importance for consumers and producers. Since it is not possible to remove microbes from leafy green vegetable production, avoidance of contamination with human pathogens such as Shiga toxin-producing </w:t>
      </w:r>
      <w:r>
        <w:rPr>
          <w:rFonts w:ascii="Arial" w:cs="Arial" w:eastAsia="Arial" w:hAnsi="Arial"/>
          <w:sz w:val="16"/>
          <w:szCs w:val="16"/>
          <w:i w:val="1"/>
          <w:iCs w:val="1"/>
          <w:color w:val="auto"/>
        </w:rPr>
        <w:t>Escherichia coli</w:t>
      </w:r>
      <w:r>
        <w:rPr>
          <w:rFonts w:ascii="Arial" w:cs="Arial" w:eastAsia="Arial" w:hAnsi="Arial"/>
          <w:sz w:val="16"/>
          <w:szCs w:val="16"/>
          <w:color w:val="auto"/>
        </w:rPr>
        <w:t xml:space="preserve"> (STEC), </w:t>
      </w:r>
      <w:r>
        <w:rPr>
          <w:rFonts w:ascii="Arial" w:cs="Arial" w:eastAsia="Arial" w:hAnsi="Arial"/>
          <w:sz w:val="16"/>
          <w:szCs w:val="16"/>
          <w:i w:val="1"/>
          <w:iCs w:val="1"/>
          <w:color w:val="auto"/>
        </w:rPr>
        <w:t xml:space="preserve">Salmonella enterica, Shigella, Yersinia enterocolitica, </w:t>
      </w:r>
      <w:r>
        <w:rPr>
          <w:rFonts w:ascii="Arial" w:cs="Arial" w:eastAsia="Arial" w:hAnsi="Arial"/>
          <w:sz w:val="16"/>
          <w:szCs w:val="16"/>
          <w:color w:val="auto"/>
        </w:rPr>
        <w:t>or</w:t>
      </w:r>
      <w:r>
        <w:rPr>
          <w:rFonts w:ascii="Arial" w:cs="Arial" w:eastAsia="Arial" w:hAnsi="Arial"/>
          <w:sz w:val="16"/>
          <w:szCs w:val="16"/>
          <w:i w:val="1"/>
          <w:iCs w:val="1"/>
          <w:color w:val="auto"/>
        </w:rPr>
        <w:t xml:space="preserve"> Listeria monocytogenes</w:t>
      </w:r>
      <w:r>
        <w:rPr>
          <w:rFonts w:ascii="Arial" w:cs="Arial" w:eastAsia="Arial" w:hAnsi="Arial"/>
          <w:sz w:val="16"/>
          <w:szCs w:val="16"/>
          <w:color w:val="auto"/>
        </w:rPr>
        <w:t>, is crucial. These</w:t>
      </w:r>
      <w:r>
        <w:rPr>
          <w:rFonts w:ascii="Arial" w:cs="Arial" w:eastAsia="Arial" w:hAnsi="Arial"/>
          <w:sz w:val="16"/>
          <w:szCs w:val="16"/>
          <w:i w:val="1"/>
          <w:iCs w:val="1"/>
          <w:color w:val="auto"/>
        </w:rPr>
        <w:t xml:space="preserve"> </w:t>
      </w:r>
      <w:r>
        <w:rPr>
          <w:rFonts w:ascii="Arial" w:cs="Arial" w:eastAsia="Arial" w:hAnsi="Arial"/>
          <w:sz w:val="16"/>
          <w:szCs w:val="16"/>
          <w:color w:val="auto"/>
        </w:rPr>
        <w:t>have the potential to lower the risk of contamination. How such critical points can be combined to decrease risks and improve microbial stability, nutritional properties and quality of leafy vegetables, is a key question. A toolbox with diﬀerent physical, physiochemical, and microbial possibilities could be an option (</w:t>
      </w:r>
      <w:hyperlink r:id="rId20">
        <w:r>
          <w:rPr>
            <w:rFonts w:ascii="Arial" w:cs="Arial" w:eastAsia="Arial" w:hAnsi="Arial"/>
            <w:sz w:val="16"/>
            <w:szCs w:val="16"/>
            <w:color w:val="4D4D4D"/>
          </w:rPr>
          <w:t>Mogren et al.</w:t>
        </w:r>
      </w:hyperlink>
      <w:r>
        <w:rPr>
          <w:rFonts w:ascii="Arial" w:cs="Arial" w:eastAsia="Arial" w:hAnsi="Arial"/>
          <w:sz w:val="16"/>
          <w:szCs w:val="16"/>
          <w:color w:val="auto"/>
        </w:rPr>
        <w:t xml:space="preserve">). The authors present mechanisms, which could be used for leafy greens and other produce. To enter food production systems, human pathogens need to adapt and establish in an environment, which is not optimal for their survival. Those environments, for example soil or plant tissues, have a significant impact on their physiology and influence additionally the virulence toward the plant host. The eﬀects of soil type, organic fertilization, and plant species on the survival of </w:t>
      </w:r>
      <w:r>
        <w:rPr>
          <w:rFonts w:ascii="Arial" w:cs="Arial" w:eastAsia="Arial" w:hAnsi="Arial"/>
          <w:sz w:val="16"/>
          <w:szCs w:val="16"/>
          <w:i w:val="1"/>
          <w:iCs w:val="1"/>
          <w:color w:val="auto"/>
        </w:rPr>
        <w:t>S. enterica</w:t>
      </w:r>
      <w:r>
        <w:rPr>
          <w:rFonts w:ascii="Arial" w:cs="Arial" w:eastAsia="Arial" w:hAnsi="Arial"/>
          <w:sz w:val="16"/>
          <w:szCs w:val="16"/>
          <w:color w:val="auto"/>
        </w:rPr>
        <w:t xml:space="preserve"> in soil as well as the colonization of plants are very substantial (</w:t>
      </w:r>
      <w:hyperlink r:id="rId21">
        <w:r>
          <w:rPr>
            <w:rFonts w:ascii="Arial" w:cs="Arial" w:eastAsia="Arial" w:hAnsi="Arial"/>
            <w:sz w:val="16"/>
            <w:szCs w:val="16"/>
            <w:color w:val="4D4D4D"/>
          </w:rPr>
          <w:t>Jechalke et al.</w:t>
        </w:r>
      </w:hyperlink>
      <w:r>
        <w:rPr>
          <w:rFonts w:ascii="Arial" w:cs="Arial" w:eastAsia="Arial" w:hAnsi="Arial"/>
          <w:sz w:val="16"/>
          <w:szCs w:val="16"/>
          <w:color w:val="auto"/>
        </w:rPr>
        <w:t xml:space="preserve">). Authors revealed that diﬀerent strains of </w:t>
      </w:r>
      <w:r>
        <w:rPr>
          <w:rFonts w:ascii="Arial" w:cs="Arial" w:eastAsia="Arial" w:hAnsi="Arial"/>
          <w:sz w:val="16"/>
          <w:szCs w:val="16"/>
          <w:i w:val="1"/>
          <w:iCs w:val="1"/>
          <w:color w:val="auto"/>
        </w:rPr>
        <w:t>S. enterica</w:t>
      </w:r>
      <w:r>
        <w:rPr>
          <w:rFonts w:ascii="Arial" w:cs="Arial" w:eastAsia="Arial" w:hAnsi="Arial"/>
          <w:sz w:val="16"/>
          <w:szCs w:val="16"/>
          <w:color w:val="auto"/>
        </w:rPr>
        <w:t xml:space="preserve"> were able to persist in soil for several weeks and colonize leaves of lettuce and corn salad. Moreover, </w:t>
      </w:r>
      <w:r>
        <w:rPr>
          <w:rFonts w:ascii="Arial" w:cs="Arial" w:eastAsia="Arial" w:hAnsi="Arial"/>
          <w:sz w:val="16"/>
          <w:szCs w:val="16"/>
          <w:i w:val="1"/>
          <w:iCs w:val="1"/>
          <w:color w:val="auto"/>
        </w:rPr>
        <w:t>S.</w:t>
      </w:r>
      <w:r>
        <w:rPr>
          <w:rFonts w:ascii="Arial" w:cs="Arial" w:eastAsia="Arial" w:hAnsi="Arial"/>
          <w:sz w:val="16"/>
          <w:szCs w:val="16"/>
          <w:color w:val="auto"/>
        </w:rPr>
        <w:t xml:space="preserve"> Typhimurium 14028s responded to lettuce or lettuce root exudates showing an upregulation of genes associated with biofilm formation and virulence. In addition to </w:t>
      </w:r>
      <w:r>
        <w:rPr>
          <w:rFonts w:ascii="Arial" w:cs="Arial" w:eastAsia="Arial" w:hAnsi="Arial"/>
          <w:sz w:val="16"/>
          <w:szCs w:val="16"/>
          <w:i w:val="1"/>
          <w:iCs w:val="1"/>
          <w:color w:val="auto"/>
        </w:rPr>
        <w:t>Salmonella</w:t>
      </w:r>
      <w:r>
        <w:rPr>
          <w:rFonts w:ascii="Arial" w:cs="Arial" w:eastAsia="Arial" w:hAnsi="Arial"/>
          <w:sz w:val="16"/>
          <w:szCs w:val="16"/>
          <w:color w:val="auto"/>
        </w:rPr>
        <w:t xml:space="preserve">, </w:t>
      </w:r>
      <w:r>
        <w:rPr>
          <w:rFonts w:ascii="Arial" w:cs="Arial" w:eastAsia="Arial" w:hAnsi="Arial"/>
          <w:sz w:val="16"/>
          <w:szCs w:val="16"/>
          <w:i w:val="1"/>
          <w:iCs w:val="1"/>
          <w:color w:val="auto"/>
        </w:rPr>
        <w:t>E. coli</w:t>
      </w:r>
      <w:r>
        <w:rPr>
          <w:rFonts w:ascii="Arial" w:cs="Arial" w:eastAsia="Arial" w:hAnsi="Arial"/>
          <w:sz w:val="16"/>
          <w:szCs w:val="16"/>
          <w:color w:val="auto"/>
        </w:rPr>
        <w:t xml:space="preserve"> O157:H7 responds to physicochemical stresses in cut lettuce and lettuce lysates by upregulation of several stress response pathways. Damaged lettuce leaf tissue supplied </w:t>
      </w:r>
      <w:r>
        <w:rPr>
          <w:rFonts w:ascii="Arial" w:cs="Arial" w:eastAsia="Arial" w:hAnsi="Arial"/>
          <w:sz w:val="16"/>
          <w:szCs w:val="16"/>
          <w:i w:val="1"/>
          <w:iCs w:val="1"/>
          <w:color w:val="auto"/>
        </w:rPr>
        <w:t>E. coli</w:t>
      </w:r>
      <w:r>
        <w:rPr>
          <w:rFonts w:ascii="Arial" w:cs="Arial" w:eastAsia="Arial" w:hAnsi="Arial"/>
          <w:sz w:val="16"/>
          <w:szCs w:val="16"/>
          <w:color w:val="auto"/>
        </w:rPr>
        <w:t xml:space="preserve"> with substrates for proliferation, and also provides pathogenic bacteria with choline for osmotic protection (</w:t>
      </w:r>
      <w:hyperlink r:id="rId22">
        <w:r>
          <w:rPr>
            <w:rFonts w:ascii="Arial" w:cs="Arial" w:eastAsia="Arial" w:hAnsi="Arial"/>
            <w:sz w:val="16"/>
            <w:szCs w:val="16"/>
            <w:color w:val="4D4D4D"/>
          </w:rPr>
          <w:t>Scott et al.</w:t>
        </w:r>
      </w:hyperlink>
      <w:r>
        <w:rPr>
          <w:rFonts w:ascii="Arial" w:cs="Arial" w:eastAsia="Arial" w:hAnsi="Arial"/>
          <w:sz w:val="16"/>
          <w:szCs w:val="16"/>
          <w:color w:val="auto"/>
        </w:rPr>
        <w:t>). Internalization of bacterial cells into stomata enables human pathogens to evade the hostile environment of the</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-1691005</wp:posOffset>
                </wp:positionH>
                <wp:positionV relativeFrom="paragraph">
                  <wp:posOffset>406400</wp:posOffset>
                </wp:positionV>
                <wp:extent cx="64204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0485" cy="4763"/>
                        </a:xfrm>
                        <a:prstGeom prst="line">
                          <a:avLst/>
                        </a:prstGeom>
                        <a:solidFill>
                          <a:srgbClr val="FFFFFF"/>
                        </a:solidFill>
                        <a:ln w="3200">
                          <a:solidFill>
                            <a:srgbClr val="4D4D4D"/>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1499pt,32pt" to="372.4pt,32pt" o:allowincell="f" strokecolor="#4D4D4D" strokeweight="0.252pt"/>
            </w:pict>
          </mc:Fallback>
        </mc:AlternateContent>
      </w:r>
    </w:p>
    <w:p>
      <w:pPr>
        <w:spacing w:after="0" w:line="374" w:lineRule="exact"/>
        <w:rPr>
          <w:rFonts w:ascii="Arial" w:cs="Arial" w:eastAsia="Arial" w:hAnsi="Arial"/>
          <w:sz w:val="16"/>
          <w:szCs w:val="16"/>
          <w:color w:val="auto"/>
        </w:rPr>
      </w:pPr>
    </w:p>
    <w:p>
      <w:pPr>
        <w:sectPr>
          <w:pgSz w:w="11900" w:h="15590" w:orient="portrait"/>
          <w:cols w:equalWidth="0" w:num="2">
            <w:col w:w="2300" w:space="360"/>
            <w:col w:w="7440"/>
          </w:cols>
          <w:pgMar w:left="900" w:top="680" w:right="905" w:bottom="56" w:gutter="0" w:footer="0" w:header="0"/>
          <w:type w:val="continuous"/>
        </w:sectPr>
      </w:pPr>
    </w:p>
    <w:p>
      <w:pPr>
        <w:spacing w:after="0" w:line="350" w:lineRule="exact"/>
        <w:rPr>
          <w:rFonts w:ascii="Arial" w:cs="Arial" w:eastAsia="Arial" w:hAnsi="Arial"/>
          <w:sz w:val="16"/>
          <w:szCs w:val="16"/>
          <w:color w:val="auto"/>
        </w:rPr>
      </w:pPr>
    </w:p>
    <w:p>
      <w:pPr>
        <w:spacing w:after="0"/>
        <w:tabs>
          <w:tab w:leader="none" w:pos="5000" w:val="left"/>
          <w:tab w:leader="none" w:pos="7940" w:val="left"/>
        </w:tabs>
        <w:rPr>
          <w:rFonts w:ascii="Arial" w:cs="Arial" w:eastAsia="Arial" w:hAnsi="Arial"/>
          <w:sz w:val="13"/>
          <w:szCs w:val="13"/>
          <w:color w:val="4D4D4D"/>
        </w:rPr>
      </w:pPr>
      <w:hyperlink r:id="rId23">
        <w:r>
          <w:rPr>
            <w:rFonts w:ascii="Arial" w:cs="Arial" w:eastAsia="Arial" w:hAnsi="Arial"/>
            <w:sz w:val="14"/>
            <w:szCs w:val="14"/>
            <w:color w:val="4D4D4D"/>
          </w:rPr>
          <w:t xml:space="preserve">Frontiers in Microbiology </w:t>
        </w:r>
      </w:hyperlink>
      <w:r>
        <w:rPr>
          <w:rFonts w:ascii="Arial" w:cs="Arial" w:eastAsia="Arial" w:hAnsi="Arial"/>
          <w:sz w:val="14"/>
          <w:szCs w:val="14"/>
          <w:color w:val="4D4D4D"/>
        </w:rPr>
        <w:t xml:space="preserve">| </w:t>
      </w:r>
      <w:hyperlink r:id="rId24">
        <w:r>
          <w:rPr>
            <w:rFonts w:ascii="Arial" w:cs="Arial" w:eastAsia="Arial" w:hAnsi="Arial"/>
            <w:sz w:val="14"/>
            <w:szCs w:val="14"/>
            <w:color w:val="4D4D4D"/>
          </w:rPr>
          <w:t>www.frontiersin.org</w:t>
        </w:r>
      </w:hyperlink>
      <w:r>
        <w:rPr>
          <w:rFonts w:ascii="Arial" w:cs="Arial" w:eastAsia="Arial" w:hAnsi="Arial"/>
          <w:sz w:val="14"/>
          <w:szCs w:val="14"/>
          <w:color w:val="4D4D4D"/>
        </w:rPr>
        <w:tab/>
      </w:r>
      <w:r>
        <w:rPr>
          <w:rFonts w:ascii="Arial" w:cs="Arial" w:eastAsia="Arial" w:hAnsi="Arial"/>
          <w:sz w:val="14"/>
          <w:szCs w:val="14"/>
          <w:b w:val="1"/>
          <w:bCs w:val="1"/>
          <w:color w:val="4D4D4D"/>
        </w:rPr>
        <w:t>1</w:t>
      </w:r>
      <w:r>
        <w:rPr>
          <w:rFonts w:ascii="Arial" w:cs="Arial" w:eastAsia="Arial" w:hAnsi="Arial"/>
          <w:sz w:val="14"/>
          <w:szCs w:val="14"/>
          <w:color w:val="4D4D4D"/>
        </w:rPr>
        <w:tab/>
      </w:r>
      <w:hyperlink r:id="rId25">
        <w:r>
          <w:rPr>
            <w:rFonts w:ascii="Arial" w:cs="Arial" w:eastAsia="Arial" w:hAnsi="Arial"/>
            <w:sz w:val="13"/>
            <w:szCs w:val="13"/>
            <w:color w:val="4D4D4D"/>
          </w:rPr>
          <w:t>July 2020 | Volume 11 | Article 1439</w:t>
        </w:r>
      </w:hyperlink>
    </w:p>
    <w:p>
      <w:pPr>
        <w:sectPr>
          <w:pgSz w:w="11900" w:h="15590" w:orient="portrait"/>
          <w:cols w:equalWidth="0" w:num="1">
            <w:col w:w="10100"/>
          </w:cols>
          <w:pgMar w:left="900" w:top="680" w:right="905" w:bottom="56" w:gutter="0" w:footer="0" w:header="0"/>
          <w:type w:val="continuous"/>
        </w:sectPr>
      </w:pPr>
    </w:p>
    <w:bookmarkStart w:id="1" w:name="page2"/>
    <w:bookmarkEnd w:id="1"/>
    <w:p>
      <w:pPr>
        <w:spacing w:after="0"/>
        <w:tabs>
          <w:tab w:leader="none" w:pos="7720" w:val="left"/>
        </w:tabs>
        <w:rPr>
          <w:sz w:val="20"/>
          <w:szCs w:val="20"/>
          <w:color w:val="auto"/>
        </w:rPr>
      </w:pPr>
      <w:r>
        <w:rPr>
          <w:rFonts w:ascii="Arial" w:cs="Arial" w:eastAsia="Arial" w:hAnsi="Arial"/>
          <w:sz w:val="14"/>
          <w:szCs w:val="14"/>
          <w:color w:val="4D4D4D"/>
        </w:rPr>
        <w:t>Schikora et al.</w:t>
      </w:r>
      <w:r>
        <w:rPr>
          <w:sz w:val="20"/>
          <w:szCs w:val="20"/>
          <w:color w:val="auto"/>
        </w:rPr>
        <w:tab/>
      </w:r>
      <w:r>
        <w:rPr>
          <w:rFonts w:ascii="Arial" w:cs="Arial" w:eastAsia="Arial" w:hAnsi="Arial"/>
          <w:sz w:val="13"/>
          <w:szCs w:val="13"/>
          <w:color w:val="4D4D4D"/>
        </w:rPr>
        <w:t>Alternative Hosts for Human Pathogens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81915</wp:posOffset>
                </wp:positionV>
                <wp:extent cx="642048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0485" cy="4763"/>
                        </a:xfrm>
                        <a:prstGeom prst="line">
                          <a:avLst/>
                        </a:prstGeom>
                        <a:solidFill>
                          <a:srgbClr val="FFFFFF"/>
                        </a:solidFill>
                        <a:ln w="3200">
                          <a:solidFill>
                            <a:srgbClr val="4D4D4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45pt" to="505.4pt,6.45pt" o:allowincell="f" strokecolor="#4D4D4D" strokeweight="0.252pt"/>
            </w:pict>
          </mc:Fallback>
        </mc:AlternateContent>
      </w:r>
    </w:p>
    <w:p>
      <w:pPr>
        <w:sectPr>
          <w:pgSz w:w="11900" w:h="15590" w:orient="portrait"/>
          <w:cols w:equalWidth="0" w:num="1">
            <w:col w:w="10100"/>
          </w:cols>
          <w:pgMar w:left="900" w:top="565" w:right="905" w:bottom="49" w:gutter="0" w:footer="0" w:header="0"/>
        </w:sectPr>
      </w:pPr>
    </w:p>
    <w:p>
      <w:pPr>
        <w:spacing w:after="0" w:line="200" w:lineRule="exact"/>
        <w:rPr>
          <w:sz w:val="20"/>
          <w:szCs w:val="20"/>
          <w:color w:val="auto"/>
        </w:rPr>
      </w:pPr>
    </w:p>
    <w:p>
      <w:pPr>
        <w:spacing w:after="0" w:line="333" w:lineRule="exact"/>
        <w:rPr>
          <w:sz w:val="20"/>
          <w:szCs w:val="20"/>
          <w:color w:val="auto"/>
        </w:rPr>
      </w:pPr>
    </w:p>
    <w:p>
      <w:pPr>
        <w:jc w:val="both"/>
        <w:spacing w:after="0" w:line="280" w:lineRule="auto"/>
        <w:rPr>
          <w:rFonts w:ascii="Arial" w:cs="Arial" w:eastAsia="Arial" w:hAnsi="Arial"/>
          <w:sz w:val="17"/>
          <w:szCs w:val="17"/>
          <w:color w:val="auto"/>
        </w:rPr>
      </w:pPr>
      <w:r>
        <w:rPr>
          <w:rFonts w:ascii="Arial" w:cs="Arial" w:eastAsia="Arial" w:hAnsi="Arial"/>
          <w:sz w:val="17"/>
          <w:szCs w:val="17"/>
          <w:color w:val="auto"/>
        </w:rPr>
        <w:t xml:space="preserve">leaf surface and reside in a protected, nutrient-rich niche. However, growth condition, diﬀerent preadaptation, and temperature have an impact on the internalization abilities of </w:t>
      </w:r>
      <w:r>
        <w:rPr>
          <w:rFonts w:ascii="Arial" w:cs="Arial" w:eastAsia="Arial" w:hAnsi="Arial"/>
          <w:sz w:val="17"/>
          <w:szCs w:val="17"/>
          <w:i w:val="1"/>
          <w:iCs w:val="1"/>
          <w:color w:val="auto"/>
        </w:rPr>
        <w:t xml:space="preserve">Salmonella enterica </w:t>
      </w:r>
      <w:r>
        <w:rPr>
          <w:rFonts w:ascii="Arial" w:cs="Arial" w:eastAsia="Arial" w:hAnsi="Arial"/>
          <w:sz w:val="17"/>
          <w:szCs w:val="17"/>
          <w:color w:val="auto"/>
        </w:rPr>
        <w:t>(</w:t>
      </w:r>
      <w:hyperlink r:id="rId26">
        <w:r>
          <w:rPr>
            <w:rFonts w:ascii="Arial" w:cs="Arial" w:eastAsia="Arial" w:hAnsi="Arial"/>
            <w:sz w:val="17"/>
            <w:szCs w:val="17"/>
            <w:color w:val="4D4D4D"/>
          </w:rPr>
          <w:t>Kroupitski et al.</w:t>
        </w:r>
      </w:hyperlink>
      <w:r>
        <w:rPr>
          <w:rFonts w:ascii="Arial" w:cs="Arial" w:eastAsia="Arial" w:hAnsi="Arial"/>
          <w:sz w:val="17"/>
          <w:szCs w:val="17"/>
          <w:color w:val="auto"/>
        </w:rPr>
        <w:t>). The authors further</w:t>
      </w:r>
      <w:r>
        <w:rPr>
          <w:rFonts w:ascii="Arial" w:cs="Arial" w:eastAsia="Arial" w:hAnsi="Arial"/>
          <w:sz w:val="17"/>
          <w:szCs w:val="17"/>
          <w:i w:val="1"/>
          <w:iCs w:val="1"/>
          <w:color w:val="auto"/>
        </w:rPr>
        <w:t xml:space="preserve"> </w:t>
      </w:r>
      <w:r>
        <w:rPr>
          <w:rFonts w:ascii="Arial" w:cs="Arial" w:eastAsia="Arial" w:hAnsi="Arial"/>
          <w:sz w:val="17"/>
          <w:szCs w:val="17"/>
          <w:color w:val="auto"/>
        </w:rPr>
        <w:t>emphasized the function of universal stress-related genes in leaf internalization, highlighting the complexity of the bacterial internalization process. The above studies clearly demonstrated the ability of human pathogenic bacteria to adapt to the plant environment. How this adaptation diﬀers from the adaptation to animal hosts is a very intriguing question. Comparison of the metabolic pathways, induced in those diﬀerent environments, revealed that biosynthesis of amino acids, purines, vitamins, and the catabolism of glycerol and glucose are important (</w:t>
      </w:r>
      <w:hyperlink r:id="rId27">
        <w:r>
          <w:rPr>
            <w:rFonts w:ascii="Arial" w:cs="Arial" w:eastAsia="Arial" w:hAnsi="Arial"/>
            <w:sz w:val="17"/>
            <w:szCs w:val="17"/>
            <w:color w:val="4D4D4D"/>
          </w:rPr>
          <w:t>Kwan et al.</w:t>
        </w:r>
      </w:hyperlink>
      <w:r>
        <w:rPr>
          <w:rFonts w:ascii="Arial" w:cs="Arial" w:eastAsia="Arial" w:hAnsi="Arial"/>
          <w:sz w:val="17"/>
          <w:szCs w:val="17"/>
          <w:color w:val="auto"/>
        </w:rPr>
        <w:t xml:space="preserve">). Nevertheless, whereas biosynthesis and degradation of fatty acid contributed to </w:t>
      </w:r>
      <w:r>
        <w:rPr>
          <w:rFonts w:ascii="Arial" w:cs="Arial" w:eastAsia="Arial" w:hAnsi="Arial"/>
          <w:sz w:val="17"/>
          <w:szCs w:val="17"/>
          <w:i w:val="1"/>
          <w:iCs w:val="1"/>
          <w:color w:val="auto"/>
        </w:rPr>
        <w:t>S.</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enterica </w:t>
      </w:r>
      <w:r>
        <w:rPr>
          <w:rFonts w:ascii="Arial" w:cs="Arial" w:eastAsia="Arial" w:hAnsi="Arial"/>
          <w:sz w:val="17"/>
          <w:szCs w:val="17"/>
          <w:color w:val="auto"/>
        </w:rPr>
        <w:t>animal colonization, it seems that only fatty acid</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biosynthesis was required during plant colonization. A genome-wide mutant screen comparing the plant-associated </w:t>
      </w:r>
      <w:r>
        <w:rPr>
          <w:rFonts w:ascii="Arial" w:cs="Arial" w:eastAsia="Arial" w:hAnsi="Arial"/>
          <w:sz w:val="17"/>
          <w:szCs w:val="17"/>
          <w:i w:val="1"/>
          <w:iCs w:val="1"/>
          <w:color w:val="auto"/>
        </w:rPr>
        <w:t>S</w:t>
      </w:r>
      <w:r>
        <w:rPr>
          <w:rFonts w:ascii="Arial" w:cs="Arial" w:eastAsia="Arial" w:hAnsi="Arial"/>
          <w:sz w:val="17"/>
          <w:szCs w:val="17"/>
          <w:color w:val="auto"/>
        </w:rPr>
        <w:t xml:space="preserve">. Newport with the animal-associated </w:t>
      </w:r>
      <w:r>
        <w:rPr>
          <w:rFonts w:ascii="Arial" w:cs="Arial" w:eastAsia="Arial" w:hAnsi="Arial"/>
          <w:sz w:val="17"/>
          <w:szCs w:val="17"/>
          <w:i w:val="1"/>
          <w:iCs w:val="1"/>
          <w:color w:val="auto"/>
        </w:rPr>
        <w:t>S</w:t>
      </w:r>
      <w:r>
        <w:rPr>
          <w:rFonts w:ascii="Arial" w:cs="Arial" w:eastAsia="Arial" w:hAnsi="Arial"/>
          <w:sz w:val="17"/>
          <w:szCs w:val="17"/>
          <w:color w:val="auto"/>
        </w:rPr>
        <w:t>. Typhimurium emphasized the importance of amino acid biosynthetic pathways and iron acquisition during the persistence in tomatoes (</w:t>
      </w:r>
      <w:hyperlink r:id="rId28">
        <w:r>
          <w:rPr>
            <w:rFonts w:ascii="Arial" w:cs="Arial" w:eastAsia="Arial" w:hAnsi="Arial"/>
            <w:sz w:val="17"/>
            <w:szCs w:val="17"/>
            <w:color w:val="4D4D4D"/>
          </w:rPr>
          <w:t>de Moraes et al.</w:t>
        </w:r>
      </w:hyperlink>
      <w:r>
        <w:rPr>
          <w:rFonts w:ascii="Arial" w:cs="Arial" w:eastAsia="Arial" w:hAnsi="Arial"/>
          <w:sz w:val="17"/>
          <w:szCs w:val="17"/>
          <w:color w:val="auto"/>
        </w:rPr>
        <w:t xml:space="preserve">). Besides, a newly discovered gene, </w:t>
      </w:r>
      <w:r>
        <w:rPr>
          <w:rFonts w:ascii="Arial" w:cs="Arial" w:eastAsia="Arial" w:hAnsi="Arial"/>
          <w:sz w:val="17"/>
          <w:szCs w:val="17"/>
          <w:i w:val="1"/>
          <w:iCs w:val="1"/>
          <w:color w:val="auto"/>
        </w:rPr>
        <w:t>papA</w:t>
      </w:r>
      <w:r>
        <w:rPr>
          <w:rFonts w:ascii="Arial" w:cs="Arial" w:eastAsia="Arial" w:hAnsi="Arial"/>
          <w:sz w:val="17"/>
          <w:szCs w:val="17"/>
          <w:color w:val="auto"/>
        </w:rPr>
        <w:t xml:space="preserve">, which is unique to </w:t>
      </w:r>
      <w:r>
        <w:rPr>
          <w:rFonts w:ascii="Arial" w:cs="Arial" w:eastAsia="Arial" w:hAnsi="Arial"/>
          <w:sz w:val="17"/>
          <w:szCs w:val="17"/>
          <w:i w:val="1"/>
          <w:iCs w:val="1"/>
          <w:color w:val="auto"/>
        </w:rPr>
        <w:t>S</w:t>
      </w:r>
      <w:r>
        <w:rPr>
          <w:rFonts w:ascii="Arial" w:cs="Arial" w:eastAsia="Arial" w:hAnsi="Arial"/>
          <w:sz w:val="17"/>
          <w:szCs w:val="17"/>
          <w:color w:val="auto"/>
        </w:rPr>
        <w:t>. Newport contributes to its fitness in tomatoes. Homologs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of </w:t>
      </w:r>
      <w:r>
        <w:rPr>
          <w:rFonts w:ascii="Arial" w:cs="Arial" w:eastAsia="Arial" w:hAnsi="Arial"/>
          <w:sz w:val="17"/>
          <w:szCs w:val="17"/>
          <w:i w:val="1"/>
          <w:iCs w:val="1"/>
          <w:color w:val="auto"/>
        </w:rPr>
        <w:t>papA</w:t>
      </w:r>
      <w:r>
        <w:rPr>
          <w:rFonts w:ascii="Arial" w:cs="Arial" w:eastAsia="Arial" w:hAnsi="Arial"/>
          <w:sz w:val="17"/>
          <w:szCs w:val="17"/>
          <w:color w:val="auto"/>
        </w:rPr>
        <w:t xml:space="preserve"> are present in bacteria that colonize both plants and animals. Human pathogens do not restrict themselves to reaction and adaptation to a plant environment. They produce plant hormones, which may influence their vegetal host. The </w:t>
      </w:r>
      <w:r>
        <w:rPr>
          <w:rFonts w:ascii="Arial" w:cs="Arial" w:eastAsia="Arial" w:hAnsi="Arial"/>
          <w:sz w:val="17"/>
          <w:szCs w:val="17"/>
          <w:i w:val="1"/>
          <w:iCs w:val="1"/>
          <w:color w:val="auto"/>
        </w:rPr>
        <w:t xml:space="preserve">Salmonella ipdC </w:t>
      </w:r>
      <w:r>
        <w:rPr>
          <w:rFonts w:ascii="Arial" w:cs="Arial" w:eastAsia="Arial" w:hAnsi="Arial"/>
          <w:sz w:val="17"/>
          <w:szCs w:val="17"/>
          <w:color w:val="auto"/>
        </w:rPr>
        <w:t>gene, responsible for production of auxin via</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the IPyA pathway, is expressed on root surfaces, increasing the formation of lateral roots. Very interestingly, the </w:t>
      </w:r>
      <w:r>
        <w:rPr>
          <w:rFonts w:ascii="Arial" w:cs="Arial" w:eastAsia="Arial" w:hAnsi="Arial"/>
          <w:sz w:val="17"/>
          <w:szCs w:val="17"/>
          <w:i w:val="1"/>
          <w:iCs w:val="1"/>
          <w:color w:val="auto"/>
        </w:rPr>
        <w:t>ipdC</w:t>
      </w:r>
      <w:r>
        <w:rPr>
          <w:rFonts w:ascii="Arial" w:cs="Arial" w:eastAsia="Arial" w:hAnsi="Arial"/>
          <w:sz w:val="17"/>
          <w:szCs w:val="17"/>
          <w:color w:val="auto"/>
        </w:rPr>
        <w:t xml:space="preserve"> mutant is less virulent in a murine model, because of a defect in its ability to cross the intestinal barrier (</w:t>
      </w:r>
      <w:hyperlink r:id="rId29">
        <w:r>
          <w:rPr>
            <w:rFonts w:ascii="Arial" w:cs="Arial" w:eastAsia="Arial" w:hAnsi="Arial"/>
            <w:sz w:val="17"/>
            <w:szCs w:val="17"/>
            <w:color w:val="4D4D4D"/>
          </w:rPr>
          <w:t>Cox et al.</w:t>
        </w:r>
      </w:hyperlink>
      <w:r>
        <w:rPr>
          <w:rFonts w:ascii="Arial" w:cs="Arial" w:eastAsia="Arial" w:hAnsi="Arial"/>
          <w:sz w:val="17"/>
          <w:szCs w:val="17"/>
          <w:color w:val="auto"/>
        </w:rPr>
        <w:t xml:space="preserve">). Yet another aspect important in plant production systems is the occurrence of insects. The presence of leafhoppers results in longer persistence of </w:t>
      </w:r>
      <w:r>
        <w:rPr>
          <w:rFonts w:ascii="Arial" w:cs="Arial" w:eastAsia="Arial" w:hAnsi="Arial"/>
          <w:sz w:val="17"/>
          <w:szCs w:val="17"/>
          <w:i w:val="1"/>
          <w:iCs w:val="1"/>
          <w:color w:val="auto"/>
        </w:rPr>
        <w:t>S. enterica</w:t>
      </w:r>
      <w:r>
        <w:rPr>
          <w:rFonts w:ascii="Arial" w:cs="Arial" w:eastAsia="Arial" w:hAnsi="Arial"/>
          <w:sz w:val="17"/>
          <w:szCs w:val="17"/>
          <w:color w:val="auto"/>
        </w:rPr>
        <w:t xml:space="preserve"> in plants. The reason could be the activation of contrary signaling pathways in the plants, whereby leafhopper infestation activated jasmonic acid defense responses while </w:t>
      </w:r>
      <w:r>
        <w:rPr>
          <w:rFonts w:ascii="Arial" w:cs="Arial" w:eastAsia="Arial" w:hAnsi="Arial"/>
          <w:sz w:val="17"/>
          <w:szCs w:val="17"/>
          <w:i w:val="1"/>
          <w:iCs w:val="1"/>
          <w:color w:val="auto"/>
        </w:rPr>
        <w:t>S.</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enterica </w:t>
      </w:r>
      <w:r>
        <w:rPr>
          <w:rFonts w:ascii="Arial" w:cs="Arial" w:eastAsia="Arial" w:hAnsi="Arial"/>
          <w:sz w:val="17"/>
          <w:szCs w:val="17"/>
          <w:color w:val="auto"/>
        </w:rPr>
        <w:t>colonization triggered salicylic acid responses. Such a</w:t>
      </w:r>
      <w:r>
        <w:rPr>
          <w:rFonts w:ascii="Arial" w:cs="Arial" w:eastAsia="Arial" w:hAnsi="Arial"/>
          <w:sz w:val="17"/>
          <w:szCs w:val="17"/>
          <w:i w:val="1"/>
          <w:iCs w:val="1"/>
          <w:color w:val="auto"/>
        </w:rPr>
        <w:t xml:space="preserve"> </w:t>
      </w:r>
      <w:r>
        <w:rPr>
          <w:rFonts w:ascii="Arial" w:cs="Arial" w:eastAsia="Arial" w:hAnsi="Arial"/>
          <w:sz w:val="17"/>
          <w:szCs w:val="17"/>
          <w:color w:val="auto"/>
        </w:rPr>
        <w:t>situation hinders the defense ability of the plant (</w:t>
      </w:r>
      <w:hyperlink r:id="rId30">
        <w:r>
          <w:rPr>
            <w:rFonts w:ascii="Arial" w:cs="Arial" w:eastAsia="Arial" w:hAnsi="Arial"/>
            <w:sz w:val="17"/>
            <w:szCs w:val="17"/>
            <w:color w:val="4D4D4D"/>
          </w:rPr>
          <w:t>Cowles et al.</w:t>
        </w:r>
      </w:hyperlink>
      <w:r>
        <w:rPr>
          <w:rFonts w:ascii="Arial" w:cs="Arial" w:eastAsia="Arial" w:hAnsi="Arial"/>
          <w:sz w:val="17"/>
          <w:szCs w:val="17"/>
          <w:color w:val="auto"/>
        </w:rPr>
        <w:t>).</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2901315</wp:posOffset>
                </wp:positionV>
                <wp:extent cx="642048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20485" cy="4763"/>
                        </a:xfrm>
                        <a:prstGeom prst="line">
                          <a:avLst/>
                        </a:prstGeom>
                        <a:solidFill>
                          <a:srgbClr val="FFFFFF"/>
                        </a:solidFill>
                        <a:ln w="3200">
                          <a:solidFill>
                            <a:srgbClr val="4D4D4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28.45pt" to="505.4pt,228.45pt" o:allowincell="f" strokecolor="#4D4D4D" strokeweight="0.252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313" w:lineRule="exact"/>
        <w:rPr>
          <w:rFonts w:ascii="Arial" w:cs="Arial" w:eastAsia="Arial" w:hAnsi="Arial"/>
          <w:sz w:val="17"/>
          <w:szCs w:val="17"/>
          <w:color w:val="auto"/>
        </w:rPr>
      </w:pPr>
    </w:p>
    <w:p>
      <w:pPr>
        <w:jc w:val="both"/>
        <w:spacing w:after="0" w:line="263" w:lineRule="auto"/>
        <w:rPr>
          <w:rFonts w:ascii="Arial" w:cs="Arial" w:eastAsia="Arial" w:hAnsi="Arial"/>
          <w:sz w:val="18"/>
          <w:szCs w:val="18"/>
          <w:color w:val="auto"/>
        </w:rPr>
      </w:pPr>
      <w:r>
        <w:rPr>
          <w:rFonts w:ascii="Arial" w:cs="Arial" w:eastAsia="Arial" w:hAnsi="Arial"/>
          <w:sz w:val="18"/>
          <w:szCs w:val="18"/>
          <w:color w:val="auto"/>
        </w:rPr>
        <w:t xml:space="preserve">In addition to bacteria, also pathogenic fungi inhabit plant production systems. Species from the </w:t>
      </w:r>
      <w:r>
        <w:rPr>
          <w:rFonts w:ascii="Arial" w:cs="Arial" w:eastAsia="Arial" w:hAnsi="Arial"/>
          <w:sz w:val="18"/>
          <w:szCs w:val="18"/>
          <w:i w:val="1"/>
          <w:iCs w:val="1"/>
          <w:color w:val="auto"/>
        </w:rPr>
        <w:t>Fusarium solani</w:t>
      </w:r>
      <w:r>
        <w:rPr>
          <w:rFonts w:ascii="Arial" w:cs="Arial" w:eastAsia="Arial" w:hAnsi="Arial"/>
          <w:sz w:val="18"/>
          <w:szCs w:val="18"/>
          <w:color w:val="auto"/>
        </w:rPr>
        <w:t xml:space="preserve"> complex are frequently isolated from soils. They are one of the major opportunistic human pathogenic filamentous fungi, responsible, for example, for mycotic keratitis. Unfortunately, first-generation treatments, like triazoles, fluconazole, or itraconazole, are already ineﬀective. However, despite the intensive use of azoles, fusaria have not developed resistance against imidazole, leaving a treatment opportunity (</w:t>
      </w:r>
      <w:hyperlink r:id="rId31">
        <w:r>
          <w:rPr>
            <w:rFonts w:ascii="Arial" w:cs="Arial" w:eastAsia="Arial" w:hAnsi="Arial"/>
            <w:sz w:val="18"/>
            <w:szCs w:val="18"/>
            <w:color w:val="4D4D4D"/>
          </w:rPr>
          <w:t>Homa et al.</w:t>
        </w:r>
      </w:hyperlink>
      <w:r>
        <w:rPr>
          <w:rFonts w:ascii="Arial" w:cs="Arial" w:eastAsia="Arial" w:hAnsi="Arial"/>
          <w:sz w:val="18"/>
          <w:szCs w:val="18"/>
          <w:color w:val="auto"/>
        </w:rPr>
        <w:t>). Global warming represents another challenge for the quality and safety of produce. Long-term analysis of moderate surface warming revealed a reduction of beneficial bacteria and an increased presence of potential pathogenic bacteria in the phyllosphere of plants. Such changes bear the risk for transmission of both plant and human pathogens in plant production systems (</w:t>
      </w:r>
      <w:hyperlink r:id="rId32">
        <w:r>
          <w:rPr>
            <w:rFonts w:ascii="Arial" w:cs="Arial" w:eastAsia="Arial" w:hAnsi="Arial"/>
            <w:sz w:val="18"/>
            <w:szCs w:val="18"/>
            <w:color w:val="4D4D4D"/>
          </w:rPr>
          <w:t>Aydogan et al.</w:t>
        </w:r>
      </w:hyperlink>
      <w:r>
        <w:rPr>
          <w:rFonts w:ascii="Arial" w:cs="Arial" w:eastAsia="Arial" w:hAnsi="Arial"/>
          <w:sz w:val="18"/>
          <w:szCs w:val="18"/>
          <w:color w:val="auto"/>
        </w:rPr>
        <w:t>).</w:t>
      </w:r>
    </w:p>
    <w:p>
      <w:pPr>
        <w:spacing w:after="0" w:line="37" w:lineRule="exact"/>
        <w:rPr>
          <w:sz w:val="20"/>
          <w:szCs w:val="20"/>
          <w:color w:val="auto"/>
        </w:rPr>
      </w:pPr>
    </w:p>
    <w:p>
      <w:pPr>
        <w:jc w:val="both"/>
        <w:ind w:firstLine="229"/>
        <w:spacing w:after="0" w:line="256" w:lineRule="auto"/>
        <w:rPr>
          <w:sz w:val="20"/>
          <w:szCs w:val="20"/>
          <w:color w:val="auto"/>
        </w:rPr>
      </w:pPr>
      <w:r>
        <w:rPr>
          <w:rFonts w:ascii="Arial" w:cs="Arial" w:eastAsia="Arial" w:hAnsi="Arial"/>
          <w:sz w:val="18"/>
          <w:szCs w:val="18"/>
          <w:color w:val="auto"/>
        </w:rPr>
        <w:t>It is clear that interactions between human pathogens and plants are still not fully understood. Therefore, a collective eﬀort is needed in order to develop new approaches and strategies in plant and consumer protection.</w:t>
      </w:r>
    </w:p>
    <w:p>
      <w:pPr>
        <w:spacing w:after="0" w:line="33" w:lineRule="exact"/>
        <w:rPr>
          <w:sz w:val="20"/>
          <w:szCs w:val="20"/>
          <w:color w:val="auto"/>
        </w:rPr>
      </w:pPr>
    </w:p>
    <w:p>
      <w:pPr>
        <w:jc w:val="both"/>
        <w:ind w:firstLine="229"/>
        <w:spacing w:after="0" w:line="238" w:lineRule="auto"/>
        <w:rPr>
          <w:rFonts w:ascii="Arial" w:cs="Arial" w:eastAsia="Arial" w:hAnsi="Arial"/>
          <w:sz w:val="19"/>
          <w:szCs w:val="19"/>
          <w:color w:val="auto"/>
        </w:rPr>
      </w:pPr>
      <w:r>
        <w:rPr>
          <w:rFonts w:ascii="Arial" w:cs="Arial" w:eastAsia="Arial" w:hAnsi="Arial"/>
          <w:sz w:val="19"/>
          <w:szCs w:val="19"/>
          <w:color w:val="auto"/>
        </w:rPr>
        <w:t xml:space="preserve">This Research Topic aligns closely with the networking partnership of the European COST Action 16110 “Control of Human Pathogenic Micro-organisms in Plant Production Systems” </w:t>
      </w:r>
      <w:hyperlink r:id="rId33">
        <w:r>
          <w:rPr>
            <w:rFonts w:ascii="Arial" w:cs="Arial" w:eastAsia="Arial" w:hAnsi="Arial"/>
            <w:sz w:val="19"/>
            <w:szCs w:val="19"/>
            <w:color w:val="auto"/>
          </w:rPr>
          <w:t>(www.huplantcontrol.igzev.de)</w:t>
        </w:r>
      </w:hyperlink>
      <w:r>
        <w:rPr>
          <w:rFonts w:ascii="Arial" w:cs="Arial" w:eastAsia="Arial" w:hAnsi="Arial"/>
          <w:sz w:val="19"/>
          <w:szCs w:val="19"/>
          <w:color w:val="auto"/>
        </w:rPr>
        <w:t>.</w:t>
      </w:r>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AUTHOR CONTRIBUTIONS</w:t>
      </w:r>
    </w:p>
    <w:p>
      <w:pPr>
        <w:spacing w:after="0" w:line="238" w:lineRule="exact"/>
        <w:rPr>
          <w:sz w:val="20"/>
          <w:szCs w:val="20"/>
          <w:color w:val="auto"/>
        </w:rPr>
      </w:pPr>
    </w:p>
    <w:p>
      <w:pPr>
        <w:jc w:val="both"/>
        <w:spacing w:after="0" w:line="265" w:lineRule="auto"/>
        <w:rPr>
          <w:sz w:val="20"/>
          <w:szCs w:val="20"/>
          <w:color w:val="auto"/>
        </w:rPr>
      </w:pPr>
      <w:r>
        <w:rPr>
          <w:rFonts w:ascii="Arial" w:cs="Arial" w:eastAsia="Arial" w:hAnsi="Arial"/>
          <w:sz w:val="17"/>
          <w:szCs w:val="17"/>
          <w:color w:val="auto"/>
        </w:rPr>
        <w:t>All authors listed have made a substantial, direct and intellectual contribution to the work, and approved it for publication.</w:t>
      </w:r>
    </w:p>
    <w:p>
      <w:pPr>
        <w:spacing w:after="0" w:line="214" w:lineRule="exact"/>
        <w:rPr>
          <w:sz w:val="20"/>
          <w:szCs w:val="20"/>
          <w:color w:val="auto"/>
        </w:rPr>
      </w:pPr>
    </w:p>
    <w:p>
      <w:pPr>
        <w:jc w:val="both"/>
        <w:spacing w:after="0" w:line="243" w:lineRule="auto"/>
        <w:rPr>
          <w:sz w:val="20"/>
          <w:szCs w:val="20"/>
          <w:color w:val="auto"/>
        </w:rPr>
      </w:pPr>
      <w:r>
        <w:rPr>
          <w:rFonts w:ascii="Arial" w:cs="Arial" w:eastAsia="Arial" w:hAnsi="Arial"/>
          <w:sz w:val="15"/>
          <w:szCs w:val="15"/>
          <w:b w:val="1"/>
          <w:bCs w:val="1"/>
          <w:color w:val="auto"/>
        </w:rPr>
        <w:t xml:space="preserve">Conflict of Interest: </w:t>
      </w:r>
      <w:r>
        <w:rPr>
          <w:rFonts w:ascii="Arial" w:cs="Arial" w:eastAsia="Arial" w:hAnsi="Arial"/>
          <w:sz w:val="15"/>
          <w:szCs w:val="15"/>
          <w:color w:val="auto"/>
        </w:rPr>
        <w:t>The authors declare that the research was conducted in the</w:t>
      </w:r>
      <w:r>
        <w:rPr>
          <w:rFonts w:ascii="Arial" w:cs="Arial" w:eastAsia="Arial" w:hAnsi="Arial"/>
          <w:sz w:val="15"/>
          <w:szCs w:val="15"/>
          <w:b w:val="1"/>
          <w:bCs w:val="1"/>
          <w:color w:val="auto"/>
        </w:rPr>
        <w:t xml:space="preserve"> </w:t>
      </w:r>
      <w:r>
        <w:rPr>
          <w:rFonts w:ascii="Arial" w:cs="Arial" w:eastAsia="Arial" w:hAnsi="Arial"/>
          <w:sz w:val="15"/>
          <w:szCs w:val="15"/>
          <w:color w:val="auto"/>
        </w:rPr>
        <w:t>absence of any commercial or financial relationships that could be construed as a potential conflict of interest.</w:t>
      </w:r>
    </w:p>
    <w:p>
      <w:pPr>
        <w:spacing w:after="0" w:line="243" w:lineRule="exact"/>
        <w:rPr>
          <w:sz w:val="20"/>
          <w:szCs w:val="20"/>
          <w:color w:val="auto"/>
        </w:rPr>
      </w:pPr>
    </w:p>
    <w:p>
      <w:pPr>
        <w:jc w:val="both"/>
        <w:spacing w:after="0" w:line="278" w:lineRule="auto"/>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Copyright © 2020 Schikora, Jackson, Van Overbeek and Holden. This is an open-access article distributed under the terms of the </w:t>
      </w:r>
      <w:hyperlink r:id="rId34">
        <w:r>
          <w:rPr>
            <w:rFonts w:ascii="Arial" w:cs="Arial" w:eastAsia="Arial" w:hAnsi="Arial"/>
            <w:sz w:val="14"/>
            <w:szCs w:val="14"/>
            <w:i w:val="1"/>
            <w:iCs w:val="1"/>
            <w:color w:val="auto"/>
          </w:rPr>
          <w:t>Creative Commons Attribution</w:t>
        </w:r>
      </w:hyperlink>
      <w:r>
        <w:rPr>
          <w:rFonts w:ascii="Arial" w:cs="Arial" w:eastAsia="Arial" w:hAnsi="Arial"/>
          <w:sz w:val="14"/>
          <w:szCs w:val="14"/>
          <w:i w:val="1"/>
          <w:iCs w:val="1"/>
          <w:color w:val="auto"/>
        </w:rPr>
        <w:t xml:space="preserve"> </w:t>
      </w:r>
      <w:hyperlink r:id="rId34">
        <w:r>
          <w:rPr>
            <w:rFonts w:ascii="Arial" w:cs="Arial" w:eastAsia="Arial" w:hAnsi="Arial"/>
            <w:sz w:val="14"/>
            <w:szCs w:val="14"/>
            <w:i w:val="1"/>
            <w:iCs w:val="1"/>
            <w:color w:val="auto"/>
          </w:rPr>
          <w:t>License (CC BY)</w:t>
        </w:r>
      </w:hyperlink>
      <w:r>
        <w:rPr>
          <w:rFonts w:ascii="Arial" w:cs="Arial" w:eastAsia="Arial" w:hAnsi="Arial"/>
          <w:sz w:val="14"/>
          <w:szCs w:val="14"/>
          <w:i w:val="1"/>
          <w:iCs w:val="1"/>
          <w:color w:val="auto"/>
        </w:rPr>
        <w:t>.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w:t>
      </w:r>
    </w:p>
    <w:p>
      <w:pPr>
        <w:spacing w:after="0" w:line="200" w:lineRule="exact"/>
        <w:rPr>
          <w:sz w:val="20"/>
          <w:szCs w:val="20"/>
          <w:color w:val="auto"/>
        </w:rPr>
      </w:pPr>
    </w:p>
    <w:p>
      <w:pPr>
        <w:sectPr>
          <w:pgSz w:w="11900" w:h="15590" w:orient="portrait"/>
          <w:cols w:equalWidth="0" w:num="2">
            <w:col w:w="4900" w:space="300"/>
            <w:col w:w="4900"/>
          </w:cols>
          <w:pgMar w:left="900" w:top="565" w:right="905"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tabs>
          <w:tab w:leader="none" w:pos="5000" w:val="left"/>
          <w:tab w:leader="none" w:pos="7940" w:val="left"/>
        </w:tabs>
        <w:rPr>
          <w:rFonts w:ascii="Arial" w:cs="Arial" w:eastAsia="Arial" w:hAnsi="Arial"/>
          <w:sz w:val="13"/>
          <w:szCs w:val="13"/>
          <w:color w:val="4D4D4D"/>
        </w:rPr>
      </w:pPr>
      <w:hyperlink r:id="rId23">
        <w:r>
          <w:rPr>
            <w:rFonts w:ascii="Arial" w:cs="Arial" w:eastAsia="Arial" w:hAnsi="Arial"/>
            <w:sz w:val="14"/>
            <w:szCs w:val="14"/>
            <w:color w:val="4D4D4D"/>
          </w:rPr>
          <w:t xml:space="preserve">Frontiers in Microbiology </w:t>
        </w:r>
      </w:hyperlink>
      <w:r>
        <w:rPr>
          <w:rFonts w:ascii="Arial" w:cs="Arial" w:eastAsia="Arial" w:hAnsi="Arial"/>
          <w:sz w:val="14"/>
          <w:szCs w:val="14"/>
          <w:color w:val="4D4D4D"/>
        </w:rPr>
        <w:t xml:space="preserve">| </w:t>
      </w:r>
      <w:hyperlink r:id="rId24">
        <w:r>
          <w:rPr>
            <w:rFonts w:ascii="Arial" w:cs="Arial" w:eastAsia="Arial" w:hAnsi="Arial"/>
            <w:sz w:val="14"/>
            <w:szCs w:val="14"/>
            <w:color w:val="4D4D4D"/>
          </w:rPr>
          <w:t>www.frontiersin.org</w:t>
        </w:r>
      </w:hyperlink>
      <w:r>
        <w:rPr>
          <w:rFonts w:ascii="Arial" w:cs="Arial" w:eastAsia="Arial" w:hAnsi="Arial"/>
          <w:sz w:val="14"/>
          <w:szCs w:val="14"/>
          <w:color w:val="4D4D4D"/>
        </w:rPr>
        <w:tab/>
      </w:r>
      <w:r>
        <w:rPr>
          <w:rFonts w:ascii="Arial" w:cs="Arial" w:eastAsia="Arial" w:hAnsi="Arial"/>
          <w:sz w:val="14"/>
          <w:szCs w:val="14"/>
          <w:b w:val="1"/>
          <w:bCs w:val="1"/>
          <w:color w:val="4D4D4D"/>
        </w:rPr>
        <w:t>2</w:t>
      </w:r>
      <w:r>
        <w:rPr>
          <w:rFonts w:ascii="Arial" w:cs="Arial" w:eastAsia="Arial" w:hAnsi="Arial"/>
          <w:sz w:val="14"/>
          <w:szCs w:val="14"/>
          <w:color w:val="4D4D4D"/>
        </w:rPr>
        <w:tab/>
      </w:r>
      <w:hyperlink r:id="rId25">
        <w:r>
          <w:rPr>
            <w:rFonts w:ascii="Arial" w:cs="Arial" w:eastAsia="Arial" w:hAnsi="Arial"/>
            <w:sz w:val="13"/>
            <w:szCs w:val="13"/>
            <w:color w:val="4D4D4D"/>
          </w:rPr>
          <w:t>July 2020 | Volume 11 | Article 1439</w:t>
        </w:r>
      </w:hyperlink>
    </w:p>
    <w:sectPr>
      <w:pgSz w:w="11900" w:h="15590" w:orient="portrait"/>
      <w:cols w:equalWidth="0" w:num="1">
        <w:col w:w="10100"/>
      </w:cols>
      <w:pgMar w:left="900" w:top="565" w:right="905" w:bottom="4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png"/><Relationship Id="rId17" Type="http://schemas.openxmlformats.org/officeDocument/2006/relationships/image" Target="media/image3.png"/><Relationship Id="rId9" Type="http://schemas.openxmlformats.org/officeDocument/2006/relationships/hyperlink" Target="https://www.frontiersin.org/journals/microbiology#editorial-board" TargetMode="External"/><Relationship Id="rId10" Type="http://schemas.openxmlformats.org/officeDocument/2006/relationships/hyperlink" Target="https://doi.org/10.3389/fmicb.2020.01439" TargetMode="External"/><Relationship Id="rId12" Type="http://schemas.openxmlformats.org/officeDocument/2006/relationships/hyperlink" Target="https://www.frontiersin.org/articles/10.3389/fmicb.2020.01439/full" TargetMode="External"/><Relationship Id="rId13" Type="http://schemas.openxmlformats.org/officeDocument/2006/relationships/hyperlink" Target="http://loop.frontiersin.org/people/79621/overview" TargetMode="External"/><Relationship Id="rId14" Type="http://schemas.openxmlformats.org/officeDocument/2006/relationships/hyperlink" Target="http://loop.frontiersin.org/people/29481/overview" TargetMode="External"/><Relationship Id="rId15" Type="http://schemas.openxmlformats.org/officeDocument/2006/relationships/hyperlink" Target="http://loop.frontiersin.org/people/24660/overview" TargetMode="External"/><Relationship Id="rId16" Type="http://schemas.openxmlformats.org/officeDocument/2006/relationships/hyperlink" Target="http://loop.frontiersin.org/people/65641/overview" TargetMode="External"/><Relationship Id="rId18" Type="http://schemas.openxmlformats.org/officeDocument/2006/relationships/hyperlink" Target="mailto:adam.schikora@julius-kuehn.de" TargetMode="External"/><Relationship Id="rId19" Type="http://schemas.openxmlformats.org/officeDocument/2006/relationships/hyperlink" Target="https://www.frontiersin.org/research-topics/6162/plants-as-alternative-hosts-for-human-and-animal-pathogens---second-edition" TargetMode="External"/><Relationship Id="rId20" Type="http://schemas.openxmlformats.org/officeDocument/2006/relationships/hyperlink" Target="https://doi.org/10.3389/fmicb.2018.01965" TargetMode="External"/><Relationship Id="rId21" Type="http://schemas.openxmlformats.org/officeDocument/2006/relationships/hyperlink" Target="https://doi.org/10.3389/fmicb.2019.00967" TargetMode="External"/><Relationship Id="rId22" Type="http://schemas.openxmlformats.org/officeDocument/2006/relationships/hyperlink" Target="https://doi.org/10.3389/fmicb.2017.02436" TargetMode="External"/><Relationship Id="rId23" Type="http://schemas.openxmlformats.org/officeDocument/2006/relationships/hyperlink" Target="https://www.frontiersin.org/journals/microbiology" TargetMode="External"/><Relationship Id="rId24" Type="http://schemas.openxmlformats.org/officeDocument/2006/relationships/hyperlink" Target="https://www.frontiersin.org" TargetMode="External"/><Relationship Id="rId25" Type="http://schemas.openxmlformats.org/officeDocument/2006/relationships/hyperlink" Target="https://www.frontiersin.org/journals/microbiology#articles" TargetMode="External"/><Relationship Id="rId26" Type="http://schemas.openxmlformats.org/officeDocument/2006/relationships/hyperlink" Target="https://doi.org/10.3389/fmicb.2019.00639" TargetMode="External"/><Relationship Id="rId27" Type="http://schemas.openxmlformats.org/officeDocument/2006/relationships/hyperlink" Target="https://doi.org/10.3389/fmicb.2018.00695" TargetMode="External"/><Relationship Id="rId28" Type="http://schemas.openxmlformats.org/officeDocument/2006/relationships/hyperlink" Target="https://doi.org/10.3389/fmicb.2018.00877" TargetMode="External"/><Relationship Id="rId29" Type="http://schemas.openxmlformats.org/officeDocument/2006/relationships/hyperlink" Target="https://doi.org/10.3389/fmicb.2017.02668" TargetMode="External"/><Relationship Id="rId30" Type="http://schemas.openxmlformats.org/officeDocument/2006/relationships/hyperlink" Target="https://doi.org/10.3389/fmicb.2018.01987" TargetMode="External"/><Relationship Id="rId31" Type="http://schemas.openxmlformats.org/officeDocument/2006/relationships/hyperlink" Target="https://doi.org/10.3389/fmicb.2018.01052" TargetMode="External"/><Relationship Id="rId32" Type="http://schemas.openxmlformats.org/officeDocument/2006/relationships/hyperlink" Target="https://doi.org/10.3389/fmicb.2018.00144" TargetMode="External"/><Relationship Id="rId33" Type="http://schemas.openxmlformats.org/officeDocument/2006/relationships/hyperlink" Target="www.huplantcontrol.igzev.de" TargetMode="External"/><Relationship Id="rId34"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2020-09-15T04:11:50Z</dcterms:created>
  <dcterms:modified xsi:type="dcterms:W3CDTF">2020-09-15T04:11:50Z</dcterms:modified>
</cp:coreProperties>
</file>