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8600"/>
        <w:spacing w:after="0"/>
        <w:rPr>
          <w:rFonts w:ascii="Arial" w:cs="Arial" w:eastAsia="Arial" w:hAnsi="Arial"/>
          <w:sz w:val="14"/>
          <w:szCs w:val="14"/>
          <w:color w:val="4C4C4C"/>
        </w:rPr>
      </w:pPr>
      <w:r>
        <w:rPr>
          <w:rFonts w:ascii="Arial" w:cs="Arial" w:eastAsia="Arial" w:hAnsi="Arial"/>
          <w:sz w:val="14"/>
          <w:szCs w:val="14"/>
          <w:color w:val="4C4C4C"/>
        </w:rPr>
        <w:drawing>
          <wp:anchor simplePos="0" relativeHeight="251657728" behindDoc="1" locked="0" layoutInCell="0" allowOverlap="1">
            <wp:simplePos x="0" y="0"/>
            <wp:positionH relativeFrom="page">
              <wp:posOffset>563245</wp:posOffset>
            </wp:positionH>
            <wp:positionV relativeFrom="page">
              <wp:posOffset>323850</wp:posOffset>
            </wp:positionV>
            <wp:extent cx="1472565" cy="4191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472565" cy="419100"/>
                    </a:xfrm>
                    <a:prstGeom prst="rect">
                      <a:avLst/>
                    </a:prstGeom>
                    <a:noFill/>
                  </pic:spPr>
                </pic:pic>
              </a:graphicData>
            </a:graphic>
          </wp:anchor>
        </w:drawing>
      </w:r>
      <w:hyperlink r:id="rId9">
        <w:r>
          <w:rPr>
            <w:rFonts w:ascii="Arial" w:cs="Arial" w:eastAsia="Arial" w:hAnsi="Arial"/>
            <w:sz w:val="14"/>
            <w:szCs w:val="14"/>
            <w:color w:val="4C4C4C"/>
          </w:rPr>
          <w:t>ORIGINAL RESEARCH</w:t>
        </w:r>
      </w:hyperlink>
    </w:p>
    <w:p>
      <w:pPr>
        <w:spacing w:after="0" w:line="1" w:lineRule="exact"/>
        <w:rPr>
          <w:sz w:val="24"/>
          <w:szCs w:val="24"/>
          <w:color w:val="auto"/>
        </w:rPr>
      </w:pPr>
    </w:p>
    <w:p>
      <w:pPr>
        <w:ind w:left="8660"/>
        <w:spacing w:after="0"/>
        <w:rPr>
          <w:rFonts w:ascii="Arial" w:cs="Arial" w:eastAsia="Arial" w:hAnsi="Arial"/>
          <w:sz w:val="13"/>
          <w:szCs w:val="13"/>
          <w:color w:val="4C4C4C"/>
        </w:rPr>
      </w:pPr>
      <w:hyperlink r:id="rId9">
        <w:r>
          <w:rPr>
            <w:rFonts w:ascii="Arial" w:cs="Arial" w:eastAsia="Arial" w:hAnsi="Arial"/>
            <w:sz w:val="13"/>
            <w:szCs w:val="13"/>
            <w:color w:val="4C4C4C"/>
          </w:rPr>
          <w:t>published: 10 July 2020</w:t>
        </w:r>
      </w:hyperlink>
    </w:p>
    <w:p>
      <w:pPr>
        <w:spacing w:after="0" w:line="9" w:lineRule="exact"/>
        <w:rPr>
          <w:sz w:val="24"/>
          <w:szCs w:val="24"/>
          <w:color w:val="auto"/>
        </w:rPr>
      </w:pPr>
    </w:p>
    <w:p>
      <w:pPr>
        <w:jc w:val="right"/>
        <w:spacing w:after="0"/>
        <w:rPr>
          <w:rFonts w:ascii="Arial" w:cs="Arial" w:eastAsia="Arial" w:hAnsi="Arial"/>
          <w:sz w:val="14"/>
          <w:szCs w:val="14"/>
          <w:color w:val="4C4C4C"/>
        </w:rPr>
      </w:pPr>
      <w:hyperlink r:id="rId10">
        <w:r>
          <w:rPr>
            <w:rFonts w:ascii="Arial" w:cs="Arial" w:eastAsia="Arial" w:hAnsi="Arial"/>
            <w:sz w:val="14"/>
            <w:szCs w:val="14"/>
            <w:color w:val="4C4C4C"/>
          </w:rPr>
          <w:t>doi: 10.3389/fpls.2020.01062</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79375</wp:posOffset>
                </wp:positionV>
                <wp:extent cx="6407785"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80">
                          <a:solidFill>
                            <a:srgbClr val="4C4C4C"/>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6.25pt" to="504.9pt,6.25pt" o:allowincell="f" strokecolor="#4C4C4C" strokeweight="0.2268pt"/>
            </w:pict>
          </mc:Fallback>
        </mc:AlternateContent>
        <w:drawing>
          <wp:anchor simplePos="0" relativeHeight="251657728" behindDoc="1" locked="0" layoutInCell="0" allowOverlap="1">
            <wp:simplePos x="0" y="0"/>
            <wp:positionH relativeFrom="column">
              <wp:posOffset>6049645</wp:posOffset>
            </wp:positionH>
            <wp:positionV relativeFrom="paragraph">
              <wp:posOffset>180340</wp:posOffset>
            </wp:positionV>
            <wp:extent cx="358775" cy="3587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358775" cy="3587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3" w:lineRule="exact"/>
        <w:rPr>
          <w:sz w:val="24"/>
          <w:szCs w:val="24"/>
          <w:color w:val="auto"/>
        </w:rPr>
      </w:pPr>
    </w:p>
    <w:p>
      <w:pPr>
        <w:ind w:left="2620" w:right="200"/>
        <w:spacing w:after="0" w:line="232" w:lineRule="auto"/>
        <w:rPr>
          <w:rFonts w:ascii="Arial" w:cs="Arial" w:eastAsia="Arial" w:hAnsi="Arial"/>
          <w:sz w:val="42"/>
          <w:szCs w:val="42"/>
          <w:color w:val="auto"/>
        </w:rPr>
      </w:pPr>
      <w:hyperlink r:id="rId12">
        <w:r>
          <w:rPr>
            <w:rFonts w:ascii="Arial" w:cs="Arial" w:eastAsia="Arial" w:hAnsi="Arial"/>
            <w:sz w:val="42"/>
            <w:szCs w:val="42"/>
            <w:color w:val="auto"/>
          </w:rPr>
          <w:t>The Chloroplast Land Plant</w:t>
        </w:r>
      </w:hyperlink>
      <w:r>
        <w:rPr>
          <w:rFonts w:ascii="Arial" w:cs="Arial" w:eastAsia="Arial" w:hAnsi="Arial"/>
          <w:sz w:val="42"/>
          <w:szCs w:val="42"/>
          <w:color w:val="auto"/>
        </w:rPr>
        <w:t xml:space="preserve"> </w:t>
      </w:r>
      <w:hyperlink r:id="rId12">
        <w:r>
          <w:rPr>
            <w:rFonts w:ascii="Arial" w:cs="Arial" w:eastAsia="Arial" w:hAnsi="Arial"/>
            <w:sz w:val="42"/>
            <w:szCs w:val="42"/>
            <w:color w:val="auto"/>
          </w:rPr>
          <w:t>Phylogeny: Analyses Employing</w:t>
        </w:r>
      </w:hyperlink>
      <w:r>
        <w:rPr>
          <w:rFonts w:ascii="Arial" w:cs="Arial" w:eastAsia="Arial" w:hAnsi="Arial"/>
          <w:sz w:val="42"/>
          <w:szCs w:val="42"/>
          <w:color w:val="auto"/>
        </w:rPr>
        <w:t xml:space="preserve"> </w:t>
      </w:r>
      <w:hyperlink r:id="rId12">
        <w:r>
          <w:rPr>
            <w:rFonts w:ascii="Arial" w:cs="Arial" w:eastAsia="Arial" w:hAnsi="Arial"/>
            <w:sz w:val="42"/>
            <w:szCs w:val="42"/>
            <w:color w:val="auto"/>
          </w:rPr>
          <w:t>Better-Fitting Tree- and Site-</w:t>
        </w:r>
      </w:hyperlink>
      <w:hyperlink r:id="rId12">
        <w:r>
          <w:rPr>
            <w:rFonts w:ascii="Arial" w:cs="Arial" w:eastAsia="Arial" w:hAnsi="Arial"/>
            <w:sz w:val="42"/>
            <w:szCs w:val="42"/>
            <w:color w:val="auto"/>
          </w:rPr>
          <w:t>Heterogeneous Composition Models</w:t>
        </w:r>
      </w:hyperlink>
    </w:p>
    <w:p>
      <w:pPr>
        <w:spacing w:after="0" w:line="230" w:lineRule="exact"/>
        <w:rPr>
          <w:rFonts w:ascii="Arial" w:cs="Arial" w:eastAsia="Arial" w:hAnsi="Arial"/>
          <w:sz w:val="42"/>
          <w:szCs w:val="42"/>
          <w:color w:val="auto"/>
        </w:rPr>
      </w:pPr>
    </w:p>
    <w:p>
      <w:pPr>
        <w:ind w:left="2620"/>
        <w:spacing w:after="0"/>
        <w:rPr>
          <w:rFonts w:ascii="Arial" w:cs="Arial" w:eastAsia="Arial" w:hAnsi="Arial"/>
          <w:sz w:val="18"/>
          <w:szCs w:val="18"/>
          <w:color w:val="auto"/>
        </w:rPr>
      </w:pPr>
      <w:hyperlink r:id="rId13">
        <w:r>
          <w:rPr>
            <w:rFonts w:ascii="Arial" w:cs="Arial" w:eastAsia="Arial" w:hAnsi="Arial"/>
            <w:sz w:val="18"/>
            <w:szCs w:val="18"/>
            <w:color w:val="auto"/>
          </w:rPr>
          <w:t xml:space="preserve">Filipe Sousa </w:t>
        </w:r>
      </w:hyperlink>
      <w:r>
        <w:rPr>
          <w:rFonts w:ascii="Arial" w:cs="Arial" w:eastAsia="Arial" w:hAnsi="Arial"/>
          <w:sz w:val="23"/>
          <w:szCs w:val="23"/>
          <w:color w:val="auto"/>
          <w:vertAlign w:val="superscript"/>
        </w:rPr>
        <w:t>1</w:t>
      </w:r>
      <w:r>
        <w:rPr>
          <w:rFonts w:ascii="Arial" w:cs="Arial" w:eastAsia="Arial" w:hAnsi="Arial"/>
          <w:sz w:val="18"/>
          <w:szCs w:val="18"/>
          <w:color w:val="auto"/>
        </w:rPr>
        <w:t xml:space="preserve">, </w:t>
      </w:r>
      <w:hyperlink r:id="rId14">
        <w:r>
          <w:rPr>
            <w:rFonts w:ascii="Arial" w:cs="Arial" w:eastAsia="Arial" w:hAnsi="Arial"/>
            <w:sz w:val="18"/>
            <w:szCs w:val="18"/>
            <w:color w:val="auto"/>
          </w:rPr>
          <w:t>Peter Civa</w:t>
        </w:r>
        <w:r>
          <w:rPr>
            <w:rFonts w:ascii="Arial" w:cs="Arial" w:eastAsia="Arial" w:hAnsi="Arial"/>
            <w:sz w:val="18"/>
            <w:szCs w:val="18"/>
            <w:color w:val="auto"/>
          </w:rPr>
          <w:t>´</w:t>
        </w:r>
        <w:r>
          <w:rPr>
            <w:rFonts w:ascii="Arial" w:cs="Arial" w:eastAsia="Arial" w:hAnsi="Arial"/>
            <w:sz w:val="18"/>
            <w:szCs w:val="18"/>
            <w:color w:val="auto"/>
          </w:rPr>
          <w:t>n</w:t>
        </w:r>
        <w:r>
          <w:rPr>
            <w:rFonts w:ascii="Arial" w:cs="Arial" w:eastAsia="Arial" w:hAnsi="Arial"/>
            <w:sz w:val="18"/>
            <w:szCs w:val="18"/>
            <w:color w:val="auto"/>
          </w:rPr>
          <w:t>ˇ</w:t>
        </w:r>
        <w:r>
          <w:rPr>
            <w:rFonts w:ascii="Arial" w:cs="Arial" w:eastAsia="Arial" w:hAnsi="Arial"/>
            <w:sz w:val="18"/>
            <w:szCs w:val="18"/>
            <w:color w:val="auto"/>
          </w:rPr>
          <w:t xml:space="preserve"> </w:t>
        </w:r>
      </w:hyperlink>
      <w:r>
        <w:rPr>
          <w:rFonts w:ascii="Arial" w:cs="Arial" w:eastAsia="Arial" w:hAnsi="Arial"/>
          <w:sz w:val="23"/>
          <w:szCs w:val="23"/>
          <w:color w:val="auto"/>
          <w:vertAlign w:val="superscript"/>
        </w:rPr>
        <w:t>1,2</w:t>
      </w:r>
      <w:r>
        <w:rPr>
          <w:rFonts w:ascii="Arial" w:cs="Arial" w:eastAsia="Arial" w:hAnsi="Arial"/>
          <w:sz w:val="18"/>
          <w:szCs w:val="18"/>
          <w:color w:val="auto"/>
        </w:rPr>
        <w:t xml:space="preserve">, </w:t>
      </w:r>
      <w:hyperlink r:id="rId15">
        <w:r>
          <w:rPr>
            <w:rFonts w:ascii="Arial" w:cs="Arial" w:eastAsia="Arial" w:hAnsi="Arial"/>
            <w:sz w:val="18"/>
            <w:szCs w:val="18"/>
            <w:color w:val="auto"/>
          </w:rPr>
          <w:t xml:space="preserve">Peter G. Foster </w:t>
        </w:r>
      </w:hyperlink>
      <w:r>
        <w:rPr>
          <w:rFonts w:ascii="Arial" w:cs="Arial" w:eastAsia="Arial" w:hAnsi="Arial"/>
          <w:sz w:val="23"/>
          <w:szCs w:val="23"/>
          <w:color w:val="auto"/>
          <w:vertAlign w:val="superscript"/>
        </w:rPr>
        <w:t>3</w:t>
      </w:r>
      <w:r>
        <w:rPr>
          <w:rFonts w:ascii="Arial" w:cs="Arial" w:eastAsia="Arial" w:hAnsi="Arial"/>
          <w:sz w:val="18"/>
          <w:szCs w:val="18"/>
          <w:color w:val="auto"/>
        </w:rPr>
        <w:t xml:space="preserve"> and Cymon J. Cox </w:t>
      </w:r>
      <w:r>
        <w:rPr>
          <w:rFonts w:ascii="Arial" w:cs="Arial" w:eastAsia="Arial" w:hAnsi="Arial"/>
          <w:sz w:val="23"/>
          <w:szCs w:val="23"/>
          <w:color w:val="auto"/>
          <w:vertAlign w:val="superscript"/>
        </w:rPr>
        <w:t>1</w:t>
      </w:r>
      <w:r>
        <w:rPr>
          <w:rFonts w:ascii="Arial" w:cs="Arial" w:eastAsia="Arial" w:hAnsi="Arial"/>
          <w:sz w:val="19"/>
          <w:szCs w:val="19"/>
          <w:color w:val="auto"/>
        </w:rPr>
        <w:t>*</w:t>
      </w:r>
    </w:p>
    <w:p>
      <w:pPr>
        <w:spacing w:after="0" w:line="192" w:lineRule="exact"/>
        <w:rPr>
          <w:rFonts w:ascii="Arial" w:cs="Arial" w:eastAsia="Arial" w:hAnsi="Arial"/>
          <w:sz w:val="18"/>
          <w:szCs w:val="18"/>
          <w:color w:val="auto"/>
        </w:rPr>
      </w:pPr>
    </w:p>
    <w:p>
      <w:pPr>
        <w:ind w:left="2620" w:right="300" w:hanging="5"/>
        <w:spacing w:after="0" w:line="231" w:lineRule="auto"/>
        <w:tabs>
          <w:tab w:leader="none" w:pos="2707" w:val="left"/>
        </w:tabs>
        <w:numPr>
          <w:ilvl w:val="0"/>
          <w:numId w:val="1"/>
        </w:numPr>
        <w:rPr>
          <w:rFonts w:ascii="Arial" w:cs="Arial" w:eastAsia="Arial" w:hAnsi="Arial"/>
          <w:sz w:val="19"/>
          <w:szCs w:val="19"/>
          <w:color w:val="auto"/>
          <w:vertAlign w:val="superscript"/>
        </w:rPr>
      </w:pPr>
      <w:r>
        <w:rPr>
          <w:rFonts w:ascii="Arial" w:cs="Arial" w:eastAsia="Arial" w:hAnsi="Arial"/>
          <w:sz w:val="14"/>
          <w:szCs w:val="14"/>
          <w:color w:val="auto"/>
        </w:rPr>
        <w:t xml:space="preserve">Centro de Cieˆncias do Mar, Universidade do Algarve, Faro, Portugal, </w:t>
      </w:r>
      <w:r>
        <w:rPr>
          <w:rFonts w:ascii="Arial" w:cs="Arial" w:eastAsia="Arial" w:hAnsi="Arial"/>
          <w:sz w:val="18"/>
          <w:szCs w:val="18"/>
          <w:color w:val="auto"/>
          <w:vertAlign w:val="superscript"/>
        </w:rPr>
        <w:t>2</w:t>
      </w:r>
      <w:r>
        <w:rPr>
          <w:rFonts w:ascii="Arial" w:cs="Arial" w:eastAsia="Arial" w:hAnsi="Arial"/>
          <w:sz w:val="14"/>
          <w:szCs w:val="14"/>
          <w:color w:val="auto"/>
        </w:rPr>
        <w:t xml:space="preserve"> INRA, Universite´ Clermont-Auvergne, Clermont-Ferrand, France, </w:t>
      </w:r>
      <w:r>
        <w:rPr>
          <w:rFonts w:ascii="Arial" w:cs="Arial" w:eastAsia="Arial" w:hAnsi="Arial"/>
          <w:sz w:val="18"/>
          <w:szCs w:val="18"/>
          <w:color w:val="auto"/>
          <w:vertAlign w:val="superscript"/>
        </w:rPr>
        <w:t>3</w:t>
      </w:r>
      <w:r>
        <w:rPr>
          <w:rFonts w:ascii="Arial" w:cs="Arial" w:eastAsia="Arial" w:hAnsi="Arial"/>
          <w:sz w:val="14"/>
          <w:szCs w:val="14"/>
          <w:color w:val="auto"/>
        </w:rPr>
        <w:t xml:space="preserve"> Department of Life Sciences, Natural History Museum, London, United Kingdom</w:t>
      </w:r>
    </w:p>
    <w:p>
      <w:pPr>
        <w:sectPr>
          <w:pgSz w:w="11900" w:h="15591" w:orient="portrait"/>
          <w:cols w:equalWidth="0" w:num="1">
            <w:col w:w="10100"/>
          </w:cols>
          <w:pgMar w:left="900" w:top="696" w:right="906" w:bottom="34" w:gutter="0" w:footer="0" w:header="0"/>
        </w:sect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398"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Edited by:</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535940</wp:posOffset>
            </wp:positionH>
            <wp:positionV relativeFrom="paragraph">
              <wp:posOffset>-362585</wp:posOffset>
            </wp:positionV>
            <wp:extent cx="908685" cy="1162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extLst>
                    </a:blip>
                    <a:srcRect/>
                    <a:stretch>
                      <a:fillRect/>
                    </a:stretch>
                  </pic:blipFill>
                  <pic:spPr bwMode="auto">
                    <a:xfrm>
                      <a:off x="0" y="0"/>
                      <a:ext cx="908685" cy="116205"/>
                    </a:xfrm>
                    <a:prstGeom prst="rect">
                      <a:avLst/>
                    </a:prstGeom>
                    <a:noFill/>
                  </pic:spPr>
                </pic:pic>
              </a:graphicData>
            </a:graphic>
          </wp:anchor>
        </w:drawing>
      </w:r>
    </w:p>
    <w:p>
      <w:pPr>
        <w:spacing w:after="0" w:line="21"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Stefan A. Rensing,</w:t>
      </w:r>
    </w:p>
    <w:p>
      <w:pPr>
        <w:spacing w:after="0" w:line="3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University of Marburg, Germany</w:t>
      </w:r>
    </w:p>
    <w:p>
      <w:pPr>
        <w:spacing w:after="0" w:line="118"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Reviewed by:</w:t>
      </w:r>
    </w:p>
    <w:p>
      <w:pPr>
        <w:spacing w:after="0" w:line="40"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Sònia Garcia,</w:t>
      </w:r>
    </w:p>
    <w:p>
      <w:pPr>
        <w:spacing w:after="0" w:line="41"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3"/>
          <w:szCs w:val="13"/>
          <w:color w:val="auto"/>
        </w:rPr>
        <w:t>Botanical Institute of Barcelona, Spain</w:t>
      </w:r>
    </w:p>
    <w:p>
      <w:pPr>
        <w:spacing w:after="0" w:line="4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Domingos Cardoso,</w:t>
      </w:r>
    </w:p>
    <w:p>
      <w:pPr>
        <w:spacing w:after="0" w:line="41"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3"/>
          <w:szCs w:val="13"/>
          <w:color w:val="auto"/>
        </w:rPr>
        <w:t>Universidade Federal da Bahia, Brazil</w:t>
      </w:r>
    </w:p>
    <w:p>
      <w:pPr>
        <w:spacing w:after="0" w:line="4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Mark Puttick,</w:t>
      </w:r>
    </w:p>
    <w:p>
      <w:pPr>
        <w:spacing w:after="0" w:line="3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University of Bath, United Kingdom</w:t>
      </w:r>
    </w:p>
    <w:p>
      <w:pPr>
        <w:spacing w:after="0" w:line="118" w:lineRule="exact"/>
        <w:rPr>
          <w:rFonts w:ascii="Arial" w:cs="Arial" w:eastAsia="Arial" w:hAnsi="Arial"/>
          <w:sz w:val="18"/>
          <w:szCs w:val="18"/>
          <w:color w:val="auto"/>
        </w:rPr>
      </w:pPr>
    </w:p>
    <w:p>
      <w:pPr>
        <w:jc w:val="right"/>
        <w:ind w:left="560"/>
        <w:spacing w:after="0" w:line="331" w:lineRule="auto"/>
        <w:rPr>
          <w:rFonts w:ascii="Arial" w:cs="Arial" w:eastAsia="Arial" w:hAnsi="Arial"/>
          <w:sz w:val="13"/>
          <w:szCs w:val="13"/>
          <w:color w:val="auto"/>
        </w:rPr>
      </w:pPr>
      <w:r>
        <w:rPr>
          <w:rFonts w:ascii="Arial" w:cs="Arial" w:eastAsia="Arial" w:hAnsi="Arial"/>
          <w:sz w:val="13"/>
          <w:szCs w:val="13"/>
          <w:color w:val="auto"/>
        </w:rPr>
        <w:t xml:space="preserve">*Correspondence: Cymon J. Cox </w:t>
      </w:r>
      <w:hyperlink r:id="rId17">
        <w:r>
          <w:rPr>
            <w:rFonts w:ascii="Arial" w:cs="Arial" w:eastAsia="Arial" w:hAnsi="Arial"/>
            <w:sz w:val="13"/>
            <w:szCs w:val="13"/>
            <w:color w:val="auto"/>
          </w:rPr>
          <w:t>cymon.cox@googlemail.com</w:t>
        </w:r>
      </w:hyperlink>
    </w:p>
    <w:p>
      <w:pPr>
        <w:spacing w:after="0" w:line="242" w:lineRule="exact"/>
        <w:rPr>
          <w:rFonts w:ascii="Arial" w:cs="Arial" w:eastAsia="Arial" w:hAnsi="Arial"/>
          <w:sz w:val="18"/>
          <w:szCs w:val="18"/>
          <w:color w:val="auto"/>
        </w:rPr>
      </w:pPr>
    </w:p>
    <w:p>
      <w:pPr>
        <w:jc w:val="right"/>
        <w:ind w:left="220"/>
        <w:spacing w:after="0" w:line="298" w:lineRule="auto"/>
        <w:rPr>
          <w:sz w:val="20"/>
          <w:szCs w:val="20"/>
          <w:color w:val="auto"/>
        </w:rPr>
      </w:pPr>
      <w:r>
        <w:rPr>
          <w:rFonts w:ascii="Arial" w:cs="Arial" w:eastAsia="Arial" w:hAnsi="Arial"/>
          <w:sz w:val="14"/>
          <w:szCs w:val="14"/>
          <w:color w:val="auto"/>
        </w:rPr>
        <w:t>Specialty section: This article was submitted to Plant Systematics and Evolution, a section of the journal Frontiers in Plant Science</w:t>
      </w:r>
    </w:p>
    <w:p>
      <w:pPr>
        <w:spacing w:after="0" w:line="80"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Received: 19 February 2020</w:t>
      </w:r>
    </w:p>
    <w:p>
      <w:pPr>
        <w:spacing w:after="0" w:line="40"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Accepted: 26 June 2020</w:t>
      </w:r>
    </w:p>
    <w:p>
      <w:pPr>
        <w:spacing w:after="0" w:line="3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Published: 10 July 2020</w:t>
      </w:r>
    </w:p>
    <w:p>
      <w:pPr>
        <w:spacing w:after="0" w:line="119"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Citation:</w:t>
      </w:r>
    </w:p>
    <w:p>
      <w:pPr>
        <w:spacing w:after="0" w:line="41" w:lineRule="exact"/>
        <w:rPr>
          <w:rFonts w:ascii="Arial" w:cs="Arial" w:eastAsia="Arial" w:hAnsi="Arial"/>
          <w:sz w:val="18"/>
          <w:szCs w:val="18"/>
          <w:color w:val="auto"/>
        </w:rPr>
      </w:pPr>
    </w:p>
    <w:p>
      <w:pPr>
        <w:jc w:val="right"/>
        <w:ind w:left="40"/>
        <w:spacing w:after="0" w:line="298" w:lineRule="auto"/>
        <w:rPr>
          <w:rFonts w:ascii="Arial" w:cs="Arial" w:eastAsia="Arial" w:hAnsi="Arial"/>
          <w:sz w:val="14"/>
          <w:szCs w:val="14"/>
          <w:color w:val="auto"/>
        </w:rPr>
      </w:pPr>
      <w:r>
        <w:rPr>
          <w:rFonts w:ascii="Arial" w:cs="Arial" w:eastAsia="Arial" w:hAnsi="Arial"/>
          <w:sz w:val="14"/>
          <w:szCs w:val="14"/>
          <w:color w:val="auto"/>
        </w:rPr>
        <w:t xml:space="preserve">Sousa F, Civa´nˇ P, Foster PG and Cox CJ (2020) The Chloroplast Land Plant Phylogeny: Analyses Employing Better-Fitting Tree- and Site-Heterogeneous Composition Models. Front. Plant Sci. 11:1062. </w:t>
      </w:r>
      <w:hyperlink r:id="rId10">
        <w:r>
          <w:rPr>
            <w:rFonts w:ascii="Arial" w:cs="Arial" w:eastAsia="Arial" w:hAnsi="Arial"/>
            <w:sz w:val="14"/>
            <w:szCs w:val="14"/>
            <w:color w:val="auto"/>
          </w:rPr>
          <w:t>doi: 10.3389/fpls.2020.01062</w:t>
        </w:r>
      </w:hyperlink>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71" w:lineRule="exact"/>
        <w:rPr>
          <w:rFonts w:ascii="Arial" w:cs="Arial" w:eastAsia="Arial" w:hAnsi="Arial"/>
          <w:sz w:val="18"/>
          <w:szCs w:val="18"/>
          <w:color w:val="auto"/>
        </w:rPr>
      </w:pPr>
    </w:p>
    <w:p>
      <w:pPr>
        <w:jc w:val="both"/>
        <w:spacing w:after="0" w:line="326" w:lineRule="auto"/>
        <w:rPr>
          <w:sz w:val="20"/>
          <w:szCs w:val="20"/>
          <w:color w:val="auto"/>
        </w:rPr>
      </w:pPr>
      <w:r>
        <w:rPr>
          <w:rFonts w:ascii="Arial" w:cs="Arial" w:eastAsia="Arial" w:hAnsi="Arial"/>
          <w:sz w:val="18"/>
          <w:szCs w:val="18"/>
          <w:color w:val="auto"/>
        </w:rPr>
        <w:t>The colonization of land by descendants of charophyte green algae marked a turning point in Earth history that enabled the development of the diverse terrestrial ecosystems we see today. Early land plants diversified into three gametophyte-dominant lineages, namely the hornworts, liverworts, and mosses, collectively known as bryophytes, and a sporophyte-dominant lineage, the vascular plants, or tracheophytes. In recent decades, the prevailing view of evolutionary relationships among these four lineages has been that the tracheophytes were derived from a bryophyte ancestor. However, recent phylogenetic evidence has suggested that bryophytes are monophyletic, and thus that the first split among land plants gave rise to the lineages that today we recognize as the bryophytes and tracheophytes. We present a phylogenetic analysis of chloroplast protein-coding data that also supports the monophyly of bryophytes. This newly compiled data set consists of 83 chloroplast genes sampled across 30 taxa that include chlorophytes and charophytes, including four members of the Zygnematophyceae, and land plants, that were sampled following a balanced representation of the main bryophyte and tracheophyte lineages. Analyses of non-synonymous site nucleotide data and amino acid translation data result in congruent phylogenetic trees showing the monophyly of bryophytes, with the Zygnematophyceae as the charophyte group most closely related to land plants. Analyses showing that bryophytes and tracheophytes evolved separately from a common terrestrial ancestor have profound implications for the way we understand the evolution of plant life cycles on land and how we interpret the early land plant fossil record.</w:t>
      </w:r>
    </w:p>
    <w:p>
      <w:pPr>
        <w:spacing w:after="0" w:line="134"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color w:val="auto"/>
        </w:rPr>
        <w:t>Keywords: land plants, phylogeny, bryophytes, chloroplast, composition heterogeneity</w:t>
      </w:r>
    </w:p>
    <w:p>
      <w:pPr>
        <w:spacing w:after="0" w:line="200" w:lineRule="exact"/>
        <w:rPr>
          <w:rFonts w:ascii="Arial" w:cs="Arial" w:eastAsia="Arial" w:hAnsi="Arial"/>
          <w:sz w:val="18"/>
          <w:szCs w:val="18"/>
          <w:color w:val="auto"/>
        </w:rPr>
      </w:pPr>
    </w:p>
    <w:p>
      <w:pPr>
        <w:spacing w:after="0" w:line="341"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24"/>
          <w:szCs w:val="24"/>
          <w:color w:val="auto"/>
        </w:rPr>
        <w:t>INTRODUCTION</w:t>
      </w:r>
    </w:p>
    <w:p>
      <w:pPr>
        <w:spacing w:after="0" w:line="194" w:lineRule="exact"/>
        <w:rPr>
          <w:rFonts w:ascii="Arial" w:cs="Arial" w:eastAsia="Arial" w:hAnsi="Arial"/>
          <w:sz w:val="18"/>
          <w:szCs w:val="18"/>
          <w:color w:val="auto"/>
        </w:rPr>
      </w:pPr>
    </w:p>
    <w:p>
      <w:pPr>
        <w:jc w:val="both"/>
        <w:spacing w:after="0" w:line="286" w:lineRule="auto"/>
        <w:rPr>
          <w:rFonts w:ascii="Times New Roman" w:cs="Times New Roman" w:eastAsia="Times New Roman" w:hAnsi="Times New Roman"/>
          <w:sz w:val="17"/>
          <w:szCs w:val="17"/>
          <w:color w:val="000000"/>
        </w:rPr>
      </w:pPr>
      <w:r>
        <w:rPr>
          <w:rFonts w:ascii="Times New Roman" w:cs="Times New Roman" w:eastAsia="Times New Roman" w:hAnsi="Times New Roman"/>
          <w:sz w:val="17"/>
          <w:szCs w:val="17"/>
          <w:color w:val="auto"/>
        </w:rPr>
        <w:t>It is widely accepted that land plants, or embryophytes, descend from an aquatic green algal ancestor (</w:t>
      </w:r>
      <w:hyperlink w:anchor="page9">
        <w:r>
          <w:rPr>
            <w:rFonts w:ascii="Times New Roman" w:cs="Times New Roman" w:eastAsia="Times New Roman" w:hAnsi="Times New Roman"/>
            <w:sz w:val="17"/>
            <w:szCs w:val="17"/>
            <w:color w:val="4C4C4C"/>
          </w:rPr>
          <w:t>Karol, 2001</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McCourt et al., 2004</w:t>
        </w:r>
      </w:hyperlink>
      <w:r>
        <w:rPr>
          <w:rFonts w:ascii="Times New Roman" w:cs="Times New Roman" w:eastAsia="Times New Roman" w:hAnsi="Times New Roman"/>
          <w:sz w:val="17"/>
          <w:szCs w:val="17"/>
          <w:color w:val="auto"/>
        </w:rPr>
        <w:t>) that colonized land over 450 Mya (</w:t>
      </w:r>
      <w:hyperlink w:anchor="page9">
        <w:r>
          <w:rPr>
            <w:rFonts w:ascii="Times New Roman" w:cs="Times New Roman" w:eastAsia="Times New Roman" w:hAnsi="Times New Roman"/>
            <w:sz w:val="17"/>
            <w:szCs w:val="17"/>
            <w:color w:val="4C4C4C"/>
          </w:rPr>
          <w:t>Magallon</w:t>
        </w:r>
        <w:r>
          <w:rPr>
            <w:rFonts w:ascii="Arial" w:cs="Arial" w:eastAsia="Arial" w:hAnsi="Arial"/>
            <w:sz w:val="17"/>
            <w:szCs w:val="17"/>
            <w:color w:val="4C4C4C"/>
          </w:rPr>
          <w:t>́</w:t>
        </w:r>
        <w:r>
          <w:rPr>
            <w:rFonts w:ascii="Times New Roman" w:cs="Times New Roman" w:eastAsia="Times New Roman" w:hAnsi="Times New Roman"/>
            <w:sz w:val="17"/>
            <w:szCs w:val="17"/>
            <w:color w:val="4C4C4C"/>
          </w:rPr>
          <w:t>et al., 2013</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Morris et al.,</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2018</w:t>
        </w:r>
      </w:hyperlink>
      <w:r>
        <w:rPr>
          <w:rFonts w:ascii="Times New Roman" w:cs="Times New Roman" w:eastAsia="Times New Roman" w:hAnsi="Times New Roman"/>
          <w:sz w:val="17"/>
          <w:szCs w:val="17"/>
          <w:color w:val="000000"/>
        </w:rPr>
        <w:t>),</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however, reconstructing the relationships among the bryophytes (liverworts, hornworts, and</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mosses) and tracheophytes (lycopods, ferns, and seed plants), and identifying the algal lineage that is most closely related to the embryophytes, has been challenging and controversial (</w:t>
      </w:r>
      <w:hyperlink w:anchor="page9">
        <w:r>
          <w:rPr>
            <w:rFonts w:ascii="Times New Roman" w:cs="Times New Roman" w:eastAsia="Times New Roman" w:hAnsi="Times New Roman"/>
            <w:sz w:val="17"/>
            <w:szCs w:val="17"/>
            <w:color w:val="4C4C4C"/>
          </w:rPr>
          <w:t>Cox, 2018</w:t>
        </w:r>
      </w:hyperlink>
      <w:r>
        <w:rPr>
          <w:rFonts w:ascii="Times New Roman" w:cs="Times New Roman" w:eastAsia="Times New Roman" w:hAnsi="Times New Roman"/>
          <w:sz w:val="17"/>
          <w:szCs w:val="17"/>
          <w:color w:val="000000"/>
        </w:rPr>
        <w:t>). These six</w:t>
      </w:r>
    </w:p>
    <w:p>
      <w:pPr>
        <w:spacing w:after="0" w:line="20" w:lineRule="exact"/>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mc:AlternateContent>
          <mc:Choice Requires="wps">
            <w:drawing>
              <wp:anchor simplePos="0" relativeHeight="251657728" behindDoc="1" locked="0" layoutInCell="0" allowOverlap="1">
                <wp:simplePos x="0" y="0"/>
                <wp:positionH relativeFrom="column">
                  <wp:posOffset>-1658620</wp:posOffset>
                </wp:positionH>
                <wp:positionV relativeFrom="paragraph">
                  <wp:posOffset>254635</wp:posOffset>
                </wp:positionV>
                <wp:extent cx="640715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150"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0.5999pt,20.05pt" to="373.9pt,20.05pt" o:allowincell="f" strokecolor="#4C4C4C" strokeweight="0.2267pt"/>
            </w:pict>
          </mc:Fallback>
        </mc:AlternateContent>
      </w:r>
    </w:p>
    <w:p>
      <w:pPr>
        <w:spacing w:after="0" w:line="200" w:lineRule="exact"/>
        <w:rPr>
          <w:rFonts w:ascii="Times New Roman" w:cs="Times New Roman" w:eastAsia="Times New Roman" w:hAnsi="Times New Roman"/>
          <w:sz w:val="17"/>
          <w:szCs w:val="17"/>
          <w:color w:val="auto"/>
        </w:rPr>
      </w:pPr>
    </w:p>
    <w:p>
      <w:pPr>
        <w:sectPr>
          <w:pgSz w:w="11900" w:h="15591" w:orient="portrait"/>
          <w:cols w:equalWidth="0" w:num="2">
            <w:col w:w="2280" w:space="340"/>
            <w:col w:w="7480"/>
          </w:cols>
          <w:pgMar w:left="900" w:top="696" w:right="906" w:bottom="34" w:gutter="0" w:footer="0" w:header="0"/>
          <w:type w:val="continuous"/>
        </w:sectPr>
      </w:pPr>
    </w:p>
    <w:p>
      <w:pPr>
        <w:spacing w:after="0" w:line="300" w:lineRule="exact"/>
        <w:rPr>
          <w:rFonts w:ascii="Times New Roman" w:cs="Times New Roman" w:eastAsia="Times New Roman" w:hAnsi="Times New Roman"/>
          <w:sz w:val="17"/>
          <w:szCs w:val="17"/>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1</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696" w:right="906" w:bottom="34" w:gutter="0" w:footer="0" w:header="0"/>
          <w:type w:val="continuous"/>
        </w:sectPr>
      </w:pPr>
    </w:p>
    <w:bookmarkStart w:id="1" w:name="page2"/>
    <w:bookmarkEnd w:id="1"/>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7" w:lineRule="exact"/>
        <w:rPr>
          <w:sz w:val="20"/>
          <w:szCs w:val="20"/>
          <w:color w:val="auto"/>
        </w:rPr>
      </w:pPr>
    </w:p>
    <w:p>
      <w:pPr>
        <w:jc w:val="both"/>
        <w:spacing w:after="0" w:line="266" w:lineRule="auto"/>
        <w:rPr>
          <w:rFonts w:ascii="Times New Roman" w:cs="Times New Roman" w:eastAsia="Times New Roman" w:hAnsi="Times New Roman"/>
          <w:sz w:val="18"/>
          <w:szCs w:val="18"/>
          <w:color w:val="4C4C4C"/>
        </w:rPr>
      </w:pPr>
      <w:r>
        <w:rPr>
          <w:rFonts w:ascii="Times New Roman" w:cs="Times New Roman" w:eastAsia="Times New Roman" w:hAnsi="Times New Roman"/>
          <w:sz w:val="18"/>
          <w:szCs w:val="18"/>
          <w:color w:val="auto"/>
        </w:rPr>
        <w:t>major land plant lineages, as well as the six major streptophyte algal groups (Klebsormidales, Chlorokybales, Mesostigmales, Coleochaetales, Charales, and Zygnematales) are each typically well-supported clades and considered monophyletic natural groups. Relationships among the streptophyte algae have been determined with increasing congruence and statistical con</w:t>
      </w:r>
      <w:r>
        <w:rPr>
          <w:rFonts w:ascii="Arial" w:cs="Arial" w:eastAsia="Arial" w:hAnsi="Arial"/>
          <w:sz w:val="18"/>
          <w:szCs w:val="18"/>
          <w:color w:val="auto"/>
        </w:rPr>
        <w:t>fi</w:t>
      </w:r>
      <w:r>
        <w:rPr>
          <w:rFonts w:ascii="Times New Roman" w:cs="Times New Roman" w:eastAsia="Times New Roman" w:hAnsi="Times New Roman"/>
          <w:sz w:val="18"/>
          <w:szCs w:val="18"/>
          <w:color w:val="auto"/>
        </w:rPr>
        <w:t>dence, converging on a phylogeny that places the conjugating algae of the Zygnematophyceae as the sister-group of land plants (</w:t>
      </w:r>
      <w:hyperlink w:anchor="page9">
        <w:r>
          <w:rPr>
            <w:rFonts w:ascii="Times New Roman" w:cs="Times New Roman" w:eastAsia="Times New Roman" w:hAnsi="Times New Roman"/>
            <w:sz w:val="18"/>
            <w:szCs w:val="18"/>
            <w:color w:val="4C4C4C"/>
          </w:rPr>
          <w:t>Wickett et al.,</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2014</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Puttick et al., 2018</w:t>
        </w:r>
      </w:hyperlink>
      <w:r>
        <w:rPr>
          <w:rFonts w:ascii="Times New Roman" w:cs="Times New Roman" w:eastAsia="Times New Roman" w:hAnsi="Times New Roman"/>
          <w:sz w:val="18"/>
          <w:szCs w:val="18"/>
          <w:color w:val="000000"/>
        </w:rPr>
        <w:t>). Among the land plants, the monophyly of</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the tracheophytes is well supported by molecular evidence and has been assumed partly due to their common possession of an elaborate vascular system, although it is now known that the water-conducting cells of bryophytes are homologous to those of tracheophytes and governed by a similar developmental system (</w:t>
      </w:r>
      <w:hyperlink w:anchor="page9">
        <w:r>
          <w:rPr>
            <w:rFonts w:ascii="Times New Roman" w:cs="Times New Roman" w:eastAsia="Times New Roman" w:hAnsi="Times New Roman"/>
            <w:sz w:val="18"/>
            <w:szCs w:val="18"/>
            <w:color w:val="4C4C4C"/>
          </w:rPr>
          <w:t>Xu</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et al., 2014</w:t>
        </w:r>
      </w:hyperlink>
      <w:r>
        <w:rPr>
          <w:rFonts w:ascii="Times New Roman" w:cs="Times New Roman" w:eastAsia="Times New Roman" w:hAnsi="Times New Roman"/>
          <w:sz w:val="18"/>
          <w:szCs w:val="18"/>
          <w:color w:val="000000"/>
        </w:rPr>
        <w:t>). By contrast, a common origin of the three bryophyte</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groups, independent of the tracheophytes, has not previously been considered likely, with the majority of studies showing that the tracheophytes evolved from the bryophytes after their initial diversi</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cation. Indeed, phylogenetic inferences of sequence data from the nuclear, plastid, and mitochondrial genomes have resulted in con</w:t>
      </w:r>
      <w:r>
        <w:rPr>
          <w:rFonts w:ascii="Arial" w:cs="Arial" w:eastAsia="Arial" w:hAnsi="Arial"/>
          <w:sz w:val="18"/>
          <w:szCs w:val="18"/>
          <w:color w:val="000000"/>
        </w:rPr>
        <w:t>fl</w:t>
      </w:r>
      <w:r>
        <w:rPr>
          <w:rFonts w:ascii="Times New Roman" w:cs="Times New Roman" w:eastAsia="Times New Roman" w:hAnsi="Times New Roman"/>
          <w:sz w:val="18"/>
          <w:szCs w:val="18"/>
          <w:color w:val="000000"/>
        </w:rPr>
        <w:t xml:space="preserve">icting yet statistically well-supported topologies of land plant relationships showing that either the liverworts (e.g. </w:t>
      </w:r>
      <w:hyperlink w:anchor="page9">
        <w:r>
          <w:rPr>
            <w:rFonts w:ascii="Times New Roman" w:cs="Times New Roman" w:eastAsia="Times New Roman" w:hAnsi="Times New Roman"/>
            <w:sz w:val="18"/>
            <w:szCs w:val="18"/>
            <w:color w:val="4C4C4C"/>
          </w:rPr>
          <w:t>Lewis et al.,</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1997</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Gao et al., 2010</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the hornworts (e.g.</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Hedderson et al., 1996</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Wickett et al., 2014</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or the clade Setaphyta (</w:t>
      </w:r>
      <w:hyperlink w:anchor="page9">
        <w:r>
          <w:rPr>
            <w:rFonts w:ascii="Times New Roman" w:cs="Times New Roman" w:eastAsia="Times New Roman" w:hAnsi="Times New Roman"/>
            <w:sz w:val="18"/>
            <w:szCs w:val="18"/>
            <w:color w:val="4C4C4C"/>
          </w:rPr>
          <w:t>Puttick et al., 2018</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 xml:space="preserve">that contains mosses plus liverworts (e.g. </w:t>
      </w:r>
      <w:hyperlink w:anchor="page9">
        <w:r>
          <w:rPr>
            <w:rFonts w:ascii="Times New Roman" w:cs="Times New Roman" w:eastAsia="Times New Roman" w:hAnsi="Times New Roman"/>
            <w:sz w:val="18"/>
            <w:szCs w:val="18"/>
            <w:color w:val="4C4C4C"/>
          </w:rPr>
          <w:t>Nishiyama and Kato,</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1999</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Karol et al., 2010</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were the</w:t>
      </w:r>
      <w:r>
        <w:rPr>
          <w:rFonts w:ascii="Times New Roman" w:cs="Times New Roman" w:eastAsia="Times New Roman" w:hAnsi="Times New Roman"/>
          <w:sz w:val="18"/>
          <w:szCs w:val="18"/>
          <w:color w:val="4C4C4C"/>
        </w:rPr>
        <w:t xml:space="preserve"> </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rst lineage to split from the</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 xml:space="preserve">remaining land plants. However, in recent years, several studies have supported a hypothesis whereby the </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rst divergence of land plants was between bryophytes and tracheophytes, ruling out a direct descendance of the tracheophytes from bryophytes, and having profound implications for how we view the evolution of plants on land. These newer studies have used better-</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tting models that more accurately account for heterogeneity in the data, and therefore suggest that previous hypotheses were based on overly simplistic analyses (</w:t>
      </w:r>
      <w:hyperlink w:anchor="page9">
        <w:r>
          <w:rPr>
            <w:rFonts w:ascii="Times New Roman" w:cs="Times New Roman" w:eastAsia="Times New Roman" w:hAnsi="Times New Roman"/>
            <w:sz w:val="18"/>
            <w:szCs w:val="18"/>
            <w:color w:val="4C4C4C"/>
          </w:rPr>
          <w:t>Cox et al., 2014</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Puttick et al., 2018</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Sousa</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et al., 2019</w:t>
        </w:r>
      </w:hyperlink>
      <w:r>
        <w:rPr>
          <w:rFonts w:ascii="Times New Roman" w:cs="Times New Roman" w:eastAsia="Times New Roman" w:hAnsi="Times New Roman"/>
          <w:sz w:val="18"/>
          <w:szCs w:val="18"/>
          <w:color w:val="000000"/>
        </w:rPr>
        <w:t>).</w:t>
      </w:r>
    </w:p>
    <w:p>
      <w:pPr>
        <w:spacing w:after="0" w:line="16" w:lineRule="exact"/>
        <w:rPr>
          <w:rFonts w:ascii="Times New Roman" w:cs="Times New Roman" w:eastAsia="Times New Roman" w:hAnsi="Times New Roman"/>
          <w:sz w:val="18"/>
          <w:szCs w:val="18"/>
          <w:color w:val="000000"/>
        </w:rPr>
      </w:pPr>
    </w:p>
    <w:p>
      <w:pPr>
        <w:jc w:val="both"/>
        <w:ind w:firstLine="240"/>
        <w:spacing w:after="0" w:line="283" w:lineRule="auto"/>
        <w:rPr>
          <w:rFonts w:ascii="Times New Roman" w:cs="Times New Roman" w:eastAsia="Times New Roman" w:hAnsi="Times New Roman"/>
          <w:sz w:val="17"/>
          <w:szCs w:val="17"/>
          <w:color w:val="4C4C4C"/>
        </w:rPr>
      </w:pPr>
      <w:r>
        <w:rPr>
          <w:rFonts w:ascii="Times New Roman" w:cs="Times New Roman" w:eastAsia="Times New Roman" w:hAnsi="Times New Roman"/>
          <w:sz w:val="17"/>
          <w:szCs w:val="17"/>
          <w:color w:val="auto"/>
        </w:rPr>
        <w:t xml:space="preserve">Incongruence among phylogenetic tree topologies can be attributed to biological processes, such as incomplete lineage sorting (ILS) and hybridization, and methodological issues, such as inappropriate choice of substitution models. In the case of the land plant phylogeny, however, two main evolutionary processes underlie the observed inconsistency of phylogenetic inferences. Firstly, given the large geological timescale over which land plants have evolved, nucleotide data are subject to substitutional </w:t>
      </w:r>
      <w:r>
        <w:rPr>
          <w:rFonts w:ascii="Arial" w:cs="Arial" w:eastAsia="Arial" w:hAnsi="Arial"/>
          <w:sz w:val="17"/>
          <w:szCs w:val="17"/>
          <w:color w:val="auto"/>
        </w:rPr>
        <w:t>“</w:t>
      </w:r>
      <w:r>
        <w:rPr>
          <w:rFonts w:ascii="Times New Roman" w:cs="Times New Roman" w:eastAsia="Times New Roman" w:hAnsi="Times New Roman"/>
          <w:sz w:val="17"/>
          <w:szCs w:val="17"/>
          <w:color w:val="auto"/>
        </w:rPr>
        <w:t>saturation</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at synonymous codon sites, that are under low selective</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pressure since they do not change the amino acid sequence. Over time, multiple substitutions can occur on synonymous sites, to an extent that they no longer carry reliable phylogenetic signal (</w:t>
      </w:r>
      <w:hyperlink w:anchor="page9">
        <w:r>
          <w:rPr>
            <w:rFonts w:ascii="Times New Roman" w:cs="Times New Roman" w:eastAsia="Times New Roman" w:hAnsi="Times New Roman"/>
            <w:sz w:val="17"/>
            <w:szCs w:val="17"/>
            <w:color w:val="4C4C4C"/>
          </w:rPr>
          <w:t>Jeffroy</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et al., 2006</w:t>
        </w:r>
      </w:hyperlink>
      <w:r>
        <w:rPr>
          <w:rFonts w:ascii="Times New Roman" w:cs="Times New Roman" w:eastAsia="Times New Roman" w:hAnsi="Times New Roman"/>
          <w:sz w:val="17"/>
          <w:szCs w:val="17"/>
          <w:color w:val="000000"/>
        </w:rPr>
        <w:t>). In such cases, the exclusion or recoding of synonymous</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sites is necessary to remove the non-phylogenetic signal (</w:t>
      </w:r>
      <w:hyperlink w:anchor="page9">
        <w:r>
          <w:rPr>
            <w:rFonts w:ascii="Times New Roman" w:cs="Times New Roman" w:eastAsia="Times New Roman" w:hAnsi="Times New Roman"/>
            <w:sz w:val="17"/>
            <w:szCs w:val="17"/>
            <w:color w:val="4C4C4C"/>
          </w:rPr>
          <w:t>Cox et al.,</w:t>
        </w:r>
      </w:hyperlink>
      <w:r>
        <w:rPr>
          <w:rFonts w:ascii="Times New Roman" w:cs="Times New Roman" w:eastAsia="Times New Roman" w:hAnsi="Times New Roman"/>
          <w:sz w:val="17"/>
          <w:szCs w:val="17"/>
          <w:color w:val="000000"/>
        </w:rPr>
        <w:t xml:space="preserve"> </w:t>
      </w:r>
      <w:hyperlink w:anchor="page9">
        <w:r>
          <w:rPr>
            <w:rFonts w:ascii="Times New Roman" w:cs="Times New Roman" w:eastAsia="Times New Roman" w:hAnsi="Times New Roman"/>
            <w:sz w:val="17"/>
            <w:szCs w:val="17"/>
            <w:color w:val="4C4C4C"/>
          </w:rPr>
          <w:t>2014</w:t>
        </w:r>
      </w:hyperlink>
      <w:r>
        <w:rPr>
          <w:rFonts w:ascii="Times New Roman" w:cs="Times New Roman" w:eastAsia="Times New Roman" w:hAnsi="Times New Roman"/>
          <w:sz w:val="17"/>
          <w:szCs w:val="17"/>
          <w:color w:val="000000"/>
        </w:rPr>
        <w:t>;</w:t>
      </w:r>
      <w:r>
        <w:rPr>
          <w:rFonts w:ascii="Times New Roman" w:cs="Times New Roman" w:eastAsia="Times New Roman" w:hAnsi="Times New Roman"/>
          <w:sz w:val="17"/>
          <w:szCs w:val="17"/>
          <w:color w:val="4C4C4C"/>
        </w:rPr>
        <w:t xml:space="preserve"> </w:t>
      </w:r>
      <w:hyperlink w:anchor="page9">
        <w:r>
          <w:rPr>
            <w:rFonts w:ascii="Times New Roman" w:cs="Times New Roman" w:eastAsia="Times New Roman" w:hAnsi="Times New Roman"/>
            <w:sz w:val="17"/>
            <w:szCs w:val="17"/>
            <w:color w:val="4C4C4C"/>
          </w:rPr>
          <w:t>Sousa et al., 2019</w:t>
        </w:r>
      </w:hyperlink>
      <w:r>
        <w:rPr>
          <w:rFonts w:ascii="Times New Roman" w:cs="Times New Roman" w:eastAsia="Times New Roman" w:hAnsi="Times New Roman"/>
          <w:sz w:val="17"/>
          <w:szCs w:val="17"/>
          <w:color w:val="000000"/>
        </w:rPr>
        <w:t>). Secondly, sequence data from highly</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 xml:space="preserve">divergent lineages often display compositional heterogeneity, meaning that the long-term probability of change to a particular nucleotide or amino-acid is different among sites or lineages. Consequently, commonly used substitution models, that assume a </w:t>
      </w:r>
      <w:r>
        <w:rPr>
          <w:rFonts w:ascii="Arial" w:cs="Arial" w:eastAsia="Arial" w:hAnsi="Arial"/>
          <w:sz w:val="17"/>
          <w:szCs w:val="17"/>
          <w:color w:val="000000"/>
        </w:rPr>
        <w:t>fi</w:t>
      </w:r>
      <w:r>
        <w:rPr>
          <w:rFonts w:ascii="Times New Roman" w:cs="Times New Roman" w:eastAsia="Times New Roman" w:hAnsi="Times New Roman"/>
          <w:sz w:val="17"/>
          <w:szCs w:val="17"/>
          <w:color w:val="000000"/>
        </w:rPr>
        <w:t>xed nucleotide or amino acid composition among all sites and</w:t>
      </w:r>
    </w:p>
    <w:p>
      <w:pPr>
        <w:spacing w:after="0" w:line="20" w:lineRule="exact"/>
        <w:rPr>
          <w:rFonts w:ascii="Times New Roman" w:cs="Times New Roman" w:eastAsia="Times New Roman" w:hAnsi="Times New Roman"/>
          <w:sz w:val="17"/>
          <w:szCs w:val="17"/>
          <w:color w:val="000000"/>
        </w:rPr>
      </w:pPr>
      <w:r>
        <w:rPr>
          <w:rFonts w:ascii="Times New Roman" w:cs="Times New Roman" w:eastAsia="Times New Roman" w:hAnsi="Times New Roman"/>
          <w:sz w:val="17"/>
          <w:szCs w:val="17"/>
          <w:color w:val="000000"/>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392430</wp:posOffset>
                </wp:positionV>
                <wp:extent cx="640778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30.9pt" to="504.9pt,30.9pt" o:allowincell="f" strokecolor="#4C4C4C" strokeweight="0.2267pt"/>
            </w:pict>
          </mc:Fallback>
        </mc:AlternateContent>
      </w:r>
    </w:p>
    <w:p>
      <w:pPr>
        <w:spacing w:after="0" w:line="20" w:lineRule="exact"/>
        <w:rPr>
          <w:rFonts w:ascii="Times New Roman" w:cs="Times New Roman" w:eastAsia="Times New Roman" w:hAnsi="Times New Roman"/>
          <w:sz w:val="17"/>
          <w:szCs w:val="17"/>
          <w:color w:val="000000"/>
        </w:rPr>
      </w:pPr>
      <w:r>
        <w:rPr>
          <w:rFonts w:ascii="Times New Roman" w:cs="Times New Roman" w:eastAsia="Times New Roman" w:hAnsi="Times New Roman"/>
          <w:sz w:val="17"/>
          <w:szCs w:val="17"/>
          <w:color w:val="000000"/>
        </w:rPr>
        <w:br w:type="column"/>
      </w:r>
    </w:p>
    <w:p>
      <w:pPr>
        <w:spacing w:after="0" w:line="200" w:lineRule="exact"/>
        <w:rPr>
          <w:rFonts w:ascii="Times New Roman" w:cs="Times New Roman" w:eastAsia="Times New Roman" w:hAnsi="Times New Roman"/>
          <w:sz w:val="17"/>
          <w:szCs w:val="17"/>
          <w:color w:val="000000"/>
        </w:rPr>
      </w:pPr>
    </w:p>
    <w:p>
      <w:pPr>
        <w:spacing w:after="0" w:line="267" w:lineRule="exact"/>
        <w:rPr>
          <w:rFonts w:ascii="Times New Roman" w:cs="Times New Roman" w:eastAsia="Times New Roman" w:hAnsi="Times New Roman"/>
          <w:sz w:val="17"/>
          <w:szCs w:val="17"/>
          <w:color w:val="000000"/>
        </w:rPr>
      </w:pPr>
    </w:p>
    <w:p>
      <w:pPr>
        <w:jc w:val="both"/>
        <w:spacing w:after="0" w:line="266"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lineages, may lead to erroneous phylogenetic inference if the data are composition heterogeneous (</w:t>
      </w:r>
      <w:hyperlink w:anchor="page9">
        <w:r>
          <w:rPr>
            <w:rFonts w:ascii="Times New Roman" w:cs="Times New Roman" w:eastAsia="Times New Roman" w:hAnsi="Times New Roman"/>
            <w:sz w:val="18"/>
            <w:szCs w:val="18"/>
            <w:color w:val="4C4C4C"/>
          </w:rPr>
          <w:t>Foster, 2004</w:t>
        </w:r>
      </w:hyperlink>
      <w:r>
        <w:rPr>
          <w:rFonts w:ascii="Times New Roman" w:cs="Times New Roman" w:eastAsia="Times New Roman" w:hAnsi="Times New Roman"/>
          <w:sz w:val="18"/>
          <w:szCs w:val="18"/>
          <w:color w:val="auto"/>
        </w:rPr>
        <w:t>). Both composition site- and tree-heterogeneity are the result of varying mutational pressures or selection (for example, for high GC content) and may result in a high level of homoplasy. Composition site-heterogeneity can be modeled using mixture models such as the CAT model (</w:t>
      </w:r>
      <w:hyperlink w:anchor="page9">
        <w:r>
          <w:rPr>
            <w:rFonts w:ascii="Times New Roman" w:cs="Times New Roman" w:eastAsia="Times New Roman" w:hAnsi="Times New Roman"/>
            <w:sz w:val="18"/>
            <w:szCs w:val="18"/>
            <w:color w:val="4C4C4C"/>
          </w:rPr>
          <w:t>Lartillot and Philippe, 2004</w:t>
        </w:r>
      </w:hyperlink>
      <w:r>
        <w:rPr>
          <w:rFonts w:ascii="Times New Roman" w:cs="Times New Roman" w:eastAsia="Times New Roman" w:hAnsi="Times New Roman"/>
          <w:sz w:val="18"/>
          <w:szCs w:val="18"/>
          <w:color w:val="auto"/>
        </w:rPr>
        <w:t>), whereas composition tree-heterogeneity can be modeled with non-stationary models such as the NDCH model (</w:t>
      </w:r>
      <w:hyperlink w:anchor="page9">
        <w:r>
          <w:rPr>
            <w:rFonts w:ascii="Times New Roman" w:cs="Times New Roman" w:eastAsia="Times New Roman" w:hAnsi="Times New Roman"/>
            <w:sz w:val="18"/>
            <w:szCs w:val="18"/>
            <w:color w:val="4C4C4C"/>
          </w:rPr>
          <w:t>Foster, 2004</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Foster et al., 2009</w:t>
        </w:r>
      </w:hyperlink>
      <w:r>
        <w:rPr>
          <w:rFonts w:ascii="Times New Roman" w:cs="Times New Roman" w:eastAsia="Times New Roman" w:hAnsi="Times New Roman"/>
          <w:sz w:val="18"/>
          <w:szCs w:val="18"/>
          <w:color w:val="auto"/>
        </w:rPr>
        <w:t>).</w:t>
      </w:r>
    </w:p>
    <w:p>
      <w:pPr>
        <w:spacing w:after="0" w:line="6" w:lineRule="exact"/>
        <w:rPr>
          <w:rFonts w:ascii="Times New Roman" w:cs="Times New Roman" w:eastAsia="Times New Roman" w:hAnsi="Times New Roman"/>
          <w:sz w:val="18"/>
          <w:szCs w:val="18"/>
          <w:color w:val="auto"/>
        </w:rPr>
      </w:pPr>
    </w:p>
    <w:p>
      <w:pPr>
        <w:jc w:val="both"/>
        <w:ind w:firstLine="240"/>
        <w:spacing w:after="0" w:line="266"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In this study, we reassess the support for land plant relationships based on a newly compiled data set of 83 chloroplast protein-coding genes. Chloroplast sequence data typically represents a single linkage group, since chloroplasts are usually inherited uniparentally as a circular non-recombining chromosome, resulting in reduced opportunities for recombination between different chloroplast lineages (</w:t>
      </w:r>
      <w:hyperlink w:anchor="page9">
        <w:r>
          <w:rPr>
            <w:rFonts w:ascii="Times New Roman" w:cs="Times New Roman" w:eastAsia="Times New Roman" w:hAnsi="Times New Roman"/>
            <w:sz w:val="18"/>
            <w:szCs w:val="18"/>
            <w:color w:val="4C4C4C"/>
          </w:rPr>
          <w:t>Birky, 2001</w:t>
        </w:r>
      </w:hyperlink>
      <w:r>
        <w:rPr>
          <w:rFonts w:ascii="Times New Roman" w:cs="Times New Roman" w:eastAsia="Times New Roman" w:hAnsi="Times New Roman"/>
          <w:sz w:val="18"/>
          <w:szCs w:val="18"/>
          <w:color w:val="auto"/>
        </w:rPr>
        <w:t>). There are also no documented cases of lateral gene transfer between chloroplast genomes (</w:t>
      </w:r>
      <w:hyperlink w:anchor="page9">
        <w:r>
          <w:rPr>
            <w:rFonts w:ascii="Times New Roman" w:cs="Times New Roman" w:eastAsia="Times New Roman" w:hAnsi="Times New Roman"/>
            <w:sz w:val="18"/>
            <w:szCs w:val="18"/>
            <w:color w:val="4C4C4C"/>
          </w:rPr>
          <w:t>Bock, 2010</w:t>
        </w:r>
      </w:hyperlink>
      <w:r>
        <w:rPr>
          <w:rFonts w:ascii="Times New Roman" w:cs="Times New Roman" w:eastAsia="Times New Roman" w:hAnsi="Times New Roman"/>
          <w:sz w:val="18"/>
          <w:szCs w:val="18"/>
          <w:color w:val="auto"/>
        </w:rPr>
        <w:t>). Thus, there is a reasonable expectation that all genes in the chloroplast genome should carry phylogenetic signal supporting the same tree, i.e. the whole chloroplast genome tree is effectively a gene tree which may or may not be congruent with the species tree, and incongruence among trees inferred from individual chloroplast genes is likely the result of systematic error, rather than ILS. The concatenation of chloroplast genes for phylogenetic analyses is therefore justi</w:t>
      </w:r>
      <w:r>
        <w:rPr>
          <w:rFonts w:ascii="Arial" w:cs="Arial" w:eastAsia="Arial" w:hAnsi="Arial"/>
          <w:sz w:val="18"/>
          <w:szCs w:val="18"/>
          <w:color w:val="auto"/>
        </w:rPr>
        <w:t>fi</w:t>
      </w:r>
      <w:r>
        <w:rPr>
          <w:rFonts w:ascii="Times New Roman" w:cs="Times New Roman" w:eastAsia="Times New Roman" w:hAnsi="Times New Roman"/>
          <w:sz w:val="18"/>
          <w:szCs w:val="18"/>
          <w:color w:val="auto"/>
        </w:rPr>
        <w:t>ed, and the resulting tree is analogous to a tree reconstructed from a single non-recombining nuclear DNA sequence. However, as in nuclear genomes, chloroplast protein-coding genes are also subject to composition biases due to drift and different mutational pressures, and thus appropriate modeling of composition site- and tree-heterogeneity is warranted for phylogenetic reconstruction from highly-divergent chloroplast sequences.</w:t>
      </w:r>
    </w:p>
    <w:p>
      <w:pPr>
        <w:spacing w:after="0" w:line="12" w:lineRule="exact"/>
        <w:rPr>
          <w:sz w:val="20"/>
          <w:szCs w:val="20"/>
          <w:color w:val="auto"/>
        </w:rPr>
      </w:pPr>
    </w:p>
    <w:p>
      <w:pPr>
        <w:jc w:val="both"/>
        <w:ind w:firstLine="240"/>
        <w:spacing w:after="0" w:line="251" w:lineRule="auto"/>
        <w:rPr>
          <w:rFonts w:ascii="Times New Roman" w:cs="Times New Roman" w:eastAsia="Times New Roman" w:hAnsi="Times New Roman"/>
          <w:sz w:val="19"/>
          <w:szCs w:val="19"/>
          <w:color w:val="4C4C4C"/>
        </w:rPr>
      </w:pPr>
      <w:r>
        <w:rPr>
          <w:rFonts w:ascii="Times New Roman" w:cs="Times New Roman" w:eastAsia="Times New Roman" w:hAnsi="Times New Roman"/>
          <w:sz w:val="19"/>
          <w:szCs w:val="19"/>
          <w:color w:val="auto"/>
        </w:rPr>
        <w:t>Our reconstruction of the land plant phylogeny based on codon-degenerated (non-synonymous) nucleotide data and amino acid data, under better-</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tting composition tree-heterogeneous (non-stationary) models, result in trees where bryophytes are monophyletic, strengthening the hypothesis presented by </w:t>
      </w:r>
      <w:hyperlink w:anchor="page9">
        <w:r>
          <w:rPr>
            <w:rFonts w:ascii="Times New Roman" w:cs="Times New Roman" w:eastAsia="Times New Roman" w:hAnsi="Times New Roman"/>
            <w:sz w:val="19"/>
            <w:szCs w:val="19"/>
            <w:color w:val="4C4C4C"/>
          </w:rPr>
          <w:t>Cox et al. (2014)</w:t>
        </w:r>
      </w:hyperlink>
      <w:r>
        <w:rPr>
          <w:rFonts w:ascii="Times New Roman" w:cs="Times New Roman" w:eastAsia="Times New Roman" w:hAnsi="Times New Roman"/>
          <w:sz w:val="19"/>
          <w:szCs w:val="19"/>
          <w:color w:val="auto"/>
        </w:rPr>
        <w:t>. These new analyses, together with published analyses of nuclear protein coding data (</w:t>
      </w:r>
      <w:hyperlink w:anchor="page9">
        <w:r>
          <w:rPr>
            <w:rFonts w:ascii="Times New Roman" w:cs="Times New Roman" w:eastAsia="Times New Roman" w:hAnsi="Times New Roman"/>
            <w:sz w:val="19"/>
            <w:szCs w:val="19"/>
            <w:color w:val="4C4C4C"/>
          </w:rPr>
          <w:t>Puttick</w:t>
        </w:r>
      </w:hyperlink>
      <w:r>
        <w:rPr>
          <w:rFonts w:ascii="Times New Roman" w:cs="Times New Roman" w:eastAsia="Times New Roman" w:hAnsi="Times New Roman"/>
          <w:sz w:val="19"/>
          <w:szCs w:val="19"/>
          <w:color w:val="auto"/>
        </w:rPr>
        <w:t xml:space="preserve"> </w:t>
      </w:r>
      <w:hyperlink w:anchor="page9">
        <w:r>
          <w:rPr>
            <w:rFonts w:ascii="Times New Roman" w:cs="Times New Roman" w:eastAsia="Times New Roman" w:hAnsi="Times New Roman"/>
            <w:sz w:val="19"/>
            <w:szCs w:val="19"/>
            <w:color w:val="4C4C4C"/>
          </w:rPr>
          <w:t>et al., 2018</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4C4C4C"/>
        </w:rPr>
        <w:t xml:space="preserve"> </w:t>
      </w:r>
      <w:hyperlink w:anchor="page9">
        <w:r>
          <w:rPr>
            <w:rFonts w:ascii="Times New Roman" w:cs="Times New Roman" w:eastAsia="Times New Roman" w:hAnsi="Times New Roman"/>
            <w:sz w:val="19"/>
            <w:szCs w:val="19"/>
            <w:color w:val="4C4C4C"/>
          </w:rPr>
          <w:t>Sousa et al., 2019</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4C4C4C"/>
        </w:rPr>
        <w:t xml:space="preserve"> </w:t>
      </w:r>
      <w:r>
        <w:rPr>
          <w:rFonts w:ascii="Times New Roman" w:cs="Times New Roman" w:eastAsia="Times New Roman" w:hAnsi="Times New Roman"/>
          <w:sz w:val="19"/>
          <w:szCs w:val="19"/>
          <w:color w:val="000000"/>
        </w:rPr>
        <w:t>support the hypothesis whereby</w:t>
      </w:r>
      <w:r>
        <w:rPr>
          <w:rFonts w:ascii="Times New Roman" w:cs="Times New Roman" w:eastAsia="Times New Roman" w:hAnsi="Times New Roman"/>
          <w:sz w:val="19"/>
          <w:szCs w:val="19"/>
          <w:color w:val="4C4C4C"/>
        </w:rPr>
        <w:t xml:space="preserve"> </w:t>
      </w:r>
      <w:r>
        <w:rPr>
          <w:rFonts w:ascii="Times New Roman" w:cs="Times New Roman" w:eastAsia="Times New Roman" w:hAnsi="Times New Roman"/>
          <w:sz w:val="19"/>
          <w:szCs w:val="19"/>
          <w:color w:val="000000"/>
        </w:rPr>
        <w:t xml:space="preserve">the </w:t>
      </w:r>
      <w:r>
        <w:rPr>
          <w:rFonts w:ascii="Arial" w:cs="Arial" w:eastAsia="Arial" w:hAnsi="Arial"/>
          <w:sz w:val="19"/>
          <w:szCs w:val="19"/>
          <w:color w:val="000000"/>
        </w:rPr>
        <w:t>fi</w:t>
      </w:r>
      <w:r>
        <w:rPr>
          <w:rFonts w:ascii="Times New Roman" w:cs="Times New Roman" w:eastAsia="Times New Roman" w:hAnsi="Times New Roman"/>
          <w:sz w:val="19"/>
          <w:szCs w:val="19"/>
          <w:color w:val="000000"/>
        </w:rPr>
        <w:t>rst evolutionary split among land plants occurred between the bryophytes and the tracheophytes, and suggests a need for a re-interpretation of the fossil evidence and the nature of the ancestral embryophyte.</w:t>
      </w:r>
    </w:p>
    <w:p>
      <w:pPr>
        <w:spacing w:after="0" w:line="200" w:lineRule="exact"/>
        <w:rPr>
          <w:rFonts w:ascii="Times New Roman" w:cs="Times New Roman" w:eastAsia="Times New Roman" w:hAnsi="Times New Roman"/>
          <w:sz w:val="19"/>
          <w:szCs w:val="19"/>
          <w:color w:val="auto"/>
        </w:rPr>
      </w:pPr>
    </w:p>
    <w:p>
      <w:pPr>
        <w:spacing w:after="0" w:line="263" w:lineRule="exact"/>
        <w:rPr>
          <w:rFonts w:ascii="Times New Roman" w:cs="Times New Roman" w:eastAsia="Times New Roman" w:hAnsi="Times New Roman"/>
          <w:sz w:val="19"/>
          <w:szCs w:val="19"/>
          <w:color w:val="auto"/>
        </w:rPr>
      </w:pPr>
    </w:p>
    <w:p>
      <w:pPr>
        <w:spacing w:after="0"/>
        <w:rPr>
          <w:sz w:val="20"/>
          <w:szCs w:val="20"/>
          <w:color w:val="auto"/>
        </w:rPr>
      </w:pPr>
      <w:r>
        <w:rPr>
          <w:rFonts w:ascii="Arial" w:cs="Arial" w:eastAsia="Arial" w:hAnsi="Arial"/>
          <w:sz w:val="24"/>
          <w:szCs w:val="24"/>
          <w:color w:val="auto"/>
        </w:rPr>
        <w:t>MATERIALS AND METHODS</w:t>
      </w:r>
    </w:p>
    <w:p>
      <w:pPr>
        <w:spacing w:after="0" w:line="193" w:lineRule="exact"/>
        <w:rPr>
          <w:rFonts w:ascii="Times New Roman" w:cs="Times New Roman" w:eastAsia="Times New Roman" w:hAnsi="Times New Roman"/>
          <w:sz w:val="19"/>
          <w:szCs w:val="19"/>
          <w:color w:val="auto"/>
        </w:rPr>
      </w:pPr>
    </w:p>
    <w:p>
      <w:pPr>
        <w:jc w:val="both"/>
        <w:spacing w:after="0" w:line="26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thirty taxa selected for analyses include four chlorophyte algae, nine charophyte algae, of which four are members of the Zygnematophyceae, six bryophytes, sampled evenly among liverworts, mosses, and hornworts, and 11 tracheophytes, including representatives of lycopods, ferns, and seed plants (</w:t>
      </w:r>
      <w:hyperlink w:anchor="page9">
        <w:r>
          <w:rPr>
            <w:rFonts w:ascii="Times New Roman" w:cs="Times New Roman" w:eastAsia="Times New Roman" w:hAnsi="Times New Roman"/>
            <w:sz w:val="18"/>
            <w:szCs w:val="18"/>
            <w:color w:val="auto"/>
          </w:rPr>
          <w:t>Table 1</w:t>
        </w:r>
      </w:hyperlink>
      <w:r>
        <w:rPr>
          <w:rFonts w:ascii="Times New Roman" w:cs="Times New Roman" w:eastAsia="Times New Roman" w:hAnsi="Times New Roman"/>
          <w:sz w:val="18"/>
          <w:szCs w:val="18"/>
          <w:color w:val="auto"/>
        </w:rPr>
        <w:t>). Protein-coding genes which were annotated in at least 15 of the sampled taxa were selected for analysis, resulting in a data set of 83 genes (</w:t>
      </w:r>
      <w:hyperlink w:anchor="page9">
        <w:r>
          <w:rPr>
            <w:rFonts w:ascii="Times New Roman" w:cs="Times New Roman" w:eastAsia="Times New Roman" w:hAnsi="Times New Roman"/>
            <w:sz w:val="18"/>
            <w:szCs w:val="18"/>
            <w:color w:val="auto"/>
          </w:rPr>
          <w:t>Supplementary Information Table</w:t>
        </w:r>
      </w:hyperlink>
    </w:p>
    <w:p>
      <w:pPr>
        <w:spacing w:after="0" w:line="215"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sz w:val="20"/>
          <w:szCs w:val="20"/>
          <w:color w:val="auto"/>
        </w:rPr>
      </w:pPr>
    </w:p>
    <w:p>
      <w:pPr>
        <w:spacing w:after="0" w:line="317" w:lineRule="exact"/>
        <w:rPr>
          <w:sz w:val="20"/>
          <w:szCs w:val="20"/>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2</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2" w:name="page3"/>
    <w:bookmarkEnd w:id="2"/>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spacing w:after="0" w:line="266" w:lineRule="auto"/>
        <w:rPr>
          <w:rFonts w:ascii="Times New Roman" w:cs="Times New Roman" w:eastAsia="Times New Roman" w:hAnsi="Times New Roman"/>
          <w:sz w:val="18"/>
          <w:szCs w:val="18"/>
          <w:color w:val="000000"/>
        </w:rPr>
      </w:pPr>
      <w:hyperlink w:anchor="page9">
        <w:r>
          <w:rPr>
            <w:rFonts w:ascii="Times New Roman" w:cs="Times New Roman" w:eastAsia="Times New Roman" w:hAnsi="Times New Roman"/>
            <w:sz w:val="18"/>
            <w:szCs w:val="18"/>
            <w:color w:val="auto"/>
          </w:rPr>
          <w:t>S1</w:t>
        </w:r>
      </w:hyperlink>
      <w:r>
        <w:rPr>
          <w:rFonts w:ascii="Times New Roman" w:cs="Times New Roman" w:eastAsia="Times New Roman" w:hAnsi="Times New Roman"/>
          <w:sz w:val="18"/>
          <w:szCs w:val="18"/>
          <w:color w:val="auto"/>
        </w:rPr>
        <w:t>). Individual nucleotide alignments and the respective amino acid translation were constructed using TranslatorX (</w:t>
      </w:r>
      <w:hyperlink w:anchor="page9">
        <w:r>
          <w:rPr>
            <w:rFonts w:ascii="Times New Roman" w:cs="Times New Roman" w:eastAsia="Times New Roman" w:hAnsi="Times New Roman"/>
            <w:sz w:val="18"/>
            <w:szCs w:val="18"/>
            <w:color w:val="4C4C4C"/>
          </w:rPr>
          <w:t>Abascal</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et al., 2010</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and poorly aligned regions were identi</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ed</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 xml:space="preserve">using GBlocks (vers. 0.91b; </w:t>
      </w:r>
      <w:hyperlink w:anchor="page9">
        <w:r>
          <w:rPr>
            <w:rFonts w:ascii="Times New Roman" w:cs="Times New Roman" w:eastAsia="Times New Roman" w:hAnsi="Times New Roman"/>
            <w:sz w:val="18"/>
            <w:szCs w:val="18"/>
            <w:color w:val="4C4C4C"/>
          </w:rPr>
          <w:t>Talavera and Castrasana, 2007</w:t>
        </w:r>
      </w:hyperlink>
      <w:r>
        <w:rPr>
          <w:rFonts w:ascii="Times New Roman" w:cs="Times New Roman" w:eastAsia="Times New Roman" w:hAnsi="Times New Roman"/>
          <w:sz w:val="18"/>
          <w:szCs w:val="18"/>
          <w:color w:val="000000"/>
        </w:rPr>
        <w:t>). Alignments were inspected manually, and regions of low coverage, i.e., at the beginning and ends of sequences, or with ambiguous alignment, were identi</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ed and removed by codon triplet position, to maintain a full correspondence between codon triplets of the nucleotide sequences and their amino acid translation. Concatenated data matrices were constructed from the combined protein-coding genes (48861 sites) and their corresponding combined protein translations (16287 sites). The proportion of missing characters among ingroup taxa were very low, with a mean of 4.38% per taxon (median 2.36%), suggesting that the results were unlikely to be biased by ambiguous data (</w:t>
      </w:r>
      <w:hyperlink w:anchor="page9">
        <w:r>
          <w:rPr>
            <w:rFonts w:ascii="Times New Roman" w:cs="Times New Roman" w:eastAsia="Times New Roman" w:hAnsi="Times New Roman"/>
            <w:sz w:val="18"/>
            <w:szCs w:val="18"/>
            <w:color w:val="4C4C4C"/>
          </w:rPr>
          <w:t>Lemmon et al., 2009</w:t>
        </w:r>
      </w:hyperlink>
      <w:r>
        <w:rPr>
          <w:rFonts w:ascii="Times New Roman" w:cs="Times New Roman" w:eastAsia="Times New Roman" w:hAnsi="Times New Roman"/>
          <w:sz w:val="18"/>
          <w:szCs w:val="18"/>
          <w:color w:val="000000"/>
        </w:rPr>
        <w:t>). In addition to standard DNA coding, all synonymous substitutions of the protein-coding gene data were eliminated by codon-degenerate recoding with IUPAC ambiguity codes (</w:t>
      </w:r>
      <w:hyperlink w:anchor="page9">
        <w:r>
          <w:rPr>
            <w:rFonts w:ascii="Times New Roman" w:cs="Times New Roman" w:eastAsia="Times New Roman" w:hAnsi="Times New Roman"/>
            <w:sz w:val="18"/>
            <w:szCs w:val="18"/>
            <w:color w:val="4C4C4C"/>
          </w:rPr>
          <w:t>Cox et al., 2014</w:t>
        </w:r>
      </w:hyperlink>
      <w:r>
        <w:rPr>
          <w:rFonts w:ascii="Times New Roman" w:cs="Times New Roman" w:eastAsia="Times New Roman" w:hAnsi="Times New Roman"/>
          <w:sz w:val="18"/>
          <w:szCs w:val="18"/>
          <w:color w:val="000000"/>
        </w:rPr>
        <w:t>). Thus, three concatenated data sets were generated: 1) nucleotides, 2) codon-degenerate recoded nucleotides, and 3) the translated amino acid sequences.</w:t>
      </w:r>
    </w:p>
    <w:p>
      <w:pPr>
        <w:spacing w:after="0" w:line="12" w:lineRule="exact"/>
        <w:rPr>
          <w:rFonts w:ascii="Times New Roman" w:cs="Times New Roman" w:eastAsia="Times New Roman" w:hAnsi="Times New Roman"/>
          <w:sz w:val="18"/>
          <w:szCs w:val="18"/>
          <w:color w:val="000000"/>
        </w:rPr>
      </w:pPr>
    </w:p>
    <w:p>
      <w:pPr>
        <w:jc w:val="both"/>
        <w:ind w:firstLine="240"/>
        <w:spacing w:after="0" w:line="267" w:lineRule="auto"/>
        <w:rPr>
          <w:sz w:val="20"/>
          <w:szCs w:val="20"/>
          <w:color w:val="auto"/>
        </w:rPr>
      </w:pPr>
      <w:r>
        <w:rPr>
          <w:rFonts w:ascii="Times New Roman" w:cs="Times New Roman" w:eastAsia="Times New Roman" w:hAnsi="Times New Roman"/>
          <w:sz w:val="18"/>
          <w:szCs w:val="18"/>
          <w:color w:val="auto"/>
        </w:rPr>
        <w:t>Three tree-independent tests of model process homogeneity were performed using pairwise sequence comparisons in each of the three data sets to assess whether the data were homogeneous with respect to among-lineage composition (i.e. stationarity) and</w:t>
      </w:r>
    </w:p>
    <w:p>
      <w:pPr>
        <w:spacing w:after="0" w:line="20" w:lineRule="exact"/>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000000"/>
        </w:rPr>
        <mc:AlternateContent>
          <mc:Choice Requires="wps">
            <w:drawing>
              <wp:anchor simplePos="0" relativeHeight="251657728" behindDoc="1" locked="0" layoutInCell="0" allowOverlap="1">
                <wp:simplePos x="0" y="0"/>
                <wp:positionH relativeFrom="column">
                  <wp:posOffset>4445</wp:posOffset>
                </wp:positionH>
                <wp:positionV relativeFrom="paragraph">
                  <wp:posOffset>90170</wp:posOffset>
                </wp:positionV>
                <wp:extent cx="640778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600">
                          <a:solidFill>
                            <a:srgbClr val="4C4C4C"/>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7.1pt" to="504.9pt,7.1pt" o:allowincell="f" strokecolor="#4C4C4C" strokeweight="0.2835pt"/>
            </w:pict>
          </mc:Fallback>
        </mc:AlternateContent>
      </w:r>
    </w:p>
    <w:p>
      <w:pPr>
        <w:spacing w:after="0" w:line="20" w:lineRule="exact"/>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000000"/>
        </w:rPr>
        <w:br w:type="column"/>
      </w:r>
    </w:p>
    <w:p>
      <w:pPr>
        <w:spacing w:after="0" w:line="200" w:lineRule="exact"/>
        <w:rPr>
          <w:rFonts w:ascii="Times New Roman" w:cs="Times New Roman" w:eastAsia="Times New Roman" w:hAnsi="Times New Roman"/>
          <w:sz w:val="18"/>
          <w:szCs w:val="18"/>
          <w:color w:val="000000"/>
        </w:rPr>
      </w:pPr>
    </w:p>
    <w:p>
      <w:pPr>
        <w:spacing w:after="0" w:line="267" w:lineRule="exact"/>
        <w:rPr>
          <w:rFonts w:ascii="Times New Roman" w:cs="Times New Roman" w:eastAsia="Times New Roman" w:hAnsi="Times New Roman"/>
          <w:sz w:val="18"/>
          <w:szCs w:val="18"/>
          <w:color w:val="000000"/>
        </w:rPr>
      </w:pPr>
    </w:p>
    <w:p>
      <w:pPr>
        <w:jc w:val="both"/>
        <w:spacing w:after="0" w:line="250" w:lineRule="auto"/>
        <w:rPr>
          <w:rFonts w:ascii="Times New Roman" w:cs="Times New Roman" w:eastAsia="Times New Roman" w:hAnsi="Times New Roman"/>
          <w:sz w:val="19"/>
          <w:szCs w:val="19"/>
          <w:color w:val="000000"/>
        </w:rPr>
      </w:pPr>
      <w:r>
        <w:rPr>
          <w:rFonts w:ascii="Times New Roman" w:cs="Times New Roman" w:eastAsia="Times New Roman" w:hAnsi="Times New Roman"/>
          <w:sz w:val="19"/>
          <w:szCs w:val="19"/>
          <w:color w:val="auto"/>
        </w:rPr>
        <w:t>instantaneous substitution rate, and process reversibility. Bowker's Test (</w:t>
      </w:r>
      <w:hyperlink w:anchor="page9">
        <w:r>
          <w:rPr>
            <w:rFonts w:ascii="Times New Roman" w:cs="Times New Roman" w:eastAsia="Times New Roman" w:hAnsi="Times New Roman"/>
            <w:sz w:val="19"/>
            <w:szCs w:val="19"/>
            <w:color w:val="4C4C4C"/>
          </w:rPr>
          <w:t>Ababneh et al., 2006</w:t>
        </w:r>
      </w:hyperlink>
      <w:r>
        <w:rPr>
          <w:rFonts w:ascii="Times New Roman" w:cs="Times New Roman" w:eastAsia="Times New Roman" w:hAnsi="Times New Roman"/>
          <w:sz w:val="19"/>
          <w:szCs w:val="19"/>
          <w:color w:val="auto"/>
        </w:rPr>
        <w:t xml:space="preserve">; </w:t>
      </w:r>
      <w:hyperlink w:anchor="page9">
        <w:r>
          <w:rPr>
            <w:rFonts w:ascii="Times New Roman" w:cs="Times New Roman" w:eastAsia="Times New Roman" w:hAnsi="Times New Roman"/>
            <w:sz w:val="19"/>
            <w:szCs w:val="19"/>
            <w:color w:val="4C4C4C"/>
          </w:rPr>
          <w:t>Jermiin et al., 2017</w:t>
        </w:r>
      </w:hyperlink>
      <w:r>
        <w:rPr>
          <w:rFonts w:ascii="Times New Roman" w:cs="Times New Roman" w:eastAsia="Times New Roman" w:hAnsi="Times New Roman"/>
          <w:sz w:val="19"/>
          <w:szCs w:val="19"/>
          <w:color w:val="auto"/>
        </w:rPr>
        <w:t>) is a general test of model process homogeneity between sequences, whereas Stuart's and Ababneh's tests indicate deviation from stationarity and rate homogeneity, respectively (</w:t>
      </w:r>
      <w:hyperlink w:anchor="page9">
        <w:r>
          <w:rPr>
            <w:rFonts w:ascii="Times New Roman" w:cs="Times New Roman" w:eastAsia="Times New Roman" w:hAnsi="Times New Roman"/>
            <w:sz w:val="19"/>
            <w:szCs w:val="19"/>
            <w:color w:val="4C4C4C"/>
          </w:rPr>
          <w:t>Ababneh et al.,</w:t>
        </w:r>
      </w:hyperlink>
      <w:r>
        <w:rPr>
          <w:rFonts w:ascii="Times New Roman" w:cs="Times New Roman" w:eastAsia="Times New Roman" w:hAnsi="Times New Roman"/>
          <w:sz w:val="19"/>
          <w:szCs w:val="19"/>
          <w:color w:val="auto"/>
        </w:rPr>
        <w:t xml:space="preserve"> </w:t>
      </w:r>
      <w:hyperlink w:anchor="page9">
        <w:r>
          <w:rPr>
            <w:rFonts w:ascii="Times New Roman" w:cs="Times New Roman" w:eastAsia="Times New Roman" w:hAnsi="Times New Roman"/>
            <w:sz w:val="19"/>
            <w:szCs w:val="19"/>
            <w:color w:val="4C4C4C"/>
          </w:rPr>
          <w:t>2006</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4C4C4C"/>
        </w:rPr>
        <w:t xml:space="preserve"> </w:t>
      </w:r>
      <w:hyperlink w:anchor="page9">
        <w:r>
          <w:rPr>
            <w:rFonts w:ascii="Times New Roman" w:cs="Times New Roman" w:eastAsia="Times New Roman" w:hAnsi="Times New Roman"/>
            <w:sz w:val="19"/>
            <w:szCs w:val="19"/>
            <w:color w:val="4C4C4C"/>
          </w:rPr>
          <w:t>Jermiin et al., 2020</w:t>
        </w:r>
      </w:hyperlink>
      <w:r>
        <w:rPr>
          <w:rFonts w:ascii="Times New Roman" w:cs="Times New Roman" w:eastAsia="Times New Roman" w:hAnsi="Times New Roman"/>
          <w:sz w:val="19"/>
          <w:szCs w:val="19"/>
          <w:color w:val="000000"/>
        </w:rPr>
        <w:t>;</w:t>
      </w:r>
      <w:r>
        <w:rPr>
          <w:rFonts w:ascii="Times New Roman" w:cs="Times New Roman" w:eastAsia="Times New Roman" w:hAnsi="Times New Roman"/>
          <w:sz w:val="19"/>
          <w:szCs w:val="19"/>
          <w:color w:val="4C4C4C"/>
        </w:rPr>
        <w:t xml:space="preserve"> </w:t>
      </w:r>
      <w:hyperlink w:anchor="page9">
        <w:r>
          <w:rPr>
            <w:rFonts w:ascii="Times New Roman" w:cs="Times New Roman" w:eastAsia="Times New Roman" w:hAnsi="Times New Roman"/>
            <w:sz w:val="19"/>
            <w:szCs w:val="19"/>
            <w:color w:val="4C4C4C"/>
          </w:rPr>
          <w:t>Jermiin and Misof, 2020</w:t>
        </w:r>
      </w:hyperlink>
      <w:r>
        <w:rPr>
          <w:rFonts w:ascii="Times New Roman" w:cs="Times New Roman" w:eastAsia="Times New Roman" w:hAnsi="Times New Roman"/>
          <w:sz w:val="19"/>
          <w:szCs w:val="19"/>
          <w:color w:val="000000"/>
        </w:rPr>
        <w:t>). All tests were</w:t>
      </w:r>
      <w:r>
        <w:rPr>
          <w:rFonts w:ascii="Times New Roman" w:cs="Times New Roman" w:eastAsia="Times New Roman" w:hAnsi="Times New Roman"/>
          <w:sz w:val="19"/>
          <w:szCs w:val="19"/>
          <w:color w:val="4C4C4C"/>
        </w:rPr>
        <w:t xml:space="preserve"> </w:t>
      </w:r>
      <w:r>
        <w:rPr>
          <w:rFonts w:ascii="Times New Roman" w:cs="Times New Roman" w:eastAsia="Times New Roman" w:hAnsi="Times New Roman"/>
          <w:sz w:val="19"/>
          <w:szCs w:val="19"/>
          <w:color w:val="000000"/>
        </w:rPr>
        <w:t xml:space="preserve">performed using P4 (vers. 0.89 - </w:t>
      </w:r>
      <w:hyperlink w:anchor="page9">
        <w:r>
          <w:rPr>
            <w:rFonts w:ascii="Times New Roman" w:cs="Times New Roman" w:eastAsia="Times New Roman" w:hAnsi="Times New Roman"/>
            <w:sz w:val="19"/>
            <w:szCs w:val="19"/>
            <w:color w:val="4C4C4C"/>
          </w:rPr>
          <w:t>Foster, 2004</w:t>
        </w:r>
      </w:hyperlink>
      <w:r>
        <w:rPr>
          <w:rFonts w:ascii="Times New Roman" w:cs="Times New Roman" w:eastAsia="Times New Roman" w:hAnsi="Times New Roman"/>
          <w:sz w:val="19"/>
          <w:szCs w:val="19"/>
          <w:color w:val="000000"/>
        </w:rPr>
        <w:t>).</w:t>
      </w:r>
    </w:p>
    <w:p>
      <w:pPr>
        <w:spacing w:after="0" w:line="17" w:lineRule="exact"/>
        <w:rPr>
          <w:rFonts w:ascii="Times New Roman" w:cs="Times New Roman" w:eastAsia="Times New Roman" w:hAnsi="Times New Roman"/>
          <w:sz w:val="19"/>
          <w:szCs w:val="19"/>
          <w:color w:val="4C4C4C"/>
        </w:rPr>
      </w:pPr>
    </w:p>
    <w:p>
      <w:pPr>
        <w:jc w:val="both"/>
        <w:ind w:firstLine="240"/>
        <w:spacing w:after="0" w:line="25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Optimal sets of partitions among genes (11 partitions) and among codon-positions in genes (21 partitions) were determined using PartitionFinder (</w:t>
      </w:r>
      <w:hyperlink w:anchor="page9">
        <w:r>
          <w:rPr>
            <w:rFonts w:ascii="Times New Roman" w:cs="Times New Roman" w:eastAsia="Times New Roman" w:hAnsi="Times New Roman"/>
            <w:sz w:val="18"/>
            <w:szCs w:val="18"/>
            <w:color w:val="4C4C4C"/>
          </w:rPr>
          <w:t>Lanfear et al., 2014</w:t>
        </w:r>
      </w:hyperlink>
      <w:r>
        <w:rPr>
          <w:rFonts w:ascii="Times New Roman" w:cs="Times New Roman" w:eastAsia="Times New Roman" w:hAnsi="Times New Roman"/>
          <w:sz w:val="18"/>
          <w:szCs w:val="18"/>
          <w:color w:val="auto"/>
        </w:rPr>
        <w:t>), using a general time-reversible (GTR) model with a discrete (4 categories) gamma-distribution of rates among sites (</w:t>
      </w:r>
      <w:r>
        <w:rPr>
          <w:rFonts w:ascii="Arial" w:cs="Arial" w:eastAsia="Arial" w:hAnsi="Arial"/>
          <w:sz w:val="18"/>
          <w:szCs w:val="18"/>
          <w:color w:val="auto"/>
        </w:rPr>
        <w:t>G</w:t>
      </w:r>
      <w:r>
        <w:rPr>
          <w:rFonts w:ascii="Times New Roman" w:cs="Times New Roman" w:eastAsia="Times New Roman" w:hAnsi="Times New Roman"/>
          <w:sz w:val="24"/>
          <w:szCs w:val="24"/>
          <w:color w:val="auto"/>
          <w:vertAlign w:val="subscript"/>
        </w:rPr>
        <w:t>4</w:t>
      </w:r>
      <w:r>
        <w:rPr>
          <w:rFonts w:ascii="Times New Roman" w:cs="Times New Roman" w:eastAsia="Times New Roman" w:hAnsi="Times New Roman"/>
          <w:sz w:val="18"/>
          <w:szCs w:val="18"/>
          <w:color w:val="auto"/>
        </w:rPr>
        <w:t>), with empirical base frequencies (F</w:t>
      </w:r>
      <w:r>
        <w:rPr>
          <w:rFonts w:ascii="Times New Roman" w:cs="Times New Roman" w:eastAsia="Times New Roman" w:hAnsi="Times New Roman"/>
          <w:sz w:val="24"/>
          <w:szCs w:val="24"/>
          <w:color w:val="auto"/>
          <w:vertAlign w:val="subscript"/>
        </w:rPr>
        <w:t>emp</w:t>
      </w:r>
      <w:r>
        <w:rPr>
          <w:rFonts w:ascii="Times New Roman" w:cs="Times New Roman" w:eastAsia="Times New Roman" w:hAnsi="Times New Roman"/>
          <w:sz w:val="18"/>
          <w:szCs w:val="18"/>
          <w:color w:val="auto"/>
        </w:rPr>
        <w:t xml:space="preserve">), and with the best partitioning schemes chosen using the Bayesian Information Criterion (BIC). To test whether the optimal gene partitioning scheme estimated by PartitionFinder was dependent on the estimated neighbor-joining starting tree, which by default resulted in a tree in which hornworts were nested in the tracheophytes and is likely incorrect, an alternative optimal gene partitioning scheme, contingent on a </w:t>
      </w:r>
      <w:r>
        <w:rPr>
          <w:rFonts w:ascii="Arial" w:cs="Arial" w:eastAsia="Arial" w:hAnsi="Arial"/>
          <w:sz w:val="18"/>
          <w:szCs w:val="18"/>
          <w:color w:val="auto"/>
        </w:rPr>
        <w:t>fi</w:t>
      </w:r>
      <w:r>
        <w:rPr>
          <w:rFonts w:ascii="Times New Roman" w:cs="Times New Roman" w:eastAsia="Times New Roman" w:hAnsi="Times New Roman"/>
          <w:sz w:val="18"/>
          <w:szCs w:val="18"/>
          <w:color w:val="auto"/>
        </w:rPr>
        <w:t>xed tree showing monophyletic bryophytes, was determined and analyzed by ML bootstrap.</w:t>
      </w:r>
    </w:p>
    <w:p>
      <w:pPr>
        <w:spacing w:after="0" w:line="19" w:lineRule="exact"/>
        <w:rPr>
          <w:rFonts w:ascii="Times New Roman" w:cs="Times New Roman" w:eastAsia="Times New Roman" w:hAnsi="Times New Roman"/>
          <w:sz w:val="19"/>
          <w:szCs w:val="19"/>
          <w:color w:val="4C4C4C"/>
        </w:rPr>
      </w:pPr>
    </w:p>
    <w:p>
      <w:pPr>
        <w:jc w:val="both"/>
        <w:ind w:firstLine="240"/>
        <w:spacing w:after="0" w:line="26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Best-</w:t>
      </w:r>
      <w:r>
        <w:rPr>
          <w:rFonts w:ascii="Arial" w:cs="Arial" w:eastAsia="Arial" w:hAnsi="Arial"/>
          <w:sz w:val="18"/>
          <w:szCs w:val="18"/>
          <w:color w:val="auto"/>
        </w:rPr>
        <w:t>fi</w:t>
      </w:r>
      <w:r>
        <w:rPr>
          <w:rFonts w:ascii="Times New Roman" w:cs="Times New Roman" w:eastAsia="Times New Roman" w:hAnsi="Times New Roman"/>
          <w:sz w:val="18"/>
          <w:szCs w:val="18"/>
          <w:color w:val="auto"/>
        </w:rPr>
        <w:t>tting substitution models were determined using Modelgenerator (</w:t>
      </w:r>
      <w:hyperlink w:anchor="page9">
        <w:r>
          <w:rPr>
            <w:rFonts w:ascii="Times New Roman" w:cs="Times New Roman" w:eastAsia="Times New Roman" w:hAnsi="Times New Roman"/>
            <w:sz w:val="18"/>
            <w:szCs w:val="18"/>
            <w:color w:val="4C4C4C"/>
          </w:rPr>
          <w:t>Keane et al., 2006</w:t>
        </w:r>
      </w:hyperlink>
      <w:r>
        <w:rPr>
          <w:rFonts w:ascii="Times New Roman" w:cs="Times New Roman" w:eastAsia="Times New Roman" w:hAnsi="Times New Roman"/>
          <w:sz w:val="18"/>
          <w:szCs w:val="18"/>
          <w:color w:val="auto"/>
        </w:rPr>
        <w:t>). In addition, the green-plant speci</w:t>
      </w:r>
      <w:r>
        <w:rPr>
          <w:rFonts w:ascii="Arial" w:cs="Arial" w:eastAsia="Arial" w:hAnsi="Arial"/>
          <w:sz w:val="18"/>
          <w:szCs w:val="18"/>
          <w:color w:val="auto"/>
        </w:rPr>
        <w:t>fi</w:t>
      </w:r>
      <w:r>
        <w:rPr>
          <w:rFonts w:ascii="Times New Roman" w:cs="Times New Roman" w:eastAsia="Times New Roman" w:hAnsi="Times New Roman"/>
          <w:sz w:val="18"/>
          <w:szCs w:val="18"/>
          <w:color w:val="auto"/>
        </w:rPr>
        <w:t>c empirical amino-acid substitution model, gcpREV, was used for analyses of amino acid sequence data (</w:t>
      </w:r>
      <w:hyperlink w:anchor="page9">
        <w:r>
          <w:rPr>
            <w:rFonts w:ascii="Times New Roman" w:cs="Times New Roman" w:eastAsia="Times New Roman" w:hAnsi="Times New Roman"/>
            <w:sz w:val="18"/>
            <w:szCs w:val="18"/>
            <w:color w:val="4C4C4C"/>
          </w:rPr>
          <w:t>Cox and</w:t>
        </w:r>
      </w:hyperlink>
    </w:p>
    <w:p>
      <w:pPr>
        <w:spacing w:after="0" w:line="200"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89" w:lineRule="exact"/>
        <w:rPr>
          <w:sz w:val="20"/>
          <w:szCs w:val="20"/>
          <w:color w:val="auto"/>
        </w:rPr>
      </w:pPr>
    </w:p>
    <w:p>
      <w:pPr>
        <w:spacing w:after="0"/>
        <w:rPr>
          <w:sz w:val="20"/>
          <w:szCs w:val="20"/>
          <w:color w:val="auto"/>
        </w:rPr>
      </w:pPr>
      <w:r>
        <w:rPr>
          <w:rFonts w:ascii="Arial" w:cs="Arial" w:eastAsia="Arial" w:hAnsi="Arial"/>
          <w:sz w:val="14"/>
          <w:szCs w:val="14"/>
          <w:color w:val="auto"/>
        </w:rPr>
        <w:t>TABLE 1 | Taxon sampling.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60325</wp:posOffset>
                </wp:positionV>
                <wp:extent cx="6407785"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600">
                          <a:solidFill>
                            <a:srgbClr val="4C4C4C"/>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4.75pt" to="504.9pt,4.75pt" o:allowincell="f" strokecolor="#4C4C4C" strokeweight="0.2835pt"/>
            </w:pict>
          </mc:Fallback>
        </mc:AlternateContent>
      </w:r>
    </w:p>
    <w:p>
      <w:pPr>
        <w:spacing w:after="0" w:line="150"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2020" w:type="dxa"/>
            <w:vAlign w:val="bottom"/>
          </w:tcPr>
          <w:p>
            <w:pPr>
              <w:spacing w:after="0"/>
              <w:rPr>
                <w:sz w:val="20"/>
                <w:szCs w:val="20"/>
                <w:color w:val="auto"/>
              </w:rPr>
            </w:pPr>
            <w:r>
              <w:rPr>
                <w:rFonts w:ascii="Arial" w:cs="Arial" w:eastAsia="Arial" w:hAnsi="Arial"/>
                <w:sz w:val="14"/>
                <w:szCs w:val="14"/>
                <w:color w:val="auto"/>
              </w:rPr>
              <w:t>Taxon name</w:t>
            </w:r>
          </w:p>
        </w:tc>
        <w:tc>
          <w:tcPr>
            <w:tcW w:w="2360" w:type="dxa"/>
            <w:vAlign w:val="bottom"/>
          </w:tcPr>
          <w:p>
            <w:pPr>
              <w:ind w:left="700"/>
              <w:spacing w:after="0"/>
              <w:rPr>
                <w:sz w:val="20"/>
                <w:szCs w:val="20"/>
                <w:color w:val="auto"/>
              </w:rPr>
            </w:pPr>
            <w:r>
              <w:rPr>
                <w:rFonts w:ascii="Arial" w:cs="Arial" w:eastAsia="Arial" w:hAnsi="Arial"/>
                <w:sz w:val="14"/>
                <w:szCs w:val="14"/>
                <w:color w:val="auto"/>
              </w:rPr>
              <w:t>Classification</w:t>
            </w:r>
            <w:r>
              <w:rPr>
                <w:rFonts w:ascii="Arial" w:cs="Arial" w:eastAsia="Arial" w:hAnsi="Arial"/>
                <w:sz w:val="18"/>
                <w:szCs w:val="18"/>
                <w:color w:val="auto"/>
                <w:vertAlign w:val="superscript"/>
              </w:rPr>
              <w:t>1</w:t>
            </w:r>
          </w:p>
        </w:tc>
        <w:tc>
          <w:tcPr>
            <w:tcW w:w="1780" w:type="dxa"/>
            <w:vAlign w:val="bottom"/>
          </w:tcPr>
          <w:p>
            <w:pPr>
              <w:ind w:left="220"/>
              <w:spacing w:after="0"/>
              <w:rPr>
                <w:sz w:val="20"/>
                <w:szCs w:val="20"/>
                <w:color w:val="auto"/>
              </w:rPr>
            </w:pPr>
            <w:r>
              <w:rPr>
                <w:rFonts w:ascii="Arial" w:cs="Arial" w:eastAsia="Arial" w:hAnsi="Arial"/>
                <w:sz w:val="14"/>
                <w:szCs w:val="14"/>
                <w:color w:val="auto"/>
              </w:rPr>
              <w:t>GenBank Accession</w:t>
            </w:r>
          </w:p>
        </w:tc>
        <w:tc>
          <w:tcPr>
            <w:tcW w:w="1320" w:type="dxa"/>
            <w:vAlign w:val="bottom"/>
          </w:tcPr>
          <w:p>
            <w:pPr>
              <w:jc w:val="center"/>
              <w:spacing w:after="0"/>
              <w:rPr>
                <w:sz w:val="20"/>
                <w:szCs w:val="20"/>
                <w:color w:val="auto"/>
              </w:rPr>
            </w:pPr>
            <w:r>
              <w:rPr>
                <w:rFonts w:ascii="Arial" w:cs="Arial" w:eastAsia="Arial" w:hAnsi="Arial"/>
                <w:sz w:val="14"/>
                <w:szCs w:val="14"/>
                <w:color w:val="auto"/>
              </w:rPr>
              <w:t>No. of genes</w:t>
            </w:r>
            <w:r>
              <w:rPr>
                <w:rFonts w:ascii="Arial" w:cs="Arial" w:eastAsia="Arial" w:hAnsi="Arial"/>
                <w:sz w:val="18"/>
                <w:szCs w:val="18"/>
                <w:color w:val="auto"/>
                <w:vertAlign w:val="superscript"/>
              </w:rPr>
              <w:t>2</w:t>
            </w:r>
          </w:p>
        </w:tc>
        <w:tc>
          <w:tcPr>
            <w:tcW w:w="1960" w:type="dxa"/>
            <w:vAlign w:val="bottom"/>
          </w:tcPr>
          <w:p>
            <w:pPr>
              <w:ind w:left="220"/>
              <w:spacing w:after="0"/>
              <w:rPr>
                <w:sz w:val="20"/>
                <w:szCs w:val="20"/>
                <w:color w:val="auto"/>
              </w:rPr>
            </w:pPr>
            <w:r>
              <w:rPr>
                <w:rFonts w:ascii="Arial" w:cs="Arial" w:eastAsia="Arial" w:hAnsi="Arial"/>
                <w:sz w:val="14"/>
                <w:szCs w:val="14"/>
                <w:color w:val="auto"/>
              </w:rPr>
              <w:t>% Missing characters</w:t>
            </w:r>
            <w:r>
              <w:rPr>
                <w:rFonts w:ascii="Arial" w:cs="Arial" w:eastAsia="Arial" w:hAnsi="Arial"/>
                <w:sz w:val="18"/>
                <w:szCs w:val="18"/>
                <w:color w:val="auto"/>
                <w:vertAlign w:val="superscript"/>
              </w:rPr>
              <w:t>3</w:t>
            </w:r>
          </w:p>
        </w:tc>
        <w:tc>
          <w:tcPr>
            <w:tcW w:w="660" w:type="dxa"/>
            <w:vAlign w:val="bottom"/>
          </w:tcPr>
          <w:p>
            <w:pPr>
              <w:jc w:val="center"/>
              <w:ind w:left="150"/>
              <w:spacing w:after="0"/>
              <w:rPr>
                <w:sz w:val="20"/>
                <w:szCs w:val="20"/>
                <w:color w:val="auto"/>
              </w:rPr>
            </w:pPr>
            <w:r>
              <w:rPr>
                <w:rFonts w:ascii="Arial" w:cs="Arial" w:eastAsia="Arial" w:hAnsi="Arial"/>
                <w:sz w:val="14"/>
                <w:szCs w:val="14"/>
                <w:color w:val="auto"/>
              </w:rPr>
              <w:t>% G-C</w:t>
            </w:r>
          </w:p>
        </w:tc>
      </w:tr>
      <w:tr>
        <w:trPr>
          <w:trHeight w:val="65"/>
        </w:trPr>
        <w:tc>
          <w:tcPr>
            <w:tcW w:w="2020" w:type="dxa"/>
            <w:vAlign w:val="bottom"/>
            <w:tcBorders>
              <w:bottom w:val="single" w:sz="8" w:color="4C4C4C"/>
            </w:tcBorders>
          </w:tcPr>
          <w:p>
            <w:pPr>
              <w:spacing w:after="0"/>
              <w:rPr>
                <w:sz w:val="5"/>
                <w:szCs w:val="5"/>
                <w:color w:val="auto"/>
              </w:rPr>
            </w:pPr>
          </w:p>
        </w:tc>
        <w:tc>
          <w:tcPr>
            <w:tcW w:w="2360" w:type="dxa"/>
            <w:vAlign w:val="bottom"/>
            <w:tcBorders>
              <w:bottom w:val="single" w:sz="8" w:color="4C4C4C"/>
            </w:tcBorders>
          </w:tcPr>
          <w:p>
            <w:pPr>
              <w:spacing w:after="0"/>
              <w:rPr>
                <w:sz w:val="5"/>
                <w:szCs w:val="5"/>
                <w:color w:val="auto"/>
              </w:rPr>
            </w:pPr>
          </w:p>
        </w:tc>
        <w:tc>
          <w:tcPr>
            <w:tcW w:w="1780" w:type="dxa"/>
            <w:vAlign w:val="bottom"/>
            <w:tcBorders>
              <w:bottom w:val="single" w:sz="8" w:color="4C4C4C"/>
            </w:tcBorders>
          </w:tcPr>
          <w:p>
            <w:pPr>
              <w:spacing w:after="0"/>
              <w:rPr>
                <w:sz w:val="5"/>
                <w:szCs w:val="5"/>
                <w:color w:val="auto"/>
              </w:rPr>
            </w:pPr>
          </w:p>
        </w:tc>
        <w:tc>
          <w:tcPr>
            <w:tcW w:w="1320" w:type="dxa"/>
            <w:vAlign w:val="bottom"/>
            <w:tcBorders>
              <w:bottom w:val="single" w:sz="8" w:color="4C4C4C"/>
            </w:tcBorders>
          </w:tcPr>
          <w:p>
            <w:pPr>
              <w:spacing w:after="0"/>
              <w:rPr>
                <w:sz w:val="5"/>
                <w:szCs w:val="5"/>
                <w:color w:val="auto"/>
              </w:rPr>
            </w:pPr>
          </w:p>
        </w:tc>
        <w:tc>
          <w:tcPr>
            <w:tcW w:w="1960" w:type="dxa"/>
            <w:vAlign w:val="bottom"/>
            <w:tcBorders>
              <w:bottom w:val="single" w:sz="8" w:color="4C4C4C"/>
            </w:tcBorders>
          </w:tcPr>
          <w:p>
            <w:pPr>
              <w:spacing w:after="0"/>
              <w:rPr>
                <w:sz w:val="5"/>
                <w:szCs w:val="5"/>
                <w:color w:val="auto"/>
              </w:rPr>
            </w:pPr>
          </w:p>
        </w:tc>
        <w:tc>
          <w:tcPr>
            <w:tcW w:w="660" w:type="dxa"/>
            <w:vAlign w:val="bottom"/>
            <w:tcBorders>
              <w:bottom w:val="single" w:sz="8" w:color="4C4C4C"/>
            </w:tcBorders>
          </w:tcPr>
          <w:p>
            <w:pPr>
              <w:spacing w:after="0"/>
              <w:rPr>
                <w:sz w:val="5"/>
                <w:szCs w:val="5"/>
                <w:color w:val="auto"/>
              </w:rPr>
            </w:pPr>
          </w:p>
        </w:tc>
      </w:tr>
      <w:tr>
        <w:trPr>
          <w:trHeight w:val="234"/>
        </w:trPr>
        <w:tc>
          <w:tcPr>
            <w:tcW w:w="2020" w:type="dxa"/>
            <w:vAlign w:val="bottom"/>
          </w:tcPr>
          <w:p>
            <w:pPr>
              <w:spacing w:after="0"/>
              <w:rPr>
                <w:sz w:val="20"/>
                <w:szCs w:val="20"/>
                <w:color w:val="auto"/>
              </w:rPr>
            </w:pPr>
            <w:r>
              <w:rPr>
                <w:rFonts w:ascii="Arial" w:cs="Arial" w:eastAsia="Arial" w:hAnsi="Arial"/>
                <w:sz w:val="14"/>
                <w:szCs w:val="14"/>
                <w:color w:val="auto"/>
              </w:rPr>
              <w:t>Chlorella vulgaris</w:t>
            </w:r>
          </w:p>
        </w:tc>
        <w:tc>
          <w:tcPr>
            <w:tcW w:w="2360" w:type="dxa"/>
            <w:vAlign w:val="bottom"/>
          </w:tcPr>
          <w:p>
            <w:pPr>
              <w:ind w:left="220"/>
              <w:spacing w:after="0"/>
              <w:rPr>
                <w:sz w:val="20"/>
                <w:szCs w:val="20"/>
                <w:color w:val="auto"/>
              </w:rPr>
            </w:pPr>
            <w:r>
              <w:rPr>
                <w:rFonts w:ascii="Arial" w:cs="Arial" w:eastAsia="Arial" w:hAnsi="Arial"/>
                <w:sz w:val="14"/>
                <w:szCs w:val="14"/>
                <w:color w:val="auto"/>
              </w:rPr>
              <w:t>Chlorophyta, Trebouxiophyceae</w:t>
            </w:r>
          </w:p>
        </w:tc>
        <w:tc>
          <w:tcPr>
            <w:tcW w:w="1780" w:type="dxa"/>
            <w:vAlign w:val="bottom"/>
          </w:tcPr>
          <w:p>
            <w:pPr>
              <w:ind w:left="220"/>
              <w:spacing w:after="0"/>
              <w:rPr>
                <w:sz w:val="20"/>
                <w:szCs w:val="20"/>
                <w:color w:val="auto"/>
              </w:rPr>
            </w:pPr>
            <w:r>
              <w:rPr>
                <w:rFonts w:ascii="Arial" w:cs="Arial" w:eastAsia="Arial" w:hAnsi="Arial"/>
                <w:sz w:val="14"/>
                <w:szCs w:val="14"/>
                <w:color w:val="auto"/>
              </w:rPr>
              <w:t>NC_001865</w:t>
            </w:r>
          </w:p>
        </w:tc>
        <w:tc>
          <w:tcPr>
            <w:tcW w:w="1320" w:type="dxa"/>
            <w:vAlign w:val="bottom"/>
          </w:tcPr>
          <w:p>
            <w:pPr>
              <w:jc w:val="center"/>
              <w:spacing w:after="0"/>
              <w:rPr>
                <w:sz w:val="20"/>
                <w:szCs w:val="20"/>
                <w:color w:val="auto"/>
              </w:rPr>
            </w:pPr>
            <w:r>
              <w:rPr>
                <w:rFonts w:ascii="Arial" w:cs="Arial" w:eastAsia="Arial" w:hAnsi="Arial"/>
                <w:sz w:val="14"/>
                <w:szCs w:val="14"/>
                <w:color w:val="auto"/>
              </w:rPr>
              <w:t>65</w:t>
            </w:r>
          </w:p>
        </w:tc>
        <w:tc>
          <w:tcPr>
            <w:tcW w:w="1960" w:type="dxa"/>
            <w:vAlign w:val="bottom"/>
          </w:tcPr>
          <w:p>
            <w:pPr>
              <w:jc w:val="center"/>
              <w:spacing w:after="0"/>
              <w:rPr>
                <w:sz w:val="20"/>
                <w:szCs w:val="20"/>
                <w:color w:val="auto"/>
              </w:rPr>
            </w:pPr>
            <w:r>
              <w:rPr>
                <w:rFonts w:ascii="Arial" w:cs="Arial" w:eastAsia="Arial" w:hAnsi="Arial"/>
                <w:sz w:val="14"/>
                <w:szCs w:val="14"/>
                <w:color w:val="auto"/>
              </w:rPr>
              <w:t>21.28</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38.24</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Chlamydomonas reinhardtii</w:t>
            </w:r>
          </w:p>
        </w:tc>
        <w:tc>
          <w:tcPr>
            <w:tcW w:w="2360" w:type="dxa"/>
            <w:vAlign w:val="bottom"/>
          </w:tcPr>
          <w:p>
            <w:pPr>
              <w:ind w:left="220"/>
              <w:spacing w:after="0"/>
              <w:rPr>
                <w:sz w:val="20"/>
                <w:szCs w:val="20"/>
                <w:color w:val="auto"/>
              </w:rPr>
            </w:pPr>
            <w:r>
              <w:rPr>
                <w:rFonts w:ascii="Arial" w:cs="Arial" w:eastAsia="Arial" w:hAnsi="Arial"/>
                <w:sz w:val="14"/>
                <w:szCs w:val="14"/>
                <w:color w:val="auto"/>
              </w:rPr>
              <w:t>Chlorophyta, Chlorophyceae</w:t>
            </w:r>
          </w:p>
        </w:tc>
        <w:tc>
          <w:tcPr>
            <w:tcW w:w="1780" w:type="dxa"/>
            <w:vAlign w:val="bottom"/>
          </w:tcPr>
          <w:p>
            <w:pPr>
              <w:ind w:left="220"/>
              <w:spacing w:after="0"/>
              <w:rPr>
                <w:sz w:val="20"/>
                <w:szCs w:val="20"/>
                <w:color w:val="auto"/>
              </w:rPr>
            </w:pPr>
            <w:r>
              <w:rPr>
                <w:rFonts w:ascii="Arial" w:cs="Arial" w:eastAsia="Arial" w:hAnsi="Arial"/>
                <w:sz w:val="14"/>
                <w:szCs w:val="14"/>
                <w:color w:val="auto"/>
              </w:rPr>
              <w:t>NC_005353</w:t>
            </w:r>
          </w:p>
        </w:tc>
        <w:tc>
          <w:tcPr>
            <w:tcW w:w="1320" w:type="dxa"/>
            <w:vAlign w:val="bottom"/>
          </w:tcPr>
          <w:p>
            <w:pPr>
              <w:jc w:val="center"/>
              <w:spacing w:after="0"/>
              <w:rPr>
                <w:sz w:val="20"/>
                <w:szCs w:val="20"/>
                <w:color w:val="auto"/>
              </w:rPr>
            </w:pPr>
            <w:r>
              <w:rPr>
                <w:rFonts w:ascii="Arial" w:cs="Arial" w:eastAsia="Arial" w:hAnsi="Arial"/>
                <w:sz w:val="14"/>
                <w:szCs w:val="14"/>
                <w:color w:val="auto"/>
              </w:rPr>
              <w:t>57</w:t>
            </w:r>
          </w:p>
        </w:tc>
        <w:tc>
          <w:tcPr>
            <w:tcW w:w="1960" w:type="dxa"/>
            <w:vAlign w:val="bottom"/>
          </w:tcPr>
          <w:p>
            <w:pPr>
              <w:jc w:val="center"/>
              <w:spacing w:after="0"/>
              <w:rPr>
                <w:sz w:val="20"/>
                <w:szCs w:val="20"/>
                <w:color w:val="auto"/>
              </w:rPr>
            </w:pPr>
            <w:r>
              <w:rPr>
                <w:rFonts w:ascii="Arial" w:cs="Arial" w:eastAsia="Arial" w:hAnsi="Arial"/>
                <w:sz w:val="14"/>
                <w:szCs w:val="14"/>
                <w:color w:val="auto"/>
              </w:rPr>
              <w:t>32.39</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36.30</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Ostreococcus tauri</w:t>
            </w:r>
          </w:p>
        </w:tc>
        <w:tc>
          <w:tcPr>
            <w:tcW w:w="2360" w:type="dxa"/>
            <w:vAlign w:val="bottom"/>
          </w:tcPr>
          <w:p>
            <w:pPr>
              <w:ind w:left="220"/>
              <w:spacing w:after="0"/>
              <w:rPr>
                <w:sz w:val="20"/>
                <w:szCs w:val="20"/>
                <w:color w:val="auto"/>
              </w:rPr>
            </w:pPr>
            <w:r>
              <w:rPr>
                <w:rFonts w:ascii="Arial" w:cs="Arial" w:eastAsia="Arial" w:hAnsi="Arial"/>
                <w:sz w:val="14"/>
                <w:szCs w:val="14"/>
                <w:color w:val="auto"/>
              </w:rPr>
              <w:t>Chlorophyta, prasinophytes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NC_008289</w:t>
            </w:r>
          </w:p>
        </w:tc>
        <w:tc>
          <w:tcPr>
            <w:tcW w:w="1320" w:type="dxa"/>
            <w:vAlign w:val="bottom"/>
          </w:tcPr>
          <w:p>
            <w:pPr>
              <w:jc w:val="center"/>
              <w:spacing w:after="0"/>
              <w:rPr>
                <w:sz w:val="20"/>
                <w:szCs w:val="20"/>
                <w:color w:val="auto"/>
              </w:rPr>
            </w:pPr>
            <w:r>
              <w:rPr>
                <w:rFonts w:ascii="Arial" w:cs="Arial" w:eastAsia="Arial" w:hAnsi="Arial"/>
                <w:sz w:val="14"/>
                <w:szCs w:val="14"/>
                <w:color w:val="auto"/>
              </w:rPr>
              <w:t>54</w:t>
            </w:r>
          </w:p>
        </w:tc>
        <w:tc>
          <w:tcPr>
            <w:tcW w:w="1960" w:type="dxa"/>
            <w:vAlign w:val="bottom"/>
          </w:tcPr>
          <w:p>
            <w:pPr>
              <w:jc w:val="center"/>
              <w:spacing w:after="0"/>
              <w:rPr>
                <w:sz w:val="20"/>
                <w:szCs w:val="20"/>
                <w:color w:val="auto"/>
              </w:rPr>
            </w:pPr>
            <w:r>
              <w:rPr>
                <w:rFonts w:ascii="Arial" w:cs="Arial" w:eastAsia="Arial" w:hAnsi="Arial"/>
                <w:sz w:val="14"/>
                <w:szCs w:val="14"/>
                <w:color w:val="auto"/>
              </w:rPr>
              <w:t>35.56</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42.02</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Nephroselmis olivacea</w:t>
            </w:r>
          </w:p>
        </w:tc>
        <w:tc>
          <w:tcPr>
            <w:tcW w:w="2360" w:type="dxa"/>
            <w:vAlign w:val="bottom"/>
          </w:tcPr>
          <w:p>
            <w:pPr>
              <w:ind w:left="220"/>
              <w:spacing w:after="0"/>
              <w:rPr>
                <w:sz w:val="20"/>
                <w:szCs w:val="20"/>
                <w:color w:val="auto"/>
              </w:rPr>
            </w:pPr>
            <w:r>
              <w:rPr>
                <w:rFonts w:ascii="Arial" w:cs="Arial" w:eastAsia="Arial" w:hAnsi="Arial"/>
                <w:sz w:val="14"/>
                <w:szCs w:val="14"/>
                <w:color w:val="auto"/>
              </w:rPr>
              <w:t>Chlorophyta, prasinophytes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NC_000927</w:t>
            </w:r>
          </w:p>
        </w:tc>
        <w:tc>
          <w:tcPr>
            <w:tcW w:w="1320" w:type="dxa"/>
            <w:vAlign w:val="bottom"/>
          </w:tcPr>
          <w:p>
            <w:pPr>
              <w:jc w:val="center"/>
              <w:spacing w:after="0"/>
              <w:rPr>
                <w:sz w:val="20"/>
                <w:szCs w:val="20"/>
                <w:color w:val="auto"/>
              </w:rPr>
            </w:pPr>
            <w:r>
              <w:rPr>
                <w:rFonts w:ascii="Arial" w:cs="Arial" w:eastAsia="Arial" w:hAnsi="Arial"/>
                <w:sz w:val="14"/>
                <w:szCs w:val="14"/>
                <w:color w:val="auto"/>
              </w:rPr>
              <w:t>74</w:t>
            </w:r>
          </w:p>
        </w:tc>
        <w:tc>
          <w:tcPr>
            <w:tcW w:w="1960" w:type="dxa"/>
            <w:vAlign w:val="bottom"/>
          </w:tcPr>
          <w:p>
            <w:pPr>
              <w:jc w:val="center"/>
              <w:spacing w:after="0"/>
              <w:rPr>
                <w:sz w:val="20"/>
                <w:szCs w:val="20"/>
                <w:color w:val="auto"/>
              </w:rPr>
            </w:pPr>
            <w:r>
              <w:rPr>
                <w:rFonts w:ascii="Arial" w:cs="Arial" w:eastAsia="Arial" w:hAnsi="Arial"/>
                <w:sz w:val="14"/>
                <w:szCs w:val="14"/>
                <w:color w:val="auto"/>
              </w:rPr>
              <w:t>4.81</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43.13</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Mesostigma viride</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Mesostigmales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NC_002186</w:t>
            </w:r>
          </w:p>
        </w:tc>
        <w:tc>
          <w:tcPr>
            <w:tcW w:w="1320" w:type="dxa"/>
            <w:vAlign w:val="bottom"/>
          </w:tcPr>
          <w:p>
            <w:pPr>
              <w:jc w:val="center"/>
              <w:spacing w:after="0"/>
              <w:rPr>
                <w:sz w:val="20"/>
                <w:szCs w:val="20"/>
                <w:color w:val="auto"/>
              </w:rPr>
            </w:pPr>
            <w:r>
              <w:rPr>
                <w:rFonts w:ascii="Arial" w:cs="Arial" w:eastAsia="Arial" w:hAnsi="Arial"/>
                <w:sz w:val="14"/>
                <w:szCs w:val="14"/>
                <w:color w:val="auto"/>
              </w:rPr>
              <w:t>79</w:t>
            </w:r>
          </w:p>
        </w:tc>
        <w:tc>
          <w:tcPr>
            <w:tcW w:w="1960" w:type="dxa"/>
            <w:vAlign w:val="bottom"/>
          </w:tcPr>
          <w:p>
            <w:pPr>
              <w:jc w:val="center"/>
              <w:spacing w:after="0"/>
              <w:rPr>
                <w:sz w:val="20"/>
                <w:szCs w:val="20"/>
                <w:color w:val="auto"/>
              </w:rPr>
            </w:pPr>
            <w:r>
              <w:rPr>
                <w:rFonts w:ascii="Arial" w:cs="Arial" w:eastAsia="Arial" w:hAnsi="Arial"/>
                <w:sz w:val="14"/>
                <w:szCs w:val="14"/>
                <w:color w:val="auto"/>
              </w:rPr>
              <w:t>3.55</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33.57</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Chlorokybus atmophyticus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Chlorokybales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NC_008822</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1.66</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37.96</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Klebsormidium flaccidum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Klebsormidiales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NC_024167</w:t>
            </w:r>
          </w:p>
        </w:tc>
        <w:tc>
          <w:tcPr>
            <w:tcW w:w="1320" w:type="dxa"/>
            <w:vAlign w:val="bottom"/>
          </w:tcPr>
          <w:p>
            <w:pPr>
              <w:jc w:val="center"/>
              <w:spacing w:after="0"/>
              <w:rPr>
                <w:sz w:val="20"/>
                <w:szCs w:val="20"/>
                <w:color w:val="auto"/>
              </w:rPr>
            </w:pPr>
            <w:r>
              <w:rPr>
                <w:rFonts w:ascii="Arial" w:cs="Arial" w:eastAsia="Arial" w:hAnsi="Arial"/>
                <w:sz w:val="14"/>
                <w:szCs w:val="14"/>
                <w:color w:val="auto"/>
              </w:rPr>
              <w:t>73</w:t>
            </w:r>
          </w:p>
        </w:tc>
        <w:tc>
          <w:tcPr>
            <w:tcW w:w="1960" w:type="dxa"/>
            <w:vAlign w:val="bottom"/>
          </w:tcPr>
          <w:p>
            <w:pPr>
              <w:jc w:val="center"/>
              <w:spacing w:after="0"/>
              <w:rPr>
                <w:sz w:val="20"/>
                <w:szCs w:val="20"/>
                <w:color w:val="auto"/>
              </w:rPr>
            </w:pPr>
            <w:r>
              <w:rPr>
                <w:rFonts w:ascii="Arial" w:cs="Arial" w:eastAsia="Arial" w:hAnsi="Arial"/>
                <w:sz w:val="14"/>
                <w:szCs w:val="14"/>
                <w:color w:val="auto"/>
              </w:rPr>
              <w:t>7.23</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43.33</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Chara vulgaris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Charales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NC_008097</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1.34</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34.63</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Chaetosphaeridium globosum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Coleochaetales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NC_004115</w:t>
            </w:r>
          </w:p>
        </w:tc>
        <w:tc>
          <w:tcPr>
            <w:tcW w:w="1320" w:type="dxa"/>
            <w:vAlign w:val="bottom"/>
          </w:tcPr>
          <w:p>
            <w:pPr>
              <w:jc w:val="center"/>
              <w:spacing w:after="0"/>
              <w:rPr>
                <w:sz w:val="20"/>
                <w:szCs w:val="20"/>
                <w:color w:val="auto"/>
              </w:rPr>
            </w:pPr>
            <w:r>
              <w:rPr>
                <w:rFonts w:ascii="Arial" w:cs="Arial" w:eastAsia="Arial" w:hAnsi="Arial"/>
                <w:sz w:val="14"/>
                <w:szCs w:val="14"/>
                <w:color w:val="auto"/>
              </w:rPr>
              <w:t>83</w:t>
            </w:r>
          </w:p>
        </w:tc>
        <w:tc>
          <w:tcPr>
            <w:tcW w:w="1960" w:type="dxa"/>
            <w:vAlign w:val="bottom"/>
          </w:tcPr>
          <w:p>
            <w:pPr>
              <w:jc w:val="center"/>
              <w:spacing w:after="0"/>
              <w:rPr>
                <w:sz w:val="20"/>
                <w:szCs w:val="20"/>
                <w:color w:val="auto"/>
              </w:rPr>
            </w:pPr>
            <w:r>
              <w:rPr>
                <w:rFonts w:ascii="Arial" w:cs="Arial" w:eastAsia="Arial" w:hAnsi="Arial"/>
                <w:sz w:val="14"/>
                <w:szCs w:val="14"/>
                <w:color w:val="auto"/>
              </w:rPr>
              <w:t>0.09</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33.77</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Staurastrum punctulatum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Desmidiales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NC_008116</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1.22</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35.77</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Zygnema circumcarinatum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Zygnematales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NC_008117</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0.90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37.93</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Mesotaenium endlicherianum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Zygnematales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NC_024169</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0.74</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44.29</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Roya anglica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Zygnematales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NC_024168</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0.47</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36.63</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Pellia endiviifolia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Marchantiophyta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NC_019628</w:t>
            </w:r>
          </w:p>
        </w:tc>
        <w:tc>
          <w:tcPr>
            <w:tcW w:w="1320" w:type="dxa"/>
            <w:vAlign w:val="bottom"/>
          </w:tcPr>
          <w:p>
            <w:pPr>
              <w:jc w:val="center"/>
              <w:spacing w:after="0"/>
              <w:rPr>
                <w:sz w:val="20"/>
                <w:szCs w:val="20"/>
                <w:color w:val="auto"/>
              </w:rPr>
            </w:pPr>
            <w:r>
              <w:rPr>
                <w:rFonts w:ascii="Arial" w:cs="Arial" w:eastAsia="Arial" w:hAnsi="Arial"/>
                <w:sz w:val="14"/>
                <w:szCs w:val="14"/>
                <w:color w:val="auto"/>
              </w:rPr>
              <w:t>82</w:t>
            </w:r>
          </w:p>
        </w:tc>
        <w:tc>
          <w:tcPr>
            <w:tcW w:w="1960" w:type="dxa"/>
            <w:vAlign w:val="bottom"/>
          </w:tcPr>
          <w:p>
            <w:pPr>
              <w:jc w:val="center"/>
              <w:spacing w:after="0"/>
              <w:rPr>
                <w:sz w:val="20"/>
                <w:szCs w:val="20"/>
                <w:color w:val="auto"/>
              </w:rPr>
            </w:pPr>
            <w:r>
              <w:rPr>
                <w:rFonts w:ascii="Arial" w:cs="Arial" w:eastAsia="Arial" w:hAnsi="Arial"/>
                <w:sz w:val="14"/>
                <w:szCs w:val="14"/>
                <w:color w:val="auto"/>
              </w:rPr>
              <w:t>0.50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38.24</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Ptilidium pulcherrimum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Marchantiophyta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NC_015402</w:t>
            </w:r>
          </w:p>
        </w:tc>
        <w:tc>
          <w:tcPr>
            <w:tcW w:w="1320" w:type="dxa"/>
            <w:vAlign w:val="bottom"/>
          </w:tcPr>
          <w:p>
            <w:pPr>
              <w:jc w:val="center"/>
              <w:spacing w:after="0"/>
              <w:rPr>
                <w:sz w:val="20"/>
                <w:szCs w:val="20"/>
                <w:color w:val="auto"/>
              </w:rPr>
            </w:pPr>
            <w:r>
              <w:rPr>
                <w:rFonts w:ascii="Arial" w:cs="Arial" w:eastAsia="Arial" w:hAnsi="Arial"/>
                <w:sz w:val="14"/>
                <w:szCs w:val="14"/>
                <w:color w:val="auto"/>
              </w:rPr>
              <w:t>77</w:t>
            </w:r>
          </w:p>
        </w:tc>
        <w:tc>
          <w:tcPr>
            <w:tcW w:w="1960" w:type="dxa"/>
            <w:vAlign w:val="bottom"/>
          </w:tcPr>
          <w:p>
            <w:pPr>
              <w:jc w:val="center"/>
              <w:spacing w:after="0"/>
              <w:rPr>
                <w:sz w:val="20"/>
                <w:szCs w:val="20"/>
                <w:color w:val="auto"/>
              </w:rPr>
            </w:pPr>
            <w:r>
              <w:rPr>
                <w:rFonts w:ascii="Arial" w:cs="Arial" w:eastAsia="Arial" w:hAnsi="Arial"/>
                <w:sz w:val="14"/>
                <w:szCs w:val="14"/>
                <w:color w:val="auto"/>
              </w:rPr>
              <w:t>10.7</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35.72</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Physcomitrella patens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Bryophyta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NC_005087</w:t>
            </w:r>
          </w:p>
        </w:tc>
        <w:tc>
          <w:tcPr>
            <w:tcW w:w="1320" w:type="dxa"/>
            <w:vAlign w:val="bottom"/>
          </w:tcPr>
          <w:p>
            <w:pPr>
              <w:jc w:val="center"/>
              <w:spacing w:after="0"/>
              <w:rPr>
                <w:sz w:val="20"/>
                <w:szCs w:val="20"/>
                <w:color w:val="auto"/>
              </w:rPr>
            </w:pPr>
            <w:r>
              <w:rPr>
                <w:rFonts w:ascii="Arial" w:cs="Arial" w:eastAsia="Arial" w:hAnsi="Arial"/>
                <w:sz w:val="14"/>
                <w:szCs w:val="14"/>
                <w:color w:val="auto"/>
              </w:rPr>
              <w:t>80</w:t>
            </w:r>
          </w:p>
        </w:tc>
        <w:tc>
          <w:tcPr>
            <w:tcW w:w="1960" w:type="dxa"/>
            <w:vAlign w:val="bottom"/>
          </w:tcPr>
          <w:p>
            <w:pPr>
              <w:jc w:val="center"/>
              <w:spacing w:after="0"/>
              <w:rPr>
                <w:sz w:val="20"/>
                <w:szCs w:val="20"/>
                <w:color w:val="auto"/>
              </w:rPr>
            </w:pPr>
            <w:r>
              <w:rPr>
                <w:rFonts w:ascii="Arial" w:cs="Arial" w:eastAsia="Arial" w:hAnsi="Arial"/>
                <w:sz w:val="14"/>
                <w:szCs w:val="14"/>
                <w:color w:val="auto"/>
              </w:rPr>
              <w:t>2.84</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33.46</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Syntrichia ruralis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Bryophyta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NC_012052</w:t>
            </w:r>
          </w:p>
        </w:tc>
        <w:tc>
          <w:tcPr>
            <w:tcW w:w="1320" w:type="dxa"/>
            <w:vAlign w:val="bottom"/>
          </w:tcPr>
          <w:p>
            <w:pPr>
              <w:jc w:val="center"/>
              <w:spacing w:after="0"/>
              <w:rPr>
                <w:sz w:val="20"/>
                <w:szCs w:val="20"/>
                <w:color w:val="auto"/>
              </w:rPr>
            </w:pPr>
            <w:r>
              <w:rPr>
                <w:rFonts w:ascii="Arial" w:cs="Arial" w:eastAsia="Arial" w:hAnsi="Arial"/>
                <w:sz w:val="14"/>
                <w:szCs w:val="14"/>
                <w:color w:val="auto"/>
              </w:rPr>
              <w:t>77</w:t>
            </w:r>
          </w:p>
        </w:tc>
        <w:tc>
          <w:tcPr>
            <w:tcW w:w="1960" w:type="dxa"/>
            <w:vAlign w:val="bottom"/>
          </w:tcPr>
          <w:p>
            <w:pPr>
              <w:jc w:val="center"/>
              <w:spacing w:after="0"/>
              <w:rPr>
                <w:sz w:val="20"/>
                <w:szCs w:val="20"/>
                <w:color w:val="auto"/>
              </w:rPr>
            </w:pPr>
            <w:r>
              <w:rPr>
                <w:rFonts w:ascii="Arial" w:cs="Arial" w:eastAsia="Arial" w:hAnsi="Arial"/>
                <w:sz w:val="14"/>
                <w:szCs w:val="14"/>
                <w:color w:val="auto"/>
              </w:rPr>
              <w:t>9.90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33.21</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Nothoceros aenigmaticus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Anthocerotophyta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NC_020259</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2.80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39.10</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Anthoceros formosae</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Anthocerotophyta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NC_004543</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1.92</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37.31</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Isoetes flaccida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Lycopodiophyta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NC_014675</w:t>
            </w:r>
          </w:p>
        </w:tc>
        <w:tc>
          <w:tcPr>
            <w:tcW w:w="1320" w:type="dxa"/>
            <w:vAlign w:val="bottom"/>
          </w:tcPr>
          <w:p>
            <w:pPr>
              <w:jc w:val="center"/>
              <w:spacing w:after="0"/>
              <w:rPr>
                <w:sz w:val="20"/>
                <w:szCs w:val="20"/>
                <w:color w:val="auto"/>
              </w:rPr>
            </w:pPr>
            <w:r>
              <w:rPr>
                <w:rFonts w:ascii="Arial" w:cs="Arial" w:eastAsia="Arial" w:hAnsi="Arial"/>
                <w:sz w:val="14"/>
                <w:szCs w:val="14"/>
                <w:color w:val="auto"/>
              </w:rPr>
              <w:t>79</w:t>
            </w:r>
          </w:p>
        </w:tc>
        <w:tc>
          <w:tcPr>
            <w:tcW w:w="1960" w:type="dxa"/>
            <w:vAlign w:val="bottom"/>
          </w:tcPr>
          <w:p>
            <w:pPr>
              <w:jc w:val="center"/>
              <w:spacing w:after="0"/>
              <w:rPr>
                <w:sz w:val="20"/>
                <w:szCs w:val="20"/>
                <w:color w:val="auto"/>
              </w:rPr>
            </w:pPr>
            <w:r>
              <w:rPr>
                <w:rFonts w:ascii="Arial" w:cs="Arial" w:eastAsia="Arial" w:hAnsi="Arial"/>
                <w:sz w:val="14"/>
                <w:szCs w:val="14"/>
                <w:color w:val="auto"/>
              </w:rPr>
              <w:t>3.83</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40.75</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Huperzia lucidula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Lycopodiophyta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NC_006861</w:t>
            </w:r>
          </w:p>
        </w:tc>
        <w:tc>
          <w:tcPr>
            <w:tcW w:w="1320" w:type="dxa"/>
            <w:vAlign w:val="bottom"/>
          </w:tcPr>
          <w:p>
            <w:pPr>
              <w:jc w:val="center"/>
              <w:spacing w:after="0"/>
              <w:rPr>
                <w:sz w:val="20"/>
                <w:szCs w:val="20"/>
                <w:color w:val="auto"/>
              </w:rPr>
            </w:pPr>
            <w:r>
              <w:rPr>
                <w:rFonts w:ascii="Arial" w:cs="Arial" w:eastAsia="Arial" w:hAnsi="Arial"/>
                <w:sz w:val="14"/>
                <w:szCs w:val="14"/>
                <w:color w:val="auto"/>
              </w:rPr>
              <w:t>83</w:t>
            </w:r>
          </w:p>
        </w:tc>
        <w:tc>
          <w:tcPr>
            <w:tcW w:w="1960" w:type="dxa"/>
            <w:vAlign w:val="bottom"/>
          </w:tcPr>
          <w:p>
            <w:pPr>
              <w:jc w:val="center"/>
              <w:spacing w:after="0"/>
              <w:rPr>
                <w:sz w:val="20"/>
                <w:szCs w:val="20"/>
                <w:color w:val="auto"/>
              </w:rPr>
            </w:pPr>
            <w:r>
              <w:rPr>
                <w:rFonts w:ascii="Arial" w:cs="Arial" w:eastAsia="Arial" w:hAnsi="Arial"/>
                <w:sz w:val="14"/>
                <w:szCs w:val="14"/>
                <w:color w:val="auto"/>
              </w:rPr>
              <w:t>0.03</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38.98</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Selaginella moellendorffii</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Lycopodiophyta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NC_013086</w:t>
            </w:r>
          </w:p>
        </w:tc>
        <w:tc>
          <w:tcPr>
            <w:tcW w:w="1320" w:type="dxa"/>
            <w:vAlign w:val="bottom"/>
          </w:tcPr>
          <w:p>
            <w:pPr>
              <w:jc w:val="center"/>
              <w:spacing w:after="0"/>
              <w:rPr>
                <w:sz w:val="20"/>
                <w:szCs w:val="20"/>
                <w:color w:val="auto"/>
              </w:rPr>
            </w:pPr>
            <w:r>
              <w:rPr>
                <w:rFonts w:ascii="Arial" w:cs="Arial" w:eastAsia="Arial" w:hAnsi="Arial"/>
                <w:sz w:val="14"/>
                <w:szCs w:val="14"/>
                <w:color w:val="auto"/>
              </w:rPr>
              <w:t>66</w:t>
            </w:r>
          </w:p>
        </w:tc>
        <w:tc>
          <w:tcPr>
            <w:tcW w:w="1960" w:type="dxa"/>
            <w:vAlign w:val="bottom"/>
          </w:tcPr>
          <w:p>
            <w:pPr>
              <w:jc w:val="center"/>
              <w:spacing w:after="0"/>
              <w:rPr>
                <w:sz w:val="20"/>
                <w:szCs w:val="20"/>
                <w:color w:val="auto"/>
              </w:rPr>
            </w:pPr>
            <w:r>
              <w:rPr>
                <w:rFonts w:ascii="Arial" w:cs="Arial" w:eastAsia="Arial" w:hAnsi="Arial"/>
                <w:sz w:val="14"/>
                <w:szCs w:val="14"/>
                <w:color w:val="auto"/>
              </w:rPr>
              <w:t>10.12</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50.77</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Equisetum hyemale</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Moniliformopses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NC_020146</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0.52</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36.02</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Psilotum nudum</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Moniliformopses</w:t>
            </w:r>
          </w:p>
        </w:tc>
        <w:tc>
          <w:tcPr>
            <w:tcW w:w="1780" w:type="dxa"/>
            <w:vAlign w:val="bottom"/>
          </w:tcPr>
          <w:p>
            <w:pPr>
              <w:ind w:left="220"/>
              <w:spacing w:after="0"/>
              <w:rPr>
                <w:sz w:val="20"/>
                <w:szCs w:val="20"/>
                <w:color w:val="auto"/>
              </w:rPr>
            </w:pPr>
            <w:r>
              <w:rPr>
                <w:rFonts w:ascii="Arial" w:cs="Arial" w:eastAsia="Arial" w:hAnsi="Arial"/>
                <w:sz w:val="14"/>
                <w:szCs w:val="14"/>
                <w:color w:val="auto"/>
              </w:rPr>
              <w:t>KC117179</w:t>
            </w:r>
          </w:p>
        </w:tc>
        <w:tc>
          <w:tcPr>
            <w:tcW w:w="1320" w:type="dxa"/>
            <w:vAlign w:val="bottom"/>
          </w:tcPr>
          <w:p>
            <w:pPr>
              <w:jc w:val="center"/>
              <w:spacing w:after="0"/>
              <w:rPr>
                <w:sz w:val="20"/>
                <w:szCs w:val="20"/>
                <w:color w:val="auto"/>
              </w:rPr>
            </w:pPr>
            <w:r>
              <w:rPr>
                <w:rFonts w:ascii="Arial" w:cs="Arial" w:eastAsia="Arial" w:hAnsi="Arial"/>
                <w:sz w:val="14"/>
                <w:szCs w:val="14"/>
                <w:color w:val="auto"/>
              </w:rPr>
              <w:t>79</w:t>
            </w:r>
          </w:p>
        </w:tc>
        <w:tc>
          <w:tcPr>
            <w:tcW w:w="1960" w:type="dxa"/>
            <w:vAlign w:val="bottom"/>
          </w:tcPr>
          <w:p>
            <w:pPr>
              <w:jc w:val="center"/>
              <w:spacing w:after="0"/>
              <w:rPr>
                <w:sz w:val="20"/>
                <w:szCs w:val="20"/>
                <w:color w:val="auto"/>
              </w:rPr>
            </w:pPr>
            <w:r>
              <w:rPr>
                <w:rFonts w:ascii="Arial" w:cs="Arial" w:eastAsia="Arial" w:hAnsi="Arial"/>
                <w:sz w:val="14"/>
                <w:szCs w:val="14"/>
                <w:color w:val="auto"/>
              </w:rPr>
              <w:t>7.68</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38.57</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Angiopteris evecta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Moniliformopses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NC_008829</w:t>
            </w:r>
          </w:p>
        </w:tc>
        <w:tc>
          <w:tcPr>
            <w:tcW w:w="1320" w:type="dxa"/>
            <w:vAlign w:val="bottom"/>
          </w:tcPr>
          <w:p>
            <w:pPr>
              <w:jc w:val="center"/>
              <w:spacing w:after="0"/>
              <w:rPr>
                <w:sz w:val="20"/>
                <w:szCs w:val="20"/>
                <w:color w:val="auto"/>
              </w:rPr>
            </w:pPr>
            <w:r>
              <w:rPr>
                <w:rFonts w:ascii="Arial" w:cs="Arial" w:eastAsia="Arial" w:hAnsi="Arial"/>
                <w:sz w:val="14"/>
                <w:szCs w:val="14"/>
                <w:color w:val="auto"/>
              </w:rPr>
              <w:t>83</w:t>
            </w:r>
          </w:p>
        </w:tc>
        <w:tc>
          <w:tcPr>
            <w:tcW w:w="1960" w:type="dxa"/>
            <w:vAlign w:val="bottom"/>
          </w:tcPr>
          <w:p>
            <w:pPr>
              <w:jc w:val="center"/>
              <w:spacing w:after="0"/>
              <w:rPr>
                <w:sz w:val="20"/>
                <w:szCs w:val="20"/>
                <w:color w:val="auto"/>
              </w:rPr>
            </w:pPr>
            <w:r>
              <w:rPr>
                <w:rFonts w:ascii="Arial" w:cs="Arial" w:eastAsia="Arial" w:hAnsi="Arial"/>
                <w:sz w:val="14"/>
                <w:szCs w:val="14"/>
                <w:color w:val="auto"/>
              </w:rPr>
              <w:t>0.01</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38.01</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Adiantum capillus-veneris</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Moniliformopses</w:t>
            </w:r>
          </w:p>
        </w:tc>
        <w:tc>
          <w:tcPr>
            <w:tcW w:w="1780" w:type="dxa"/>
            <w:vAlign w:val="bottom"/>
          </w:tcPr>
          <w:p>
            <w:pPr>
              <w:ind w:left="220"/>
              <w:spacing w:after="0"/>
              <w:rPr>
                <w:sz w:val="20"/>
                <w:szCs w:val="20"/>
                <w:color w:val="auto"/>
              </w:rPr>
            </w:pPr>
            <w:r>
              <w:rPr>
                <w:rFonts w:ascii="Arial" w:cs="Arial" w:eastAsia="Arial" w:hAnsi="Arial"/>
                <w:sz w:val="14"/>
                <w:szCs w:val="14"/>
                <w:color w:val="auto"/>
              </w:rPr>
              <w:t>NC_004766</w:t>
            </w:r>
          </w:p>
        </w:tc>
        <w:tc>
          <w:tcPr>
            <w:tcW w:w="1320" w:type="dxa"/>
            <w:vAlign w:val="bottom"/>
          </w:tcPr>
          <w:p>
            <w:pPr>
              <w:jc w:val="center"/>
              <w:spacing w:after="0"/>
              <w:rPr>
                <w:sz w:val="20"/>
                <w:szCs w:val="20"/>
                <w:color w:val="auto"/>
              </w:rPr>
            </w:pPr>
            <w:r>
              <w:rPr>
                <w:rFonts w:ascii="Arial" w:cs="Arial" w:eastAsia="Arial" w:hAnsi="Arial"/>
                <w:sz w:val="14"/>
                <w:szCs w:val="14"/>
                <w:color w:val="auto"/>
              </w:rPr>
              <w:t>79</w:t>
            </w:r>
          </w:p>
        </w:tc>
        <w:tc>
          <w:tcPr>
            <w:tcW w:w="1960" w:type="dxa"/>
            <w:vAlign w:val="bottom"/>
          </w:tcPr>
          <w:p>
            <w:pPr>
              <w:jc w:val="center"/>
              <w:spacing w:after="0"/>
              <w:rPr>
                <w:sz w:val="20"/>
                <w:szCs w:val="20"/>
                <w:color w:val="auto"/>
              </w:rPr>
            </w:pPr>
            <w:r>
              <w:rPr>
                <w:rFonts w:ascii="Arial" w:cs="Arial" w:eastAsia="Arial" w:hAnsi="Arial"/>
                <w:sz w:val="14"/>
                <w:szCs w:val="14"/>
                <w:color w:val="auto"/>
              </w:rPr>
              <w:t>7.31</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43.42</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Pinus thunbergii</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Spermatophyta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NC_001631</w:t>
            </w:r>
          </w:p>
        </w:tc>
        <w:tc>
          <w:tcPr>
            <w:tcW w:w="1320" w:type="dxa"/>
            <w:vAlign w:val="bottom"/>
          </w:tcPr>
          <w:p>
            <w:pPr>
              <w:jc w:val="center"/>
              <w:spacing w:after="0"/>
              <w:rPr>
                <w:sz w:val="20"/>
                <w:szCs w:val="20"/>
                <w:color w:val="auto"/>
              </w:rPr>
            </w:pPr>
            <w:r>
              <w:rPr>
                <w:rFonts w:ascii="Arial" w:cs="Arial" w:eastAsia="Arial" w:hAnsi="Arial"/>
                <w:sz w:val="14"/>
                <w:szCs w:val="14"/>
                <w:color w:val="auto"/>
              </w:rPr>
              <w:t>69</w:t>
            </w:r>
          </w:p>
        </w:tc>
        <w:tc>
          <w:tcPr>
            <w:tcW w:w="1960" w:type="dxa"/>
            <w:vAlign w:val="bottom"/>
          </w:tcPr>
          <w:p>
            <w:pPr>
              <w:jc w:val="center"/>
              <w:spacing w:after="0"/>
              <w:rPr>
                <w:sz w:val="20"/>
                <w:szCs w:val="20"/>
                <w:color w:val="auto"/>
              </w:rPr>
            </w:pPr>
            <w:r>
              <w:rPr>
                <w:rFonts w:ascii="Arial" w:cs="Arial" w:eastAsia="Arial" w:hAnsi="Arial"/>
                <w:sz w:val="14"/>
                <w:szCs w:val="14"/>
                <w:color w:val="auto"/>
              </w:rPr>
              <w:t>20.61</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40.65</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Cycas revolute</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Spermatophyta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JN867588</w:t>
            </w:r>
          </w:p>
        </w:tc>
        <w:tc>
          <w:tcPr>
            <w:tcW w:w="1320" w:type="dxa"/>
            <w:vAlign w:val="bottom"/>
          </w:tcPr>
          <w:p>
            <w:pPr>
              <w:jc w:val="center"/>
              <w:spacing w:after="0"/>
              <w:rPr>
                <w:sz w:val="20"/>
                <w:szCs w:val="20"/>
                <w:color w:val="auto"/>
              </w:rPr>
            </w:pPr>
            <w:r>
              <w:rPr>
                <w:rFonts w:ascii="Arial" w:cs="Arial" w:eastAsia="Arial" w:hAnsi="Arial"/>
                <w:sz w:val="14"/>
                <w:szCs w:val="14"/>
                <w:color w:val="auto"/>
              </w:rPr>
              <w:t>81</w:t>
            </w:r>
          </w:p>
        </w:tc>
        <w:tc>
          <w:tcPr>
            <w:tcW w:w="1960" w:type="dxa"/>
            <w:vAlign w:val="bottom"/>
          </w:tcPr>
          <w:p>
            <w:pPr>
              <w:jc w:val="center"/>
              <w:spacing w:after="0"/>
              <w:rPr>
                <w:sz w:val="20"/>
                <w:szCs w:val="20"/>
                <w:color w:val="auto"/>
              </w:rPr>
            </w:pPr>
            <w:r>
              <w:rPr>
                <w:rFonts w:ascii="Arial" w:cs="Arial" w:eastAsia="Arial" w:hAnsi="Arial"/>
                <w:sz w:val="14"/>
                <w:szCs w:val="14"/>
                <w:color w:val="auto"/>
              </w:rPr>
              <w:t>1.08</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40.72</w:t>
            </w:r>
          </w:p>
        </w:tc>
      </w:tr>
      <w:tr>
        <w:trPr>
          <w:trHeight w:val="189"/>
        </w:trPr>
        <w:tc>
          <w:tcPr>
            <w:tcW w:w="2020" w:type="dxa"/>
            <w:vAlign w:val="bottom"/>
          </w:tcPr>
          <w:p>
            <w:pPr>
              <w:spacing w:after="0"/>
              <w:rPr>
                <w:sz w:val="20"/>
                <w:szCs w:val="20"/>
                <w:color w:val="auto"/>
              </w:rPr>
            </w:pPr>
            <w:r>
              <w:rPr>
                <w:rFonts w:ascii="Arial" w:cs="Arial" w:eastAsia="Arial" w:hAnsi="Arial"/>
                <w:sz w:val="14"/>
                <w:szCs w:val="14"/>
                <w:color w:val="auto"/>
              </w:rPr>
              <w:t>Arabidopsis thaliana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Spermatophyta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NC_000932</w:t>
            </w:r>
          </w:p>
        </w:tc>
        <w:tc>
          <w:tcPr>
            <w:tcW w:w="1320" w:type="dxa"/>
            <w:vAlign w:val="bottom"/>
          </w:tcPr>
          <w:p>
            <w:pPr>
              <w:jc w:val="center"/>
              <w:spacing w:after="0"/>
              <w:rPr>
                <w:sz w:val="20"/>
                <w:szCs w:val="20"/>
                <w:color w:val="auto"/>
              </w:rPr>
            </w:pPr>
            <w:r>
              <w:rPr>
                <w:rFonts w:ascii="Arial" w:cs="Arial" w:eastAsia="Arial" w:hAnsi="Arial"/>
                <w:sz w:val="14"/>
                <w:szCs w:val="14"/>
                <w:color w:val="auto"/>
              </w:rPr>
              <w:t>76</w:t>
            </w:r>
          </w:p>
        </w:tc>
        <w:tc>
          <w:tcPr>
            <w:tcW w:w="1960" w:type="dxa"/>
            <w:vAlign w:val="bottom"/>
          </w:tcPr>
          <w:p>
            <w:pPr>
              <w:jc w:val="center"/>
              <w:spacing w:after="0"/>
              <w:rPr>
                <w:sz w:val="20"/>
                <w:szCs w:val="20"/>
                <w:color w:val="auto"/>
              </w:rPr>
            </w:pPr>
            <w:r>
              <w:rPr>
                <w:rFonts w:ascii="Arial" w:cs="Arial" w:eastAsia="Arial" w:hAnsi="Arial"/>
                <w:sz w:val="14"/>
                <w:szCs w:val="14"/>
                <w:color w:val="auto"/>
              </w:rPr>
              <w:t>8.70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39.04</w:t>
            </w:r>
          </w:p>
        </w:tc>
      </w:tr>
      <w:tr>
        <w:trPr>
          <w:trHeight w:val="190"/>
        </w:trPr>
        <w:tc>
          <w:tcPr>
            <w:tcW w:w="2020" w:type="dxa"/>
            <w:vAlign w:val="bottom"/>
          </w:tcPr>
          <w:p>
            <w:pPr>
              <w:spacing w:after="0"/>
              <w:rPr>
                <w:sz w:val="20"/>
                <w:szCs w:val="20"/>
                <w:color w:val="auto"/>
              </w:rPr>
            </w:pPr>
            <w:r>
              <w:rPr>
                <w:rFonts w:ascii="Arial" w:cs="Arial" w:eastAsia="Arial" w:hAnsi="Arial"/>
                <w:sz w:val="14"/>
                <w:szCs w:val="14"/>
                <w:color w:val="auto"/>
              </w:rPr>
              <w:t>Nymphaea alba</w:t>
            </w:r>
          </w:p>
        </w:tc>
        <w:tc>
          <w:tcPr>
            <w:tcW w:w="2360" w:type="dxa"/>
            <w:vAlign w:val="bottom"/>
          </w:tcPr>
          <w:p>
            <w:pPr>
              <w:ind w:left="220"/>
              <w:spacing w:after="0"/>
              <w:rPr>
                <w:sz w:val="20"/>
                <w:szCs w:val="20"/>
                <w:color w:val="auto"/>
              </w:rPr>
            </w:pPr>
            <w:r>
              <w:rPr>
                <w:rFonts w:ascii="Arial" w:cs="Arial" w:eastAsia="Arial" w:hAnsi="Arial"/>
                <w:sz w:val="14"/>
                <w:szCs w:val="14"/>
                <w:color w:val="auto"/>
              </w:rPr>
              <w:t>Streptophyta, Spermatophyta</w:t>
            </w:r>
          </w:p>
        </w:tc>
        <w:tc>
          <w:tcPr>
            <w:tcW w:w="1780" w:type="dxa"/>
            <w:vAlign w:val="bottom"/>
          </w:tcPr>
          <w:p>
            <w:pPr>
              <w:ind w:left="220"/>
              <w:spacing w:after="0"/>
              <w:rPr>
                <w:sz w:val="20"/>
                <w:szCs w:val="20"/>
                <w:color w:val="auto"/>
              </w:rPr>
            </w:pPr>
            <w:r>
              <w:rPr>
                <w:rFonts w:ascii="Arial" w:cs="Arial" w:eastAsia="Arial" w:hAnsi="Arial"/>
                <w:sz w:val="14"/>
                <w:szCs w:val="14"/>
                <w:color w:val="auto"/>
              </w:rPr>
              <w:t>NC_006050</w:t>
            </w:r>
          </w:p>
        </w:tc>
        <w:tc>
          <w:tcPr>
            <w:tcW w:w="1320" w:type="dxa"/>
            <w:vAlign w:val="bottom"/>
          </w:tcPr>
          <w:p>
            <w:pPr>
              <w:jc w:val="center"/>
              <w:spacing w:after="0"/>
              <w:rPr>
                <w:sz w:val="20"/>
                <w:szCs w:val="20"/>
                <w:color w:val="auto"/>
              </w:rPr>
            </w:pPr>
            <w:r>
              <w:rPr>
                <w:rFonts w:ascii="Arial" w:cs="Arial" w:eastAsia="Arial" w:hAnsi="Arial"/>
                <w:sz w:val="14"/>
                <w:szCs w:val="14"/>
                <w:color w:val="auto"/>
              </w:rPr>
              <w:t>77</w:t>
            </w:r>
          </w:p>
        </w:tc>
        <w:tc>
          <w:tcPr>
            <w:tcW w:w="1960" w:type="dxa"/>
            <w:vAlign w:val="bottom"/>
          </w:tcPr>
          <w:p>
            <w:pPr>
              <w:jc w:val="center"/>
              <w:spacing w:after="0"/>
              <w:rPr>
                <w:sz w:val="20"/>
                <w:szCs w:val="20"/>
                <w:color w:val="auto"/>
              </w:rPr>
            </w:pPr>
            <w:r>
              <w:rPr>
                <w:rFonts w:ascii="Arial" w:cs="Arial" w:eastAsia="Arial" w:hAnsi="Arial"/>
                <w:sz w:val="14"/>
                <w:szCs w:val="14"/>
                <w:color w:val="auto"/>
              </w:rPr>
              <w:t>8.20</w:t>
            </w:r>
          </w:p>
        </w:tc>
        <w:tc>
          <w:tcPr>
            <w:tcW w:w="660" w:type="dxa"/>
            <w:vAlign w:val="bottom"/>
          </w:tcPr>
          <w:p>
            <w:pPr>
              <w:jc w:val="center"/>
              <w:ind w:left="130"/>
              <w:spacing w:after="0"/>
              <w:rPr>
                <w:sz w:val="20"/>
                <w:szCs w:val="20"/>
                <w:color w:val="auto"/>
              </w:rPr>
            </w:pPr>
            <w:r>
              <w:rPr>
                <w:rFonts w:ascii="Arial" w:cs="Arial" w:eastAsia="Arial" w:hAnsi="Arial"/>
                <w:sz w:val="14"/>
                <w:szCs w:val="14"/>
                <w:color w:val="auto"/>
                <w:w w:val="96"/>
              </w:rPr>
              <w:t>41.01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56515</wp:posOffset>
                </wp:positionV>
                <wp:extent cx="640778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600">
                          <a:solidFill>
                            <a:srgbClr val="4C4C4C"/>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4.45pt" to="504.9pt,4.45pt" o:allowincell="f" strokecolor="#4C4C4C" strokeweight="0.2835pt"/>
            </w:pict>
          </mc:Fallback>
        </mc:AlternateContent>
      </w:r>
    </w:p>
    <w:p>
      <w:pPr>
        <w:spacing w:after="0" w:line="113" w:lineRule="exact"/>
        <w:rPr>
          <w:sz w:val="20"/>
          <w:szCs w:val="20"/>
          <w:color w:val="auto"/>
        </w:rPr>
      </w:pPr>
    </w:p>
    <w:p>
      <w:pPr>
        <w:jc w:val="both"/>
        <w:spacing w:after="0" w:line="214" w:lineRule="auto"/>
        <w:rPr>
          <w:sz w:val="20"/>
          <w:szCs w:val="20"/>
          <w:color w:val="auto"/>
        </w:rPr>
      </w:pPr>
      <w:r>
        <w:rPr>
          <w:rFonts w:ascii="Arial" w:cs="Arial" w:eastAsia="Arial" w:hAnsi="Arial"/>
          <w:sz w:val="13"/>
          <w:szCs w:val="13"/>
          <w:color w:val="auto"/>
        </w:rPr>
        <w:t xml:space="preserve">Taxon names, classification, NCBI GenBank accession numbers, and numbers of genes present in data set. </w:t>
      </w:r>
      <w:r>
        <w:rPr>
          <w:rFonts w:ascii="Arial" w:cs="Arial" w:eastAsia="Arial" w:hAnsi="Arial"/>
          <w:sz w:val="17"/>
          <w:szCs w:val="17"/>
          <w:color w:val="auto"/>
          <w:vertAlign w:val="superscript"/>
        </w:rPr>
        <w:t>1</w:t>
      </w:r>
      <w:r>
        <w:rPr>
          <w:rFonts w:ascii="Arial" w:cs="Arial" w:eastAsia="Arial" w:hAnsi="Arial"/>
          <w:sz w:val="13"/>
          <w:szCs w:val="13"/>
          <w:color w:val="auto"/>
        </w:rPr>
        <w:t xml:space="preserve">Classification follows NCBI GenBank. The given ranks are not equal but the highest available while distinguishing among the six major lineage of land plants and the major groups of algae. </w:t>
      </w:r>
      <w:r>
        <w:rPr>
          <w:rFonts w:ascii="Arial" w:cs="Arial" w:eastAsia="Arial" w:hAnsi="Arial"/>
          <w:sz w:val="17"/>
          <w:szCs w:val="17"/>
          <w:color w:val="auto"/>
          <w:vertAlign w:val="superscript"/>
        </w:rPr>
        <w:t>2</w:t>
      </w:r>
      <w:r>
        <w:rPr>
          <w:rFonts w:ascii="Arial" w:cs="Arial" w:eastAsia="Arial" w:hAnsi="Arial"/>
          <w:sz w:val="13"/>
          <w:szCs w:val="13"/>
          <w:color w:val="auto"/>
        </w:rPr>
        <w:t xml:space="preserve">Number of gene present out of a total of 83. </w:t>
      </w:r>
      <w:r>
        <w:rPr>
          <w:rFonts w:ascii="Arial" w:cs="Arial" w:eastAsia="Arial" w:hAnsi="Arial"/>
          <w:sz w:val="17"/>
          <w:szCs w:val="17"/>
          <w:color w:val="auto"/>
          <w:vertAlign w:val="superscript"/>
        </w:rPr>
        <w:t>3</w:t>
      </w:r>
      <w:r>
        <w:rPr>
          <w:rFonts w:ascii="Arial" w:cs="Arial" w:eastAsia="Arial" w:hAnsi="Arial"/>
          <w:sz w:val="13"/>
          <w:szCs w:val="13"/>
          <w:color w:val="auto"/>
        </w:rPr>
        <w:t>Percentage of missing characters in gene sequence and protein data matrices.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285115</wp:posOffset>
                </wp:positionV>
                <wp:extent cx="6407785"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2.45pt" to="504.9pt,22.45pt" o:allowincell="f" strokecolor="#4C4C4C" strokeweight="0.2267pt"/>
            </w:pict>
          </mc:Fallback>
        </mc:AlternateContent>
      </w:r>
    </w:p>
    <w:p>
      <w:pPr>
        <w:sectPr>
          <w:pgSz w:w="11900" w:h="15591" w:orient="portrait"/>
          <w:cols w:equalWidth="0" w:num="1">
            <w:col w:w="10100"/>
          </w:cols>
          <w:pgMar w:left="900" w:top="571" w:right="906" w:bottom="34" w:gutter="0" w:footer="0" w:header="0"/>
          <w:type w:val="continuous"/>
        </w:sectPr>
      </w:pPr>
    </w:p>
    <w:p>
      <w:pPr>
        <w:spacing w:after="0" w:line="200" w:lineRule="exact"/>
        <w:rPr>
          <w:sz w:val="20"/>
          <w:szCs w:val="20"/>
          <w:color w:val="auto"/>
        </w:rPr>
      </w:pPr>
    </w:p>
    <w:p>
      <w:pPr>
        <w:spacing w:after="0" w:line="348" w:lineRule="exact"/>
        <w:rPr>
          <w:sz w:val="20"/>
          <w:szCs w:val="20"/>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3</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3" w:name="page4"/>
    <w:bookmarkEnd w:id="3"/>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7" w:lineRule="exact"/>
        <w:rPr>
          <w:sz w:val="20"/>
          <w:szCs w:val="20"/>
          <w:color w:val="auto"/>
        </w:rPr>
      </w:pPr>
    </w:p>
    <w:p>
      <w:pPr>
        <w:jc w:val="both"/>
        <w:spacing w:after="0" w:line="230" w:lineRule="auto"/>
        <w:rPr>
          <w:rFonts w:ascii="Times New Roman" w:cs="Times New Roman" w:eastAsia="Times New Roman" w:hAnsi="Times New Roman"/>
          <w:sz w:val="19"/>
          <w:szCs w:val="19"/>
          <w:color w:val="000000"/>
        </w:rPr>
      </w:pPr>
      <w:hyperlink w:anchor="page9">
        <w:r>
          <w:rPr>
            <w:rFonts w:ascii="Times New Roman" w:cs="Times New Roman" w:eastAsia="Times New Roman" w:hAnsi="Times New Roman"/>
            <w:sz w:val="19"/>
            <w:szCs w:val="19"/>
            <w:color w:val="4C4C4C"/>
          </w:rPr>
          <w:t>Foster, 2013</w:t>
        </w:r>
      </w:hyperlink>
      <w:r>
        <w:rPr>
          <w:rFonts w:ascii="Times New Roman" w:cs="Times New Roman" w:eastAsia="Times New Roman" w:hAnsi="Times New Roman"/>
          <w:sz w:val="19"/>
          <w:szCs w:val="19"/>
          <w:color w:val="000000"/>
        </w:rPr>
        <w:t>). Maximum-likelihood (ML) bootstrap analyses</w:t>
      </w:r>
      <w:r>
        <w:rPr>
          <w:rFonts w:ascii="Times New Roman" w:cs="Times New Roman" w:eastAsia="Times New Roman" w:hAnsi="Times New Roman"/>
          <w:sz w:val="19"/>
          <w:szCs w:val="19"/>
          <w:color w:val="4C4C4C"/>
        </w:rPr>
        <w:t xml:space="preserve"> </w:t>
      </w:r>
      <w:r>
        <w:rPr>
          <w:rFonts w:ascii="Times New Roman" w:cs="Times New Roman" w:eastAsia="Times New Roman" w:hAnsi="Times New Roman"/>
          <w:sz w:val="19"/>
          <w:szCs w:val="19"/>
          <w:color w:val="000000"/>
        </w:rPr>
        <w:t>were conducted using an MPI-compiled version of RAxML (vers. 7.0.4</w:t>
      </w:r>
      <w:r>
        <w:rPr>
          <w:rFonts w:ascii="Arial" w:cs="Arial" w:eastAsia="Arial" w:hAnsi="Arial"/>
          <w:sz w:val="19"/>
          <w:szCs w:val="19"/>
          <w:color w:val="000000"/>
        </w:rPr>
        <w:t>–</w:t>
      </w:r>
      <w:r>
        <w:rPr>
          <w:rFonts w:ascii="Times New Roman" w:cs="Times New Roman" w:eastAsia="Times New Roman" w:hAnsi="Times New Roman"/>
          <w:sz w:val="19"/>
          <w:szCs w:val="19"/>
          <w:color w:val="000000"/>
        </w:rPr>
        <w:t>7.8.4</w:t>
      </w:r>
      <w:r>
        <w:rPr>
          <w:rFonts w:ascii="Arial" w:cs="Arial" w:eastAsia="Arial" w:hAnsi="Arial"/>
          <w:sz w:val="19"/>
          <w:szCs w:val="19"/>
          <w:color w:val="000000"/>
        </w:rPr>
        <w:t>–</w:t>
      </w:r>
      <w:r>
        <w:rPr>
          <w:rFonts w:ascii="Times New Roman" w:cs="Times New Roman" w:eastAsia="Times New Roman" w:hAnsi="Times New Roman"/>
          <w:sz w:val="19"/>
          <w:szCs w:val="19"/>
          <w:color w:val="000000"/>
        </w:rPr>
        <w:t xml:space="preserve">8.0.26; </w:t>
      </w:r>
      <w:hyperlink w:anchor="page9">
        <w:r>
          <w:rPr>
            <w:rFonts w:ascii="Times New Roman" w:cs="Times New Roman" w:eastAsia="Times New Roman" w:hAnsi="Times New Roman"/>
            <w:sz w:val="19"/>
            <w:szCs w:val="19"/>
            <w:color w:val="4C4C4C"/>
          </w:rPr>
          <w:t>Stamatakis, 2006</w:t>
        </w:r>
      </w:hyperlink>
      <w:r>
        <w:rPr>
          <w:rFonts w:ascii="Times New Roman" w:cs="Times New Roman" w:eastAsia="Times New Roman" w:hAnsi="Times New Roman"/>
          <w:sz w:val="19"/>
          <w:szCs w:val="19"/>
          <w:color w:val="000000"/>
        </w:rPr>
        <w:t xml:space="preserve">). RAxML analyses consisted of 300 or 400 bootstrap replicates with default settings for parameter estimation accuracy, a discrete gamma-distribution of among-site rate heterogeneity (4 categories; </w:t>
      </w:r>
      <w:r>
        <w:rPr>
          <w:rFonts w:ascii="Arial" w:cs="Arial" w:eastAsia="Arial" w:hAnsi="Arial"/>
          <w:sz w:val="19"/>
          <w:szCs w:val="19"/>
          <w:color w:val="000000"/>
        </w:rPr>
        <w:t>G</w:t>
      </w:r>
      <w:r>
        <w:rPr>
          <w:rFonts w:ascii="Times New Roman" w:cs="Times New Roman" w:eastAsia="Times New Roman" w:hAnsi="Times New Roman"/>
          <w:sz w:val="25"/>
          <w:szCs w:val="25"/>
          <w:color w:val="000000"/>
          <w:vertAlign w:val="subscript"/>
        </w:rPr>
        <w:t>4</w:t>
      </w:r>
      <w:r>
        <w:rPr>
          <w:rFonts w:ascii="Times New Roman" w:cs="Times New Roman" w:eastAsia="Times New Roman" w:hAnsi="Times New Roman"/>
          <w:sz w:val="19"/>
          <w:szCs w:val="19"/>
          <w:color w:val="000000"/>
        </w:rPr>
        <w:t>) and estimated composition frequencies (F</w:t>
      </w:r>
      <w:r>
        <w:rPr>
          <w:rFonts w:ascii="Times New Roman" w:cs="Times New Roman" w:eastAsia="Times New Roman" w:hAnsi="Times New Roman"/>
          <w:sz w:val="25"/>
          <w:szCs w:val="25"/>
          <w:color w:val="000000"/>
          <w:vertAlign w:val="subscript"/>
        </w:rPr>
        <w:t>est</w:t>
      </w:r>
      <w:r>
        <w:rPr>
          <w:rFonts w:ascii="Times New Roman" w:cs="Times New Roman" w:eastAsia="Times New Roman" w:hAnsi="Times New Roman"/>
          <w:sz w:val="19"/>
          <w:szCs w:val="19"/>
          <w:color w:val="000000"/>
        </w:rPr>
        <w:t>).</w:t>
      </w:r>
    </w:p>
    <w:p>
      <w:pPr>
        <w:spacing w:after="0" w:line="11" w:lineRule="exact"/>
        <w:rPr>
          <w:sz w:val="20"/>
          <w:szCs w:val="20"/>
          <w:color w:val="auto"/>
        </w:rPr>
      </w:pPr>
    </w:p>
    <w:p>
      <w:pPr>
        <w:jc w:val="both"/>
        <w:ind w:firstLine="240"/>
        <w:spacing w:after="0" w:line="256" w:lineRule="auto"/>
        <w:rPr>
          <w:rFonts w:ascii="Times New Roman" w:cs="Times New Roman" w:eastAsia="Times New Roman" w:hAnsi="Times New Roman"/>
          <w:sz w:val="18"/>
          <w:szCs w:val="18"/>
          <w:color w:val="4C4C4C"/>
        </w:rPr>
      </w:pPr>
      <w:r>
        <w:rPr>
          <w:rFonts w:ascii="Times New Roman" w:cs="Times New Roman" w:eastAsia="Times New Roman" w:hAnsi="Times New Roman"/>
          <w:sz w:val="18"/>
          <w:szCs w:val="18"/>
          <w:color w:val="auto"/>
        </w:rPr>
        <w:t>Bayesian Markov Chain Monte-Carlo (MCMC) analyses were performed using P4 with the NDCH and NDCH2 non-stationary composition models (</w:t>
      </w:r>
      <w:hyperlink w:anchor="page9">
        <w:r>
          <w:rPr>
            <w:rFonts w:ascii="Times New Roman" w:cs="Times New Roman" w:eastAsia="Times New Roman" w:hAnsi="Times New Roman"/>
            <w:sz w:val="18"/>
            <w:szCs w:val="18"/>
            <w:color w:val="4C4C4C"/>
          </w:rPr>
          <w:t>Cox et al., 2008</w:t>
        </w:r>
      </w:hyperlink>
      <w:r>
        <w:rPr>
          <w:rFonts w:ascii="Times New Roman" w:cs="Times New Roman" w:eastAsia="Times New Roman" w:hAnsi="Times New Roman"/>
          <w:sz w:val="18"/>
          <w:szCs w:val="18"/>
          <w:color w:val="auto"/>
        </w:rPr>
        <w:t>). Homogeneous (stationary) analyses were performed by de</w:t>
      </w:r>
      <w:r>
        <w:rPr>
          <w:rFonts w:ascii="Arial" w:cs="Arial" w:eastAsia="Arial" w:hAnsi="Arial"/>
          <w:sz w:val="18"/>
          <w:szCs w:val="18"/>
          <w:color w:val="auto"/>
        </w:rPr>
        <w:t>fi</w:t>
      </w:r>
      <w:r>
        <w:rPr>
          <w:rFonts w:ascii="Times New Roman" w:cs="Times New Roman" w:eastAsia="Times New Roman" w:hAnsi="Times New Roman"/>
          <w:sz w:val="18"/>
          <w:szCs w:val="18"/>
          <w:color w:val="auto"/>
        </w:rPr>
        <w:t xml:space="preserve">ning a single composition vector on the NDCH model (CV1). Composition tree-heterogeneous analyses on the protein data were performed using the NDCH2 model which includes a separate composition vector for each node of the tree. Fit of the model composition to the data was determined using posterior predictive simulations of the </w:t>
      </w:r>
      <w:r>
        <w:rPr>
          <w:rFonts w:ascii="Arial" w:cs="Arial" w:eastAsia="Arial" w:hAnsi="Arial"/>
          <w:sz w:val="18"/>
          <w:szCs w:val="18"/>
          <w:color w:val="auto"/>
        </w:rPr>
        <w:t>c</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8"/>
          <w:szCs w:val="18"/>
          <w:color w:val="auto"/>
        </w:rPr>
        <w:t xml:space="preserve"> statistic of composition homogeneity as implemented in P4 (</w:t>
      </w:r>
      <w:hyperlink w:anchor="page9">
        <w:r>
          <w:rPr>
            <w:rFonts w:ascii="Times New Roman" w:cs="Times New Roman" w:eastAsia="Times New Roman" w:hAnsi="Times New Roman"/>
            <w:sz w:val="18"/>
            <w:szCs w:val="18"/>
            <w:color w:val="4C4C4C"/>
          </w:rPr>
          <w:t>Foster, 2004</w:t>
        </w:r>
      </w:hyperlink>
      <w:r>
        <w:rPr>
          <w:rFonts w:ascii="Times New Roman" w:cs="Times New Roman" w:eastAsia="Times New Roman" w:hAnsi="Times New Roman"/>
          <w:sz w:val="18"/>
          <w:szCs w:val="18"/>
          <w:color w:val="auto"/>
        </w:rPr>
        <w:t xml:space="preserve">). Indicators of poor MCMC performance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low acceptance rates, poor mixing between hot and cold chains, excessively long branch lengths (</w:t>
      </w:r>
      <w:hyperlink w:anchor="page9">
        <w:r>
          <w:rPr>
            <w:rFonts w:ascii="Times New Roman" w:cs="Times New Roman" w:eastAsia="Times New Roman" w:hAnsi="Times New Roman"/>
            <w:sz w:val="18"/>
            <w:szCs w:val="18"/>
            <w:color w:val="4C4C4C"/>
          </w:rPr>
          <w:t>Brown et al., 2010</w:t>
        </w:r>
      </w:hyperlink>
      <w:r>
        <w:rPr>
          <w:rFonts w:ascii="Times New Roman" w:cs="Times New Roman" w:eastAsia="Times New Roman" w:hAnsi="Times New Roman"/>
          <w:sz w:val="18"/>
          <w:szCs w:val="18"/>
          <w:color w:val="auto"/>
        </w:rPr>
        <w:t xml:space="preserve">) were noted. MCMC analyses were also performed using Phylobayes MPI (vers. 1.2f </w:t>
      </w:r>
      <w:r>
        <w:rPr>
          <w:rFonts w:ascii="Arial" w:cs="Arial" w:eastAsia="Arial" w:hAnsi="Arial"/>
          <w:sz w:val="18"/>
          <w:szCs w:val="18"/>
          <w:color w:val="auto"/>
        </w:rPr>
        <w:t>—</w:t>
      </w:r>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Lartillot and</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Philippe, 2004</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with the CAT in</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nite pro</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le mixture model</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(F</w:t>
      </w:r>
      <w:r>
        <w:rPr>
          <w:rFonts w:ascii="Times New Roman" w:cs="Times New Roman" w:eastAsia="Times New Roman" w:hAnsi="Times New Roman"/>
          <w:sz w:val="24"/>
          <w:szCs w:val="24"/>
          <w:color w:val="000000"/>
          <w:vertAlign w:val="subscript"/>
        </w:rPr>
        <w:t>CAT</w:t>
      </w:r>
      <w:r>
        <w:rPr>
          <w:rFonts w:ascii="Times New Roman" w:cs="Times New Roman" w:eastAsia="Times New Roman" w:hAnsi="Times New Roman"/>
          <w:sz w:val="18"/>
          <w:szCs w:val="18"/>
          <w:color w:val="000000"/>
        </w:rPr>
        <w:t>), which speci</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cally handles composition site-heterogeneity. Posterior predictive tests were applied to Phylobayes analyses to assess model-</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t.</w:t>
      </w:r>
    </w:p>
    <w:p>
      <w:pPr>
        <w:spacing w:after="0" w:line="14" w:lineRule="exact"/>
        <w:rPr>
          <w:rFonts w:ascii="Times New Roman" w:cs="Times New Roman" w:eastAsia="Times New Roman" w:hAnsi="Times New Roman"/>
          <w:sz w:val="18"/>
          <w:szCs w:val="18"/>
          <w:color w:val="auto"/>
        </w:rPr>
      </w:pPr>
    </w:p>
    <w:p>
      <w:pPr>
        <w:jc w:val="both"/>
        <w:ind w:firstLine="240"/>
        <w:spacing w:after="0" w:line="267" w:lineRule="auto"/>
        <w:rPr>
          <w:sz w:val="20"/>
          <w:szCs w:val="20"/>
          <w:color w:val="auto"/>
        </w:rPr>
      </w:pPr>
      <w:r>
        <w:rPr>
          <w:rFonts w:ascii="Times New Roman" w:cs="Times New Roman" w:eastAsia="Times New Roman" w:hAnsi="Times New Roman"/>
          <w:sz w:val="18"/>
          <w:szCs w:val="18"/>
          <w:color w:val="auto"/>
        </w:rPr>
        <w:t>Stationarity of MCMC chains was assessed by observing the likelihood of samples (and other parameters) over time, and convergence to the correct posterior probability distribution was determined by running multiple MCMC chains in parallel and calculating the average standard deviation of split support (asdoss)</w:t>
      </w:r>
    </w:p>
    <w:p>
      <w:pPr>
        <w:spacing w:after="0" w:line="20"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drawing>
          <wp:anchor simplePos="0" relativeHeight="251657728" behindDoc="1" locked="0" layoutInCell="0" allowOverlap="1">
            <wp:simplePos x="0" y="0"/>
            <wp:positionH relativeFrom="column">
              <wp:posOffset>-7620</wp:posOffset>
            </wp:positionH>
            <wp:positionV relativeFrom="paragraph">
              <wp:posOffset>194310</wp:posOffset>
            </wp:positionV>
            <wp:extent cx="6433185" cy="370586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433185" cy="3705860"/>
                    </a:xfrm>
                    <a:prstGeom prst="rect">
                      <a:avLst/>
                    </a:prstGeom>
                    <a:noFill/>
                  </pic:spPr>
                </pic:pic>
              </a:graphicData>
            </a:graphic>
          </wp:anchor>
        </w:drawing>
      </w:r>
    </w:p>
    <w:p>
      <w:pPr>
        <w:spacing w:after="0" w:line="20"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br w:type="column"/>
      </w:r>
    </w:p>
    <w:p>
      <w:pPr>
        <w:spacing w:after="0" w:line="200" w:lineRule="exact"/>
        <w:rPr>
          <w:rFonts w:ascii="Times New Roman" w:cs="Times New Roman" w:eastAsia="Times New Roman" w:hAnsi="Times New Roman"/>
          <w:sz w:val="18"/>
          <w:szCs w:val="18"/>
          <w:color w:val="auto"/>
        </w:rPr>
      </w:pPr>
    </w:p>
    <w:p>
      <w:pPr>
        <w:spacing w:after="0" w:line="267" w:lineRule="exact"/>
        <w:rPr>
          <w:rFonts w:ascii="Times New Roman" w:cs="Times New Roman" w:eastAsia="Times New Roman" w:hAnsi="Times New Roman"/>
          <w:sz w:val="18"/>
          <w:szCs w:val="18"/>
          <w:color w:val="auto"/>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between independent chains. Posterior probabilities (PP) &lt; 0.95 and bootstrap values (BS) &lt; 90% were considered low and indicative of weak support of nodes, whereas larger values were considered strong indicators of clade support. Details of individual analyses, the speci</w:t>
      </w:r>
      <w:r>
        <w:rPr>
          <w:rFonts w:ascii="Arial" w:cs="Arial" w:eastAsia="Arial" w:hAnsi="Arial"/>
          <w:sz w:val="18"/>
          <w:szCs w:val="18"/>
          <w:color w:val="auto"/>
        </w:rPr>
        <w:t>fi</w:t>
      </w:r>
      <w:r>
        <w:rPr>
          <w:rFonts w:ascii="Times New Roman" w:cs="Times New Roman" w:eastAsia="Times New Roman" w:hAnsi="Times New Roman"/>
          <w:sz w:val="18"/>
          <w:szCs w:val="18"/>
          <w:color w:val="auto"/>
        </w:rPr>
        <w:t xml:space="preserve">c models used, and the diagnostic statistics are included in the legends of the </w:t>
      </w:r>
      <w:r>
        <w:rPr>
          <w:rFonts w:ascii="Arial" w:cs="Arial" w:eastAsia="Arial" w:hAnsi="Arial"/>
          <w:sz w:val="18"/>
          <w:szCs w:val="18"/>
          <w:color w:val="auto"/>
        </w:rPr>
        <w:t>fi</w:t>
      </w:r>
      <w:r>
        <w:rPr>
          <w:rFonts w:ascii="Times New Roman" w:cs="Times New Roman" w:eastAsia="Times New Roman" w:hAnsi="Times New Roman"/>
          <w:sz w:val="18"/>
          <w:szCs w:val="18"/>
          <w:color w:val="auto"/>
        </w:rPr>
        <w:t>gures in the Supporting Information. The combined nucleotide, codon-degenerate and protein matrices, all in nexus format and with characters sets, were deposited on Zenodo (DOI: 10.5281/zenodo.3886964).</w:t>
      </w:r>
    </w:p>
    <w:p>
      <w:pPr>
        <w:spacing w:after="0" w:line="200" w:lineRule="exact"/>
        <w:rPr>
          <w:rFonts w:ascii="Times New Roman" w:cs="Times New Roman" w:eastAsia="Times New Roman" w:hAnsi="Times New Roman"/>
          <w:sz w:val="18"/>
          <w:szCs w:val="18"/>
          <w:color w:val="auto"/>
        </w:rPr>
      </w:pPr>
    </w:p>
    <w:p>
      <w:pPr>
        <w:spacing w:after="0" w:line="220" w:lineRule="exact"/>
        <w:rPr>
          <w:rFonts w:ascii="Times New Roman" w:cs="Times New Roman" w:eastAsia="Times New Roman" w:hAnsi="Times New Roman"/>
          <w:sz w:val="18"/>
          <w:szCs w:val="18"/>
          <w:color w:val="auto"/>
        </w:rPr>
      </w:pPr>
    </w:p>
    <w:p>
      <w:pPr>
        <w:spacing w:after="0"/>
        <w:rPr>
          <w:sz w:val="20"/>
          <w:szCs w:val="20"/>
          <w:color w:val="auto"/>
        </w:rPr>
      </w:pPr>
      <w:r>
        <w:rPr>
          <w:rFonts w:ascii="Arial" w:cs="Arial" w:eastAsia="Arial" w:hAnsi="Arial"/>
          <w:sz w:val="24"/>
          <w:szCs w:val="24"/>
          <w:color w:val="auto"/>
        </w:rPr>
        <w:t>RESULTS</w:t>
      </w:r>
    </w:p>
    <w:p>
      <w:pPr>
        <w:spacing w:after="0" w:line="144" w:lineRule="exact"/>
        <w:rPr>
          <w:rFonts w:ascii="Times New Roman" w:cs="Times New Roman" w:eastAsia="Times New Roman" w:hAnsi="Times New Roman"/>
          <w:sz w:val="18"/>
          <w:szCs w:val="18"/>
          <w:color w:val="auto"/>
        </w:rPr>
      </w:pPr>
    </w:p>
    <w:p>
      <w:pPr>
        <w:spacing w:after="0"/>
        <w:rPr>
          <w:sz w:val="20"/>
          <w:szCs w:val="20"/>
          <w:color w:val="auto"/>
        </w:rPr>
      </w:pPr>
      <w:r>
        <w:rPr>
          <w:rFonts w:ascii="Arial" w:cs="Arial" w:eastAsia="Arial" w:hAnsi="Arial"/>
          <w:sz w:val="24"/>
          <w:szCs w:val="24"/>
          <w:color w:val="auto"/>
        </w:rPr>
        <w:t>Matched-Pairs Tests of Process</w:t>
      </w:r>
    </w:p>
    <w:p>
      <w:pPr>
        <w:spacing w:after="0" w:line="219" w:lineRule="auto"/>
        <w:rPr>
          <w:sz w:val="20"/>
          <w:szCs w:val="20"/>
          <w:color w:val="auto"/>
        </w:rPr>
      </w:pPr>
      <w:r>
        <w:rPr>
          <w:rFonts w:ascii="Arial" w:cs="Arial" w:eastAsia="Arial" w:hAnsi="Arial"/>
          <w:sz w:val="24"/>
          <w:szCs w:val="24"/>
          <w:color w:val="auto"/>
        </w:rPr>
        <w:t>Homogeneity</w:t>
      </w:r>
    </w:p>
    <w:p>
      <w:pPr>
        <w:spacing w:after="0" w:line="21" w:lineRule="exact"/>
        <w:rPr>
          <w:rFonts w:ascii="Times New Roman" w:cs="Times New Roman" w:eastAsia="Times New Roman" w:hAnsi="Times New Roman"/>
          <w:sz w:val="18"/>
          <w:szCs w:val="18"/>
          <w:color w:val="auto"/>
        </w:rPr>
      </w:pPr>
    </w:p>
    <w:p>
      <w:pPr>
        <w:jc w:val="both"/>
        <w:spacing w:after="0" w:line="25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In </w:t>
      </w:r>
      <w:hyperlink w:anchor="page9">
        <w:r>
          <w:rPr>
            <w:rFonts w:ascii="Times New Roman" w:cs="Times New Roman" w:eastAsia="Times New Roman" w:hAnsi="Times New Roman"/>
            <w:sz w:val="19"/>
            <w:szCs w:val="19"/>
            <w:color w:val="auto"/>
          </w:rPr>
          <w:t>Figure 1</w:t>
        </w:r>
      </w:hyperlink>
      <w:r>
        <w:rPr>
          <w:rFonts w:ascii="Times New Roman" w:cs="Times New Roman" w:eastAsia="Times New Roman" w:hAnsi="Times New Roman"/>
          <w:sz w:val="19"/>
          <w:szCs w:val="19"/>
          <w:color w:val="auto"/>
        </w:rPr>
        <w:t>, the plotted p-values for the matched-pairs tests of homogeneity for each of the nucleotide, codon-degenerated, and amino acid data sets are shown. All three data sets fail all three tests, although the assumption of model homogeneity is violated more severely in the nucleotide data sets than in the amino acids data. These tests indicate that the data are neither stationary with respect to composition (composition varies across lineages) or homogeneous with respect to instantaneous rates (rates vary across lineages).</w:t>
      </w:r>
    </w:p>
    <w:p>
      <w:pPr>
        <w:spacing w:after="0" w:line="165" w:lineRule="exact"/>
        <w:rPr>
          <w:rFonts w:ascii="Times New Roman" w:cs="Times New Roman" w:eastAsia="Times New Roman" w:hAnsi="Times New Roman"/>
          <w:sz w:val="18"/>
          <w:szCs w:val="18"/>
          <w:color w:val="auto"/>
        </w:rPr>
      </w:pPr>
    </w:p>
    <w:p>
      <w:pPr>
        <w:spacing w:after="0"/>
        <w:rPr>
          <w:sz w:val="20"/>
          <w:szCs w:val="20"/>
          <w:color w:val="auto"/>
        </w:rPr>
      </w:pPr>
      <w:r>
        <w:rPr>
          <w:rFonts w:ascii="Arial" w:cs="Arial" w:eastAsia="Arial" w:hAnsi="Arial"/>
          <w:sz w:val="24"/>
          <w:szCs w:val="24"/>
          <w:color w:val="auto"/>
        </w:rPr>
        <w:t>Nucleotide Data</w:t>
      </w:r>
    </w:p>
    <w:p>
      <w:pPr>
        <w:spacing w:after="0" w:line="24" w:lineRule="exact"/>
        <w:rPr>
          <w:rFonts w:ascii="Times New Roman" w:cs="Times New Roman" w:eastAsia="Times New Roman" w:hAnsi="Times New Roman"/>
          <w:sz w:val="18"/>
          <w:szCs w:val="18"/>
          <w:color w:val="auto"/>
        </w:rPr>
      </w:pPr>
    </w:p>
    <w:p>
      <w:pPr>
        <w:jc w:val="both"/>
        <w:spacing w:after="0" w:line="262"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All ML bootstrap analyses of the protein-coding nucleotide data (GTR+</w:t>
      </w:r>
      <w:r>
        <w:rPr>
          <w:rFonts w:ascii="Arial" w:cs="Arial" w:eastAsia="Arial" w:hAnsi="Arial"/>
          <w:sz w:val="17"/>
          <w:szCs w:val="17"/>
          <w:color w:val="auto"/>
        </w:rPr>
        <w:t>G</w:t>
      </w:r>
      <w:r>
        <w:rPr>
          <w:rFonts w:ascii="Times New Roman" w:cs="Times New Roman" w:eastAsia="Times New Roman" w:hAnsi="Times New Roman"/>
          <w:sz w:val="22"/>
          <w:szCs w:val="22"/>
          <w:color w:val="auto"/>
          <w:vertAlign w:val="subscript"/>
        </w:rPr>
        <w:t>4</w:t>
      </w:r>
      <w:r>
        <w:rPr>
          <w:rFonts w:ascii="Times New Roman" w:cs="Times New Roman" w:eastAsia="Times New Roman" w:hAnsi="Times New Roman"/>
          <w:sz w:val="17"/>
          <w:szCs w:val="17"/>
          <w:color w:val="auto"/>
        </w:rPr>
        <w:t xml:space="preserve"> +F</w:t>
      </w:r>
      <w:r>
        <w:rPr>
          <w:rFonts w:ascii="Times New Roman" w:cs="Times New Roman" w:eastAsia="Times New Roman" w:hAnsi="Times New Roman"/>
          <w:sz w:val="22"/>
          <w:szCs w:val="22"/>
          <w:color w:val="auto"/>
          <w:vertAlign w:val="subscript"/>
        </w:rPr>
        <w:t>est</w:t>
      </w:r>
      <w:r>
        <w:rPr>
          <w:rFonts w:ascii="Times New Roman" w:cs="Times New Roman" w:eastAsia="Times New Roman" w:hAnsi="Times New Roman"/>
          <w:sz w:val="17"/>
          <w:szCs w:val="17"/>
          <w:color w:val="auto"/>
        </w:rPr>
        <w:t>) strongly support the placement of the moss lineage as sister-group to all other plants (BS&gt;90%), with the hornworts fully supported as the sister-group to the tracheophytes (</w:t>
      </w:r>
      <w:hyperlink w:anchor="page9">
        <w:r>
          <w:rPr>
            <w:rFonts w:ascii="Times New Roman" w:cs="Times New Roman" w:eastAsia="Times New Roman" w:hAnsi="Times New Roman"/>
            <w:sz w:val="17"/>
            <w:szCs w:val="17"/>
            <w:color w:val="auto"/>
          </w:rPr>
          <w:t>Figure 2A</w:t>
        </w:r>
      </w:hyperlink>
      <w:r>
        <w:rPr>
          <w:rFonts w:ascii="Times New Roman" w:cs="Times New Roman" w:eastAsia="Times New Roman" w:hAnsi="Times New Roman"/>
          <w:sz w:val="17"/>
          <w:szCs w:val="17"/>
          <w:color w:val="auto"/>
        </w:rPr>
        <w:t>;</w:t>
      </w:r>
    </w:p>
    <w:p>
      <w:pPr>
        <w:spacing w:after="0" w:line="208" w:lineRule="exact"/>
        <w:rPr>
          <w:rFonts w:ascii="Times New Roman" w:cs="Times New Roman" w:eastAsia="Times New Roman" w:hAnsi="Times New Roman"/>
          <w:sz w:val="18"/>
          <w:szCs w:val="18"/>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93" w:lineRule="exact"/>
        <w:rPr>
          <w:rFonts w:ascii="Times New Roman" w:cs="Times New Roman" w:eastAsia="Times New Roman" w:hAnsi="Times New Roman"/>
          <w:sz w:val="18"/>
          <w:szCs w:val="18"/>
          <w:color w:val="auto"/>
        </w:rPr>
      </w:pPr>
    </w:p>
    <w:p>
      <w:pPr>
        <w:ind w:left="120" w:right="140"/>
        <w:spacing w:after="0" w:line="315" w:lineRule="auto"/>
        <w:rPr>
          <w:sz w:val="20"/>
          <w:szCs w:val="20"/>
          <w:color w:val="auto"/>
        </w:rPr>
      </w:pPr>
      <w:r>
        <w:rPr>
          <w:rFonts w:ascii="Arial" w:cs="Arial" w:eastAsia="Arial" w:hAnsi="Arial"/>
          <w:sz w:val="13"/>
          <w:szCs w:val="13"/>
          <w:color w:val="auto"/>
        </w:rPr>
        <w:t>FIGURE 1 | Plots of p-values for Bowker's, Stuart's, and Ababneh's matched-pairs tests of model homogeneity for each of the three data sets. Numbers of rejected (p-values &lt; 0.05) tests: Bowker's test nucleotides 427 (98%), codon-degenerated nucl. 398 (91%), amino acids 401 (92%); Stuart's test nucleotides 424 (97%), codon-degenerated nucl. 387 (89%), amino acids 401 (98%); Ababneh's test nucleotides 331 (76%), codon-degenerated nucl. 193 (44%), amino acids 126 (29%).</w:t>
      </w:r>
    </w:p>
    <w:p>
      <w:pPr>
        <w:spacing w:after="0" w:line="20"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335915</wp:posOffset>
                </wp:positionV>
                <wp:extent cx="640778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6.45pt" to="504.9pt,26.45pt" o:allowincell="f" strokecolor="#4C4C4C" strokeweight="0.2267pt"/>
            </w:pict>
          </mc:Fallback>
        </mc:AlternateContent>
      </w:r>
    </w:p>
    <w:p>
      <w:pPr>
        <w:sectPr>
          <w:pgSz w:w="11900" w:h="15591" w:orient="portrait"/>
          <w:cols w:equalWidth="0" w:num="1">
            <w:col w:w="1010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28" w:lineRule="exact"/>
        <w:rPr>
          <w:rFonts w:ascii="Times New Roman" w:cs="Times New Roman" w:eastAsia="Times New Roman" w:hAnsi="Times New Roman"/>
          <w:sz w:val="18"/>
          <w:szCs w:val="18"/>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4</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4" w:name="page5"/>
    <w:bookmarkEnd w:id="4"/>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spacing w:after="0" w:line="266" w:lineRule="auto"/>
        <w:rPr>
          <w:rFonts w:ascii="Times New Roman" w:cs="Times New Roman" w:eastAsia="Times New Roman" w:hAnsi="Times New Roman"/>
          <w:sz w:val="18"/>
          <w:szCs w:val="18"/>
          <w:color w:val="auto"/>
        </w:rPr>
      </w:pPr>
      <w:hyperlink w:anchor="page9">
        <w:r>
          <w:rPr>
            <w:rFonts w:ascii="Times New Roman" w:cs="Times New Roman" w:eastAsia="Times New Roman" w:hAnsi="Times New Roman"/>
            <w:sz w:val="18"/>
            <w:szCs w:val="18"/>
            <w:color w:val="auto"/>
          </w:rPr>
          <w:t>Figures S1</w:t>
        </w:r>
        <w:r>
          <w:rPr>
            <w:rFonts w:ascii="Arial" w:cs="Arial" w:eastAsia="Arial" w:hAnsi="Arial"/>
            <w:sz w:val="18"/>
            <w:szCs w:val="18"/>
            <w:color w:val="auto"/>
          </w:rPr>
          <w:t>–</w:t>
        </w:r>
        <w:r>
          <w:rPr>
            <w:rFonts w:ascii="Times New Roman" w:cs="Times New Roman" w:eastAsia="Times New Roman" w:hAnsi="Times New Roman"/>
            <w:sz w:val="18"/>
            <w:szCs w:val="18"/>
            <w:color w:val="auto"/>
          </w:rPr>
          <w:t>S3</w:t>
        </w:r>
      </w:hyperlink>
      <w:r>
        <w:rPr>
          <w:rFonts w:ascii="Times New Roman" w:cs="Times New Roman" w:eastAsia="Times New Roman" w:hAnsi="Times New Roman"/>
          <w:sz w:val="18"/>
          <w:szCs w:val="18"/>
          <w:color w:val="auto"/>
        </w:rPr>
        <w:t xml:space="preserve">). ML bootstrap analyses with optimal numbers of gene partitions (11 partitions with separate models; </w:t>
      </w:r>
      <w:hyperlink w:anchor="page9">
        <w:r>
          <w:rPr>
            <w:rFonts w:ascii="Times New Roman" w:cs="Times New Roman" w:eastAsia="Times New Roman" w:hAnsi="Times New Roman"/>
            <w:sz w:val="18"/>
            <w:szCs w:val="18"/>
            <w:color w:val="auto"/>
          </w:rPr>
          <w:t>Figure S1</w:t>
        </w:r>
      </w:hyperlink>
      <w:r>
        <w:rPr>
          <w:rFonts w:ascii="Times New Roman" w:cs="Times New Roman" w:eastAsia="Times New Roman" w:hAnsi="Times New Roman"/>
          <w:sz w:val="18"/>
          <w:szCs w:val="18"/>
          <w:color w:val="auto"/>
        </w:rPr>
        <w:t>) did not result in topological differences compared to the non-partitioned ML bootstrap analysis (</w:t>
      </w:r>
      <w:hyperlink w:anchor="page9">
        <w:r>
          <w:rPr>
            <w:rFonts w:ascii="Times New Roman" w:cs="Times New Roman" w:eastAsia="Times New Roman" w:hAnsi="Times New Roman"/>
            <w:sz w:val="18"/>
            <w:szCs w:val="18"/>
            <w:color w:val="auto"/>
          </w:rPr>
          <w:t>Figure 2A</w:t>
        </w:r>
      </w:hyperlink>
      <w:r>
        <w:rPr>
          <w:rFonts w:ascii="Times New Roman" w:cs="Times New Roman" w:eastAsia="Times New Roman" w:hAnsi="Times New Roman"/>
          <w:sz w:val="18"/>
          <w:szCs w:val="18"/>
          <w:color w:val="auto"/>
        </w:rPr>
        <w:t>), and the use of an alternative starting tree for estimating the optimal gene partitioning scheme resulted in a slightly altered partitioning scheme but ultimately had no substantial effect on the statistical support regarding the placement of bryophyte lineages (</w:t>
      </w:r>
      <w:hyperlink w:anchor="page9">
        <w:r>
          <w:rPr>
            <w:rFonts w:ascii="Times New Roman" w:cs="Times New Roman" w:eastAsia="Times New Roman" w:hAnsi="Times New Roman"/>
            <w:sz w:val="18"/>
            <w:szCs w:val="18"/>
            <w:color w:val="auto"/>
          </w:rPr>
          <w:t>Figure S2</w:t>
        </w:r>
      </w:hyperlink>
      <w:r>
        <w:rPr>
          <w:rFonts w:ascii="Times New Roman" w:cs="Times New Roman" w:eastAsia="Times New Roman" w:hAnsi="Times New Roman"/>
          <w:sz w:val="18"/>
          <w:szCs w:val="18"/>
          <w:color w:val="auto"/>
        </w:rPr>
        <w:t xml:space="preserve">). The ML bootstrap analyses with optimal numbers of codon-position partitions (21 partitions; </w:t>
      </w:r>
      <w:hyperlink w:anchor="page9">
        <w:r>
          <w:rPr>
            <w:rFonts w:ascii="Times New Roman" w:cs="Times New Roman" w:eastAsia="Times New Roman" w:hAnsi="Times New Roman"/>
            <w:sz w:val="18"/>
            <w:szCs w:val="18"/>
            <w:color w:val="auto"/>
          </w:rPr>
          <w:t>Figure S3</w:t>
        </w:r>
      </w:hyperlink>
      <w:r>
        <w:rPr>
          <w:rFonts w:ascii="Times New Roman" w:cs="Times New Roman" w:eastAsia="Times New Roman" w:hAnsi="Times New Roman"/>
          <w:sz w:val="18"/>
          <w:szCs w:val="18"/>
          <w:color w:val="auto"/>
        </w:rPr>
        <w:t>) was also congruent with other analyses regarding the placement of bryophytes, but resulted in a different arrangement among tracheophyte lineages. Whereas the non-partitioned and gene-partitioned analyses placed ferns as sister-group to other tracheophytes in the codon-position and partitioned analyses, the lycopods appear as sister-group to other tracheophytes in the codon-partitioned analyses (</w:t>
      </w:r>
      <w:hyperlink w:anchor="page9">
        <w:r>
          <w:rPr>
            <w:rFonts w:ascii="Times New Roman" w:cs="Times New Roman" w:eastAsia="Times New Roman" w:hAnsi="Times New Roman"/>
            <w:sz w:val="18"/>
            <w:szCs w:val="18"/>
            <w:color w:val="auto"/>
          </w:rPr>
          <w:t>Figure S3</w:t>
        </w:r>
      </w:hyperlink>
      <w:r>
        <w:rPr>
          <w:rFonts w:ascii="Times New Roman" w:cs="Times New Roman" w:eastAsia="Times New Roman" w:hAnsi="Times New Roman"/>
          <w:sz w:val="18"/>
          <w:szCs w:val="18"/>
          <w:color w:val="auto"/>
        </w:rPr>
        <w:t>).</w:t>
      </w:r>
    </w:p>
    <w:p>
      <w:pPr>
        <w:spacing w:after="0" w:line="10" w:lineRule="exact"/>
        <w:rPr>
          <w:rFonts w:ascii="Times New Roman" w:cs="Times New Roman" w:eastAsia="Times New Roman" w:hAnsi="Times New Roman"/>
          <w:sz w:val="18"/>
          <w:szCs w:val="18"/>
          <w:color w:val="auto"/>
        </w:rPr>
      </w:pPr>
    </w:p>
    <w:p>
      <w:pPr>
        <w:jc w:val="both"/>
        <w:ind w:firstLine="240"/>
        <w:spacing w:after="0" w:line="24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Bayesian MCMC analyses of the nucleotide data using a tree-homogeneous composition model shows full support (PP = 1.0) for the placement of mosses as sister-group to other land plants and hornworts as the sister-group to tracheophytes (</w:t>
      </w:r>
      <w:hyperlink w:anchor="page9">
        <w:r>
          <w:rPr>
            <w:rFonts w:ascii="Times New Roman" w:cs="Times New Roman" w:eastAsia="Times New Roman" w:hAnsi="Times New Roman"/>
            <w:sz w:val="18"/>
            <w:szCs w:val="18"/>
            <w:color w:val="auto"/>
          </w:rPr>
          <w:t>Figure S4</w:t>
        </w:r>
      </w:hyperlink>
      <w:r>
        <w:rPr>
          <w:rFonts w:ascii="Times New Roman" w:cs="Times New Roman" w:eastAsia="Times New Roman" w:hAnsi="Times New Roman"/>
          <w:sz w:val="18"/>
          <w:szCs w:val="18"/>
          <w:color w:val="auto"/>
        </w:rPr>
        <w:t>). Similarly, tree-heterogeneous composition model analyses (F</w:t>
      </w:r>
      <w:r>
        <w:rPr>
          <w:rFonts w:ascii="Times New Roman" w:cs="Times New Roman" w:eastAsia="Times New Roman" w:hAnsi="Times New Roman"/>
          <w:sz w:val="24"/>
          <w:szCs w:val="24"/>
          <w:color w:val="auto"/>
          <w:vertAlign w:val="subscript"/>
        </w:rPr>
        <w:t>NDCH2</w:t>
      </w:r>
      <w:r>
        <w:rPr>
          <w:rFonts w:ascii="Times New Roman" w:cs="Times New Roman" w:eastAsia="Times New Roman" w:hAnsi="Times New Roman"/>
          <w:sz w:val="18"/>
          <w:szCs w:val="18"/>
          <w:color w:val="auto"/>
        </w:rPr>
        <w:t>) resulted in a similar topology and support values, but with the lycopods as the sister-group to the remaining tracheophytes (</w:t>
      </w:r>
      <w:hyperlink w:anchor="page9">
        <w:r>
          <w:rPr>
            <w:rFonts w:ascii="Times New Roman" w:cs="Times New Roman" w:eastAsia="Times New Roman" w:hAnsi="Times New Roman"/>
            <w:sz w:val="18"/>
            <w:szCs w:val="18"/>
            <w:color w:val="auto"/>
          </w:rPr>
          <w:t>Figure S5</w:t>
        </w:r>
      </w:hyperlink>
      <w:r>
        <w:rPr>
          <w:rFonts w:ascii="Times New Roman" w:cs="Times New Roman" w:eastAsia="Times New Roman" w:hAnsi="Times New Roman"/>
          <w:sz w:val="18"/>
          <w:szCs w:val="18"/>
          <w:color w:val="auto"/>
        </w:rPr>
        <w:t xml:space="preserve">). Posterior predictive simulations of the </w:t>
      </w:r>
      <w:r>
        <w:rPr>
          <w:rFonts w:ascii="Arial" w:cs="Arial" w:eastAsia="Arial" w:hAnsi="Arial"/>
          <w:sz w:val="18"/>
          <w:szCs w:val="18"/>
          <w:color w:val="auto"/>
        </w:rPr>
        <w:t>c</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8"/>
          <w:szCs w:val="18"/>
          <w:color w:val="auto"/>
        </w:rPr>
        <w:t xml:space="preserve"> statistic of composition homogeneity showed a poor </w:t>
      </w:r>
      <w:r>
        <w:rPr>
          <w:rFonts w:ascii="Arial" w:cs="Arial" w:eastAsia="Arial" w:hAnsi="Arial"/>
          <w:sz w:val="18"/>
          <w:szCs w:val="18"/>
          <w:color w:val="auto"/>
        </w:rPr>
        <w:t>fi</w:t>
      </w:r>
      <w:r>
        <w:rPr>
          <w:rFonts w:ascii="Times New Roman" w:cs="Times New Roman" w:eastAsia="Times New Roman" w:hAnsi="Times New Roman"/>
          <w:sz w:val="18"/>
          <w:szCs w:val="18"/>
          <w:color w:val="auto"/>
        </w:rPr>
        <w:t>t (p = 0.0) of both the tree-homogeneous composition model</w:t>
      </w:r>
    </w:p>
    <w:p>
      <w:pPr>
        <w:spacing w:after="0" w:line="6" w:lineRule="exact"/>
        <w:rPr>
          <w:sz w:val="20"/>
          <w:szCs w:val="20"/>
          <w:color w:val="auto"/>
        </w:rPr>
      </w:pPr>
    </w:p>
    <w:p>
      <w:pPr>
        <w:jc w:val="both"/>
        <w:spacing w:after="0" w:line="217" w:lineRule="auto"/>
        <w:rPr>
          <w:sz w:val="20"/>
          <w:szCs w:val="20"/>
          <w:color w:val="auto"/>
        </w:rPr>
      </w:pPr>
      <w:r>
        <w:rPr>
          <w:rFonts w:ascii="Times New Roman" w:cs="Times New Roman" w:eastAsia="Times New Roman" w:hAnsi="Times New Roman"/>
          <w:sz w:val="19"/>
          <w:szCs w:val="19"/>
          <w:color w:val="auto"/>
        </w:rPr>
        <w:t>(F</w:t>
      </w:r>
      <w:r>
        <w:rPr>
          <w:rFonts w:ascii="Times New Roman" w:cs="Times New Roman" w:eastAsia="Times New Roman" w:hAnsi="Times New Roman"/>
          <w:sz w:val="25"/>
          <w:szCs w:val="25"/>
          <w:color w:val="auto"/>
          <w:vertAlign w:val="subscript"/>
        </w:rPr>
        <w:t>CV1</w:t>
      </w:r>
      <w:r>
        <w:rPr>
          <w:rFonts w:ascii="Times New Roman" w:cs="Times New Roman" w:eastAsia="Times New Roman" w:hAnsi="Times New Roman"/>
          <w:sz w:val="19"/>
          <w:szCs w:val="19"/>
          <w:color w:val="auto"/>
        </w:rPr>
        <w:t>) and the tree-heterogeneous composition (F</w:t>
      </w:r>
      <w:r>
        <w:rPr>
          <w:rFonts w:ascii="Times New Roman" w:cs="Times New Roman" w:eastAsia="Times New Roman" w:hAnsi="Times New Roman"/>
          <w:sz w:val="25"/>
          <w:szCs w:val="25"/>
          <w:color w:val="auto"/>
          <w:vertAlign w:val="subscript"/>
        </w:rPr>
        <w:t>NDCH2</w:t>
      </w:r>
      <w:r>
        <w:rPr>
          <w:rFonts w:ascii="Times New Roman" w:cs="Times New Roman" w:eastAsia="Times New Roman" w:hAnsi="Times New Roman"/>
          <w:sz w:val="19"/>
          <w:szCs w:val="19"/>
          <w:color w:val="auto"/>
        </w:rPr>
        <w:t xml:space="preserve">) model, but the latter was a much improved </w:t>
      </w:r>
      <w:r>
        <w:rPr>
          <w:rFonts w:ascii="Arial" w:cs="Arial" w:eastAsia="Arial" w:hAnsi="Arial"/>
          <w:sz w:val="19"/>
          <w:szCs w:val="19"/>
          <w:color w:val="auto"/>
        </w:rPr>
        <w:t>fi</w:t>
      </w:r>
      <w:r>
        <w:rPr>
          <w:rFonts w:ascii="Times New Roman" w:cs="Times New Roman" w:eastAsia="Times New Roman" w:hAnsi="Times New Roman"/>
          <w:sz w:val="19"/>
          <w:szCs w:val="19"/>
          <w:color w:val="auto"/>
        </w:rPr>
        <w:t>t by 2 orders of</w:t>
      </w:r>
    </w:p>
    <w:p>
      <w:pPr>
        <w:spacing w:after="0" w:line="22" w:lineRule="exact"/>
        <w:rPr>
          <w:sz w:val="20"/>
          <w:szCs w:val="20"/>
          <w:color w:val="auto"/>
        </w:rPr>
      </w:pPr>
    </w:p>
    <w:p>
      <w:pPr>
        <w:jc w:val="both"/>
        <w:spacing w:after="0" w:line="270"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magnitude (see legends of </w:t>
      </w:r>
      <w:hyperlink w:anchor="page9">
        <w:r>
          <w:rPr>
            <w:rFonts w:ascii="Times New Roman" w:cs="Times New Roman" w:eastAsia="Times New Roman" w:hAnsi="Times New Roman"/>
            <w:sz w:val="18"/>
            <w:szCs w:val="18"/>
            <w:color w:val="auto"/>
          </w:rPr>
          <w:t xml:space="preserve">Figures S4 </w:t>
        </w:r>
      </w:hyperlink>
      <w:r>
        <w:rPr>
          <w:rFonts w:ascii="Times New Roman" w:cs="Times New Roman" w:eastAsia="Times New Roman" w:hAnsi="Times New Roman"/>
          <w:sz w:val="18"/>
          <w:szCs w:val="18"/>
          <w:color w:val="auto"/>
        </w:rPr>
        <w:t xml:space="preserve">and </w:t>
      </w:r>
      <w:hyperlink w:anchor="page9">
        <w:r>
          <w:rPr>
            <w:rFonts w:ascii="Times New Roman" w:cs="Times New Roman" w:eastAsia="Times New Roman" w:hAnsi="Times New Roman"/>
            <w:sz w:val="18"/>
            <w:szCs w:val="18"/>
            <w:color w:val="auto"/>
          </w:rPr>
          <w:t xml:space="preserve">S5 </w:t>
        </w:r>
      </w:hyperlink>
      <w:r>
        <w:rPr>
          <w:rFonts w:ascii="Times New Roman" w:cs="Times New Roman" w:eastAsia="Times New Roman" w:hAnsi="Times New Roman"/>
          <w:sz w:val="18"/>
          <w:szCs w:val="18"/>
          <w:color w:val="auto"/>
        </w:rPr>
        <w:t>for details). Site-heterogeneous composition model analyses using the Phylobayes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269875</wp:posOffset>
            </wp:positionV>
            <wp:extent cx="6433185" cy="35433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extLst>
                    </a:blip>
                    <a:srcRect/>
                    <a:stretch>
                      <a:fillRect/>
                    </a:stretch>
                  </pic:blipFill>
                  <pic:spPr bwMode="auto">
                    <a:xfrm>
                      <a:off x="0" y="0"/>
                      <a:ext cx="6433185" cy="35433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9"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8"/>
          <w:szCs w:val="18"/>
          <w:color w:val="auto"/>
        </w:rPr>
        <w:t>(GTR+</w:t>
      </w:r>
      <w:r>
        <w:rPr>
          <w:rFonts w:ascii="Arial" w:cs="Arial" w:eastAsia="Arial" w:hAnsi="Arial"/>
          <w:sz w:val="18"/>
          <w:szCs w:val="18"/>
          <w:color w:val="auto"/>
        </w:rPr>
        <w:t>G</w:t>
      </w:r>
      <w:r>
        <w:rPr>
          <w:rFonts w:ascii="Times New Roman" w:cs="Times New Roman" w:eastAsia="Times New Roman" w:hAnsi="Times New Roman"/>
          <w:sz w:val="24"/>
          <w:szCs w:val="24"/>
          <w:color w:val="auto"/>
          <w:vertAlign w:val="subscript"/>
        </w:rPr>
        <w:t>4</w:t>
      </w:r>
      <w:r>
        <w:rPr>
          <w:rFonts w:ascii="Times New Roman" w:cs="Times New Roman" w:eastAsia="Times New Roman" w:hAnsi="Times New Roman"/>
          <w:sz w:val="18"/>
          <w:szCs w:val="18"/>
          <w:color w:val="auto"/>
        </w:rPr>
        <w:t>+F</w:t>
      </w:r>
      <w:r>
        <w:rPr>
          <w:rFonts w:ascii="Times New Roman" w:cs="Times New Roman" w:eastAsia="Times New Roman" w:hAnsi="Times New Roman"/>
          <w:sz w:val="24"/>
          <w:szCs w:val="24"/>
          <w:color w:val="auto"/>
          <w:vertAlign w:val="subscript"/>
        </w:rPr>
        <w:t>CAT</w:t>
      </w:r>
      <w:r>
        <w:rPr>
          <w:rFonts w:ascii="Times New Roman" w:cs="Times New Roman" w:eastAsia="Times New Roman" w:hAnsi="Times New Roman"/>
          <w:sz w:val="18"/>
          <w:szCs w:val="18"/>
          <w:color w:val="auto"/>
        </w:rPr>
        <w:t>) also placed the mosses as the sister-group to the other land plants, but with low branch support (PP = 0.84), whereas</w:t>
      </w:r>
    </w:p>
    <w:p>
      <w:pPr>
        <w:spacing w:after="0" w:line="16" w:lineRule="exact"/>
        <w:rPr>
          <w:sz w:val="20"/>
          <w:szCs w:val="20"/>
          <w:color w:val="auto"/>
        </w:rPr>
      </w:pPr>
    </w:p>
    <w:p>
      <w:pPr>
        <w:jc w:val="both"/>
        <w:spacing w:after="0" w:line="242"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hornworts remained strongly supported as the sister-group to tracheophytes (PP = 1.0; </w:t>
      </w:r>
      <w:hyperlink w:anchor="page9">
        <w:r>
          <w:rPr>
            <w:rFonts w:ascii="Times New Roman" w:cs="Times New Roman" w:eastAsia="Times New Roman" w:hAnsi="Times New Roman"/>
            <w:sz w:val="19"/>
            <w:szCs w:val="19"/>
            <w:color w:val="auto"/>
          </w:rPr>
          <w:t>Figure S6</w:t>
        </w:r>
      </w:hyperlink>
      <w:r>
        <w:rPr>
          <w:rFonts w:ascii="Times New Roman" w:cs="Times New Roman" w:eastAsia="Times New Roman" w:hAnsi="Times New Roman"/>
          <w:sz w:val="19"/>
          <w:szCs w:val="19"/>
          <w:color w:val="auto"/>
        </w:rPr>
        <w:t>).</w:t>
      </w:r>
    </w:p>
    <w:p>
      <w:pPr>
        <w:spacing w:after="0" w:line="20" w:lineRule="exact"/>
        <w:rPr>
          <w:sz w:val="20"/>
          <w:szCs w:val="20"/>
          <w:color w:val="auto"/>
        </w:rPr>
      </w:pPr>
    </w:p>
    <w:p>
      <w:pPr>
        <w:jc w:val="both"/>
        <w:ind w:firstLine="240"/>
        <w:spacing w:after="0" w:line="23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The ML bootstrap analyses of the codon-degenerate recoded nucleotide data set (GTR+</w:t>
      </w:r>
      <w:r>
        <w:rPr>
          <w:rFonts w:ascii="Arial" w:cs="Arial" w:eastAsia="Arial" w:hAnsi="Arial"/>
          <w:sz w:val="19"/>
          <w:szCs w:val="19"/>
          <w:color w:val="auto"/>
        </w:rPr>
        <w:t>G</w:t>
      </w:r>
      <w:r>
        <w:rPr>
          <w:rFonts w:ascii="Times New Roman" w:cs="Times New Roman" w:eastAsia="Times New Roman" w:hAnsi="Times New Roman"/>
          <w:sz w:val="25"/>
          <w:szCs w:val="25"/>
          <w:color w:val="auto"/>
          <w:vertAlign w:val="subscript"/>
        </w:rPr>
        <w:t>4</w:t>
      </w:r>
      <w:r>
        <w:rPr>
          <w:rFonts w:ascii="Times New Roman" w:cs="Times New Roman" w:eastAsia="Times New Roman" w:hAnsi="Times New Roman"/>
          <w:sz w:val="19"/>
          <w:szCs w:val="19"/>
          <w:color w:val="auto"/>
        </w:rPr>
        <w:t>+F</w:t>
      </w:r>
      <w:r>
        <w:rPr>
          <w:rFonts w:ascii="Times New Roman" w:cs="Times New Roman" w:eastAsia="Times New Roman" w:hAnsi="Times New Roman"/>
          <w:sz w:val="25"/>
          <w:szCs w:val="25"/>
          <w:color w:val="auto"/>
          <w:vertAlign w:val="subscript"/>
        </w:rPr>
        <w:t>est</w:t>
      </w:r>
      <w:r>
        <w:rPr>
          <w:rFonts w:ascii="Times New Roman" w:cs="Times New Roman" w:eastAsia="Times New Roman" w:hAnsi="Times New Roman"/>
          <w:sz w:val="19"/>
          <w:szCs w:val="19"/>
          <w:color w:val="auto"/>
        </w:rPr>
        <w:t xml:space="preserve">) did not resolve the position of either mosses or liverworts, and resolved hornworts as sister-group to tracheophytes with low branch support (BS = 76%; </w:t>
      </w:r>
      <w:hyperlink w:anchor="page9">
        <w:r>
          <w:rPr>
            <w:rFonts w:ascii="Times New Roman" w:cs="Times New Roman" w:eastAsia="Times New Roman" w:hAnsi="Times New Roman"/>
            <w:sz w:val="19"/>
            <w:szCs w:val="19"/>
            <w:color w:val="auto"/>
          </w:rPr>
          <w:t>Figure 2B</w:t>
        </w:r>
      </w:hyperlink>
      <w:r>
        <w:rPr>
          <w:rFonts w:ascii="Times New Roman" w:cs="Times New Roman" w:eastAsia="Times New Roman" w:hAnsi="Times New Roman"/>
          <w:sz w:val="19"/>
          <w:szCs w:val="19"/>
          <w:color w:val="auto"/>
        </w:rPr>
        <w:t>).</w:t>
      </w:r>
    </w:p>
    <w:p>
      <w:pPr>
        <w:spacing w:after="0" w:line="193" w:lineRule="exact"/>
        <w:rPr>
          <w:sz w:val="20"/>
          <w:szCs w:val="20"/>
          <w:color w:val="auto"/>
        </w:rPr>
      </w:pPr>
    </w:p>
    <w:p>
      <w:pPr>
        <w:spacing w:after="0"/>
        <w:rPr>
          <w:sz w:val="20"/>
          <w:szCs w:val="20"/>
          <w:color w:val="auto"/>
        </w:rPr>
      </w:pPr>
      <w:r>
        <w:rPr>
          <w:rFonts w:ascii="Arial" w:cs="Arial" w:eastAsia="Arial" w:hAnsi="Arial"/>
          <w:sz w:val="24"/>
          <w:szCs w:val="24"/>
          <w:color w:val="auto"/>
        </w:rPr>
        <w:t>Amino Acid Data</w:t>
      </w:r>
    </w:p>
    <w:p>
      <w:pPr>
        <w:spacing w:after="0" w:line="23" w:lineRule="exact"/>
        <w:rPr>
          <w:sz w:val="20"/>
          <w:szCs w:val="20"/>
          <w:color w:val="auto"/>
        </w:rPr>
      </w:pPr>
    </w:p>
    <w:p>
      <w:pPr>
        <w:jc w:val="both"/>
        <w:spacing w:after="0" w:line="24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ML bootstrap analyses of the concatenated amino acid data (gcpREV+</w:t>
      </w:r>
      <w:r>
        <w:rPr>
          <w:rFonts w:ascii="Arial" w:cs="Arial" w:eastAsia="Arial" w:hAnsi="Arial"/>
          <w:sz w:val="19"/>
          <w:szCs w:val="19"/>
          <w:color w:val="auto"/>
        </w:rPr>
        <w:t>G</w:t>
      </w:r>
      <w:r>
        <w:rPr>
          <w:rFonts w:ascii="Times New Roman" w:cs="Times New Roman" w:eastAsia="Times New Roman" w:hAnsi="Times New Roman"/>
          <w:sz w:val="25"/>
          <w:szCs w:val="25"/>
          <w:color w:val="auto"/>
          <w:vertAlign w:val="subscript"/>
        </w:rPr>
        <w:t>4</w:t>
      </w:r>
      <w:r>
        <w:rPr>
          <w:rFonts w:ascii="Times New Roman" w:cs="Times New Roman" w:eastAsia="Times New Roman" w:hAnsi="Times New Roman"/>
          <w:sz w:val="19"/>
          <w:szCs w:val="19"/>
          <w:color w:val="auto"/>
        </w:rPr>
        <w:t>+F</w:t>
      </w:r>
      <w:r>
        <w:rPr>
          <w:rFonts w:ascii="Times New Roman" w:cs="Times New Roman" w:eastAsia="Times New Roman" w:hAnsi="Times New Roman"/>
          <w:sz w:val="25"/>
          <w:szCs w:val="25"/>
          <w:color w:val="auto"/>
          <w:vertAlign w:val="subscript"/>
        </w:rPr>
        <w:t>mod</w:t>
      </w:r>
      <w:r>
        <w:rPr>
          <w:rFonts w:ascii="Times New Roman" w:cs="Times New Roman" w:eastAsia="Times New Roman" w:hAnsi="Times New Roman"/>
          <w:sz w:val="19"/>
          <w:szCs w:val="19"/>
          <w:color w:val="auto"/>
        </w:rPr>
        <w:t xml:space="preserve">) resolve bryophytes as monophyletic (BS = 77%) but fail to recover the monophyly of tracheophytes, showing ferns as the sister-group to the remaining embryophytes but with very low statistic support (BS = 56%; </w:t>
      </w:r>
      <w:hyperlink w:anchor="page9">
        <w:r>
          <w:rPr>
            <w:rFonts w:ascii="Times New Roman" w:cs="Times New Roman" w:eastAsia="Times New Roman" w:hAnsi="Times New Roman"/>
            <w:sz w:val="19"/>
            <w:szCs w:val="19"/>
            <w:color w:val="auto"/>
          </w:rPr>
          <w:t>Figure S7</w:t>
        </w:r>
      </w:hyperlink>
      <w:r>
        <w:rPr>
          <w:rFonts w:ascii="Times New Roman" w:cs="Times New Roman" w:eastAsia="Times New Roman" w:hAnsi="Times New Roman"/>
          <w:sz w:val="19"/>
          <w:szCs w:val="19"/>
          <w:color w:val="auto"/>
        </w:rPr>
        <w:t>). When the data were divided into 17 partitions, ML bootstrap support for the monophyly of the bryophytes increased to 81%, and the ferns were supported as the sister-group to all other land plants by 66% (</w:t>
      </w:r>
      <w:hyperlink w:anchor="page9">
        <w:r>
          <w:rPr>
            <w:rFonts w:ascii="Times New Roman" w:cs="Times New Roman" w:eastAsia="Times New Roman" w:hAnsi="Times New Roman"/>
            <w:sz w:val="19"/>
            <w:szCs w:val="19"/>
            <w:color w:val="auto"/>
          </w:rPr>
          <w:t>Figure S8</w:t>
        </w:r>
      </w:hyperlink>
      <w:r>
        <w:rPr>
          <w:rFonts w:ascii="Times New Roman" w:cs="Times New Roman" w:eastAsia="Times New Roman" w:hAnsi="Times New Roman"/>
          <w:sz w:val="19"/>
          <w:szCs w:val="19"/>
          <w:color w:val="auto"/>
        </w:rPr>
        <w:t>).</w:t>
      </w:r>
    </w:p>
    <w:p>
      <w:pPr>
        <w:spacing w:after="0" w:line="27" w:lineRule="exact"/>
        <w:rPr>
          <w:sz w:val="20"/>
          <w:szCs w:val="20"/>
          <w:color w:val="auto"/>
        </w:rPr>
      </w:pPr>
    </w:p>
    <w:p>
      <w:pPr>
        <w:jc w:val="both"/>
        <w:ind w:firstLine="240"/>
        <w:spacing w:after="0"/>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MCMC analyses of amino acid data under a tree-homogeneous composition model (gcpREV+</w:t>
      </w:r>
      <w:r>
        <w:rPr>
          <w:rFonts w:ascii="Arial" w:cs="Arial" w:eastAsia="Arial" w:hAnsi="Arial"/>
          <w:sz w:val="18"/>
          <w:szCs w:val="18"/>
          <w:color w:val="auto"/>
        </w:rPr>
        <w:t>G</w:t>
      </w:r>
      <w:r>
        <w:rPr>
          <w:rFonts w:ascii="Times New Roman" w:cs="Times New Roman" w:eastAsia="Times New Roman" w:hAnsi="Times New Roman"/>
          <w:sz w:val="24"/>
          <w:szCs w:val="24"/>
          <w:color w:val="auto"/>
          <w:vertAlign w:val="subscript"/>
        </w:rPr>
        <w:t>4</w:t>
      </w:r>
      <w:r>
        <w:rPr>
          <w:rFonts w:ascii="Times New Roman" w:cs="Times New Roman" w:eastAsia="Times New Roman" w:hAnsi="Times New Roman"/>
          <w:sz w:val="18"/>
          <w:szCs w:val="18"/>
          <w:color w:val="auto"/>
        </w:rPr>
        <w:t xml:space="preserve"> +F</w:t>
      </w:r>
      <w:r>
        <w:rPr>
          <w:rFonts w:ascii="Times New Roman" w:cs="Times New Roman" w:eastAsia="Times New Roman" w:hAnsi="Times New Roman"/>
          <w:sz w:val="24"/>
          <w:szCs w:val="24"/>
          <w:color w:val="auto"/>
          <w:vertAlign w:val="subscript"/>
        </w:rPr>
        <w:t>est</w:t>
      </w:r>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auto"/>
          </w:rPr>
          <w:t>Figure S9</w:t>
        </w:r>
      </w:hyperlink>
      <w:r>
        <w:rPr>
          <w:rFonts w:ascii="Times New Roman" w:cs="Times New Roman" w:eastAsia="Times New Roman" w:hAnsi="Times New Roman"/>
          <w:sz w:val="18"/>
          <w:szCs w:val="18"/>
          <w:color w:val="auto"/>
        </w:rPr>
        <w:t>) and under the tree-heterogeneous composition model (gcpREV+</w:t>
      </w:r>
      <w:r>
        <w:rPr>
          <w:rFonts w:ascii="Arial" w:cs="Arial" w:eastAsia="Arial" w:hAnsi="Arial"/>
          <w:sz w:val="18"/>
          <w:szCs w:val="18"/>
          <w:color w:val="auto"/>
        </w:rPr>
        <w:t>G</w:t>
      </w:r>
      <w:r>
        <w:rPr>
          <w:rFonts w:ascii="Times New Roman" w:cs="Times New Roman" w:eastAsia="Times New Roman" w:hAnsi="Times New Roman"/>
          <w:sz w:val="24"/>
          <w:szCs w:val="24"/>
          <w:color w:val="auto"/>
          <w:vertAlign w:val="subscript"/>
        </w:rPr>
        <w:t>4</w:t>
      </w:r>
      <w:r>
        <w:rPr>
          <w:rFonts w:ascii="Times New Roman" w:cs="Times New Roman" w:eastAsia="Times New Roman" w:hAnsi="Times New Roman"/>
          <w:sz w:val="18"/>
          <w:szCs w:val="18"/>
          <w:color w:val="auto"/>
        </w:rPr>
        <w:t xml:space="preserve"> +F</w:t>
      </w:r>
      <w:r>
        <w:rPr>
          <w:rFonts w:ascii="Times New Roman" w:cs="Times New Roman" w:eastAsia="Times New Roman" w:hAnsi="Times New Roman"/>
          <w:sz w:val="24"/>
          <w:szCs w:val="24"/>
          <w:color w:val="auto"/>
          <w:vertAlign w:val="subscript"/>
        </w:rPr>
        <w:t>NDCH2</w:t>
      </w:r>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auto"/>
          </w:rPr>
          <w:t>Figures 3A, B</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auto"/>
          </w:rPr>
          <w:t xml:space="preserve">Figures S10 </w:t>
        </w:r>
      </w:hyperlink>
      <w:r>
        <w:rPr>
          <w:rFonts w:ascii="Times New Roman" w:cs="Times New Roman" w:eastAsia="Times New Roman" w:hAnsi="Times New Roman"/>
          <w:sz w:val="18"/>
          <w:szCs w:val="18"/>
          <w:color w:val="auto"/>
        </w:rPr>
        <w:t xml:space="preserve">and </w:t>
      </w:r>
      <w:hyperlink w:anchor="page9">
        <w:r>
          <w:rPr>
            <w:rFonts w:ascii="Times New Roman" w:cs="Times New Roman" w:eastAsia="Times New Roman" w:hAnsi="Times New Roman"/>
            <w:sz w:val="18"/>
            <w:szCs w:val="18"/>
            <w:color w:val="auto"/>
          </w:rPr>
          <w:t>11</w:t>
        </w:r>
      </w:hyperlink>
      <w:r>
        <w:rPr>
          <w:rFonts w:ascii="Times New Roman" w:cs="Times New Roman" w:eastAsia="Times New Roman" w:hAnsi="Times New Roman"/>
          <w:sz w:val="18"/>
          <w:szCs w:val="18"/>
          <w:color w:val="auto"/>
        </w:rPr>
        <w:t>) both show bryophytes as monophyletic with maximum support (PP = 1.0) in all replicates of the analyses. However, the four independent runs of non-stationary composition (F</w:t>
      </w:r>
      <w:r>
        <w:rPr>
          <w:rFonts w:ascii="Times New Roman" w:cs="Times New Roman" w:eastAsia="Times New Roman" w:hAnsi="Times New Roman"/>
          <w:sz w:val="24"/>
          <w:szCs w:val="24"/>
          <w:color w:val="auto"/>
          <w:vertAlign w:val="subscript"/>
        </w:rPr>
        <w:t>NDCH2</w:t>
      </w:r>
      <w:r>
        <w:rPr>
          <w:rFonts w:ascii="Times New Roman" w:cs="Times New Roman" w:eastAsia="Times New Roman" w:hAnsi="Times New Roman"/>
          <w:sz w:val="18"/>
          <w:szCs w:val="18"/>
          <w:color w:val="auto"/>
        </w:rPr>
        <w:t xml:space="preserve">) analyses failed to converge on the same topology with respect to the relationships among the tracheophyte lineages. In two runs (runs 1 and 3, </w:t>
      </w:r>
      <w:hyperlink w:anchor="page9">
        <w:r>
          <w:rPr>
            <w:rFonts w:ascii="Times New Roman" w:cs="Times New Roman" w:eastAsia="Times New Roman" w:hAnsi="Times New Roman"/>
            <w:sz w:val="18"/>
            <w:szCs w:val="18"/>
            <w:color w:val="auto"/>
          </w:rPr>
          <w:t xml:space="preserve">Figures 3A </w:t>
        </w:r>
      </w:hyperlink>
      <w:r>
        <w:rPr>
          <w:rFonts w:ascii="Times New Roman" w:cs="Times New Roman" w:eastAsia="Times New Roman" w:hAnsi="Times New Roman"/>
          <w:sz w:val="18"/>
          <w:szCs w:val="18"/>
          <w:color w:val="auto"/>
        </w:rPr>
        <w:t xml:space="preserve">and </w:t>
      </w:r>
      <w:hyperlink w:anchor="page9">
        <w:r>
          <w:rPr>
            <w:rFonts w:ascii="Times New Roman" w:cs="Times New Roman" w:eastAsia="Times New Roman" w:hAnsi="Times New Roman"/>
            <w:sz w:val="18"/>
            <w:szCs w:val="18"/>
            <w:color w:val="auto"/>
          </w:rPr>
          <w:t>S10</w:t>
        </w:r>
      </w:hyperlink>
      <w:r>
        <w:rPr>
          <w:rFonts w:ascii="Times New Roman" w:cs="Times New Roman" w:eastAsia="Times New Roman" w:hAnsi="Times New Roman"/>
          <w:sz w:val="18"/>
          <w:szCs w:val="18"/>
          <w:color w:val="auto"/>
        </w:rPr>
        <w:t>, respectively), including the run with the best marginal-likelihood</w:t>
      </w:r>
    </w:p>
    <w:p>
      <w:pPr>
        <w:spacing w:after="0" w:line="218" w:lineRule="exact"/>
        <w:rPr>
          <w:rFonts w:ascii="Times New Roman" w:cs="Times New Roman" w:eastAsia="Times New Roman" w:hAnsi="Times New Roman"/>
          <w:sz w:val="18"/>
          <w:szCs w:val="18"/>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3" w:lineRule="exact"/>
        <w:rPr>
          <w:rFonts w:ascii="Times New Roman" w:cs="Times New Roman" w:eastAsia="Times New Roman" w:hAnsi="Times New Roman"/>
          <w:sz w:val="18"/>
          <w:szCs w:val="18"/>
          <w:color w:val="auto"/>
        </w:rPr>
      </w:pPr>
    </w:p>
    <w:p>
      <w:pPr>
        <w:ind w:left="640"/>
        <w:spacing w:after="0"/>
        <w:tabs>
          <w:tab w:leader="none" w:pos="5040" w:val="left"/>
        </w:tabs>
        <w:rPr>
          <w:sz w:val="20"/>
          <w:szCs w:val="20"/>
          <w:color w:val="auto"/>
        </w:rPr>
      </w:pPr>
      <w:r>
        <w:rPr>
          <w:rFonts w:ascii="Arial" w:cs="Arial" w:eastAsia="Arial" w:hAnsi="Arial"/>
          <w:sz w:val="14"/>
          <w:szCs w:val="14"/>
          <w:b w:val="1"/>
          <w:bCs w:val="1"/>
          <w:color w:val="000100"/>
        </w:rPr>
        <w:t>A</w:t>
      </w:r>
      <w:r>
        <w:rPr>
          <w:sz w:val="20"/>
          <w:szCs w:val="20"/>
          <w:color w:val="auto"/>
        </w:rPr>
        <w:tab/>
      </w:r>
      <w:r>
        <w:rPr>
          <w:rFonts w:ascii="Arial" w:cs="Arial" w:eastAsia="Arial" w:hAnsi="Arial"/>
          <w:sz w:val="14"/>
          <w:szCs w:val="14"/>
          <w:b w:val="1"/>
          <w:bCs w:val="1"/>
          <w:color w:val="000100"/>
        </w:rPr>
        <w:t>B</w:t>
      </w: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361" w:lineRule="exact"/>
        <w:rPr>
          <w:rFonts w:ascii="Times New Roman" w:cs="Times New Roman" w:eastAsia="Times New Roman" w:hAnsi="Times New Roman"/>
          <w:sz w:val="18"/>
          <w:szCs w:val="18"/>
          <w:color w:val="auto"/>
        </w:rPr>
      </w:pPr>
    </w:p>
    <w:p>
      <w:pPr>
        <w:ind w:left="120"/>
        <w:spacing w:after="0"/>
        <w:rPr>
          <w:sz w:val="20"/>
          <w:szCs w:val="20"/>
          <w:color w:val="auto"/>
        </w:rPr>
      </w:pPr>
      <w:r>
        <w:rPr>
          <w:rFonts w:ascii="Arial" w:cs="Arial" w:eastAsia="Arial" w:hAnsi="Arial"/>
          <w:sz w:val="13"/>
          <w:szCs w:val="13"/>
          <w:color w:val="auto"/>
        </w:rPr>
        <w:t>FIGURE 2 | (A) ML bootstrap analysis (400 replicates) of the nucleotide data (GTR+G</w:t>
      </w:r>
      <w:r>
        <w:rPr>
          <w:rFonts w:ascii="Arial" w:cs="Arial" w:eastAsia="Arial" w:hAnsi="Arial"/>
          <w:sz w:val="17"/>
          <w:szCs w:val="17"/>
          <w:color w:val="auto"/>
          <w:vertAlign w:val="subscript"/>
        </w:rPr>
        <w:t>4</w:t>
      </w:r>
      <w:r>
        <w:rPr>
          <w:rFonts w:ascii="Arial" w:cs="Arial" w:eastAsia="Arial" w:hAnsi="Arial"/>
          <w:sz w:val="13"/>
          <w:szCs w:val="13"/>
          <w:color w:val="auto"/>
        </w:rPr>
        <w:t>). Optimal ML tree score: -ln L= 757308.3933. Length of optimal tree = 10.0</w:t>
      </w:r>
    </w:p>
    <w:p>
      <w:pPr>
        <w:spacing w:after="0" w:line="11" w:lineRule="exact"/>
        <w:rPr>
          <w:rFonts w:ascii="Times New Roman" w:cs="Times New Roman" w:eastAsia="Times New Roman" w:hAnsi="Times New Roman"/>
          <w:sz w:val="18"/>
          <w:szCs w:val="18"/>
          <w:color w:val="auto"/>
        </w:rPr>
      </w:pPr>
    </w:p>
    <w:p>
      <w:pPr>
        <w:ind w:left="120" w:right="880"/>
        <w:spacing w:after="0" w:line="239" w:lineRule="auto"/>
        <w:rPr>
          <w:sz w:val="20"/>
          <w:szCs w:val="20"/>
          <w:color w:val="auto"/>
        </w:rPr>
      </w:pPr>
      <w:r>
        <w:rPr>
          <w:rFonts w:ascii="Arial" w:cs="Arial" w:eastAsia="Arial" w:hAnsi="Arial"/>
          <w:sz w:val="14"/>
          <w:szCs w:val="14"/>
          <w:color w:val="auto"/>
        </w:rPr>
        <w:t>substitutions/site. (B) ML bootstrap analyses (400 replicates) of the codon-degenerate recoded nucleotide data (GTR+G</w:t>
      </w:r>
      <w:r>
        <w:rPr>
          <w:rFonts w:ascii="Arial" w:cs="Arial" w:eastAsia="Arial" w:hAnsi="Arial"/>
          <w:sz w:val="18"/>
          <w:szCs w:val="18"/>
          <w:color w:val="auto"/>
          <w:vertAlign w:val="subscript"/>
        </w:rPr>
        <w:t>4</w:t>
      </w:r>
      <w:r>
        <w:rPr>
          <w:rFonts w:ascii="Arial" w:cs="Arial" w:eastAsia="Arial" w:hAnsi="Arial"/>
          <w:sz w:val="14"/>
          <w:szCs w:val="14"/>
          <w:color w:val="auto"/>
        </w:rPr>
        <w:t>). Optimal ML tree score: -ln L= 304862.2078. Optimal tree length = 2.7 substitutions/site.</w:t>
      </w:r>
    </w:p>
    <w:p>
      <w:pPr>
        <w:spacing w:after="0" w:line="20" w:lineRule="exact"/>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450215</wp:posOffset>
                </wp:positionV>
                <wp:extent cx="640778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35.45pt" to="504.9pt,35.45pt" o:allowincell="f" strokecolor="#4C4C4C" strokeweight="0.2267pt"/>
            </w:pict>
          </mc:Fallback>
        </mc:AlternateContent>
      </w:r>
    </w:p>
    <w:p>
      <w:pPr>
        <w:sectPr>
          <w:pgSz w:w="11900" w:h="15591" w:orient="portrait"/>
          <w:cols w:equalWidth="0" w:num="1">
            <w:col w:w="1010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0" w:lineRule="exact"/>
        <w:rPr>
          <w:rFonts w:ascii="Times New Roman" w:cs="Times New Roman" w:eastAsia="Times New Roman" w:hAnsi="Times New Roman"/>
          <w:sz w:val="18"/>
          <w:szCs w:val="18"/>
          <w:color w:val="auto"/>
        </w:rPr>
      </w:pPr>
    </w:p>
    <w:p>
      <w:pPr>
        <w:spacing w:after="0" w:line="208" w:lineRule="exact"/>
        <w:rPr>
          <w:rFonts w:ascii="Times New Roman" w:cs="Times New Roman" w:eastAsia="Times New Roman" w:hAnsi="Times New Roman"/>
          <w:sz w:val="18"/>
          <w:szCs w:val="18"/>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5</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5" w:name="page6"/>
    <w:bookmarkEnd w:id="5"/>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7" w:lineRule="exact"/>
        <w:rPr>
          <w:sz w:val="20"/>
          <w:szCs w:val="20"/>
          <w:color w:val="auto"/>
        </w:rPr>
      </w:pPr>
    </w:p>
    <w:p>
      <w:pPr>
        <w:jc w:val="both"/>
        <w:spacing w:after="0" w:line="26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score (run 1), tracheophytes were resolved as paraphyletic, with ferns placed as sister-group to the remaining embryophytes and lycopods as sister-group to the bryophyte clade. The two other runs (runs 2 and 4, </w:t>
      </w:r>
      <w:hyperlink w:anchor="page9">
        <w:r>
          <w:rPr>
            <w:rFonts w:ascii="Times New Roman" w:cs="Times New Roman" w:eastAsia="Times New Roman" w:hAnsi="Times New Roman"/>
            <w:sz w:val="18"/>
            <w:szCs w:val="18"/>
            <w:color w:val="auto"/>
          </w:rPr>
          <w:t xml:space="preserve">Figures 3B </w:t>
        </w:r>
      </w:hyperlink>
      <w:r>
        <w:rPr>
          <w:rFonts w:ascii="Times New Roman" w:cs="Times New Roman" w:eastAsia="Times New Roman" w:hAnsi="Times New Roman"/>
          <w:sz w:val="18"/>
          <w:szCs w:val="18"/>
          <w:color w:val="auto"/>
        </w:rPr>
        <w:t xml:space="preserve">and </w:t>
      </w:r>
      <w:hyperlink w:anchor="page9">
        <w:r>
          <w:rPr>
            <w:rFonts w:ascii="Times New Roman" w:cs="Times New Roman" w:eastAsia="Times New Roman" w:hAnsi="Times New Roman"/>
            <w:sz w:val="18"/>
            <w:szCs w:val="18"/>
            <w:color w:val="auto"/>
          </w:rPr>
          <w:t>S11</w:t>
        </w:r>
      </w:hyperlink>
      <w:r>
        <w:rPr>
          <w:rFonts w:ascii="Times New Roman" w:cs="Times New Roman" w:eastAsia="Times New Roman" w:hAnsi="Times New Roman"/>
          <w:sz w:val="18"/>
          <w:szCs w:val="18"/>
          <w:color w:val="auto"/>
        </w:rPr>
        <w:t>, respectively) recovered tracheophytes as monophyletic, with lycopods as the sister-group to the clade containing ferns and seed plants. All nodes on the trees obtained from every run received maximum support (PP = 1.0).</w:t>
      </w:r>
    </w:p>
    <w:p>
      <w:pPr>
        <w:spacing w:after="0" w:line="1" w:lineRule="exact"/>
        <w:rPr>
          <w:sz w:val="20"/>
          <w:szCs w:val="20"/>
          <w:color w:val="auto"/>
        </w:rPr>
      </w:pPr>
    </w:p>
    <w:p>
      <w:pPr>
        <w:jc w:val="both"/>
        <w:spacing w:after="0" w:line="224" w:lineRule="auto"/>
        <w:rPr>
          <w:sz w:val="20"/>
          <w:szCs w:val="20"/>
          <w:color w:val="auto"/>
        </w:rPr>
      </w:pPr>
      <w:r>
        <w:rPr>
          <w:rFonts w:ascii="Times New Roman" w:cs="Times New Roman" w:eastAsia="Times New Roman" w:hAnsi="Times New Roman"/>
          <w:sz w:val="18"/>
          <w:szCs w:val="18"/>
          <w:color w:val="auto"/>
        </w:rPr>
        <w:t>Neither the tree-homogeneous or the tree-heterogeneous (F</w:t>
      </w:r>
      <w:r>
        <w:rPr>
          <w:rFonts w:ascii="Times New Roman" w:cs="Times New Roman" w:eastAsia="Times New Roman" w:hAnsi="Times New Roman"/>
          <w:sz w:val="24"/>
          <w:szCs w:val="24"/>
          <w:color w:val="auto"/>
          <w:vertAlign w:val="subscript"/>
        </w:rPr>
        <w:t>NDCH2</w:t>
      </w:r>
      <w:r>
        <w:rPr>
          <w:rFonts w:ascii="Times New Roman" w:cs="Times New Roman" w:eastAsia="Times New Roman" w:hAnsi="Times New Roman"/>
          <w:sz w:val="18"/>
          <w:szCs w:val="18"/>
          <w:color w:val="auto"/>
        </w:rPr>
        <w:t xml:space="preserve">) composition model </w:t>
      </w:r>
      <w:r>
        <w:rPr>
          <w:rFonts w:ascii="Arial" w:cs="Arial" w:eastAsia="Arial" w:hAnsi="Arial"/>
          <w:sz w:val="18"/>
          <w:szCs w:val="18"/>
          <w:color w:val="auto"/>
        </w:rPr>
        <w:t>fi</w:t>
      </w:r>
      <w:r>
        <w:rPr>
          <w:rFonts w:ascii="Times New Roman" w:cs="Times New Roman" w:eastAsia="Times New Roman" w:hAnsi="Times New Roman"/>
          <w:sz w:val="18"/>
          <w:szCs w:val="18"/>
          <w:color w:val="auto"/>
        </w:rPr>
        <w:t>t the data, according to posterior predictive</w:t>
      </w:r>
    </w:p>
    <w:p>
      <w:pPr>
        <w:spacing w:after="0" w:line="1" w:lineRule="exact"/>
        <w:rPr>
          <w:sz w:val="20"/>
          <w:szCs w:val="20"/>
          <w:color w:val="auto"/>
        </w:rPr>
      </w:pPr>
    </w:p>
    <w:p>
      <w:pPr>
        <w:jc w:val="both"/>
        <w:spacing w:after="0" w:line="270" w:lineRule="auto"/>
        <w:rPr>
          <w:rFonts w:ascii="Times New Roman" w:cs="Times New Roman" w:eastAsia="Times New Roman" w:hAnsi="Times New Roman"/>
          <w:sz w:val="17"/>
          <w:szCs w:val="17"/>
          <w:color w:val="auto"/>
        </w:rPr>
      </w:pPr>
      <w:r>
        <w:rPr>
          <w:rFonts w:ascii="Times New Roman" w:cs="Times New Roman" w:eastAsia="Times New Roman" w:hAnsi="Times New Roman"/>
          <w:sz w:val="17"/>
          <w:szCs w:val="17"/>
          <w:color w:val="auto"/>
        </w:rPr>
        <w:t xml:space="preserve">simulations of </w:t>
      </w:r>
      <w:r>
        <w:rPr>
          <w:rFonts w:ascii="Arial" w:cs="Arial" w:eastAsia="Arial" w:hAnsi="Arial"/>
          <w:sz w:val="17"/>
          <w:szCs w:val="17"/>
          <w:color w:val="auto"/>
        </w:rPr>
        <w:t>c</w:t>
      </w:r>
      <w:r>
        <w:rPr>
          <w:rFonts w:ascii="Times New Roman" w:cs="Times New Roman" w:eastAsia="Times New Roman" w:hAnsi="Times New Roman"/>
          <w:sz w:val="22"/>
          <w:szCs w:val="22"/>
          <w:color w:val="auto"/>
          <w:vertAlign w:val="superscript"/>
        </w:rPr>
        <w:t>2</w:t>
      </w:r>
      <w:r>
        <w:rPr>
          <w:rFonts w:ascii="Times New Roman" w:cs="Times New Roman" w:eastAsia="Times New Roman" w:hAnsi="Times New Roman"/>
          <w:sz w:val="17"/>
          <w:szCs w:val="17"/>
          <w:color w:val="auto"/>
        </w:rPr>
        <w:t>, but the NDCH2 model was a much better approximation than the homogeneous model as the test statistic fell within the sample distribution of the runs, albeit outside the 95% con</w:t>
      </w:r>
      <w:r>
        <w:rPr>
          <w:rFonts w:ascii="Arial" w:cs="Arial" w:eastAsia="Arial" w:hAnsi="Arial"/>
          <w:sz w:val="17"/>
          <w:szCs w:val="17"/>
          <w:color w:val="auto"/>
        </w:rPr>
        <w:t>fi</w:t>
      </w:r>
      <w:r>
        <w:rPr>
          <w:rFonts w:ascii="Times New Roman" w:cs="Times New Roman" w:eastAsia="Times New Roman" w:hAnsi="Times New Roman"/>
          <w:sz w:val="17"/>
          <w:szCs w:val="17"/>
          <w:color w:val="auto"/>
        </w:rPr>
        <w:t xml:space="preserve">dence interval (see legends of </w:t>
      </w:r>
      <w:hyperlink w:anchor="page9">
        <w:r>
          <w:rPr>
            <w:rFonts w:ascii="Times New Roman" w:cs="Times New Roman" w:eastAsia="Times New Roman" w:hAnsi="Times New Roman"/>
            <w:sz w:val="17"/>
            <w:szCs w:val="17"/>
            <w:color w:val="auto"/>
          </w:rPr>
          <w:t xml:space="preserve">Figures S10 </w:t>
        </w:r>
      </w:hyperlink>
      <w:r>
        <w:rPr>
          <w:rFonts w:ascii="Times New Roman" w:cs="Times New Roman" w:eastAsia="Times New Roman" w:hAnsi="Times New Roman"/>
          <w:sz w:val="17"/>
          <w:szCs w:val="17"/>
          <w:color w:val="auto"/>
        </w:rPr>
        <w:t xml:space="preserve">and </w:t>
      </w:r>
      <w:hyperlink w:anchor="page9">
        <w:r>
          <w:rPr>
            <w:rFonts w:ascii="Times New Roman" w:cs="Times New Roman" w:eastAsia="Times New Roman" w:hAnsi="Times New Roman"/>
            <w:sz w:val="17"/>
            <w:szCs w:val="17"/>
            <w:color w:val="auto"/>
          </w:rPr>
          <w:t xml:space="preserve">S11 </w:t>
        </w:r>
      </w:hyperlink>
      <w:r>
        <w:rPr>
          <w:rFonts w:ascii="Times New Roman" w:cs="Times New Roman" w:eastAsia="Times New Roman" w:hAnsi="Times New Roman"/>
          <w:sz w:val="17"/>
          <w:szCs w:val="17"/>
          <w:color w:val="auto"/>
        </w:rPr>
        <w:t>for details).</w:t>
      </w:r>
    </w:p>
    <w:p>
      <w:pPr>
        <w:spacing w:after="0" w:line="3" w:lineRule="exact"/>
        <w:rPr>
          <w:sz w:val="20"/>
          <w:szCs w:val="20"/>
          <w:color w:val="auto"/>
        </w:rPr>
      </w:pPr>
    </w:p>
    <w:p>
      <w:pPr>
        <w:jc w:val="both"/>
        <w:ind w:firstLine="240"/>
        <w:spacing w:after="0" w:line="259"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four independent MCMC analyses of the amino acid data with the site-heterogeneous composition model (GTR+G+F</w:t>
      </w:r>
      <w:r>
        <w:rPr>
          <w:rFonts w:ascii="Times New Roman" w:cs="Times New Roman" w:eastAsia="Times New Roman" w:hAnsi="Times New Roman"/>
          <w:sz w:val="24"/>
          <w:szCs w:val="24"/>
          <w:color w:val="auto"/>
          <w:vertAlign w:val="subscript"/>
        </w:rPr>
        <w:t>CAT</w:t>
      </w:r>
      <w:r>
        <w:rPr>
          <w:rFonts w:ascii="Times New Roman" w:cs="Times New Roman" w:eastAsia="Times New Roman" w:hAnsi="Times New Roman"/>
          <w:sz w:val="18"/>
          <w:szCs w:val="18"/>
          <w:color w:val="auto"/>
        </w:rPr>
        <w:t>) resulted in trees showing the clade Setaphyta as the sister-group to the remaining land plants (PP = 0.96</w:t>
      </w:r>
      <w:r>
        <w:rPr>
          <w:rFonts w:ascii="Arial" w:cs="Arial" w:eastAsia="Arial" w:hAnsi="Arial"/>
          <w:sz w:val="18"/>
          <w:szCs w:val="18"/>
          <w:color w:val="auto"/>
        </w:rPr>
        <w:t>–</w:t>
      </w:r>
      <w:r>
        <w:rPr>
          <w:rFonts w:ascii="Times New Roman" w:cs="Times New Roman" w:eastAsia="Times New Roman" w:hAnsi="Times New Roman"/>
          <w:sz w:val="18"/>
          <w:szCs w:val="18"/>
          <w:color w:val="auto"/>
        </w:rPr>
        <w:t>0.98) and hornworts as the sister-group of tracheophytes (</w:t>
      </w:r>
      <w:hyperlink w:anchor="page9">
        <w:r>
          <w:rPr>
            <w:rFonts w:ascii="Times New Roman" w:cs="Times New Roman" w:eastAsia="Times New Roman" w:hAnsi="Times New Roman"/>
            <w:sz w:val="18"/>
            <w:szCs w:val="18"/>
            <w:color w:val="auto"/>
          </w:rPr>
          <w:t>Figures S12</w:t>
        </w:r>
        <w:r>
          <w:rPr>
            <w:rFonts w:ascii="Arial" w:cs="Arial" w:eastAsia="Arial" w:hAnsi="Arial"/>
            <w:sz w:val="18"/>
            <w:szCs w:val="18"/>
            <w:color w:val="auto"/>
          </w:rPr>
          <w:t>–</w:t>
        </w:r>
        <w:r>
          <w:rPr>
            <w:rFonts w:ascii="Times New Roman" w:cs="Times New Roman" w:eastAsia="Times New Roman" w:hAnsi="Times New Roman"/>
            <w:sz w:val="18"/>
            <w:szCs w:val="18"/>
            <w:color w:val="auto"/>
          </w:rPr>
          <w:t>S15</w:t>
        </w:r>
      </w:hyperlink>
      <w:r>
        <w:rPr>
          <w:rFonts w:ascii="Times New Roman" w:cs="Times New Roman" w:eastAsia="Times New Roman" w:hAnsi="Times New Roman"/>
          <w:sz w:val="18"/>
          <w:szCs w:val="18"/>
          <w:color w:val="auto"/>
        </w:rPr>
        <w:t xml:space="preserve">). Posterior predictive tests of the four runs showed that all but one run passed the site diversity test that estimates the </w:t>
      </w:r>
      <w:r>
        <w:rPr>
          <w:rFonts w:ascii="Arial" w:cs="Arial" w:eastAsia="Arial" w:hAnsi="Arial"/>
          <w:sz w:val="18"/>
          <w:szCs w:val="18"/>
          <w:color w:val="auto"/>
        </w:rPr>
        <w:t>fi</w:t>
      </w:r>
      <w:r>
        <w:rPr>
          <w:rFonts w:ascii="Times New Roman" w:cs="Times New Roman" w:eastAsia="Times New Roman" w:hAnsi="Times New Roman"/>
          <w:sz w:val="18"/>
          <w:szCs w:val="18"/>
          <w:color w:val="auto"/>
        </w:rPr>
        <w:t xml:space="preserve">t of the model to describe the mean number of distinct amino acids per site. However, the null hypothesis was rejected (i.e. the model does not </w:t>
      </w:r>
      <w:r>
        <w:rPr>
          <w:rFonts w:ascii="Arial" w:cs="Arial" w:eastAsia="Arial" w:hAnsi="Arial"/>
          <w:sz w:val="18"/>
          <w:szCs w:val="18"/>
          <w:color w:val="auto"/>
        </w:rPr>
        <w:t>fi</w:t>
      </w:r>
      <w:r>
        <w:rPr>
          <w:rFonts w:ascii="Times New Roman" w:cs="Times New Roman" w:eastAsia="Times New Roman" w:hAnsi="Times New Roman"/>
          <w:sz w:val="18"/>
          <w:szCs w:val="18"/>
          <w:color w:val="auto"/>
        </w:rPr>
        <w:t>t the data adequately) by posterior predictive simulations in other</w:t>
      </w:r>
      <w:r>
        <w:rPr>
          <w:rFonts w:ascii="Arial" w:cs="Arial" w:eastAsia="Arial" w:hAnsi="Arial"/>
          <w:sz w:val="18"/>
          <w:szCs w:val="18"/>
          <w:color w:val="auto"/>
        </w:rPr>
        <w:t xml:space="preserve"> </w:t>
      </w:r>
      <w:r>
        <w:rPr>
          <w:rFonts w:ascii="Times New Roman" w:cs="Times New Roman" w:eastAsia="Times New Roman" w:hAnsi="Times New Roman"/>
          <w:sz w:val="18"/>
          <w:szCs w:val="18"/>
          <w:color w:val="auto"/>
        </w:rPr>
        <w:t>tests: a) the empirical convergence probability test which estimates the long-term probability of two sites converging on the same character state in two random taxa; b) across-site compositional heterogeneity test; c) across-taxa maximum heterogeneity test; and</w:t>
      </w:r>
    </w:p>
    <w:p>
      <w:pPr>
        <w:spacing w:after="0" w:line="14" w:lineRule="exact"/>
        <w:rPr>
          <w:sz w:val="20"/>
          <w:szCs w:val="20"/>
          <w:color w:val="auto"/>
        </w:rPr>
      </w:pPr>
    </w:p>
    <w:p>
      <w:pPr>
        <w:jc w:val="both"/>
        <w:ind w:firstLine="7"/>
        <w:spacing w:after="0" w:line="269" w:lineRule="auto"/>
        <w:tabs>
          <w:tab w:leader="none" w:pos="205" w:val="left"/>
        </w:tabs>
        <w:numPr>
          <w:ilvl w:val="0"/>
          <w:numId w:val="2"/>
        </w:numPr>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across-taxa mean squared heterogeneity test. Additional MCMC runs on amino acid data with constant sites removed, previously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229870</wp:posOffset>
            </wp:positionV>
            <wp:extent cx="6433185" cy="37623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extLst>
                    </a:blip>
                    <a:srcRect/>
                    <a:stretch>
                      <a:fillRect/>
                    </a:stretch>
                  </pic:blipFill>
                  <pic:spPr bwMode="auto">
                    <a:xfrm>
                      <a:off x="0" y="0"/>
                      <a:ext cx="6433185" cy="376237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7" w:lineRule="exact"/>
        <w:rPr>
          <w:sz w:val="20"/>
          <w:szCs w:val="20"/>
          <w:color w:val="auto"/>
        </w:rPr>
      </w:pPr>
    </w:p>
    <w:p>
      <w:pPr>
        <w:jc w:val="both"/>
        <w:spacing w:after="0" w:line="249"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thought to in</w:t>
      </w:r>
      <w:r>
        <w:rPr>
          <w:rFonts w:ascii="Arial" w:cs="Arial" w:eastAsia="Arial" w:hAnsi="Arial"/>
          <w:sz w:val="19"/>
          <w:szCs w:val="19"/>
          <w:color w:val="auto"/>
        </w:rPr>
        <w:t>fl</w:t>
      </w:r>
      <w:r>
        <w:rPr>
          <w:rFonts w:ascii="Times New Roman" w:cs="Times New Roman" w:eastAsia="Times New Roman" w:hAnsi="Times New Roman"/>
          <w:sz w:val="19"/>
          <w:szCs w:val="19"/>
          <w:color w:val="auto"/>
        </w:rPr>
        <w:t xml:space="preserve">uence tree topology in these analyses, did not show differences in topology or branch support (not shown). A summary of bryophyte relationships obtained from each data type, and each type of analysis is presented in </w:t>
      </w:r>
      <w:hyperlink w:anchor="page9">
        <w:r>
          <w:rPr>
            <w:rFonts w:ascii="Times New Roman" w:cs="Times New Roman" w:eastAsia="Times New Roman" w:hAnsi="Times New Roman"/>
            <w:sz w:val="19"/>
            <w:szCs w:val="19"/>
            <w:color w:val="auto"/>
          </w:rPr>
          <w:t>Figure 4</w:t>
        </w:r>
      </w:hyperlink>
      <w:r>
        <w:rPr>
          <w:rFonts w:ascii="Times New Roman" w:cs="Times New Roman" w:eastAsia="Times New Roman" w:hAnsi="Times New Roman"/>
          <w:sz w:val="19"/>
          <w:szCs w:val="19"/>
          <w:color w:val="auto"/>
        </w:rPr>
        <w:t>.</w:t>
      </w:r>
    </w:p>
    <w:p>
      <w:pPr>
        <w:spacing w:after="0" w:line="13" w:lineRule="exact"/>
        <w:rPr>
          <w:sz w:val="20"/>
          <w:szCs w:val="20"/>
          <w:color w:val="auto"/>
        </w:rPr>
      </w:pPr>
    </w:p>
    <w:p>
      <w:pPr>
        <w:jc w:val="both"/>
        <w:ind w:firstLine="240"/>
        <w:spacing w:after="0" w:line="257"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The conjugating algae group Zygnematophyceae was resolved as sister-group to land plants in all but one analysis where the sister-group to land plants was not resolved (</w:t>
      </w:r>
      <w:hyperlink w:anchor="page9">
        <w:r>
          <w:rPr>
            <w:rFonts w:ascii="Times New Roman" w:cs="Times New Roman" w:eastAsia="Times New Roman" w:hAnsi="Times New Roman"/>
            <w:sz w:val="18"/>
            <w:szCs w:val="18"/>
            <w:color w:val="auto"/>
          </w:rPr>
          <w:t>Figure S2</w:t>
        </w:r>
      </w:hyperlink>
      <w:r>
        <w:rPr>
          <w:rFonts w:ascii="Times New Roman" w:cs="Times New Roman" w:eastAsia="Times New Roman" w:hAnsi="Times New Roman"/>
          <w:sz w:val="18"/>
          <w:szCs w:val="18"/>
          <w:color w:val="auto"/>
        </w:rPr>
        <w:t xml:space="preserve">). When resolved, this relationship received high to maximum branch support (BS between 80% and 100%, PP &gt; 0.95) except for analyses of nucleotide data with composition tree-homogeneous models (ML, </w:t>
      </w:r>
      <w:hyperlink w:anchor="page9">
        <w:r>
          <w:rPr>
            <w:rFonts w:ascii="Times New Roman" w:cs="Times New Roman" w:eastAsia="Times New Roman" w:hAnsi="Times New Roman"/>
            <w:sz w:val="18"/>
            <w:szCs w:val="18"/>
            <w:color w:val="auto"/>
          </w:rPr>
          <w:t xml:space="preserve">Figures S1 </w:t>
        </w:r>
      </w:hyperlink>
      <w:r>
        <w:rPr>
          <w:rFonts w:ascii="Times New Roman" w:cs="Times New Roman" w:eastAsia="Times New Roman" w:hAnsi="Times New Roman"/>
          <w:sz w:val="18"/>
          <w:szCs w:val="18"/>
          <w:color w:val="auto"/>
        </w:rPr>
        <w:t xml:space="preserve">and </w:t>
      </w:r>
      <w:hyperlink w:anchor="page9">
        <w:r>
          <w:rPr>
            <w:rFonts w:ascii="Times New Roman" w:cs="Times New Roman" w:eastAsia="Times New Roman" w:hAnsi="Times New Roman"/>
            <w:sz w:val="18"/>
            <w:szCs w:val="18"/>
            <w:color w:val="auto"/>
          </w:rPr>
          <w:t>S3</w:t>
        </w:r>
      </w:hyperlink>
      <w:r>
        <w:rPr>
          <w:rFonts w:ascii="Times New Roman" w:cs="Times New Roman" w:eastAsia="Times New Roman" w:hAnsi="Times New Roman"/>
          <w:sz w:val="18"/>
          <w:szCs w:val="18"/>
          <w:color w:val="auto"/>
        </w:rPr>
        <w:t xml:space="preserve">; Bayesian MCMC, </w:t>
      </w:r>
      <w:hyperlink w:anchor="page9">
        <w:r>
          <w:rPr>
            <w:rFonts w:ascii="Times New Roman" w:cs="Times New Roman" w:eastAsia="Times New Roman" w:hAnsi="Times New Roman"/>
            <w:sz w:val="18"/>
            <w:szCs w:val="18"/>
            <w:color w:val="auto"/>
          </w:rPr>
          <w:t>Figure S4</w:t>
        </w:r>
      </w:hyperlink>
      <w:r>
        <w:rPr>
          <w:rFonts w:ascii="Times New Roman" w:cs="Times New Roman" w:eastAsia="Times New Roman" w:hAnsi="Times New Roman"/>
          <w:sz w:val="18"/>
          <w:szCs w:val="18"/>
          <w:color w:val="auto"/>
        </w:rPr>
        <w:t>) and with a site-heterogeneous composition (F</w:t>
      </w:r>
      <w:r>
        <w:rPr>
          <w:rFonts w:ascii="Times New Roman" w:cs="Times New Roman" w:eastAsia="Times New Roman" w:hAnsi="Times New Roman"/>
          <w:sz w:val="24"/>
          <w:szCs w:val="24"/>
          <w:color w:val="auto"/>
          <w:vertAlign w:val="subscript"/>
        </w:rPr>
        <w:t>CAT</w:t>
      </w:r>
      <w:r>
        <w:rPr>
          <w:rFonts w:ascii="Times New Roman" w:cs="Times New Roman" w:eastAsia="Times New Roman" w:hAnsi="Times New Roman"/>
          <w:sz w:val="18"/>
          <w:szCs w:val="18"/>
          <w:color w:val="auto"/>
        </w:rPr>
        <w:t>) model (</w:t>
      </w:r>
      <w:hyperlink w:anchor="page9">
        <w:r>
          <w:rPr>
            <w:rFonts w:ascii="Times New Roman" w:cs="Times New Roman" w:eastAsia="Times New Roman" w:hAnsi="Times New Roman"/>
            <w:sz w:val="18"/>
            <w:szCs w:val="18"/>
            <w:color w:val="auto"/>
          </w:rPr>
          <w:t>Figure S6</w:t>
        </w:r>
      </w:hyperlink>
      <w:r>
        <w:rPr>
          <w:rFonts w:ascii="Times New Roman" w:cs="Times New Roman" w:eastAsia="Times New Roman" w:hAnsi="Times New Roman"/>
          <w:sz w:val="18"/>
          <w:szCs w:val="18"/>
          <w:color w:val="auto"/>
        </w:rPr>
        <w:t>).</w:t>
      </w:r>
    </w:p>
    <w:p>
      <w:pPr>
        <w:spacing w:after="0" w:line="200" w:lineRule="exact"/>
        <w:rPr>
          <w:rFonts w:ascii="Times New Roman" w:cs="Times New Roman" w:eastAsia="Times New Roman" w:hAnsi="Times New Roman"/>
          <w:sz w:val="18"/>
          <w:szCs w:val="18"/>
          <w:color w:val="auto"/>
        </w:rPr>
      </w:pPr>
    </w:p>
    <w:p>
      <w:pPr>
        <w:spacing w:after="0" w:line="229" w:lineRule="exact"/>
        <w:rPr>
          <w:rFonts w:ascii="Times New Roman" w:cs="Times New Roman" w:eastAsia="Times New Roman" w:hAnsi="Times New Roman"/>
          <w:sz w:val="18"/>
          <w:szCs w:val="18"/>
          <w:color w:val="auto"/>
        </w:rPr>
      </w:pPr>
    </w:p>
    <w:p>
      <w:pPr>
        <w:spacing w:after="0"/>
        <w:rPr>
          <w:sz w:val="20"/>
          <w:szCs w:val="20"/>
          <w:color w:val="auto"/>
        </w:rPr>
      </w:pPr>
      <w:r>
        <w:rPr>
          <w:rFonts w:ascii="Arial" w:cs="Arial" w:eastAsia="Arial" w:hAnsi="Arial"/>
          <w:sz w:val="24"/>
          <w:szCs w:val="24"/>
          <w:color w:val="auto"/>
        </w:rPr>
        <w:t>DISCUSSION</w:t>
      </w:r>
    </w:p>
    <w:p>
      <w:pPr>
        <w:spacing w:after="0" w:line="144" w:lineRule="exact"/>
        <w:rPr>
          <w:rFonts w:ascii="Times New Roman" w:cs="Times New Roman" w:eastAsia="Times New Roman" w:hAnsi="Times New Roman"/>
          <w:sz w:val="18"/>
          <w:szCs w:val="18"/>
          <w:color w:val="auto"/>
        </w:rPr>
      </w:pPr>
    </w:p>
    <w:p>
      <w:pPr>
        <w:spacing w:after="0"/>
        <w:rPr>
          <w:sz w:val="20"/>
          <w:szCs w:val="20"/>
          <w:color w:val="auto"/>
        </w:rPr>
      </w:pPr>
      <w:r>
        <w:rPr>
          <w:rFonts w:ascii="Arial" w:cs="Arial" w:eastAsia="Arial" w:hAnsi="Arial"/>
          <w:sz w:val="24"/>
          <w:szCs w:val="24"/>
          <w:color w:val="auto"/>
        </w:rPr>
        <w:t>Taxon Sampling and Model Fit</w:t>
      </w:r>
    </w:p>
    <w:p>
      <w:pPr>
        <w:spacing w:after="0" w:line="24" w:lineRule="exact"/>
        <w:rPr>
          <w:rFonts w:ascii="Times New Roman" w:cs="Times New Roman" w:eastAsia="Times New Roman" w:hAnsi="Times New Roman"/>
          <w:sz w:val="18"/>
          <w:szCs w:val="18"/>
          <w:color w:val="auto"/>
        </w:rPr>
      </w:pPr>
    </w:p>
    <w:p>
      <w:pPr>
        <w:jc w:val="both"/>
        <w:spacing w:after="0" w:line="266" w:lineRule="auto"/>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auto"/>
        </w:rPr>
        <w:t>The chloroplast phylogeny of land plants and streptophytes has been inferred many times previously using different data and analytical approaches, but these studies have often resulted in con</w:t>
      </w:r>
      <w:r>
        <w:rPr>
          <w:rFonts w:ascii="Arial" w:cs="Arial" w:eastAsia="Arial" w:hAnsi="Arial"/>
          <w:sz w:val="18"/>
          <w:szCs w:val="18"/>
          <w:color w:val="auto"/>
        </w:rPr>
        <w:t>fl</w:t>
      </w:r>
      <w:r>
        <w:rPr>
          <w:rFonts w:ascii="Times New Roman" w:cs="Times New Roman" w:eastAsia="Times New Roman" w:hAnsi="Times New Roman"/>
          <w:sz w:val="18"/>
          <w:szCs w:val="18"/>
          <w:color w:val="auto"/>
        </w:rPr>
        <w:t xml:space="preserve">icting phylogenetic patterns (e.g. </w:t>
      </w:r>
      <w:hyperlink w:anchor="page9">
        <w:r>
          <w:rPr>
            <w:rFonts w:ascii="Times New Roman" w:cs="Times New Roman" w:eastAsia="Times New Roman" w:hAnsi="Times New Roman"/>
            <w:sz w:val="18"/>
            <w:szCs w:val="18"/>
            <w:color w:val="4C4C4C"/>
          </w:rPr>
          <w:t>Nishiyama et al., 2004</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Chang and Graham, 2011</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Ruhfel et al., 2014</w:t>
        </w:r>
      </w:hyperlink>
      <w:r>
        <w:rPr>
          <w:rFonts w:ascii="Times New Roman" w:cs="Times New Roman" w:eastAsia="Times New Roman" w:hAnsi="Times New Roman"/>
          <w:sz w:val="18"/>
          <w:szCs w:val="18"/>
          <w:color w:val="000000"/>
        </w:rPr>
        <w:t>). However, almost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 xml:space="preserve">all studies neglect to test the adequacy of the models used to reconstruct the phylogeny, while others fail even to report the model used (e.g. </w:t>
      </w:r>
      <w:hyperlink w:anchor="page9">
        <w:r>
          <w:rPr>
            <w:rFonts w:ascii="Times New Roman" w:cs="Times New Roman" w:eastAsia="Times New Roman" w:hAnsi="Times New Roman"/>
            <w:sz w:val="18"/>
            <w:szCs w:val="18"/>
            <w:color w:val="4C4C4C"/>
          </w:rPr>
          <w:t>Gitzendanner et al., 2018</w:t>
        </w:r>
      </w:hyperlink>
      <w:r>
        <w:rPr>
          <w:rFonts w:ascii="Times New Roman" w:cs="Times New Roman" w:eastAsia="Times New Roman" w:hAnsi="Times New Roman"/>
          <w:sz w:val="18"/>
          <w:szCs w:val="18"/>
          <w:color w:val="000000"/>
        </w:rPr>
        <w:t>). Here we highlight and distinguish between model-</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 xml:space="preserve">t and model adequacy: while nearly all studies test model </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 xml:space="preserve">t to choose a </w:t>
      </w:r>
      <w:r>
        <w:rPr>
          <w:rFonts w:ascii="Arial" w:cs="Arial" w:eastAsia="Arial" w:hAnsi="Arial"/>
          <w:sz w:val="18"/>
          <w:szCs w:val="18"/>
          <w:color w:val="000000"/>
        </w:rPr>
        <w:t>“</w:t>
      </w:r>
      <w:r>
        <w:rPr>
          <w:rFonts w:ascii="Times New Roman" w:cs="Times New Roman" w:eastAsia="Times New Roman" w:hAnsi="Times New Roman"/>
          <w:sz w:val="18"/>
          <w:szCs w:val="18"/>
          <w:color w:val="000000"/>
        </w:rPr>
        <w:t>best</w:t>
      </w:r>
      <w:r>
        <w:rPr>
          <w:rFonts w:ascii="Arial" w:cs="Arial" w:eastAsia="Arial" w:hAnsi="Arial"/>
          <w:sz w:val="18"/>
          <w:szCs w:val="18"/>
          <w:color w:val="000000"/>
        </w:rPr>
        <w:t>”</w:t>
      </w:r>
      <w:r>
        <w:rPr>
          <w:rFonts w:ascii="Times New Roman" w:cs="Times New Roman" w:eastAsia="Times New Roman" w:hAnsi="Times New Roman"/>
          <w:sz w:val="18"/>
          <w:szCs w:val="18"/>
          <w:color w:val="000000"/>
        </w:rPr>
        <w:t xml:space="preserve"> substitution model from among a selection, model adequacy is concerned with how well the model </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 xml:space="preserve">ts the data in absolute terms </w:t>
      </w:r>
      <w:r>
        <w:rPr>
          <w:rFonts w:ascii="Arial" w:cs="Arial" w:eastAsia="Arial" w:hAnsi="Arial"/>
          <w:sz w:val="18"/>
          <w:szCs w:val="18"/>
          <w:color w:val="000000"/>
        </w:rPr>
        <w:t>—</w:t>
      </w:r>
      <w:r>
        <w:rPr>
          <w:rFonts w:ascii="Times New Roman" w:cs="Times New Roman" w:eastAsia="Times New Roman" w:hAnsi="Times New Roman"/>
          <w:sz w:val="18"/>
          <w:szCs w:val="18"/>
          <w:color w:val="000000"/>
        </w:rPr>
        <w:t xml:space="preserve"> a best-</w:t>
      </w:r>
    </w:p>
    <w:p>
      <w:pPr>
        <w:spacing w:after="0" w:line="201" w:lineRule="exact"/>
        <w:rPr>
          <w:rFonts w:ascii="Times New Roman" w:cs="Times New Roman" w:eastAsia="Times New Roman" w:hAnsi="Times New Roman"/>
          <w:sz w:val="18"/>
          <w:szCs w:val="18"/>
          <w:color w:val="4C4C4C"/>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4C4C4C"/>
        </w:rPr>
      </w:pPr>
    </w:p>
    <w:p>
      <w:pPr>
        <w:spacing w:after="0" w:line="320" w:lineRule="exact"/>
        <w:rPr>
          <w:rFonts w:ascii="Times New Roman" w:cs="Times New Roman" w:eastAsia="Times New Roman" w:hAnsi="Times New Roman"/>
          <w:sz w:val="18"/>
          <w:szCs w:val="18"/>
          <w:color w:val="4C4C4C"/>
        </w:rPr>
      </w:pPr>
    </w:p>
    <w:p>
      <w:pPr>
        <w:ind w:left="820"/>
        <w:spacing w:after="0"/>
        <w:tabs>
          <w:tab w:leader="none" w:pos="4900" w:val="left"/>
        </w:tabs>
        <w:rPr>
          <w:sz w:val="20"/>
          <w:szCs w:val="20"/>
          <w:color w:val="auto"/>
        </w:rPr>
      </w:pPr>
      <w:r>
        <w:rPr>
          <w:rFonts w:ascii="Arial" w:cs="Arial" w:eastAsia="Arial" w:hAnsi="Arial"/>
          <w:sz w:val="14"/>
          <w:szCs w:val="14"/>
          <w:b w:val="1"/>
          <w:bCs w:val="1"/>
          <w:color w:val="000100"/>
        </w:rPr>
        <w:t>A</w:t>
      </w:r>
      <w:r>
        <w:rPr>
          <w:sz w:val="20"/>
          <w:szCs w:val="20"/>
          <w:color w:val="auto"/>
        </w:rPr>
        <w:tab/>
      </w:r>
      <w:r>
        <w:rPr>
          <w:rFonts w:ascii="Arial" w:cs="Arial" w:eastAsia="Arial" w:hAnsi="Arial"/>
          <w:sz w:val="14"/>
          <w:szCs w:val="14"/>
          <w:b w:val="1"/>
          <w:bCs w:val="1"/>
          <w:color w:val="000100"/>
        </w:rPr>
        <w:t>B</w:t>
      </w: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346" w:lineRule="exact"/>
        <w:rPr>
          <w:rFonts w:ascii="Times New Roman" w:cs="Times New Roman" w:eastAsia="Times New Roman" w:hAnsi="Times New Roman"/>
          <w:sz w:val="18"/>
          <w:szCs w:val="18"/>
          <w:color w:val="4C4C4C"/>
        </w:rPr>
      </w:pPr>
    </w:p>
    <w:p>
      <w:pPr>
        <w:ind w:left="120"/>
        <w:spacing w:after="0"/>
        <w:rPr>
          <w:sz w:val="20"/>
          <w:szCs w:val="20"/>
          <w:color w:val="auto"/>
        </w:rPr>
      </w:pPr>
      <w:r>
        <w:rPr>
          <w:rFonts w:ascii="Arial" w:cs="Arial" w:eastAsia="Arial" w:hAnsi="Arial"/>
          <w:sz w:val="14"/>
          <w:szCs w:val="14"/>
          <w:color w:val="auto"/>
        </w:rPr>
        <w:t>FIGURE 3 | Bayesian MCMC tree-heterogeneous composition analyses of the amino acid data (gcpREV+G</w:t>
      </w:r>
      <w:r>
        <w:rPr>
          <w:rFonts w:ascii="Arial" w:cs="Arial" w:eastAsia="Arial" w:hAnsi="Arial"/>
          <w:sz w:val="18"/>
          <w:szCs w:val="18"/>
          <w:color w:val="auto"/>
          <w:vertAlign w:val="subscript"/>
        </w:rPr>
        <w:t>4</w:t>
      </w:r>
      <w:r>
        <w:rPr>
          <w:rFonts w:ascii="Arial" w:cs="Arial" w:eastAsia="Arial" w:hAnsi="Arial"/>
          <w:sz w:val="14"/>
          <w:szCs w:val="14"/>
          <w:color w:val="auto"/>
        </w:rPr>
        <w:t>+F</w:t>
      </w:r>
      <w:r>
        <w:rPr>
          <w:rFonts w:ascii="Arial" w:cs="Arial" w:eastAsia="Arial" w:hAnsi="Arial"/>
          <w:sz w:val="18"/>
          <w:szCs w:val="18"/>
          <w:color w:val="auto"/>
          <w:vertAlign w:val="subscript"/>
        </w:rPr>
        <w:t>NDCH2</w:t>
      </w:r>
      <w:r>
        <w:rPr>
          <w:rFonts w:ascii="Arial" w:cs="Arial" w:eastAsia="Arial" w:hAnsi="Arial"/>
          <w:sz w:val="14"/>
          <w:szCs w:val="14"/>
          <w:color w:val="auto"/>
        </w:rPr>
        <w:t>) (A) Run1: Marginal likelihood: L</w:t>
      </w:r>
      <w:r>
        <w:rPr>
          <w:rFonts w:ascii="Arial" w:cs="Arial" w:eastAsia="Arial" w:hAnsi="Arial"/>
          <w:sz w:val="18"/>
          <w:szCs w:val="18"/>
          <w:color w:val="auto"/>
          <w:vertAlign w:val="subscript"/>
        </w:rPr>
        <w:t>h</w:t>
      </w:r>
      <w:r>
        <w:rPr>
          <w:rFonts w:ascii="Arial" w:cs="Arial" w:eastAsia="Arial" w:hAnsi="Arial"/>
          <w:sz w:val="14"/>
          <w:szCs w:val="14"/>
          <w:color w:val="auto"/>
        </w:rPr>
        <w:t>=</w:t>
      </w:r>
    </w:p>
    <w:p>
      <w:pPr>
        <w:ind w:left="120"/>
        <w:spacing w:after="0" w:line="218" w:lineRule="auto"/>
        <w:rPr>
          <w:sz w:val="20"/>
          <w:szCs w:val="20"/>
          <w:color w:val="auto"/>
        </w:rPr>
      </w:pPr>
      <w:r>
        <w:rPr>
          <w:rFonts w:ascii="Arial" w:cs="Arial" w:eastAsia="Arial" w:hAnsi="Arial"/>
          <w:sz w:val="14"/>
          <w:szCs w:val="14"/>
          <w:color w:val="auto"/>
        </w:rPr>
        <w:t>302615.5702. Posterior predictive simulations of c</w:t>
      </w:r>
      <w:r>
        <w:rPr>
          <w:rFonts w:ascii="Arial" w:cs="Arial" w:eastAsia="Arial" w:hAnsi="Arial"/>
          <w:sz w:val="18"/>
          <w:szCs w:val="18"/>
          <w:color w:val="auto"/>
          <w:vertAlign w:val="superscript"/>
        </w:rPr>
        <w:t>2</w:t>
      </w:r>
      <w:r>
        <w:rPr>
          <w:rFonts w:ascii="Arial" w:cs="Arial" w:eastAsia="Arial" w:hAnsi="Arial"/>
          <w:sz w:val="14"/>
          <w:szCs w:val="14"/>
          <w:color w:val="auto"/>
        </w:rPr>
        <w:t xml:space="preserve"> statistic of composition homogeneity: original statistic = 3021.4465, sample distribution = 2040.7165 to</w:t>
      </w:r>
    </w:p>
    <w:p>
      <w:pPr>
        <w:spacing w:after="0" w:line="17" w:lineRule="exact"/>
        <w:rPr>
          <w:rFonts w:ascii="Times New Roman" w:cs="Times New Roman" w:eastAsia="Times New Roman" w:hAnsi="Times New Roman"/>
          <w:sz w:val="18"/>
          <w:szCs w:val="18"/>
          <w:color w:val="4C4C4C"/>
        </w:rPr>
      </w:pPr>
    </w:p>
    <w:p>
      <w:pPr>
        <w:ind w:left="120"/>
        <w:spacing w:after="0"/>
        <w:rPr>
          <w:sz w:val="20"/>
          <w:szCs w:val="20"/>
          <w:color w:val="auto"/>
        </w:rPr>
      </w:pPr>
      <w:r>
        <w:rPr>
          <w:rFonts w:ascii="Arial" w:cs="Arial" w:eastAsia="Arial" w:hAnsi="Arial"/>
          <w:sz w:val="13"/>
          <w:szCs w:val="13"/>
          <w:color w:val="auto"/>
        </w:rPr>
        <w:t>3069.3241, p-value= 0.0005. 4,000,000 generations, 40,000 samples, 10,000 discarded as burnin. Mean tree length = 5.6538 substitutions/site. (B) Run2: Marginal</w:t>
      </w:r>
    </w:p>
    <w:p>
      <w:pPr>
        <w:spacing w:after="0" w:line="12" w:lineRule="exact"/>
        <w:rPr>
          <w:rFonts w:ascii="Times New Roman" w:cs="Times New Roman" w:eastAsia="Times New Roman" w:hAnsi="Times New Roman"/>
          <w:sz w:val="18"/>
          <w:szCs w:val="18"/>
          <w:color w:val="4C4C4C"/>
        </w:rPr>
      </w:pPr>
    </w:p>
    <w:p>
      <w:pPr>
        <w:ind w:left="120"/>
        <w:spacing w:after="0"/>
        <w:rPr>
          <w:sz w:val="20"/>
          <w:szCs w:val="20"/>
          <w:color w:val="auto"/>
        </w:rPr>
      </w:pPr>
      <w:r>
        <w:rPr>
          <w:rFonts w:ascii="Arial" w:cs="Arial" w:eastAsia="Arial" w:hAnsi="Arial"/>
          <w:sz w:val="14"/>
          <w:szCs w:val="14"/>
          <w:color w:val="auto"/>
        </w:rPr>
        <w:t>likelihood: L</w:t>
      </w:r>
      <w:r>
        <w:rPr>
          <w:rFonts w:ascii="Arial" w:cs="Arial" w:eastAsia="Arial" w:hAnsi="Arial"/>
          <w:sz w:val="18"/>
          <w:szCs w:val="18"/>
          <w:color w:val="auto"/>
          <w:vertAlign w:val="subscript"/>
        </w:rPr>
        <w:t>h</w:t>
      </w:r>
      <w:r>
        <w:rPr>
          <w:rFonts w:ascii="Arial" w:cs="Arial" w:eastAsia="Arial" w:hAnsi="Arial"/>
          <w:sz w:val="14"/>
          <w:szCs w:val="14"/>
          <w:color w:val="auto"/>
        </w:rPr>
        <w:t>= 302634.1013. Posterior predictive simulations of c</w:t>
      </w:r>
      <w:r>
        <w:rPr>
          <w:rFonts w:ascii="Arial" w:cs="Arial" w:eastAsia="Arial" w:hAnsi="Arial"/>
          <w:sz w:val="18"/>
          <w:szCs w:val="18"/>
          <w:color w:val="auto"/>
          <w:vertAlign w:val="superscript"/>
        </w:rPr>
        <w:t>2</w:t>
      </w:r>
      <w:r>
        <w:rPr>
          <w:rFonts w:ascii="Arial" w:cs="Arial" w:eastAsia="Arial" w:hAnsi="Arial"/>
          <w:sz w:val="14"/>
          <w:szCs w:val="14"/>
          <w:color w:val="auto"/>
        </w:rPr>
        <w:t xml:space="preserve"> statistic of composition homogeneity: original statistic= 3021.4465, sample distribution =</w:t>
      </w:r>
    </w:p>
    <w:p>
      <w:pPr>
        <w:spacing w:after="0" w:line="11" w:lineRule="exact"/>
        <w:rPr>
          <w:rFonts w:ascii="Times New Roman" w:cs="Times New Roman" w:eastAsia="Times New Roman" w:hAnsi="Times New Roman"/>
          <w:sz w:val="18"/>
          <w:szCs w:val="18"/>
          <w:color w:val="4C4C4C"/>
        </w:rPr>
      </w:pPr>
    </w:p>
    <w:p>
      <w:pPr>
        <w:ind w:left="120"/>
        <w:spacing w:after="0"/>
        <w:rPr>
          <w:sz w:val="20"/>
          <w:szCs w:val="20"/>
          <w:color w:val="auto"/>
        </w:rPr>
      </w:pPr>
      <w:r>
        <w:rPr>
          <w:rFonts w:ascii="Arial" w:cs="Arial" w:eastAsia="Arial" w:hAnsi="Arial"/>
          <w:sz w:val="14"/>
          <w:szCs w:val="14"/>
          <w:color w:val="auto"/>
        </w:rPr>
        <w:t>2047.7021 to 3081.9710, p-value = 0.0002. 4,000,000 generations, 40,000 samples, 10,000 discarded as burnin. Mean tree length = 5.6872 substitutions/site.</w:t>
      </w:r>
    </w:p>
    <w:p>
      <w:pPr>
        <w:spacing w:after="0" w:line="20" w:lineRule="exact"/>
        <w:rPr>
          <w:rFonts w:ascii="Times New Roman" w:cs="Times New Roman" w:eastAsia="Times New Roman" w:hAnsi="Times New Roman"/>
          <w:sz w:val="18"/>
          <w:szCs w:val="18"/>
          <w:color w:val="4C4C4C"/>
        </w:rPr>
      </w:pPr>
      <w:r>
        <w:rPr>
          <w:rFonts w:ascii="Times New Roman" w:cs="Times New Roman" w:eastAsia="Times New Roman" w:hAnsi="Times New Roman"/>
          <w:sz w:val="18"/>
          <w:szCs w:val="18"/>
          <w:color w:val="4C4C4C"/>
        </w:rPr>
        <mc:AlternateContent>
          <mc:Choice Requires="wps">
            <w:drawing>
              <wp:anchor simplePos="0" relativeHeight="251657728" behindDoc="1" locked="0" layoutInCell="0" allowOverlap="1">
                <wp:simplePos x="0" y="0"/>
                <wp:positionH relativeFrom="column">
                  <wp:posOffset>4445</wp:posOffset>
                </wp:positionH>
                <wp:positionV relativeFrom="paragraph">
                  <wp:posOffset>417830</wp:posOffset>
                </wp:positionV>
                <wp:extent cx="640778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32.9pt" to="504.9pt,32.9pt" o:allowincell="f" strokecolor="#4C4C4C" strokeweight="0.2267pt"/>
            </w:pict>
          </mc:Fallback>
        </mc:AlternateContent>
      </w:r>
    </w:p>
    <w:p>
      <w:pPr>
        <w:sectPr>
          <w:pgSz w:w="11900" w:h="15591" w:orient="portrait"/>
          <w:cols w:equalWidth="0" w:num="1">
            <w:col w:w="1010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4C4C4C"/>
        </w:rPr>
      </w:pPr>
    </w:p>
    <w:p>
      <w:pPr>
        <w:spacing w:after="0" w:line="200" w:lineRule="exact"/>
        <w:rPr>
          <w:rFonts w:ascii="Times New Roman" w:cs="Times New Roman" w:eastAsia="Times New Roman" w:hAnsi="Times New Roman"/>
          <w:sz w:val="18"/>
          <w:szCs w:val="18"/>
          <w:color w:val="4C4C4C"/>
        </w:rPr>
      </w:pPr>
    </w:p>
    <w:p>
      <w:pPr>
        <w:spacing w:after="0" w:line="357" w:lineRule="exact"/>
        <w:rPr>
          <w:rFonts w:ascii="Times New Roman" w:cs="Times New Roman" w:eastAsia="Times New Roman" w:hAnsi="Times New Roman"/>
          <w:sz w:val="18"/>
          <w:szCs w:val="18"/>
          <w:color w:val="4C4C4C"/>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6</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6" w:name="page7"/>
    <w:bookmarkEnd w:id="6"/>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-7620</wp:posOffset>
            </wp:positionH>
            <wp:positionV relativeFrom="paragraph">
              <wp:posOffset>64770</wp:posOffset>
            </wp:positionV>
            <wp:extent cx="6433185" cy="27895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extLst>
                    </a:blip>
                    <a:srcRect/>
                    <a:stretch>
                      <a:fillRect/>
                    </a:stretch>
                  </pic:blipFill>
                  <pic:spPr bwMode="auto">
                    <a:xfrm>
                      <a:off x="0" y="0"/>
                      <a:ext cx="6433185" cy="2789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120" w:right="120"/>
        <w:spacing w:after="0" w:line="314" w:lineRule="auto"/>
        <w:rPr>
          <w:sz w:val="20"/>
          <w:szCs w:val="20"/>
          <w:color w:val="auto"/>
        </w:rPr>
      </w:pPr>
      <w:r>
        <w:rPr>
          <w:rFonts w:ascii="Arial" w:cs="Arial" w:eastAsia="Arial" w:hAnsi="Arial"/>
          <w:sz w:val="13"/>
          <w:szCs w:val="13"/>
          <w:color w:val="auto"/>
        </w:rPr>
        <w:t>FIGURE 4 | A summary of bryophyte relationships obtained from nucleotide, codon-degenerate, and amino acid translation data using Maximum-likelihood bootstrap analyses (ML) and Bayesian (MCMC) homogeneous, tree-heterogeneous, and site-heterogeneous analyses. Tree nodes were considered supported if the bootstrap value was equal or higher than 80% or if the posterior probability was equal or higher than 95%. (*) part of the analyses without node support; (**) no node support.</w: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381" w:lineRule="exact"/>
        <w:rPr>
          <w:sz w:val="20"/>
          <w:szCs w:val="20"/>
          <w:color w:val="auto"/>
        </w:rPr>
      </w:pPr>
    </w:p>
    <w:p>
      <w:pPr>
        <w:jc w:val="both"/>
        <w:spacing w:after="0" w:line="251" w:lineRule="auto"/>
        <w:rPr>
          <w:rFonts w:ascii="Times New Roman" w:cs="Times New Roman" w:eastAsia="Times New Roman" w:hAnsi="Times New Roman"/>
          <w:sz w:val="19"/>
          <w:szCs w:val="19"/>
          <w:color w:val="auto"/>
        </w:rPr>
      </w:pPr>
      <w:r>
        <w:rPr>
          <w:rFonts w:ascii="Arial" w:cs="Arial" w:eastAsia="Arial" w:hAnsi="Arial"/>
          <w:sz w:val="19"/>
          <w:szCs w:val="19"/>
          <w:color w:val="auto"/>
        </w:rPr>
        <w:t>fi</w:t>
      </w:r>
      <w:r>
        <w:rPr>
          <w:rFonts w:ascii="Times New Roman" w:cs="Times New Roman" w:eastAsia="Times New Roman" w:hAnsi="Times New Roman"/>
          <w:sz w:val="19"/>
          <w:szCs w:val="19"/>
          <w:color w:val="auto"/>
        </w:rPr>
        <w:t>tting model may still be a very poor</w:t>
      </w:r>
      <w:r>
        <w:rPr>
          <w:rFonts w:ascii="Arial" w:cs="Arial" w:eastAsia="Arial" w:hAnsi="Arial"/>
          <w:sz w:val="19"/>
          <w:szCs w:val="19"/>
          <w:color w:val="auto"/>
        </w:rPr>
        <w:t xml:space="preserve"> fi</w:t>
      </w:r>
      <w:r>
        <w:rPr>
          <w:rFonts w:ascii="Times New Roman" w:cs="Times New Roman" w:eastAsia="Times New Roman" w:hAnsi="Times New Roman"/>
          <w:sz w:val="19"/>
          <w:szCs w:val="19"/>
          <w:color w:val="auto"/>
        </w:rPr>
        <w:t>t to the data. The three</w:t>
      </w:r>
      <w:r>
        <w:rPr>
          <w:rFonts w:ascii="Arial" w:cs="Arial" w:eastAsia="Arial" w:hAnsi="Arial"/>
          <w:sz w:val="19"/>
          <w:szCs w:val="19"/>
          <w:color w:val="auto"/>
        </w:rPr>
        <w:t xml:space="preserve"> </w:t>
      </w:r>
      <w:r>
        <w:rPr>
          <w:rFonts w:ascii="Times New Roman" w:cs="Times New Roman" w:eastAsia="Times New Roman" w:hAnsi="Times New Roman"/>
          <w:sz w:val="19"/>
          <w:szCs w:val="19"/>
          <w:color w:val="auto"/>
        </w:rPr>
        <w:t>matched-pairs tests we conducted (</w:t>
      </w:r>
      <w:hyperlink w:anchor="page9">
        <w:r>
          <w:rPr>
            <w:rFonts w:ascii="Times New Roman" w:cs="Times New Roman" w:eastAsia="Times New Roman" w:hAnsi="Times New Roman"/>
            <w:sz w:val="19"/>
            <w:szCs w:val="19"/>
            <w:color w:val="auto"/>
          </w:rPr>
          <w:t>Figure 1</w:t>
        </w:r>
      </w:hyperlink>
      <w:r>
        <w:rPr>
          <w:rFonts w:ascii="Times New Roman" w:cs="Times New Roman" w:eastAsia="Times New Roman" w:hAnsi="Times New Roman"/>
          <w:sz w:val="19"/>
          <w:szCs w:val="19"/>
          <w:color w:val="auto"/>
        </w:rPr>
        <w:t xml:space="preserve">) show that all three data sets are neither composition nor rate homogeneous through time. Therefore tree-homogeneous models are likely to be a very poor </w:t>
      </w:r>
      <w:r>
        <w:rPr>
          <w:rFonts w:ascii="Arial" w:cs="Arial" w:eastAsia="Arial" w:hAnsi="Arial"/>
          <w:sz w:val="19"/>
          <w:szCs w:val="19"/>
          <w:color w:val="auto"/>
        </w:rPr>
        <w:t>fi</w:t>
      </w:r>
      <w:r>
        <w:rPr>
          <w:rFonts w:ascii="Times New Roman" w:cs="Times New Roman" w:eastAsia="Times New Roman" w:hAnsi="Times New Roman"/>
          <w:sz w:val="19"/>
          <w:szCs w:val="19"/>
          <w:color w:val="auto"/>
        </w:rPr>
        <w:t>t to the data, and yet such models have been, and continue to be, widely used as the only means of reconstructing the phylogeny of land plants. In this paper we employed tree-heterogeneous composition (NDCH2) and site-heterogeneous composition (CAT) model analyses, but to date no single analyses have been conducted that account for both process, and no analyses that account for among-lineage rate variation have been conducted. We identify here that all three processes are likely important for the accurate reconstruction of the land plant phylogeny.</w:t>
      </w:r>
    </w:p>
    <w:p>
      <w:pPr>
        <w:spacing w:after="0" w:line="19" w:lineRule="exact"/>
        <w:rPr>
          <w:sz w:val="20"/>
          <w:szCs w:val="20"/>
          <w:color w:val="auto"/>
        </w:rPr>
      </w:pPr>
    </w:p>
    <w:p>
      <w:pPr>
        <w:jc w:val="both"/>
        <w:ind w:firstLine="240"/>
        <w:spacing w:after="0" w:line="266" w:lineRule="auto"/>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auto"/>
        </w:rPr>
        <w:t>Two studies are notable for having used whole chloroplast genome data together with substitution models that account for composition heterogeneity across sites (</w:t>
      </w:r>
      <w:hyperlink w:anchor="page9">
        <w:r>
          <w:rPr>
            <w:rFonts w:ascii="Times New Roman" w:cs="Times New Roman" w:eastAsia="Times New Roman" w:hAnsi="Times New Roman"/>
            <w:sz w:val="18"/>
            <w:szCs w:val="18"/>
            <w:color w:val="4C4C4C"/>
          </w:rPr>
          <w:t>Cox et al., 2014</w:t>
        </w:r>
      </w:hyperlink>
      <w:r>
        <w:rPr>
          <w:rFonts w:ascii="Times New Roman" w:cs="Times New Roman" w:eastAsia="Times New Roman" w:hAnsi="Times New Roman"/>
          <w:sz w:val="18"/>
          <w:szCs w:val="18"/>
          <w:color w:val="auto"/>
        </w:rPr>
        <w:t>) and across taxa (</w:t>
      </w:r>
      <w:hyperlink w:anchor="page9">
        <w:r>
          <w:rPr>
            <w:rFonts w:ascii="Times New Roman" w:cs="Times New Roman" w:eastAsia="Times New Roman" w:hAnsi="Times New Roman"/>
            <w:sz w:val="18"/>
            <w:szCs w:val="18"/>
            <w:color w:val="4C4C4C"/>
          </w:rPr>
          <w:t>Lemieux et al., 2016</w:t>
        </w:r>
      </w:hyperlink>
      <w:r>
        <w:rPr>
          <w:rFonts w:ascii="Times New Roman" w:cs="Times New Roman" w:eastAsia="Times New Roman" w:hAnsi="Times New Roman"/>
          <w:sz w:val="18"/>
          <w:szCs w:val="18"/>
          <w:color w:val="auto"/>
        </w:rPr>
        <w:t xml:space="preserve">). The work of </w:t>
      </w:r>
      <w:hyperlink w:anchor="page9">
        <w:r>
          <w:rPr>
            <w:rFonts w:ascii="Times New Roman" w:cs="Times New Roman" w:eastAsia="Times New Roman" w:hAnsi="Times New Roman"/>
            <w:sz w:val="18"/>
            <w:szCs w:val="18"/>
            <w:color w:val="4C4C4C"/>
          </w:rPr>
          <w:t>Cox et al. (2014)</w:t>
        </w:r>
        <w:r>
          <w:rPr>
            <w:rFonts w:ascii="Times New Roman" w:cs="Times New Roman" w:eastAsia="Times New Roman" w:hAnsi="Times New Roman"/>
            <w:sz w:val="18"/>
            <w:szCs w:val="18"/>
            <w:color w:val="auto"/>
          </w:rPr>
          <w:t xml:space="preserve"> </w:t>
        </w:r>
      </w:hyperlink>
      <w:r>
        <w:rPr>
          <w:rFonts w:ascii="Times New Roman" w:cs="Times New Roman" w:eastAsia="Times New Roman" w:hAnsi="Times New Roman"/>
          <w:sz w:val="18"/>
          <w:szCs w:val="18"/>
          <w:color w:val="auto"/>
        </w:rPr>
        <w:t xml:space="preserve">used a tree-heterogeneous composition model in both nucleotide and amino acid data, showing that amino-acid data support the monophyly of bryophytes, and that when synonymous substitutions are eliminated, support for the non-monophyly of bryophytes is lost in nucleotide data. By contrast, in the work by </w:t>
      </w:r>
      <w:hyperlink w:anchor="page9">
        <w:r>
          <w:rPr>
            <w:rFonts w:ascii="Times New Roman" w:cs="Times New Roman" w:eastAsia="Times New Roman" w:hAnsi="Times New Roman"/>
            <w:sz w:val="18"/>
            <w:szCs w:val="18"/>
            <w:color w:val="4C4C4C"/>
          </w:rPr>
          <w:t>Lemieux et al. (2016)</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 xml:space="preserve">the analyses of amino acid data using a site-heterogeneous composition model instead showed maximum support for the placement of Setaphyta alone as sister-group to the remaining land plants with the hornworts the sole sister-group to the tracheophytes. In both data sets, sampling of bryophyte lineages was limited, with only one representative of hornworts and one of liverworts. In addition, the data set of </w:t>
      </w:r>
      <w:hyperlink w:anchor="page9">
        <w:r>
          <w:rPr>
            <w:rFonts w:ascii="Times New Roman" w:cs="Times New Roman" w:eastAsia="Times New Roman" w:hAnsi="Times New Roman"/>
            <w:sz w:val="18"/>
            <w:szCs w:val="18"/>
            <w:color w:val="4C4C4C"/>
          </w:rPr>
          <w:t>Cox et al. (2014)</w:t>
        </w:r>
        <w:r>
          <w:rPr>
            <w:rFonts w:ascii="Times New Roman" w:cs="Times New Roman" w:eastAsia="Times New Roman" w:hAnsi="Times New Roman"/>
            <w:sz w:val="18"/>
            <w:szCs w:val="18"/>
            <w:color w:val="000000"/>
          </w:rPr>
          <w:t xml:space="preserve"> </w:t>
        </w:r>
      </w:hyperlink>
      <w:r>
        <w:rPr>
          <w:rFonts w:ascii="Times New Roman" w:cs="Times New Roman" w:eastAsia="Times New Roman" w:hAnsi="Times New Roman"/>
          <w:sz w:val="18"/>
          <w:szCs w:val="18"/>
          <w:color w:val="000000"/>
        </w:rPr>
        <w:t xml:space="preserve">had a very imbalanced proportion of bryophytes and tracheophytes (4:33), which may affect phylogenetic reconstruction, and the data set of </w:t>
      </w:r>
      <w:hyperlink w:anchor="page9">
        <w:r>
          <w:rPr>
            <w:rFonts w:ascii="Times New Roman" w:cs="Times New Roman" w:eastAsia="Times New Roman" w:hAnsi="Times New Roman"/>
            <w:sz w:val="18"/>
            <w:szCs w:val="18"/>
            <w:color w:val="4C4C4C"/>
          </w:rPr>
          <w:t>Lemieux et al. (2016)</w:t>
        </w:r>
        <w:r>
          <w:rPr>
            <w:rFonts w:ascii="Times New Roman" w:cs="Times New Roman" w:eastAsia="Times New Roman" w:hAnsi="Times New Roman"/>
            <w:sz w:val="18"/>
            <w:szCs w:val="18"/>
            <w:color w:val="000000"/>
          </w:rPr>
          <w:t xml:space="preserve"> </w:t>
        </w:r>
      </w:hyperlink>
      <w:r>
        <w:rPr>
          <w:rFonts w:ascii="Times New Roman" w:cs="Times New Roman" w:eastAsia="Times New Roman" w:hAnsi="Times New Roman"/>
          <w:sz w:val="18"/>
          <w:szCs w:val="18"/>
          <w:color w:val="000000"/>
        </w:rPr>
        <w:t>lacked any representative of the ferns. The present data set aimed at correcting this sampling bias, and included two representatives of each bryophyte lineage, as well as a balanced representation of each tracheophyte lineage, including ferns. The two taxa for each of the bryophyte lineages were</w:t>
      </w:r>
    </w:p>
    <w:p>
      <w:pPr>
        <w:spacing w:after="0" w:line="20" w:lineRule="exact"/>
        <w:rPr>
          <w:rFonts w:ascii="Times New Roman" w:cs="Times New Roman" w:eastAsia="Times New Roman" w:hAnsi="Times New Roman"/>
          <w:sz w:val="18"/>
          <w:szCs w:val="18"/>
          <w:color w:val="4C4C4C"/>
        </w:rPr>
      </w:pPr>
      <w:r>
        <w:rPr>
          <w:rFonts w:ascii="Times New Roman" w:cs="Times New Roman" w:eastAsia="Times New Roman" w:hAnsi="Times New Roman"/>
          <w:sz w:val="18"/>
          <w:szCs w:val="18"/>
          <w:color w:val="4C4C4C"/>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309880</wp:posOffset>
                </wp:positionV>
                <wp:extent cx="6407785"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4.4pt" to="504.9pt,24.4pt" o:allowincell="f" strokecolor="#4C4C4C" strokeweight="0.2267pt"/>
            </w:pict>
          </mc:Fallback>
        </mc:AlternateContent>
      </w:r>
    </w:p>
    <w:p>
      <w:pPr>
        <w:spacing w:after="0" w:line="20" w:lineRule="exact"/>
        <w:rPr>
          <w:rFonts w:ascii="Times New Roman" w:cs="Times New Roman" w:eastAsia="Times New Roman" w:hAnsi="Times New Roman"/>
          <w:sz w:val="18"/>
          <w:szCs w:val="18"/>
          <w:color w:val="4C4C4C"/>
        </w:rPr>
      </w:pPr>
      <w:r>
        <w:rPr>
          <w:rFonts w:ascii="Times New Roman" w:cs="Times New Roman" w:eastAsia="Times New Roman" w:hAnsi="Times New Roman"/>
          <w:sz w:val="18"/>
          <w:szCs w:val="18"/>
          <w:color w:val="4C4C4C"/>
        </w:rPr>
        <w:br w:type="column"/>
      </w:r>
    </w:p>
    <w:p>
      <w:pPr>
        <w:spacing w:after="0" w:line="200" w:lineRule="exact"/>
        <w:rPr>
          <w:rFonts w:ascii="Times New Roman" w:cs="Times New Roman" w:eastAsia="Times New Roman" w:hAnsi="Times New Roman"/>
          <w:sz w:val="18"/>
          <w:szCs w:val="18"/>
          <w:color w:val="4C4C4C"/>
        </w:rPr>
      </w:pPr>
    </w:p>
    <w:p>
      <w:pPr>
        <w:spacing w:after="0" w:line="361" w:lineRule="exact"/>
        <w:rPr>
          <w:rFonts w:ascii="Times New Roman" w:cs="Times New Roman" w:eastAsia="Times New Roman" w:hAnsi="Times New Roman"/>
          <w:sz w:val="18"/>
          <w:szCs w:val="18"/>
          <w:color w:val="4C4C4C"/>
        </w:rPr>
      </w:pPr>
    </w:p>
    <w:p>
      <w:pPr>
        <w:jc w:val="both"/>
        <w:spacing w:after="0" w:line="266" w:lineRule="auto"/>
        <w:rPr>
          <w:sz w:val="20"/>
          <w:szCs w:val="20"/>
          <w:color w:val="auto"/>
        </w:rPr>
      </w:pPr>
      <w:r>
        <w:rPr>
          <w:rFonts w:ascii="Times New Roman" w:cs="Times New Roman" w:eastAsia="Times New Roman" w:hAnsi="Times New Roman"/>
          <w:sz w:val="18"/>
          <w:szCs w:val="18"/>
          <w:color w:val="auto"/>
        </w:rPr>
        <w:t>chosen (where possible) to span the likely ancestral node of the lineage with the intention of more accurately reconstructing ancestral states and reducing the length of the subtending branches. By doing this, the genetic distances between lineages were minimized and the likelihood of long-branch attraction reduced. There was a conscious decision to limit the numbers of taxa sampled while sampling as much data as was computationally tractable. Even so, the most complex Bayesian MCMC tree-heterogeneous composition (NDCH2) analyses took &gt; 6 months single CPU computational time to complete per analytical run.</w:t>
      </w:r>
    </w:p>
    <w:p>
      <w:pPr>
        <w:spacing w:after="0" w:line="6" w:lineRule="exact"/>
        <w:rPr>
          <w:rFonts w:ascii="Times New Roman" w:cs="Times New Roman" w:eastAsia="Times New Roman" w:hAnsi="Times New Roman"/>
          <w:sz w:val="18"/>
          <w:szCs w:val="18"/>
          <w:color w:val="4C4C4C"/>
        </w:rPr>
      </w:pPr>
    </w:p>
    <w:p>
      <w:pPr>
        <w:jc w:val="both"/>
        <w:ind w:firstLine="240"/>
        <w:spacing w:after="0" w:line="251"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Recent maximum-likelihood analyses of protein-translated plastid transcriptome data spanning the entire green plant kingdom resulted in trees showing the monophyly of bryophytes (</w:t>
      </w:r>
      <w:hyperlink w:anchor="page9">
        <w:r>
          <w:rPr>
            <w:rFonts w:ascii="Times New Roman" w:cs="Times New Roman" w:eastAsia="Times New Roman" w:hAnsi="Times New Roman"/>
            <w:sz w:val="19"/>
            <w:szCs w:val="19"/>
            <w:color w:val="4C4C4C"/>
          </w:rPr>
          <w:t>Gitzendanner et al., 2018</w:t>
        </w:r>
      </w:hyperlink>
      <w:r>
        <w:rPr>
          <w:rFonts w:ascii="Times New Roman" w:cs="Times New Roman" w:eastAsia="Times New Roman" w:hAnsi="Times New Roman"/>
          <w:sz w:val="19"/>
          <w:szCs w:val="19"/>
          <w:color w:val="auto"/>
        </w:rPr>
        <w:t xml:space="preserve">; </w:t>
      </w:r>
      <w:hyperlink w:anchor="page9">
        <w:r>
          <w:rPr>
            <w:rFonts w:ascii="Times New Roman" w:cs="Times New Roman" w:eastAsia="Times New Roman" w:hAnsi="Times New Roman"/>
            <w:sz w:val="19"/>
            <w:szCs w:val="19"/>
            <w:color w:val="4C4C4C"/>
          </w:rPr>
          <w:t>Leebens-Mack et al., 2019</w:t>
        </w:r>
      </w:hyperlink>
      <w:r>
        <w:rPr>
          <w:rFonts w:ascii="Times New Roman" w:cs="Times New Roman" w:eastAsia="Times New Roman" w:hAnsi="Times New Roman"/>
          <w:sz w:val="19"/>
          <w:szCs w:val="19"/>
          <w:color w:val="auto"/>
        </w:rPr>
        <w:t xml:space="preserve">); a result similar to that presented here. However, these studies did not evaluate whether the time-homogeneous models they used in their studies were an adequate </w:t>
      </w:r>
      <w:r>
        <w:rPr>
          <w:rFonts w:ascii="Arial" w:cs="Arial" w:eastAsia="Arial" w:hAnsi="Arial"/>
          <w:sz w:val="19"/>
          <w:szCs w:val="19"/>
          <w:color w:val="auto"/>
        </w:rPr>
        <w:t>fi</w:t>
      </w:r>
      <w:r>
        <w:rPr>
          <w:rFonts w:ascii="Times New Roman" w:cs="Times New Roman" w:eastAsia="Times New Roman" w:hAnsi="Times New Roman"/>
          <w:sz w:val="19"/>
          <w:szCs w:val="19"/>
          <w:color w:val="auto"/>
        </w:rPr>
        <w:t xml:space="preserve">t to their data. This is especially important as </w:t>
      </w:r>
      <w:hyperlink w:anchor="page9">
        <w:r>
          <w:rPr>
            <w:rFonts w:ascii="Times New Roman" w:cs="Times New Roman" w:eastAsia="Times New Roman" w:hAnsi="Times New Roman"/>
            <w:sz w:val="19"/>
            <w:szCs w:val="19"/>
            <w:color w:val="4C4C4C"/>
          </w:rPr>
          <w:t>Cox et al. (2014)</w:t>
        </w:r>
        <w:r>
          <w:rPr>
            <w:rFonts w:ascii="Times New Roman" w:cs="Times New Roman" w:eastAsia="Times New Roman" w:hAnsi="Times New Roman"/>
            <w:sz w:val="19"/>
            <w:szCs w:val="19"/>
            <w:color w:val="auto"/>
          </w:rPr>
          <w:t xml:space="preserve"> </w:t>
        </w:r>
      </w:hyperlink>
      <w:r>
        <w:rPr>
          <w:rFonts w:ascii="Times New Roman" w:cs="Times New Roman" w:eastAsia="Times New Roman" w:hAnsi="Times New Roman"/>
          <w:sz w:val="19"/>
          <w:szCs w:val="19"/>
          <w:color w:val="auto"/>
        </w:rPr>
        <w:t>(as again in this study) have shown that land plant plastid data are time-heterogeneous, and therefore the results of these studies are dif</w:t>
      </w:r>
      <w:r>
        <w:rPr>
          <w:rFonts w:ascii="Arial" w:cs="Arial" w:eastAsia="Arial" w:hAnsi="Arial"/>
          <w:sz w:val="19"/>
          <w:szCs w:val="19"/>
          <w:color w:val="auto"/>
        </w:rPr>
        <w:t>fi</w:t>
      </w:r>
      <w:r>
        <w:rPr>
          <w:rFonts w:ascii="Times New Roman" w:cs="Times New Roman" w:eastAsia="Times New Roman" w:hAnsi="Times New Roman"/>
          <w:sz w:val="19"/>
          <w:szCs w:val="19"/>
          <w:color w:val="auto"/>
        </w:rPr>
        <w:t>cult to interpret as they may by compromised by their use of poor-</w:t>
      </w:r>
      <w:r>
        <w:rPr>
          <w:rFonts w:ascii="Arial" w:cs="Arial" w:eastAsia="Arial" w:hAnsi="Arial"/>
          <w:sz w:val="19"/>
          <w:szCs w:val="19"/>
          <w:color w:val="auto"/>
        </w:rPr>
        <w:t>fi</w:t>
      </w:r>
      <w:r>
        <w:rPr>
          <w:rFonts w:ascii="Times New Roman" w:cs="Times New Roman" w:eastAsia="Times New Roman" w:hAnsi="Times New Roman"/>
          <w:sz w:val="19"/>
          <w:szCs w:val="19"/>
          <w:color w:val="auto"/>
        </w:rPr>
        <w:t>tting time-homogeneous models.</w:t>
      </w:r>
    </w:p>
    <w:p>
      <w:pPr>
        <w:spacing w:after="0" w:line="126" w:lineRule="exact"/>
        <w:rPr>
          <w:rFonts w:ascii="Times New Roman" w:cs="Times New Roman" w:eastAsia="Times New Roman" w:hAnsi="Times New Roman"/>
          <w:sz w:val="19"/>
          <w:szCs w:val="19"/>
          <w:color w:val="auto"/>
        </w:rPr>
      </w:pPr>
    </w:p>
    <w:p>
      <w:pPr>
        <w:spacing w:after="0"/>
        <w:rPr>
          <w:sz w:val="20"/>
          <w:szCs w:val="20"/>
          <w:color w:val="auto"/>
        </w:rPr>
      </w:pPr>
      <w:r>
        <w:rPr>
          <w:rFonts w:ascii="Arial" w:cs="Arial" w:eastAsia="Arial" w:hAnsi="Arial"/>
          <w:sz w:val="24"/>
          <w:szCs w:val="24"/>
          <w:color w:val="auto"/>
        </w:rPr>
        <w:t>Conflict Between Nucleotide and Amino</w:t>
      </w:r>
    </w:p>
    <w:p>
      <w:pPr>
        <w:spacing w:after="0" w:line="219" w:lineRule="auto"/>
        <w:rPr>
          <w:sz w:val="20"/>
          <w:szCs w:val="20"/>
          <w:color w:val="auto"/>
        </w:rPr>
      </w:pPr>
      <w:r>
        <w:rPr>
          <w:rFonts w:ascii="Arial" w:cs="Arial" w:eastAsia="Arial" w:hAnsi="Arial"/>
          <w:sz w:val="24"/>
          <w:szCs w:val="24"/>
          <w:color w:val="auto"/>
        </w:rPr>
        <w:t>Acid Chloroplast Data Is Reduced When</w:t>
      </w:r>
    </w:p>
    <w:p>
      <w:pPr>
        <w:spacing w:after="0" w:line="218" w:lineRule="auto"/>
        <w:rPr>
          <w:sz w:val="20"/>
          <w:szCs w:val="20"/>
          <w:color w:val="auto"/>
        </w:rPr>
      </w:pPr>
      <w:r>
        <w:rPr>
          <w:rFonts w:ascii="Arial" w:cs="Arial" w:eastAsia="Arial" w:hAnsi="Arial"/>
          <w:sz w:val="24"/>
          <w:szCs w:val="24"/>
          <w:color w:val="auto"/>
        </w:rPr>
        <w:t>Synonymous Substitutions Are Excluded</w:t>
      </w:r>
    </w:p>
    <w:p>
      <w:pPr>
        <w:spacing w:after="0" w:line="22" w:lineRule="exact"/>
        <w:rPr>
          <w:rFonts w:ascii="Times New Roman" w:cs="Times New Roman" w:eastAsia="Times New Roman" w:hAnsi="Times New Roman"/>
          <w:sz w:val="19"/>
          <w:szCs w:val="19"/>
          <w:color w:val="auto"/>
        </w:rPr>
      </w:pPr>
    </w:p>
    <w:p>
      <w:pPr>
        <w:jc w:val="both"/>
        <w:spacing w:after="0" w:line="283" w:lineRule="auto"/>
        <w:rPr>
          <w:rFonts w:ascii="Times New Roman" w:cs="Times New Roman" w:eastAsia="Times New Roman" w:hAnsi="Times New Roman"/>
          <w:sz w:val="17"/>
          <w:szCs w:val="17"/>
          <w:color w:val="4C4C4C"/>
        </w:rPr>
      </w:pPr>
      <w:r>
        <w:rPr>
          <w:rFonts w:ascii="Times New Roman" w:cs="Times New Roman" w:eastAsia="Times New Roman" w:hAnsi="Times New Roman"/>
          <w:sz w:val="17"/>
          <w:szCs w:val="17"/>
          <w:color w:val="auto"/>
        </w:rPr>
        <w:t xml:space="preserve">One common technique used to reduce the probability of systematic errors in phylogenetic reconstruction is to remove data that cannot be adequately modeled, thus increasing the </w:t>
      </w:r>
      <w:r>
        <w:rPr>
          <w:rFonts w:ascii="Arial" w:cs="Arial" w:eastAsia="Arial" w:hAnsi="Arial"/>
          <w:sz w:val="17"/>
          <w:szCs w:val="17"/>
          <w:color w:val="auto"/>
        </w:rPr>
        <w:t>fi</w:t>
      </w:r>
      <w:r>
        <w:rPr>
          <w:rFonts w:ascii="Times New Roman" w:cs="Times New Roman" w:eastAsia="Times New Roman" w:hAnsi="Times New Roman"/>
          <w:sz w:val="17"/>
          <w:szCs w:val="17"/>
          <w:color w:val="auto"/>
        </w:rPr>
        <w:t xml:space="preserve">t of the model and the likely accuracy of the reconstructed trees (e.g. </w:t>
      </w:r>
      <w:hyperlink w:anchor="page9">
        <w:r>
          <w:rPr>
            <w:rFonts w:ascii="Times New Roman" w:cs="Times New Roman" w:eastAsia="Times New Roman" w:hAnsi="Times New Roman"/>
            <w:sz w:val="17"/>
            <w:szCs w:val="17"/>
            <w:color w:val="4C4C4C"/>
          </w:rPr>
          <w:t>Goremykin et al.,</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2003</w:t>
        </w:r>
      </w:hyperlink>
      <w:r>
        <w:rPr>
          <w:rFonts w:ascii="Times New Roman" w:cs="Times New Roman" w:eastAsia="Times New Roman" w:hAnsi="Times New Roman"/>
          <w:sz w:val="17"/>
          <w:szCs w:val="17"/>
          <w:color w:val="000000"/>
        </w:rPr>
        <w:t>). With time, a proportion of site characters uniting a lineage</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(synapomorphies) are inevitably erased by multiple substitutions and are said to be "saturated</w:t>
      </w:r>
      <w:r>
        <w:rPr>
          <w:rFonts w:ascii="Arial" w:cs="Arial" w:eastAsia="Arial" w:hAnsi="Arial"/>
          <w:sz w:val="17"/>
          <w:szCs w:val="17"/>
          <w:color w:val="000000"/>
        </w:rPr>
        <w:t>”</w:t>
      </w:r>
      <w:r>
        <w:rPr>
          <w:rFonts w:ascii="Times New Roman" w:cs="Times New Roman" w:eastAsia="Times New Roman" w:hAnsi="Times New Roman"/>
          <w:sz w:val="17"/>
          <w:szCs w:val="17"/>
          <w:color w:val="000000"/>
        </w:rPr>
        <w:t xml:space="preserve"> when all phylogenetic signal is lost. Saturation in a protein-coding gene sequence can be reduced by eliminating substitutions which represent synonymous amino-acid replacements. These substitutions occur more rapidly than non-synonymous substitutions as they are not constrained by protein</w:t>
      </w:r>
    </w:p>
    <w:p>
      <w:pPr>
        <w:spacing w:after="0" w:line="200"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375" w:lineRule="exact"/>
        <w:rPr>
          <w:sz w:val="20"/>
          <w:szCs w:val="20"/>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7</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7" w:name="page8"/>
    <w:bookmarkEnd w:id="7"/>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7" w:lineRule="exact"/>
        <w:rPr>
          <w:sz w:val="20"/>
          <w:szCs w:val="20"/>
          <w:color w:val="auto"/>
        </w:rPr>
      </w:pPr>
    </w:p>
    <w:p>
      <w:pPr>
        <w:jc w:val="both"/>
        <w:spacing w:after="0" w:line="266"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structure and function and therefore are less likely to re</w:t>
      </w:r>
      <w:r>
        <w:rPr>
          <w:rFonts w:ascii="Arial" w:cs="Arial" w:eastAsia="Arial" w:hAnsi="Arial"/>
          <w:sz w:val="18"/>
          <w:szCs w:val="18"/>
          <w:color w:val="auto"/>
        </w:rPr>
        <w:t>fl</w:t>
      </w:r>
      <w:r>
        <w:rPr>
          <w:rFonts w:ascii="Times New Roman" w:cs="Times New Roman" w:eastAsia="Times New Roman" w:hAnsi="Times New Roman"/>
          <w:sz w:val="18"/>
          <w:szCs w:val="18"/>
          <w:color w:val="auto"/>
        </w:rPr>
        <w:t>ect accurate phylogenetic signal. By removing synonymous substitutions from the nucleotide data, the tree length was reduced from a very high estimated substitution rate of 9.9 substitutions per site to only 2.7 substitutions per site (</w:t>
      </w:r>
      <w:hyperlink w:anchor="page9">
        <w:r>
          <w:rPr>
            <w:rFonts w:ascii="Times New Roman" w:cs="Times New Roman" w:eastAsia="Times New Roman" w:hAnsi="Times New Roman"/>
            <w:sz w:val="18"/>
            <w:szCs w:val="18"/>
            <w:color w:val="auto"/>
          </w:rPr>
          <w:t>Figures 2A, B</w:t>
        </w:r>
      </w:hyperlink>
      <w:r>
        <w:rPr>
          <w:rFonts w:ascii="Times New Roman" w:cs="Times New Roman" w:eastAsia="Times New Roman" w:hAnsi="Times New Roman"/>
          <w:sz w:val="18"/>
          <w:szCs w:val="18"/>
          <w:color w:val="auto"/>
        </w:rPr>
        <w:t>). However, while using degenerate ambiguity recoding to eliminate synonymous substitutions can reduce the amount of non-historical signal present in the data, it does not eliminate it as composition biases can still be caused by different selective pressures for amino acids at protein sites and due to mutational biases. In our analyses, we show that excluding synonymous substitutions eliminates signal in the nucleotide data that supports mosses as sister-group to embryophytes and decreases support for the grouping of hornworts and tracheophytes. Consequently, we think it likely that support for the non-monophyly of the bryophytes in nucleotide sequences is due to non-historical signal (substitutional saturation) present in synonymous sites.</w:t>
      </w:r>
    </w:p>
    <w:p>
      <w:pPr>
        <w:spacing w:after="0" w:line="384" w:lineRule="exact"/>
        <w:rPr>
          <w:sz w:val="20"/>
          <w:szCs w:val="20"/>
          <w:color w:val="auto"/>
        </w:rPr>
      </w:pPr>
    </w:p>
    <w:p>
      <w:pPr>
        <w:ind w:right="180"/>
        <w:spacing w:after="0" w:line="225" w:lineRule="auto"/>
        <w:rPr>
          <w:sz w:val="20"/>
          <w:szCs w:val="20"/>
          <w:color w:val="auto"/>
        </w:rPr>
      </w:pPr>
      <w:r>
        <w:rPr>
          <w:rFonts w:ascii="Arial" w:cs="Arial" w:eastAsia="Arial" w:hAnsi="Arial"/>
          <w:sz w:val="24"/>
          <w:szCs w:val="24"/>
          <w:color w:val="auto"/>
        </w:rPr>
        <w:t>Composition Tree-Heterogeneous Analyses of Chloroplast Amino-Acid Data Support the Monophyly of Bryophytes</w:t>
      </w:r>
    </w:p>
    <w:p>
      <w:pPr>
        <w:spacing w:after="0" w:line="24" w:lineRule="exact"/>
        <w:rPr>
          <w:sz w:val="20"/>
          <w:szCs w:val="20"/>
          <w:color w:val="auto"/>
        </w:rPr>
      </w:pPr>
    </w:p>
    <w:p>
      <w:pPr>
        <w:jc w:val="both"/>
        <w:spacing w:after="0" w:line="260"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ML and Bayesian analyses of chloroplast protein data tend to support the monophyly of the bryophytes (</w:t>
      </w:r>
      <w:hyperlink w:anchor="page9">
        <w:r>
          <w:rPr>
            <w:rFonts w:ascii="Times New Roman" w:cs="Times New Roman" w:eastAsia="Times New Roman" w:hAnsi="Times New Roman"/>
            <w:sz w:val="18"/>
            <w:szCs w:val="18"/>
            <w:color w:val="auto"/>
          </w:rPr>
          <w:t>Figures S9</w:t>
        </w:r>
        <w:r>
          <w:rPr>
            <w:rFonts w:ascii="Arial" w:cs="Arial" w:eastAsia="Arial" w:hAnsi="Arial"/>
            <w:sz w:val="18"/>
            <w:szCs w:val="18"/>
            <w:color w:val="auto"/>
          </w:rPr>
          <w:t>–</w:t>
        </w:r>
        <w:r>
          <w:rPr>
            <w:rFonts w:ascii="Times New Roman" w:cs="Times New Roman" w:eastAsia="Times New Roman" w:hAnsi="Times New Roman"/>
            <w:sz w:val="18"/>
            <w:szCs w:val="18"/>
            <w:color w:val="auto"/>
          </w:rPr>
          <w:t>S15</w:t>
        </w:r>
      </w:hyperlink>
      <w:r>
        <w:rPr>
          <w:rFonts w:ascii="Times New Roman" w:cs="Times New Roman" w:eastAsia="Times New Roman" w:hAnsi="Times New Roman"/>
          <w:sz w:val="18"/>
          <w:szCs w:val="18"/>
          <w:color w:val="auto"/>
        </w:rPr>
        <w:t>), however this support is sometimes coincident with the non-monophyly of the tracheophytes. The non-monophyly of the tracheophytes in Bayesian homogeneous and tree-heterogeneous composition analyses, and indeed the implication that tracheophytes are ancestral to bryophytes, is a result that has not been reported before. The topologies where tracheophytes are paraphyletic with the ferns as the earliest-diverging lineage of all land plants, or the ferns are the earliest-diverging lineage of the tracheophytes alone, are almost certainly inaccurate. This is because both the ferns and seed plants share a unique 30-kb inversion in the large, single copy region of the chloroplast genome that is very likely a unique character uniting ferns and seed plants to the exclusion of other taxa as it is thought unlikely that such a structural rearrangement could be reversed (</w:t>
      </w:r>
      <w:hyperlink w:anchor="page9">
        <w:r>
          <w:rPr>
            <w:rFonts w:ascii="Times New Roman" w:cs="Times New Roman" w:eastAsia="Times New Roman" w:hAnsi="Times New Roman"/>
            <w:sz w:val="18"/>
            <w:szCs w:val="18"/>
            <w:color w:val="4C4C4C"/>
          </w:rPr>
          <w:t>Raubeson and Jansen, 1992</w:t>
        </w:r>
      </w:hyperlink>
      <w:r>
        <w:rPr>
          <w:rFonts w:ascii="Times New Roman" w:cs="Times New Roman" w:eastAsia="Times New Roman" w:hAnsi="Times New Roman"/>
          <w:sz w:val="18"/>
          <w:szCs w:val="18"/>
          <w:color w:val="auto"/>
        </w:rPr>
        <w:t>). The non-canonical early-branching of the fern lineage suggests that the ferns are being drawn toward the base of the land plants, possibly as an artifact caused by among-site compositions heterogeneity as Phylobayes CAT analyses strongly support the monophyly of the tracheophytes. Unfortunately, the better-</w:t>
      </w:r>
      <w:r>
        <w:rPr>
          <w:rFonts w:ascii="Arial" w:cs="Arial" w:eastAsia="Arial" w:hAnsi="Arial"/>
          <w:sz w:val="18"/>
          <w:szCs w:val="18"/>
          <w:color w:val="auto"/>
        </w:rPr>
        <w:t>fi</w:t>
      </w:r>
      <w:r>
        <w:rPr>
          <w:rFonts w:ascii="Times New Roman" w:cs="Times New Roman" w:eastAsia="Times New Roman" w:hAnsi="Times New Roman"/>
          <w:sz w:val="18"/>
          <w:szCs w:val="18"/>
          <w:color w:val="auto"/>
        </w:rPr>
        <w:t>tting Bayesian tree-heterogeneous composition analyses were inconclusive with identical tree topologies having varying marginal likelihood scores: of 4 replicate runs the tracheophyte-paraphyletic topology scored both the best and 3rd best marginal likelihoods, while the tracheophyte-monophyletic topology scored both the 2</w:t>
      </w:r>
      <w:r>
        <w:rPr>
          <w:rFonts w:ascii="Times New Roman" w:cs="Times New Roman" w:eastAsia="Times New Roman" w:hAnsi="Times New Roman"/>
          <w:sz w:val="24"/>
          <w:szCs w:val="24"/>
          <w:color w:val="auto"/>
          <w:vertAlign w:val="superscript"/>
        </w:rPr>
        <w:t>nd</w:t>
      </w:r>
      <w:r>
        <w:rPr>
          <w:rFonts w:ascii="Times New Roman" w:cs="Times New Roman" w:eastAsia="Times New Roman" w:hAnsi="Times New Roman"/>
          <w:sz w:val="18"/>
          <w:szCs w:val="18"/>
          <w:color w:val="auto"/>
        </w:rPr>
        <w:t xml:space="preserve"> and 4</w:t>
      </w:r>
      <w:r>
        <w:rPr>
          <w:rFonts w:ascii="Times New Roman" w:cs="Times New Roman" w:eastAsia="Times New Roman" w:hAnsi="Times New Roman"/>
          <w:sz w:val="24"/>
          <w:szCs w:val="24"/>
          <w:color w:val="auto"/>
          <w:vertAlign w:val="superscript"/>
        </w:rPr>
        <w:t>th</w:t>
      </w:r>
      <w:r>
        <w:rPr>
          <w:rFonts w:ascii="Times New Roman" w:cs="Times New Roman" w:eastAsia="Times New Roman" w:hAnsi="Times New Roman"/>
          <w:sz w:val="18"/>
          <w:szCs w:val="18"/>
          <w:color w:val="auto"/>
        </w:rPr>
        <w:t xml:space="preserve"> best marginal likelihoods. This suggests that the composition values sampled at nodes are the critical factor, and not the topology, and that the mixing of the MCMC chains was not ef</w:t>
      </w:r>
      <w:r>
        <w:rPr>
          <w:rFonts w:ascii="Arial" w:cs="Arial" w:eastAsia="Arial" w:hAnsi="Arial"/>
          <w:sz w:val="18"/>
          <w:szCs w:val="18"/>
          <w:color w:val="auto"/>
        </w:rPr>
        <w:t>fi</w:t>
      </w:r>
      <w:r>
        <w:rPr>
          <w:rFonts w:ascii="Times New Roman" w:cs="Times New Roman" w:eastAsia="Times New Roman" w:hAnsi="Times New Roman"/>
          <w:sz w:val="18"/>
          <w:szCs w:val="18"/>
          <w:color w:val="auto"/>
        </w:rPr>
        <w:t>cient enough to allow independent runs to converge to a single best solution.</w:t>
      </w:r>
    </w:p>
    <w:p>
      <w:pPr>
        <w:spacing w:after="0" w:line="26" w:lineRule="exact"/>
        <w:rPr>
          <w:sz w:val="20"/>
          <w:szCs w:val="20"/>
          <w:color w:val="auto"/>
        </w:rPr>
      </w:pPr>
    </w:p>
    <w:p>
      <w:pPr>
        <w:jc w:val="both"/>
        <w:ind w:firstLine="240"/>
        <w:spacing w:after="0" w:line="268" w:lineRule="auto"/>
        <w:rPr>
          <w:sz w:val="20"/>
          <w:szCs w:val="20"/>
          <w:color w:val="auto"/>
        </w:rPr>
      </w:pPr>
      <w:r>
        <w:rPr>
          <w:rFonts w:ascii="Times New Roman" w:cs="Times New Roman" w:eastAsia="Times New Roman" w:hAnsi="Times New Roman"/>
          <w:sz w:val="18"/>
          <w:szCs w:val="18"/>
          <w:color w:val="auto"/>
        </w:rPr>
        <w:t>By contrast, the analyses using composition site-heterogeneous models (Phylobayes CAT) support the Setaphyta as the earliest branching lineage with the hornworts as the sister-group to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383540</wp:posOffset>
                </wp:positionV>
                <wp:extent cx="640778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30.2pt" to="504.9pt,30.2pt" o:allowincell="f" strokecolor="#4C4C4C" strokeweight="0.2267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7" w:lineRule="exact"/>
        <w:rPr>
          <w:sz w:val="20"/>
          <w:szCs w:val="20"/>
          <w:color w:val="auto"/>
        </w:rPr>
      </w:pPr>
    </w:p>
    <w:p>
      <w:pPr>
        <w:jc w:val="both"/>
        <w:spacing w:after="0" w:line="283" w:lineRule="auto"/>
        <w:rPr>
          <w:rFonts w:ascii="Times New Roman" w:cs="Times New Roman" w:eastAsia="Times New Roman" w:hAnsi="Times New Roman"/>
          <w:sz w:val="17"/>
          <w:szCs w:val="17"/>
          <w:color w:val="4C4C4C"/>
        </w:rPr>
      </w:pPr>
      <w:r>
        <w:rPr>
          <w:rFonts w:ascii="Times New Roman" w:cs="Times New Roman" w:eastAsia="Times New Roman" w:hAnsi="Times New Roman"/>
          <w:sz w:val="17"/>
          <w:szCs w:val="17"/>
          <w:color w:val="auto"/>
        </w:rPr>
        <w:t xml:space="preserve">tracheophytes. Here the monophyly of the tracheophytes is maximally supported, suggesting that perhaps the modeling of among-site composition heterogeneity is critical to resolving the tracheophytes with amino-acid data. However, posterior predictive tests of the CAT model showed that it failed to describe data heterogeneity across both sites and lineages, with a particularly strong rejection (high Z-scores) of the null hypothesis for the among-lineage composition heterogeneity test. Nevertheless, these analyses suggest the paraphyly of bryophytes, with hornworts the sister-group to tracheophytes, may be the result of among-lineage composition biases as the NDCH2 analyses show strong support for the monophyly of bryophytes. Indeed it may be that among-lineage composition heterogeneity is critical to resolving the monophyly of the bryophytes while at the same time among-site heterogeneity is critical to resolving the monophyly of tracheophytes in these data. Unfortunately, while models combining both these facets of the substitution process are available (e.g. NHPhylobayes, </w:t>
      </w:r>
      <w:hyperlink w:anchor="page9">
        <w:r>
          <w:rPr>
            <w:rFonts w:ascii="Times New Roman" w:cs="Times New Roman" w:eastAsia="Times New Roman" w:hAnsi="Times New Roman"/>
            <w:sz w:val="17"/>
            <w:szCs w:val="17"/>
            <w:color w:val="4C4C4C"/>
          </w:rPr>
          <w:t>Blanquart</w:t>
        </w:r>
      </w:hyperlink>
      <w:r>
        <w:rPr>
          <w:rFonts w:ascii="Times New Roman" w:cs="Times New Roman" w:eastAsia="Times New Roman" w:hAnsi="Times New Roman"/>
          <w:sz w:val="17"/>
          <w:szCs w:val="17"/>
          <w:color w:val="auto"/>
        </w:rPr>
        <w:t xml:space="preserve"> </w:t>
      </w:r>
      <w:hyperlink w:anchor="page9">
        <w:r>
          <w:rPr>
            <w:rFonts w:ascii="Times New Roman" w:cs="Times New Roman" w:eastAsia="Times New Roman" w:hAnsi="Times New Roman"/>
            <w:sz w:val="17"/>
            <w:szCs w:val="17"/>
            <w:color w:val="4C4C4C"/>
          </w:rPr>
          <w:t xml:space="preserve">and Lartillot, 2006 </w:t>
        </w:r>
      </w:hyperlink>
      <w:r>
        <w:rPr>
          <w:rFonts w:ascii="Times New Roman" w:cs="Times New Roman" w:eastAsia="Times New Roman" w:hAnsi="Times New Roman"/>
          <w:sz w:val="17"/>
          <w:szCs w:val="17"/>
          <w:color w:val="000000"/>
        </w:rPr>
        <w:t>they</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are currently computationally intractable</w:t>
      </w:r>
      <w:r>
        <w:rPr>
          <w:rFonts w:ascii="Times New Roman" w:cs="Times New Roman" w:eastAsia="Times New Roman" w:hAnsi="Times New Roman"/>
          <w:sz w:val="17"/>
          <w:szCs w:val="17"/>
          <w:color w:val="4C4C4C"/>
        </w:rPr>
        <w:t xml:space="preserve"> </w:t>
      </w:r>
      <w:r>
        <w:rPr>
          <w:rFonts w:ascii="Times New Roman" w:cs="Times New Roman" w:eastAsia="Times New Roman" w:hAnsi="Times New Roman"/>
          <w:sz w:val="17"/>
          <w:szCs w:val="17"/>
          <w:color w:val="000000"/>
        </w:rPr>
        <w:t>with a data set of this size.</w:t>
      </w:r>
    </w:p>
    <w:p>
      <w:pPr>
        <w:spacing w:after="0" w:line="200" w:lineRule="exact"/>
        <w:rPr>
          <w:sz w:val="20"/>
          <w:szCs w:val="20"/>
          <w:color w:val="auto"/>
        </w:rPr>
      </w:pPr>
    </w:p>
    <w:p>
      <w:pPr>
        <w:spacing w:after="0" w:line="211" w:lineRule="exact"/>
        <w:rPr>
          <w:sz w:val="20"/>
          <w:szCs w:val="20"/>
          <w:color w:val="auto"/>
        </w:rPr>
      </w:pPr>
    </w:p>
    <w:p>
      <w:pPr>
        <w:spacing w:after="0"/>
        <w:rPr>
          <w:sz w:val="20"/>
          <w:szCs w:val="20"/>
          <w:color w:val="auto"/>
        </w:rPr>
      </w:pPr>
      <w:r>
        <w:rPr>
          <w:rFonts w:ascii="Arial" w:cs="Arial" w:eastAsia="Arial" w:hAnsi="Arial"/>
          <w:sz w:val="24"/>
          <w:szCs w:val="24"/>
          <w:color w:val="auto"/>
        </w:rPr>
        <w:t>The First Land Plants</w:t>
      </w:r>
    </w:p>
    <w:p>
      <w:pPr>
        <w:spacing w:after="0" w:line="23" w:lineRule="exact"/>
        <w:rPr>
          <w:sz w:val="20"/>
          <w:szCs w:val="20"/>
          <w:color w:val="auto"/>
        </w:rPr>
      </w:pPr>
    </w:p>
    <w:p>
      <w:pPr>
        <w:jc w:val="both"/>
        <w:spacing w:after="0" w:line="266" w:lineRule="auto"/>
        <w:rPr>
          <w:rFonts w:ascii="Times New Roman" w:cs="Times New Roman" w:eastAsia="Times New Roman" w:hAnsi="Times New Roman"/>
          <w:sz w:val="18"/>
          <w:szCs w:val="18"/>
          <w:color w:val="000000"/>
        </w:rPr>
      </w:pPr>
      <w:r>
        <w:rPr>
          <w:rFonts w:ascii="Times New Roman" w:cs="Times New Roman" w:eastAsia="Times New Roman" w:hAnsi="Times New Roman"/>
          <w:sz w:val="18"/>
          <w:szCs w:val="18"/>
          <w:color w:val="auto"/>
        </w:rPr>
        <w:t>While the analyses presented here for chloroplast data are inconclusive as to the relationships among the major lineages of plants, they do support bryophytes as a monophyletic group under tree-heterogeneous models. This observation is in accord with some recent analyses of nuclear data (</w:t>
      </w:r>
      <w:hyperlink w:anchor="page9">
        <w:r>
          <w:rPr>
            <w:rFonts w:ascii="Times New Roman" w:cs="Times New Roman" w:eastAsia="Times New Roman" w:hAnsi="Times New Roman"/>
            <w:sz w:val="18"/>
            <w:szCs w:val="18"/>
            <w:color w:val="4C4C4C"/>
          </w:rPr>
          <w:t>Puttick et al., 2018</w:t>
        </w:r>
      </w:hyperlink>
      <w:r>
        <w:rPr>
          <w:rFonts w:ascii="Times New Roman" w:cs="Times New Roman" w:eastAsia="Times New Roman" w:hAnsi="Times New Roman"/>
          <w:sz w:val="18"/>
          <w:szCs w:val="18"/>
          <w:color w:val="auto"/>
        </w:rPr>
        <w:t xml:space="preserve">; </w:t>
      </w:r>
      <w:hyperlink w:anchor="page9">
        <w:r>
          <w:rPr>
            <w:rFonts w:ascii="Times New Roman" w:cs="Times New Roman" w:eastAsia="Times New Roman" w:hAnsi="Times New Roman"/>
            <w:sz w:val="18"/>
            <w:szCs w:val="18"/>
            <w:color w:val="4C4C4C"/>
          </w:rPr>
          <w:t>Sousa et al., 2019</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but not the mitochondrial data (</w:t>
      </w:r>
      <w:hyperlink w:anchor="page9">
        <w:r>
          <w:rPr>
            <w:rFonts w:ascii="Times New Roman" w:cs="Times New Roman" w:eastAsia="Times New Roman" w:hAnsi="Times New Roman"/>
            <w:sz w:val="18"/>
            <w:szCs w:val="18"/>
            <w:color w:val="4C4C4C"/>
          </w:rPr>
          <w:t>Liu et al.,</w:t>
        </w:r>
      </w:hyperlink>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2014</w:t>
        </w:r>
      </w:hyperlink>
      <w:r>
        <w:rPr>
          <w:rFonts w:ascii="Times New Roman" w:cs="Times New Roman" w:eastAsia="Times New Roman" w:hAnsi="Times New Roman"/>
          <w:sz w:val="18"/>
          <w:szCs w:val="18"/>
          <w:color w:val="000000"/>
        </w:rPr>
        <w:t>;</w:t>
      </w:r>
      <w:r>
        <w:rPr>
          <w:rFonts w:ascii="Times New Roman" w:cs="Times New Roman" w:eastAsia="Times New Roman" w:hAnsi="Times New Roman"/>
          <w:sz w:val="18"/>
          <w:szCs w:val="18"/>
          <w:color w:val="4C4C4C"/>
        </w:rPr>
        <w:t xml:space="preserve"> </w:t>
      </w:r>
      <w:hyperlink w:anchor="page9">
        <w:r>
          <w:rPr>
            <w:rFonts w:ascii="Times New Roman" w:cs="Times New Roman" w:eastAsia="Times New Roman" w:hAnsi="Times New Roman"/>
            <w:sz w:val="18"/>
            <w:szCs w:val="18"/>
            <w:color w:val="4C4C4C"/>
          </w:rPr>
          <w:t>Sousa et al., 2020</w:t>
        </w:r>
      </w:hyperlink>
      <w:r>
        <w:rPr>
          <w:rFonts w:ascii="Times New Roman" w:cs="Times New Roman" w:eastAsia="Times New Roman" w:hAnsi="Times New Roman"/>
          <w:sz w:val="18"/>
          <w:szCs w:val="18"/>
          <w:color w:val="000000"/>
        </w:rPr>
        <w:t>). The conclusion that bryophytes are</w:t>
      </w:r>
      <w:r>
        <w:rPr>
          <w:rFonts w:ascii="Times New Roman" w:cs="Times New Roman" w:eastAsia="Times New Roman" w:hAnsi="Times New Roman"/>
          <w:sz w:val="18"/>
          <w:szCs w:val="18"/>
          <w:color w:val="4C4C4C"/>
        </w:rPr>
        <w:t xml:space="preserve"> </w:t>
      </w:r>
      <w:r>
        <w:rPr>
          <w:rFonts w:ascii="Times New Roman" w:cs="Times New Roman" w:eastAsia="Times New Roman" w:hAnsi="Times New Roman"/>
          <w:sz w:val="18"/>
          <w:szCs w:val="18"/>
          <w:color w:val="000000"/>
        </w:rPr>
        <w:t>monophyletic, and therefore that tracheophytes are not derived from a bryophyte ancestor, changes our perspective on trait evolution at the stem of the land plants. Indeed, a phylogeny wherein tracheophytes and bryophytes split from a common terrestrial ancestor implies that the alternation of generations in early land plants was not necessarily identical to that of extant bryophytes (</w:t>
      </w:r>
      <w:hyperlink w:anchor="page9">
        <w:r>
          <w:rPr>
            <w:rFonts w:ascii="Times New Roman" w:cs="Times New Roman" w:eastAsia="Times New Roman" w:hAnsi="Times New Roman"/>
            <w:sz w:val="18"/>
            <w:szCs w:val="18"/>
            <w:color w:val="4C4C4C"/>
          </w:rPr>
          <w:t>Kenrick, 2017</w:t>
        </w:r>
      </w:hyperlink>
      <w:r>
        <w:rPr>
          <w:rFonts w:ascii="Times New Roman" w:cs="Times New Roman" w:eastAsia="Times New Roman" w:hAnsi="Times New Roman"/>
          <w:sz w:val="18"/>
          <w:szCs w:val="18"/>
          <w:color w:val="000000"/>
        </w:rPr>
        <w:t xml:space="preserve">), which has an unbranched sporophyte that is fully dependent on the gametophyte. Instead, even if sporophytes were nutritionally dependent on gametophytes at early stages of development, it is possible that the </w:t>
      </w:r>
      <w:r>
        <w:rPr>
          <w:rFonts w:ascii="Arial" w:cs="Arial" w:eastAsia="Arial" w:hAnsi="Arial"/>
          <w:sz w:val="18"/>
          <w:szCs w:val="18"/>
          <w:color w:val="000000"/>
        </w:rPr>
        <w:t>fi</w:t>
      </w:r>
      <w:r>
        <w:rPr>
          <w:rFonts w:ascii="Times New Roman" w:cs="Times New Roman" w:eastAsia="Times New Roman" w:hAnsi="Times New Roman"/>
          <w:sz w:val="18"/>
          <w:szCs w:val="18"/>
          <w:color w:val="000000"/>
        </w:rPr>
        <w:t xml:space="preserve">rst land plants had a branched sporophyte, and perhaps even near-isomorphic free-living alternate generations, as in the fossil plants Horneophyton and Aglaophyton, from the Rhynie chert </w:t>
      </w:r>
      <w:r>
        <w:rPr>
          <w:rFonts w:ascii="Arial" w:cs="Arial" w:eastAsia="Arial" w:hAnsi="Arial"/>
          <w:sz w:val="18"/>
          <w:szCs w:val="18"/>
          <w:color w:val="000000"/>
        </w:rPr>
        <w:t>fl</w:t>
      </w:r>
      <w:r>
        <w:rPr>
          <w:rFonts w:ascii="Times New Roman" w:cs="Times New Roman" w:eastAsia="Times New Roman" w:hAnsi="Times New Roman"/>
          <w:sz w:val="18"/>
          <w:szCs w:val="18"/>
          <w:color w:val="000000"/>
        </w:rPr>
        <w:t>ora. These are considered early polysporangiophytes (</w:t>
      </w:r>
      <w:hyperlink w:anchor="page9">
        <w:r>
          <w:rPr>
            <w:rFonts w:ascii="Times New Roman" w:cs="Times New Roman" w:eastAsia="Times New Roman" w:hAnsi="Times New Roman"/>
            <w:sz w:val="18"/>
            <w:szCs w:val="18"/>
            <w:color w:val="4C4C4C"/>
          </w:rPr>
          <w:t>Kenrick and Crane, 1997</w:t>
        </w:r>
      </w:hyperlink>
      <w:r>
        <w:rPr>
          <w:rFonts w:ascii="Times New Roman" w:cs="Times New Roman" w:eastAsia="Times New Roman" w:hAnsi="Times New Roman"/>
          <w:sz w:val="18"/>
          <w:szCs w:val="18"/>
          <w:color w:val="000000"/>
        </w:rPr>
        <w:t>) but, if tracheophytes are not directly derived from bryophytes, they could perhaps have retained traits from an ancestor that pre-dates the bryophyte-tracheophyte split. Thus, a scenario where both gametophytes and sporophytes possessed the necessary machinery for free-living, and became reduced in the tracheophyte and bryophyte lineages, respectively, is as possible as one where tracheophytes evolved from a simple, heterotrophic sporophyte. The evolution of stomata in land plants, given a monophyletic-bryophytes phylogeny, is not so clear, but they are not a shared-derived character (synapomorphy) uniting the hornworts, mosses, and tracheophytes (</w:t>
      </w:r>
      <w:hyperlink w:anchor="page9">
        <w:r>
          <w:rPr>
            <w:rFonts w:ascii="Times New Roman" w:cs="Times New Roman" w:eastAsia="Times New Roman" w:hAnsi="Times New Roman"/>
            <w:sz w:val="18"/>
            <w:szCs w:val="18"/>
            <w:color w:val="4C4C4C"/>
          </w:rPr>
          <w:t>Mishler and Churchill, 1984</w:t>
        </w:r>
      </w:hyperlink>
      <w:r>
        <w:rPr>
          <w:rFonts w:ascii="Times New Roman" w:cs="Times New Roman" w:eastAsia="Times New Roman" w:hAnsi="Times New Roman"/>
          <w:sz w:val="18"/>
          <w:szCs w:val="18"/>
          <w:color w:val="000000"/>
        </w:rPr>
        <w:t xml:space="preserve">; </w:t>
      </w:r>
      <w:hyperlink w:anchor="page9">
        <w:r>
          <w:rPr>
            <w:rFonts w:ascii="Times New Roman" w:cs="Times New Roman" w:eastAsia="Times New Roman" w:hAnsi="Times New Roman"/>
            <w:sz w:val="18"/>
            <w:szCs w:val="18"/>
            <w:color w:val="4C4C4C"/>
          </w:rPr>
          <w:t>Ruszala et al., 2011</w:t>
        </w:r>
      </w:hyperlink>
      <w:r>
        <w:rPr>
          <w:rFonts w:ascii="Times New Roman" w:cs="Times New Roman" w:eastAsia="Times New Roman" w:hAnsi="Times New Roman"/>
          <w:sz w:val="18"/>
          <w:szCs w:val="18"/>
          <w:color w:val="000000"/>
        </w:rPr>
        <w:t>). Only if it is assumed that the probability of loss of stomata was greater than the probability of gain (a not unreasonable</w:t>
      </w:r>
    </w:p>
    <w:p>
      <w:pPr>
        <w:spacing w:after="0" w:line="447" w:lineRule="exact"/>
        <w:rPr>
          <w:rFonts w:ascii="Times New Roman" w:cs="Times New Roman" w:eastAsia="Times New Roman" w:hAnsi="Times New Roman"/>
          <w:sz w:val="18"/>
          <w:szCs w:val="18"/>
          <w:color w:val="000000"/>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rFonts w:ascii="Times New Roman" w:cs="Times New Roman" w:eastAsia="Times New Roman" w:hAnsi="Times New Roman"/>
          <w:sz w:val="18"/>
          <w:szCs w:val="18"/>
          <w:color w:val="000000"/>
        </w:rPr>
      </w:pPr>
    </w:p>
    <w:p>
      <w:pPr>
        <w:spacing w:after="0" w:line="303" w:lineRule="exact"/>
        <w:rPr>
          <w:rFonts w:ascii="Times New Roman" w:cs="Times New Roman" w:eastAsia="Times New Roman" w:hAnsi="Times New Roman"/>
          <w:sz w:val="18"/>
          <w:szCs w:val="18"/>
          <w:color w:val="000000"/>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8</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8" w:name="page9"/>
    <w:bookmarkEnd w:id="8"/>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87" w:lineRule="exact"/>
        <w:rPr>
          <w:sz w:val="20"/>
          <w:szCs w:val="20"/>
          <w:color w:val="auto"/>
        </w:rPr>
      </w:pPr>
    </w:p>
    <w:p>
      <w:pPr>
        <w:jc w:val="both"/>
        <w:spacing w:after="0" w:line="250"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assumption, see </w:t>
      </w:r>
      <w:hyperlink w:anchor="page9">
        <w:r>
          <w:rPr>
            <w:rFonts w:ascii="Times New Roman" w:cs="Times New Roman" w:eastAsia="Times New Roman" w:hAnsi="Times New Roman"/>
            <w:sz w:val="19"/>
            <w:szCs w:val="19"/>
            <w:color w:val="4C4C4C"/>
          </w:rPr>
          <w:t>Harris et al., 2020</w:t>
        </w:r>
      </w:hyperlink>
      <w:r>
        <w:rPr>
          <w:rFonts w:ascii="Times New Roman" w:cs="Times New Roman" w:eastAsia="Times New Roman" w:hAnsi="Times New Roman"/>
          <w:sz w:val="19"/>
          <w:szCs w:val="19"/>
          <w:color w:val="auto"/>
        </w:rPr>
        <w:t>) then the evolution of stomata would be a synapomorphy uniting all the land plants, with losses in the liverworts and several early-branching moss lineages. Else, if stomata are not homologous among land plants, then they would have been gained independently in the hornworts, mosses, and tracheophytes.</w:t>
      </w:r>
    </w:p>
    <w:p>
      <w:pPr>
        <w:spacing w:after="0" w:line="14" w:lineRule="exact"/>
        <w:rPr>
          <w:sz w:val="20"/>
          <w:szCs w:val="20"/>
          <w:color w:val="auto"/>
        </w:rPr>
      </w:pPr>
    </w:p>
    <w:p>
      <w:pPr>
        <w:jc w:val="both"/>
        <w:ind w:firstLine="240"/>
        <w:spacing w:after="0" w:line="266" w:lineRule="auto"/>
        <w:rPr>
          <w:sz w:val="20"/>
          <w:szCs w:val="20"/>
          <w:color w:val="auto"/>
        </w:rPr>
      </w:pPr>
      <w:r>
        <w:rPr>
          <w:rFonts w:ascii="Times New Roman" w:cs="Times New Roman" w:eastAsia="Times New Roman" w:hAnsi="Times New Roman"/>
          <w:sz w:val="18"/>
          <w:szCs w:val="18"/>
          <w:color w:val="auto"/>
        </w:rPr>
        <w:t>As a corollary to bryophytes forming a monophyletic group, we suggest that a formal classi</w:t>
      </w:r>
      <w:r>
        <w:rPr>
          <w:rFonts w:ascii="Arial" w:cs="Arial" w:eastAsia="Arial" w:hAnsi="Arial"/>
          <w:sz w:val="18"/>
          <w:szCs w:val="18"/>
          <w:color w:val="auto"/>
        </w:rPr>
        <w:t>fi</w:t>
      </w:r>
      <w:r>
        <w:rPr>
          <w:rFonts w:ascii="Times New Roman" w:cs="Times New Roman" w:eastAsia="Times New Roman" w:hAnsi="Times New Roman"/>
          <w:sz w:val="18"/>
          <w:szCs w:val="18"/>
          <w:color w:val="auto"/>
        </w:rPr>
        <w:t>cation of the clade containing all three bryophyte lineages as Division (Phylum) Bryophyta Schimp., comprising the three Classes Anthocerotopsida (hornworts), Marchantiopsida (liverworts), and Bryopsida (mosses), will likely have a favorable impact on botanical and evolutionary teaching, as the morphological, reproductive, and ecological traits shared among these three lineages inevitably lead to an intuitive recognition of bryophytes as a natural group.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Arial" w:cs="Arial" w:eastAsia="Arial" w:hAnsi="Arial"/>
          <w:sz w:val="24"/>
          <w:szCs w:val="24"/>
          <w:color w:val="auto"/>
        </w:rPr>
        <w:t>AUTHOR CONTRIBUTIONS</w:t>
      </w:r>
    </w:p>
    <w:p>
      <w:pPr>
        <w:spacing w:after="0" w:line="194" w:lineRule="exact"/>
        <w:rPr>
          <w:sz w:val="20"/>
          <w:szCs w:val="20"/>
          <w:color w:val="auto"/>
        </w:rPr>
      </w:pPr>
    </w:p>
    <w:p>
      <w:pPr>
        <w:ind w:firstLine="3"/>
        <w:spacing w:after="0" w:line="242" w:lineRule="auto"/>
        <w:tabs>
          <w:tab w:leader="none" w:pos="301" w:val="left"/>
        </w:tabs>
        <w:numPr>
          <w:ilvl w:val="0"/>
          <w:numId w:val="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and PF conceived the study. CC and FS performed analyses. CC, FS, PC, and PF wrote the paper.</w:t>
      </w:r>
    </w:p>
    <w:p>
      <w:pPr>
        <w:spacing w:after="0" w:line="200" w:lineRule="exact"/>
        <w:rPr>
          <w:sz w:val="20"/>
          <w:szCs w:val="20"/>
          <w:color w:val="auto"/>
        </w:rPr>
      </w:pPr>
    </w:p>
    <w:p>
      <w:pPr>
        <w:spacing w:after="0" w:line="325" w:lineRule="exact"/>
        <w:rPr>
          <w:sz w:val="20"/>
          <w:szCs w:val="20"/>
          <w:color w:val="auto"/>
        </w:rPr>
      </w:pPr>
    </w:p>
    <w:p>
      <w:pPr>
        <w:spacing w:after="0"/>
        <w:rPr>
          <w:sz w:val="20"/>
          <w:szCs w:val="20"/>
          <w:color w:val="auto"/>
        </w:rPr>
      </w:pPr>
      <w:r>
        <w:rPr>
          <w:rFonts w:ascii="Arial" w:cs="Arial" w:eastAsia="Arial" w:hAnsi="Arial"/>
          <w:sz w:val="24"/>
          <w:szCs w:val="24"/>
          <w:color w:val="auto"/>
        </w:rPr>
        <w:t>FUNDING</w:t>
      </w:r>
    </w:p>
    <w:p>
      <w:pPr>
        <w:spacing w:after="0" w:line="194"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9"/>
          <w:szCs w:val="19"/>
          <w:color w:val="auto"/>
        </w:rPr>
        <w:t>This work was supported by FCT (Portuguese Foundation for Science and Technology) through project grant PTDC/BIA-EVF/1499/2014 to CC and national funds through project UIDB/04326/2020, and from the operational programs CRESC Algarve 2020 and COMPETE 2020 through projects EMBRC.PT ALG-01-0145-FEDER-022121 and BIODATA.PT ALG-01-0145-FEDER-022231.</w:t>
      </w:r>
    </w:p>
    <w:p>
      <w:pPr>
        <w:spacing w:after="0" w:line="200"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90" w:lineRule="exact"/>
        <w:rPr>
          <w:sz w:val="20"/>
          <w:szCs w:val="20"/>
          <w:color w:val="auto"/>
        </w:rPr>
      </w:pPr>
    </w:p>
    <w:p>
      <w:pPr>
        <w:spacing w:after="0"/>
        <w:rPr>
          <w:sz w:val="20"/>
          <w:szCs w:val="20"/>
          <w:color w:val="auto"/>
        </w:rPr>
      </w:pPr>
      <w:r>
        <w:rPr>
          <w:rFonts w:ascii="Arial" w:cs="Arial" w:eastAsia="Arial" w:hAnsi="Arial"/>
          <w:sz w:val="24"/>
          <w:szCs w:val="24"/>
          <w:color w:val="auto"/>
        </w:rPr>
        <w:t>DATA AVAILABILITY STATEMENT</w:t>
      </w:r>
    </w:p>
    <w:p>
      <w:pPr>
        <w:spacing w:after="0" w:line="194"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auto"/>
        </w:rPr>
        <w:t xml:space="preserve">The accession numbers for the genomes analyzed in this article can be found in Table 1. Alignment </w:t>
      </w:r>
      <w:r>
        <w:rPr>
          <w:rFonts w:ascii="Arial" w:cs="Arial" w:eastAsia="Arial" w:hAnsi="Arial"/>
          <w:sz w:val="19"/>
          <w:szCs w:val="19"/>
          <w:color w:val="auto"/>
        </w:rPr>
        <w:t>fi</w:t>
      </w:r>
      <w:r>
        <w:rPr>
          <w:rFonts w:ascii="Times New Roman" w:cs="Times New Roman" w:eastAsia="Times New Roman" w:hAnsi="Times New Roman"/>
          <w:sz w:val="19"/>
          <w:szCs w:val="19"/>
          <w:color w:val="auto"/>
        </w:rPr>
        <w:t>les are available on Zenodo (DOI: 10.5281/zenodo.3886964).</w:t>
      </w:r>
    </w:p>
    <w:p>
      <w:pPr>
        <w:spacing w:after="0" w:line="200" w:lineRule="exact"/>
        <w:rPr>
          <w:sz w:val="20"/>
          <w:szCs w:val="20"/>
          <w:color w:val="auto"/>
        </w:rPr>
      </w:pPr>
    </w:p>
    <w:p>
      <w:pPr>
        <w:spacing w:after="0" w:line="230" w:lineRule="exact"/>
        <w:rPr>
          <w:sz w:val="20"/>
          <w:szCs w:val="20"/>
          <w:color w:val="auto"/>
        </w:rPr>
      </w:pPr>
    </w:p>
    <w:p>
      <w:pPr>
        <w:spacing w:after="0"/>
        <w:rPr>
          <w:sz w:val="20"/>
          <w:szCs w:val="20"/>
          <w:color w:val="auto"/>
        </w:rPr>
      </w:pPr>
      <w:r>
        <w:rPr>
          <w:rFonts w:ascii="Arial" w:cs="Arial" w:eastAsia="Arial" w:hAnsi="Arial"/>
          <w:sz w:val="24"/>
          <w:szCs w:val="24"/>
          <w:color w:val="auto"/>
        </w:rPr>
        <w:t>REFERENCES</w:t>
      </w:r>
    </w:p>
    <w:p>
      <w:pPr>
        <w:spacing w:after="0" w:line="189"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Ababneh, F., Jermiin, L. S., Ma, C., and Robinson, J. (2006). Matched-pairs tests of homogeneity with applications to homologous nucleotide sequences. Bioinformatics 22, 1225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1231. doi: </w:t>
      </w:r>
      <w:hyperlink r:id="rId25">
        <w:r>
          <w:rPr>
            <w:rFonts w:ascii="Times New Roman" w:cs="Times New Roman" w:eastAsia="Times New Roman" w:hAnsi="Times New Roman"/>
            <w:sz w:val="15"/>
            <w:szCs w:val="15"/>
            <w:color w:val="auto"/>
          </w:rPr>
          <w:t>10.1093/bioinformatics/btl064</w:t>
        </w:r>
      </w:hyperlink>
    </w:p>
    <w:p>
      <w:pPr>
        <w:spacing w:after="0" w:line="12" w:lineRule="exact"/>
        <w:rPr>
          <w:sz w:val="20"/>
          <w:szCs w:val="20"/>
          <w:color w:val="auto"/>
        </w:rPr>
      </w:pPr>
    </w:p>
    <w:p>
      <w:pPr>
        <w:jc w:val="both"/>
        <w:ind w:left="200" w:hanging="199"/>
        <w:spacing w:after="0" w:line="259"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Abascal, F., Zardoya, R., and Telford, M. J. (2010). TranslatorX: multiple alignment of nucleotide sequences guided by amino acid translations. Nucleic Acids Res. 38, 7</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13. doi: </w:t>
      </w:r>
      <w:hyperlink r:id="rId26">
        <w:r>
          <w:rPr>
            <w:rFonts w:ascii="Times New Roman" w:cs="Times New Roman" w:eastAsia="Times New Roman" w:hAnsi="Times New Roman"/>
            <w:sz w:val="15"/>
            <w:szCs w:val="15"/>
            <w:color w:val="auto"/>
          </w:rPr>
          <w:t>10.1093/nar/gkq291</w:t>
        </w:r>
      </w:hyperlink>
    </w:p>
    <w:p>
      <w:pPr>
        <w:spacing w:after="0" w:line="11"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Birky, C. W. Jr. (2001). The inheritance of genes in mitochondria and chloroplasts: laws, mechanisms, and models. Annu. Rev. Genet. 35, 125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148. doi: </w:t>
      </w:r>
      <w:hyperlink r:id="rId27">
        <w:r>
          <w:rPr>
            <w:rFonts w:ascii="Times New Roman" w:cs="Times New Roman" w:eastAsia="Times New Roman" w:hAnsi="Times New Roman"/>
            <w:sz w:val="15"/>
            <w:szCs w:val="15"/>
            <w:color w:val="auto"/>
          </w:rPr>
          <w:t>10.1146/</w:t>
        </w:r>
      </w:hyperlink>
      <w:r>
        <w:rPr>
          <w:rFonts w:ascii="Times New Roman" w:cs="Times New Roman" w:eastAsia="Times New Roman" w:hAnsi="Times New Roman"/>
          <w:sz w:val="15"/>
          <w:szCs w:val="15"/>
          <w:color w:val="auto"/>
        </w:rPr>
        <w:t xml:space="preserve"> </w:t>
      </w:r>
      <w:hyperlink r:id="rId27">
        <w:r>
          <w:rPr>
            <w:rFonts w:ascii="Times New Roman" w:cs="Times New Roman" w:eastAsia="Times New Roman" w:hAnsi="Times New Roman"/>
            <w:sz w:val="15"/>
            <w:szCs w:val="15"/>
            <w:color w:val="auto"/>
          </w:rPr>
          <w:t>annurev.genet.35.102401.090231</w:t>
        </w:r>
      </w:hyperlink>
    </w:p>
    <w:p>
      <w:pPr>
        <w:spacing w:after="0" w:line="13"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Blanquart, S., and Lartillot, N. (2006). A Bayesian compound stochastic process for modeling nonstationary and nonhomogeneous sequence evolution. Mol. Biol. Evol. 23, 2058</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2071. doi: </w:t>
      </w:r>
      <w:hyperlink r:id="rId28">
        <w:r>
          <w:rPr>
            <w:rFonts w:ascii="Times New Roman" w:cs="Times New Roman" w:eastAsia="Times New Roman" w:hAnsi="Times New Roman"/>
            <w:sz w:val="15"/>
            <w:szCs w:val="15"/>
            <w:color w:val="auto"/>
          </w:rPr>
          <w:t>10.1093/molbev/msl091</w:t>
        </w:r>
      </w:hyperlink>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5"/>
          <w:szCs w:val="15"/>
          <w:color w:val="auto"/>
        </w:rPr>
        <w:t>Bock, R. (2010). The give-and-take of DNA: horizontal gene transfer in plants.</w:t>
      </w:r>
    </w:p>
    <w:p>
      <w:pPr>
        <w:spacing w:after="0" w:line="16" w:lineRule="exact"/>
        <w:rPr>
          <w:sz w:val="20"/>
          <w:szCs w:val="20"/>
          <w:color w:val="auto"/>
        </w:rPr>
      </w:pPr>
    </w:p>
    <w:p>
      <w:pPr>
        <w:ind w:left="20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Trends Plant Sci. 15, 11</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22. doi: </w:t>
      </w:r>
      <w:hyperlink r:id="rId29">
        <w:r>
          <w:rPr>
            <w:rFonts w:ascii="Times New Roman" w:cs="Times New Roman" w:eastAsia="Times New Roman" w:hAnsi="Times New Roman"/>
            <w:sz w:val="15"/>
            <w:szCs w:val="15"/>
            <w:color w:val="auto"/>
          </w:rPr>
          <w:t>10.1016/j.tplants.2009.10.001</w:t>
        </w:r>
      </w:hyperlink>
    </w:p>
    <w:p>
      <w:pPr>
        <w:spacing w:after="0" w:line="26"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Brown, J. M., Hedtke, S. M., Lemmon, A. R., and Lemmon, E. M. (2010). When trees grow too long: investigating the causes of highly inaccurate Bayesian branch-length estimates. Syst. Biol. 59, 145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161. doi: </w:t>
      </w:r>
      <w:hyperlink r:id="rId30">
        <w:r>
          <w:rPr>
            <w:rFonts w:ascii="Times New Roman" w:cs="Times New Roman" w:eastAsia="Times New Roman" w:hAnsi="Times New Roman"/>
            <w:sz w:val="15"/>
            <w:szCs w:val="15"/>
            <w:color w:val="auto"/>
          </w:rPr>
          <w:t>10.1093/sysbio/syp081</w:t>
        </w:r>
      </w:hyperlink>
    </w:p>
    <w:p>
      <w:pPr>
        <w:spacing w:after="0" w:line="12" w:lineRule="exact"/>
        <w:rPr>
          <w:sz w:val="20"/>
          <w:szCs w:val="20"/>
          <w:color w:val="auto"/>
        </w:rPr>
      </w:pPr>
    </w:p>
    <w:p>
      <w:pPr>
        <w:jc w:val="both"/>
        <w:ind w:left="200" w:hanging="199"/>
        <w:spacing w:after="0" w:line="283" w:lineRule="auto"/>
        <w:rPr>
          <w:sz w:val="20"/>
          <w:szCs w:val="20"/>
          <w:color w:val="auto"/>
        </w:rPr>
      </w:pPr>
      <w:r>
        <w:rPr>
          <w:rFonts w:ascii="Times New Roman" w:cs="Times New Roman" w:eastAsia="Times New Roman" w:hAnsi="Times New Roman"/>
          <w:sz w:val="14"/>
          <w:szCs w:val="14"/>
          <w:color w:val="auto"/>
        </w:rPr>
        <w:t>Chang, Y., and Graham, S. W. (2011). Inferring the higher-order phylogeny of mosses (Bryophyta) and relatives using a large, multigene plastid data set. Am.</w:t>
      </w:r>
    </w:p>
    <w:p>
      <w:pPr>
        <w:ind w:left="340" w:hanging="133"/>
        <w:spacing w:after="0" w:line="230" w:lineRule="auto"/>
        <w:tabs>
          <w:tab w:leader="none" w:pos="340" w:val="left"/>
        </w:tabs>
        <w:numPr>
          <w:ilvl w:val="0"/>
          <w:numId w:val="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Bot. 98, 839</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849. doi: </w:t>
      </w:r>
      <w:hyperlink r:id="rId31">
        <w:r>
          <w:rPr>
            <w:rFonts w:ascii="Times New Roman" w:cs="Times New Roman" w:eastAsia="Times New Roman" w:hAnsi="Times New Roman"/>
            <w:sz w:val="15"/>
            <w:szCs w:val="15"/>
            <w:color w:val="auto"/>
          </w:rPr>
          <w:t>10.3732/ajb.0900384</w:t>
        </w:r>
      </w:hyperlink>
    </w:p>
    <w:p>
      <w:pPr>
        <w:spacing w:after="0" w:line="25"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Cox, C. J., and Foster, P. G. (2013). A 20-state empirical amino-acid substitution model for green plant chloroplasts. Mol. Phylogenet. Evol. 68, 218</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220. doi: </w:t>
      </w:r>
      <w:hyperlink r:id="rId32">
        <w:r>
          <w:rPr>
            <w:rFonts w:ascii="Times New Roman" w:cs="Times New Roman" w:eastAsia="Times New Roman" w:hAnsi="Times New Roman"/>
            <w:sz w:val="15"/>
            <w:szCs w:val="15"/>
            <w:color w:val="auto"/>
          </w:rPr>
          <w:t>10.1016/j.ympev.2013.03.030</w:t>
        </w:r>
      </w:hyperlink>
    </w:p>
    <w:p>
      <w:pPr>
        <w:spacing w:after="0" w:line="13" w:lineRule="exact"/>
        <w:rPr>
          <w:sz w:val="20"/>
          <w:szCs w:val="20"/>
          <w:color w:val="auto"/>
        </w:rPr>
      </w:pPr>
    </w:p>
    <w:p>
      <w:pPr>
        <w:jc w:val="both"/>
        <w:ind w:left="200" w:hanging="199"/>
        <w:spacing w:after="0" w:line="257"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Cox, C. J., Foster, P. G., Hirt, R. P., Harris, S. R., and Embley, T. M. (2008). The archeabacterial origin of eukaryotes. Proc. Natl. Acad. Sci. U. S. A. 105, 20356</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20361. doi: </w:t>
      </w:r>
      <w:hyperlink r:id="rId33">
        <w:r>
          <w:rPr>
            <w:rFonts w:ascii="Times New Roman" w:cs="Times New Roman" w:eastAsia="Times New Roman" w:hAnsi="Times New Roman"/>
            <w:sz w:val="15"/>
            <w:szCs w:val="15"/>
            <w:color w:val="auto"/>
          </w:rPr>
          <w:t>10.1073/pnas.0810647105</w:t>
        </w:r>
      </w:hyperlink>
    </w:p>
    <w:p>
      <w:pPr>
        <w:spacing w:after="0" w:line="1" w:lineRule="exact"/>
        <w:rPr>
          <w:sz w:val="20"/>
          <w:szCs w:val="20"/>
          <w:color w:val="auto"/>
        </w:rPr>
      </w:pPr>
    </w:p>
    <w:p>
      <w:pPr>
        <w:jc w:val="right"/>
        <w:spacing w:after="0" w:line="286"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Cox, C. J., Li, B., Foster, P. G., Embley, T. M., and Civa</w:t>
      </w:r>
      <w:r>
        <w:rPr>
          <w:rFonts w:ascii="Arial" w:cs="Arial" w:eastAsia="Arial" w:hAnsi="Arial"/>
          <w:sz w:val="14"/>
          <w:szCs w:val="14"/>
          <w:color w:val="auto"/>
        </w:rPr>
        <w:t>́</w:t>
      </w:r>
      <w:r>
        <w:rPr>
          <w:rFonts w:ascii="Times New Roman" w:cs="Times New Roman" w:eastAsia="Times New Roman" w:hAnsi="Times New Roman"/>
          <w:sz w:val="14"/>
          <w:szCs w:val="14"/>
          <w:color w:val="auto"/>
        </w:rPr>
        <w:t>n</w:t>
      </w:r>
      <w:r>
        <w:rPr>
          <w:rFonts w:ascii="Arial" w:cs="Arial" w:eastAsia="Arial" w:hAnsi="Arial"/>
          <w:sz w:val="14"/>
          <w:szCs w:val="14"/>
          <w:color w:val="auto"/>
        </w:rPr>
        <w:t>̌</w:t>
      </w:r>
      <w:r>
        <w:rPr>
          <w:rFonts w:ascii="Times New Roman" w:cs="Times New Roman" w:eastAsia="Times New Roman" w:hAnsi="Times New Roman"/>
          <w:sz w:val="14"/>
          <w:szCs w:val="14"/>
          <w:color w:val="auto"/>
        </w:rPr>
        <w:t>,P. (2014). Con</w:t>
      </w:r>
      <w:r>
        <w:rPr>
          <w:rFonts w:ascii="Arial" w:cs="Arial" w:eastAsia="Arial" w:hAnsi="Arial"/>
          <w:sz w:val="14"/>
          <w:szCs w:val="14"/>
          <w:color w:val="auto"/>
        </w:rPr>
        <w:t>fl</w:t>
      </w:r>
      <w:r>
        <w:rPr>
          <w:rFonts w:ascii="Times New Roman" w:cs="Times New Roman" w:eastAsia="Times New Roman" w:hAnsi="Times New Roman"/>
          <w:sz w:val="14"/>
          <w:szCs w:val="14"/>
          <w:color w:val="auto"/>
        </w:rPr>
        <w:t>icting phylogenies for early land plants are caused by composition biases among synonymous substitutions. Syst. Biol. 63, 272</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279. doi: </w:t>
      </w:r>
      <w:hyperlink r:id="rId34">
        <w:r>
          <w:rPr>
            <w:rFonts w:ascii="Times New Roman" w:cs="Times New Roman" w:eastAsia="Times New Roman" w:hAnsi="Times New Roman"/>
            <w:sz w:val="14"/>
            <w:szCs w:val="14"/>
            <w:color w:val="auto"/>
          </w:rPr>
          <w:t>10.1093/sysbio/syt109</w:t>
        </w:r>
      </w:hyperlink>
      <w:r>
        <w:rPr>
          <w:rFonts w:ascii="Times New Roman" w:cs="Times New Roman" w:eastAsia="Times New Roman" w:hAnsi="Times New Roman"/>
          <w:sz w:val="14"/>
          <w:szCs w:val="14"/>
          <w:color w:val="auto"/>
        </w:rPr>
        <w:t xml:space="preserve"> Cox, C. J. (2018). Land plant molecular phylogenetics: a review with comments on evaluating incongruence among phylogenies. Crit. Rev. Plant Sci. 37, 113</w:t>
      </w:r>
      <w:r>
        <w:rPr>
          <w:rFonts w:ascii="Arial" w:cs="Arial" w:eastAsia="Arial" w:hAnsi="Arial"/>
          <w:sz w:val="14"/>
          <w:szCs w:val="14"/>
          <w:color w:val="auto"/>
        </w:rPr>
        <w:t>–</w:t>
      </w:r>
      <w:r>
        <w:rPr>
          <w:rFonts w:ascii="Times New Roman" w:cs="Times New Roman" w:eastAsia="Times New Roman" w:hAnsi="Times New Roman"/>
          <w:sz w:val="14"/>
          <w:szCs w:val="14"/>
          <w:color w:val="auto"/>
        </w:rPr>
        <w:t>127.</w:t>
      </w:r>
    </w:p>
    <w:p>
      <w:pPr>
        <w:ind w:left="200"/>
        <w:spacing w:after="0" w:line="231"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doi: </w:t>
      </w:r>
      <w:hyperlink r:id="rId35">
        <w:r>
          <w:rPr>
            <w:rFonts w:ascii="Times New Roman" w:cs="Times New Roman" w:eastAsia="Times New Roman" w:hAnsi="Times New Roman"/>
            <w:sz w:val="15"/>
            <w:szCs w:val="15"/>
            <w:color w:val="auto"/>
          </w:rPr>
          <w:t>10.1080/07352689.2018.1482443</w:t>
        </w:r>
      </w:hyperlink>
    </w:p>
    <w:p>
      <w:pPr>
        <w:spacing w:after="0" w:line="26" w:lineRule="exact"/>
        <w:rPr>
          <w:sz w:val="20"/>
          <w:szCs w:val="20"/>
          <w:color w:val="auto"/>
        </w:rPr>
      </w:pPr>
    </w:p>
    <w:p>
      <w:pPr>
        <w:jc w:val="both"/>
        <w:ind w:left="200" w:hanging="199"/>
        <w:spacing w:after="0" w:line="283"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Foster, P. G., Cox, C. J., and Embley, T. M. (2009). The primary divisions of life: a phylogenomic approach employing composition-heterogeneous methods. Philos. Trans. R. Soc B 364, 2197</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2207. doi: </w:t>
      </w:r>
      <w:hyperlink r:id="rId36">
        <w:r>
          <w:rPr>
            <w:rFonts w:ascii="Times New Roman" w:cs="Times New Roman" w:eastAsia="Times New Roman" w:hAnsi="Times New Roman"/>
            <w:sz w:val="14"/>
            <w:szCs w:val="14"/>
            <w:color w:val="auto"/>
          </w:rPr>
          <w:t>10.1098/rstb.2009.0034</w:t>
        </w:r>
      </w:hyperlink>
    </w:p>
    <w:p>
      <w:pPr>
        <w:jc w:val="both"/>
        <w:ind w:left="200" w:hanging="199"/>
        <w:spacing w:after="0" w:line="251"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Foster, P. G. (2004). Modeling compositional heterogeneity. Syst. Biol. 53, 485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495. doi: </w:t>
      </w:r>
      <w:hyperlink r:id="rId37">
        <w:r>
          <w:rPr>
            <w:rFonts w:ascii="Times New Roman" w:cs="Times New Roman" w:eastAsia="Times New Roman" w:hAnsi="Times New Roman"/>
            <w:sz w:val="15"/>
            <w:szCs w:val="15"/>
            <w:color w:val="auto"/>
          </w:rPr>
          <w:t>10.1080/10635150490445779</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321310</wp:posOffset>
                </wp:positionV>
                <wp:extent cx="640778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5.3pt" to="504.9pt,25.3pt" o:allowincell="f" strokecolor="#4C4C4C" strokeweight="0.2267pt"/>
            </w:pict>
          </mc:Fallback>
        </mc:AlternateContent>
      </w:r>
    </w:p>
    <w:p>
      <w:pPr>
        <w:spacing w:after="0" w:line="20" w:lineRule="exact"/>
        <w:rPr>
          <w:sz w:val="20"/>
          <w:szCs w:val="20"/>
          <w:color w:val="auto"/>
        </w:rPr>
      </w:pPr>
      <w:r>
        <w:rPr>
          <w:sz w:val="20"/>
          <w:szCs w:val="20"/>
          <w:color w:val="auto"/>
        </w:rPr>
        <w:br w:type="column"/>
      </w:r>
    </w:p>
    <w:p>
      <w:pPr>
        <w:spacing w:after="0" w:line="303" w:lineRule="exact"/>
        <w:rPr>
          <w:sz w:val="20"/>
          <w:szCs w:val="20"/>
          <w:color w:val="auto"/>
        </w:rPr>
      </w:pPr>
    </w:p>
    <w:p>
      <w:pPr>
        <w:spacing w:after="0"/>
        <w:rPr>
          <w:sz w:val="20"/>
          <w:szCs w:val="20"/>
          <w:color w:val="auto"/>
        </w:rPr>
      </w:pPr>
      <w:r>
        <w:rPr>
          <w:rFonts w:ascii="Arial" w:cs="Arial" w:eastAsia="Arial" w:hAnsi="Arial"/>
          <w:sz w:val="24"/>
          <w:szCs w:val="24"/>
          <w:color w:val="auto"/>
        </w:rPr>
        <w:t>SUPPLEMENTARY MATERIAL</w:t>
      </w:r>
    </w:p>
    <w:p>
      <w:pPr>
        <w:spacing w:after="0" w:line="194" w:lineRule="exact"/>
        <w:rPr>
          <w:sz w:val="20"/>
          <w:szCs w:val="20"/>
          <w:color w:val="auto"/>
        </w:rPr>
      </w:pPr>
    </w:p>
    <w:p>
      <w:pPr>
        <w:jc w:val="both"/>
        <w:spacing w:after="0" w:line="268" w:lineRule="auto"/>
        <w:rPr>
          <w:rFonts w:ascii="Times New Roman" w:cs="Times New Roman" w:eastAsia="Times New Roman" w:hAnsi="Times New Roman"/>
          <w:sz w:val="18"/>
          <w:szCs w:val="18"/>
          <w:color w:val="auto"/>
        </w:rPr>
      </w:pPr>
      <w:r>
        <w:rPr>
          <w:rFonts w:ascii="Times New Roman" w:cs="Times New Roman" w:eastAsia="Times New Roman" w:hAnsi="Times New Roman"/>
          <w:sz w:val="18"/>
          <w:szCs w:val="18"/>
          <w:color w:val="auto"/>
        </w:rPr>
        <w:t xml:space="preserve">The Supplementary Material for this article can be found online at: </w:t>
      </w:r>
      <w:hyperlink r:id="rId38">
        <w:r>
          <w:rPr>
            <w:rFonts w:ascii="Times New Roman" w:cs="Times New Roman" w:eastAsia="Times New Roman" w:hAnsi="Times New Roman"/>
            <w:sz w:val="18"/>
            <w:szCs w:val="18"/>
            <w:color w:val="auto"/>
          </w:rPr>
          <w:t>https://www.frontiersin.org/articles/10.3389/fpls.2020.01062/</w:t>
        </w:r>
      </w:hyperlink>
      <w:r>
        <w:rPr>
          <w:rFonts w:ascii="Times New Roman" w:cs="Times New Roman" w:eastAsia="Times New Roman" w:hAnsi="Times New Roman"/>
          <w:sz w:val="18"/>
          <w:szCs w:val="18"/>
          <w:color w:val="auto"/>
        </w:rPr>
        <w:t xml:space="preserve"> </w:t>
      </w:r>
      <w:hyperlink r:id="rId38">
        <w:r>
          <w:rPr>
            <w:rFonts w:ascii="Times New Roman" w:cs="Times New Roman" w:eastAsia="Times New Roman" w:hAnsi="Times New Roman"/>
            <w:sz w:val="18"/>
            <w:szCs w:val="18"/>
            <w:color w:val="auto"/>
          </w:rPr>
          <w:t>full#supplementary-material</w:t>
        </w:r>
      </w:hyperlink>
    </w:p>
    <w:p>
      <w:pPr>
        <w:spacing w:after="0" w:line="200" w:lineRule="exact"/>
        <w:rPr>
          <w:sz w:val="20"/>
          <w:szCs w:val="20"/>
          <w:color w:val="auto"/>
        </w:rPr>
      </w:pPr>
    </w:p>
    <w:p>
      <w:pPr>
        <w:spacing w:after="0" w:line="251"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Gao, L., Su, Y. J., and Wang, T. (2010). Plastid genome sequencing, comparative genomics, and phylogenomics: Current status and prospects. J. Syst. Evol. 48, 77</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93. doi: </w:t>
      </w:r>
      <w:hyperlink r:id="rId39">
        <w:r>
          <w:rPr>
            <w:rFonts w:ascii="Times New Roman" w:cs="Times New Roman" w:eastAsia="Times New Roman" w:hAnsi="Times New Roman"/>
            <w:sz w:val="15"/>
            <w:szCs w:val="15"/>
            <w:color w:val="auto"/>
          </w:rPr>
          <w:t>10.1111/j.1759-6831.2010.00071.x</w:t>
        </w:r>
      </w:hyperlink>
    </w:p>
    <w:p>
      <w:pPr>
        <w:spacing w:after="0" w:line="13"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Gitzendanner, M. A., Soltis, P. S., Wong, G. K. S., Ruhfel, B. R., and Soltis, D. E. (2018). Plastid phylogenomic analysis of green plants: a billion years of evolutionary history. Am. J. Bot. 105, 291</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301. doi: </w:t>
      </w:r>
      <w:hyperlink r:id="rId40">
        <w:r>
          <w:rPr>
            <w:rFonts w:ascii="Times New Roman" w:cs="Times New Roman" w:eastAsia="Times New Roman" w:hAnsi="Times New Roman"/>
            <w:sz w:val="15"/>
            <w:szCs w:val="15"/>
            <w:color w:val="auto"/>
          </w:rPr>
          <w:t>10.1002/ajb2.1048</w:t>
        </w:r>
      </w:hyperlink>
    </w:p>
    <w:p>
      <w:pPr>
        <w:spacing w:after="0" w:line="12"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Goremykin, V. V., Hirsch-Ernst, K.II, Wöl</w:t>
      </w:r>
      <w:r>
        <w:rPr>
          <w:rFonts w:ascii="Arial" w:cs="Arial" w:eastAsia="Arial" w:hAnsi="Arial"/>
          <w:sz w:val="15"/>
          <w:szCs w:val="15"/>
          <w:color w:val="auto"/>
        </w:rPr>
        <w:t>fl</w:t>
      </w:r>
      <w:r>
        <w:rPr>
          <w:rFonts w:ascii="Times New Roman" w:cs="Times New Roman" w:eastAsia="Times New Roman" w:hAnsi="Times New Roman"/>
          <w:sz w:val="15"/>
          <w:szCs w:val="15"/>
          <w:color w:val="auto"/>
        </w:rPr>
        <w:t>, S., and Hellwig, F. H. (2003). Analysis of the Amborella trichopoda chloroplast genome sequence suggests that Amborella is not a basal angiosperm. Mol. Biol. Evol. 20, 1499</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1505. doi: </w:t>
      </w:r>
      <w:hyperlink r:id="rId41">
        <w:r>
          <w:rPr>
            <w:rFonts w:ascii="Times New Roman" w:cs="Times New Roman" w:eastAsia="Times New Roman" w:hAnsi="Times New Roman"/>
            <w:sz w:val="15"/>
            <w:szCs w:val="15"/>
            <w:color w:val="auto"/>
          </w:rPr>
          <w:t>10.1093/molbev/msg159</w:t>
        </w:r>
      </w:hyperlink>
    </w:p>
    <w:p>
      <w:pPr>
        <w:spacing w:after="0" w:line="12" w:lineRule="exact"/>
        <w:rPr>
          <w:sz w:val="20"/>
          <w:szCs w:val="20"/>
          <w:color w:val="auto"/>
        </w:rPr>
      </w:pPr>
    </w:p>
    <w:p>
      <w:pPr>
        <w:jc w:val="right"/>
        <w:spacing w:after="0" w:line="261"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Harris, B. J., Harrison, C. J., Hetherington, A. M., and Williams, T. A. (2020). Phylogenomic evidence for the monophyly of bryophytes and the reductive evolution of stomata. Curr. Biol. 30, 2001</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2012. doi: </w:t>
      </w:r>
      <w:hyperlink r:id="rId42">
        <w:r>
          <w:rPr>
            <w:rFonts w:ascii="Times New Roman" w:cs="Times New Roman" w:eastAsia="Times New Roman" w:hAnsi="Times New Roman"/>
            <w:sz w:val="15"/>
            <w:szCs w:val="15"/>
            <w:color w:val="auto"/>
          </w:rPr>
          <w:t>10.1016/j.cub.2020.03.048</w:t>
        </w:r>
      </w:hyperlink>
      <w:r>
        <w:rPr>
          <w:rFonts w:ascii="Times New Roman" w:cs="Times New Roman" w:eastAsia="Times New Roman" w:hAnsi="Times New Roman"/>
          <w:sz w:val="15"/>
          <w:szCs w:val="15"/>
          <w:color w:val="auto"/>
        </w:rPr>
        <w:t xml:space="preserve"> Hedderson, T. A., Chapman, R. L., and Rootes, W. L. (1996). Phylogenetic relationships of bryophytes inferred from nuclear-encoded rRNA gene</w:t>
      </w:r>
    </w:p>
    <w:p>
      <w:pPr>
        <w:spacing w:after="0" w:line="2" w:lineRule="exact"/>
        <w:rPr>
          <w:sz w:val="20"/>
          <w:szCs w:val="20"/>
          <w:color w:val="auto"/>
        </w:rPr>
      </w:pPr>
    </w:p>
    <w:p>
      <w:pPr>
        <w:ind w:left="200"/>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sequences. Plant Syst. Evol. 200, 213</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224. doi: </w:t>
      </w:r>
      <w:hyperlink r:id="rId43">
        <w:r>
          <w:rPr>
            <w:rFonts w:ascii="Times New Roman" w:cs="Times New Roman" w:eastAsia="Times New Roman" w:hAnsi="Times New Roman"/>
            <w:sz w:val="15"/>
            <w:szCs w:val="15"/>
            <w:color w:val="auto"/>
          </w:rPr>
          <w:t>10.1007/BF00984936</w:t>
        </w:r>
      </w:hyperlink>
    </w:p>
    <w:p>
      <w:pPr>
        <w:spacing w:after="0" w:line="26"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color w:val="auto"/>
        </w:rPr>
        <w:t>Jeffroy, O., Brinkmann, H., Delsuc, F., and Philippe, H. (2006). Phylogenomics: the</w:t>
      </w:r>
    </w:p>
    <w:p>
      <w:pPr>
        <w:spacing w:after="0" w:line="29" w:lineRule="exact"/>
        <w:rPr>
          <w:sz w:val="20"/>
          <w:szCs w:val="20"/>
          <w:color w:val="auto"/>
        </w:rPr>
      </w:pPr>
    </w:p>
    <w:p>
      <w:pPr>
        <w:ind w:left="200"/>
        <w:spacing w:after="0" w:line="251"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beginning of incongruence? Trends Genet. 22, 225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231. doi: </w:t>
      </w:r>
      <w:hyperlink r:id="rId44">
        <w:r>
          <w:rPr>
            <w:rFonts w:ascii="Times New Roman" w:cs="Times New Roman" w:eastAsia="Times New Roman" w:hAnsi="Times New Roman"/>
            <w:sz w:val="15"/>
            <w:szCs w:val="15"/>
            <w:color w:val="auto"/>
          </w:rPr>
          <w:t>10.1016/</w:t>
        </w:r>
      </w:hyperlink>
      <w:r>
        <w:rPr>
          <w:rFonts w:ascii="Times New Roman" w:cs="Times New Roman" w:eastAsia="Times New Roman" w:hAnsi="Times New Roman"/>
          <w:sz w:val="15"/>
          <w:szCs w:val="15"/>
          <w:color w:val="auto"/>
        </w:rPr>
        <w:t xml:space="preserve"> </w:t>
      </w:r>
      <w:hyperlink r:id="rId44">
        <w:r>
          <w:rPr>
            <w:rFonts w:ascii="Times New Roman" w:cs="Times New Roman" w:eastAsia="Times New Roman" w:hAnsi="Times New Roman"/>
            <w:sz w:val="15"/>
            <w:szCs w:val="15"/>
            <w:color w:val="auto"/>
          </w:rPr>
          <w:t>j.tig.2006.02.003</w:t>
        </w:r>
      </w:hyperlink>
    </w:p>
    <w:p>
      <w:pPr>
        <w:spacing w:after="0" w:line="18" w:lineRule="exact"/>
        <w:rPr>
          <w:sz w:val="20"/>
          <w:szCs w:val="20"/>
          <w:color w:val="auto"/>
        </w:rPr>
      </w:pPr>
    </w:p>
    <w:p>
      <w:pPr>
        <w:jc w:val="both"/>
        <w:ind w:left="200" w:hanging="199"/>
        <w:spacing w:after="0" w:line="252"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Jermiin, L. S., and Misof, B. (2020). Measuring historical and compositional signals in phylogenetic data. bioRxiv. doi: </w:t>
      </w:r>
      <w:hyperlink r:id="rId45">
        <w:r>
          <w:rPr>
            <w:rFonts w:ascii="Times New Roman" w:cs="Times New Roman" w:eastAsia="Times New Roman" w:hAnsi="Times New Roman"/>
            <w:sz w:val="15"/>
            <w:szCs w:val="15"/>
            <w:color w:val="auto"/>
          </w:rPr>
          <w:t>10.1101/2020.01.03.894097</w:t>
        </w:r>
      </w:hyperlink>
    </w:p>
    <w:p>
      <w:pPr>
        <w:spacing w:after="0" w:line="18" w:lineRule="exact"/>
        <w:rPr>
          <w:sz w:val="20"/>
          <w:szCs w:val="20"/>
          <w:color w:val="auto"/>
        </w:rPr>
      </w:pPr>
    </w:p>
    <w:p>
      <w:pPr>
        <w:jc w:val="both"/>
        <w:ind w:left="200" w:hanging="199"/>
        <w:spacing w:after="0" w:line="257" w:lineRule="auto"/>
        <w:rPr>
          <w:sz w:val="20"/>
          <w:szCs w:val="20"/>
          <w:color w:val="auto"/>
        </w:rPr>
      </w:pPr>
      <w:r>
        <w:rPr>
          <w:rFonts w:ascii="Times New Roman" w:cs="Times New Roman" w:eastAsia="Times New Roman" w:hAnsi="Times New Roman"/>
          <w:sz w:val="15"/>
          <w:szCs w:val="15"/>
          <w:color w:val="auto"/>
        </w:rPr>
        <w:t xml:space="preserve">Jermiin, L. S., Jayaswal, V., Ababneh, F. M., and Robinson, J. (2017). </w:t>
      </w:r>
      <w:r>
        <w:rPr>
          <w:rFonts w:ascii="Arial" w:cs="Arial" w:eastAsia="Arial" w:hAnsi="Arial"/>
          <w:sz w:val="15"/>
          <w:szCs w:val="15"/>
          <w:color w:val="auto"/>
        </w:rPr>
        <w:t>“</w:t>
      </w:r>
      <w:r>
        <w:rPr>
          <w:rFonts w:ascii="Times New Roman" w:cs="Times New Roman" w:eastAsia="Times New Roman" w:hAnsi="Times New Roman"/>
          <w:sz w:val="15"/>
          <w:szCs w:val="15"/>
          <w:color w:val="auto"/>
        </w:rPr>
        <w:t>Identifying optimal models of evolution,</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in Bioinformatics (New York, NY: Humana Press), 379</w:t>
      </w:r>
      <w:r>
        <w:rPr>
          <w:rFonts w:ascii="Arial" w:cs="Arial" w:eastAsia="Arial" w:hAnsi="Arial"/>
          <w:sz w:val="15"/>
          <w:szCs w:val="15"/>
          <w:color w:val="auto"/>
        </w:rPr>
        <w:t>–</w:t>
      </w:r>
      <w:r>
        <w:rPr>
          <w:rFonts w:ascii="Times New Roman" w:cs="Times New Roman" w:eastAsia="Times New Roman" w:hAnsi="Times New Roman"/>
          <w:sz w:val="15"/>
          <w:szCs w:val="15"/>
          <w:color w:val="auto"/>
        </w:rPr>
        <w:t>420.</w:t>
      </w:r>
    </w:p>
    <w:p>
      <w:pPr>
        <w:spacing w:after="0" w:line="14" w:lineRule="exact"/>
        <w:rPr>
          <w:sz w:val="20"/>
          <w:szCs w:val="20"/>
          <w:color w:val="auto"/>
        </w:rPr>
      </w:pPr>
    </w:p>
    <w:p>
      <w:pPr>
        <w:jc w:val="both"/>
        <w:ind w:left="200" w:hanging="199"/>
        <w:spacing w:after="0" w:line="259"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Jermiin, L. S., Lovell, D. R., Misof, B., Foster, P. G., and Robinson, J. (2020). Detecting and visualising the impact of heterogeneous evolutionary processes on phylogenetic estimates. bioRxiv. doi: </w:t>
      </w:r>
      <w:hyperlink r:id="rId46">
        <w:r>
          <w:rPr>
            <w:rFonts w:ascii="Times New Roman" w:cs="Times New Roman" w:eastAsia="Times New Roman" w:hAnsi="Times New Roman"/>
            <w:sz w:val="15"/>
            <w:szCs w:val="15"/>
            <w:color w:val="auto"/>
          </w:rPr>
          <w:t>10.1101/828996</w:t>
        </w:r>
      </w:hyperlink>
    </w:p>
    <w:p>
      <w:pPr>
        <w:spacing w:after="0" w:line="12" w:lineRule="exact"/>
        <w:rPr>
          <w:sz w:val="20"/>
          <w:szCs w:val="20"/>
          <w:color w:val="auto"/>
        </w:rPr>
      </w:pPr>
    </w:p>
    <w:p>
      <w:pPr>
        <w:jc w:val="both"/>
        <w:ind w:left="200" w:hanging="199"/>
        <w:spacing w:after="0" w:line="282"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 xml:space="preserve">Karol, K. G., Arumuganathan, K., Boore, J. L., Duffy, A. M., Everett, K. D. E., Hall, J. D., et al. (2010). Complete plastome sequences of Equisetum arvense and Isoetes </w:t>
      </w:r>
      <w:r>
        <w:rPr>
          <w:rFonts w:ascii="Arial" w:cs="Arial" w:eastAsia="Arial" w:hAnsi="Arial"/>
          <w:sz w:val="14"/>
          <w:szCs w:val="14"/>
          <w:color w:val="auto"/>
        </w:rPr>
        <w:t>fl</w:t>
      </w:r>
      <w:r>
        <w:rPr>
          <w:rFonts w:ascii="Times New Roman" w:cs="Times New Roman" w:eastAsia="Times New Roman" w:hAnsi="Times New Roman"/>
          <w:sz w:val="14"/>
          <w:szCs w:val="14"/>
          <w:color w:val="auto"/>
        </w:rPr>
        <w:t>accida: implications for phylogeny and plastid genome evolution of early land</w:t>
      </w:r>
      <w:r>
        <w:rPr>
          <w:rFonts w:ascii="Arial" w:cs="Arial" w:eastAsia="Arial" w:hAnsi="Arial"/>
          <w:sz w:val="14"/>
          <w:szCs w:val="14"/>
          <w:color w:val="auto"/>
        </w:rPr>
        <w:t xml:space="preserve"> </w:t>
      </w:r>
      <w:r>
        <w:rPr>
          <w:rFonts w:ascii="Times New Roman" w:cs="Times New Roman" w:eastAsia="Times New Roman" w:hAnsi="Times New Roman"/>
          <w:sz w:val="14"/>
          <w:szCs w:val="14"/>
          <w:color w:val="auto"/>
        </w:rPr>
        <w:t xml:space="preserve">plant lineages. BMC Evol. Biol. 10, 321. doi: </w:t>
      </w:r>
      <w:hyperlink r:id="rId47">
        <w:r>
          <w:rPr>
            <w:rFonts w:ascii="Times New Roman" w:cs="Times New Roman" w:eastAsia="Times New Roman" w:hAnsi="Times New Roman"/>
            <w:sz w:val="14"/>
            <w:szCs w:val="14"/>
            <w:color w:val="auto"/>
          </w:rPr>
          <w:t>10.1186/1471-2148-10-321</w:t>
        </w:r>
      </w:hyperlink>
    </w:p>
    <w:p>
      <w:pPr>
        <w:spacing w:after="0" w:line="2" w:lineRule="exact"/>
        <w:rPr>
          <w:sz w:val="20"/>
          <w:szCs w:val="20"/>
          <w:color w:val="auto"/>
        </w:rPr>
      </w:pPr>
    </w:p>
    <w:p>
      <w:pPr>
        <w:jc w:val="both"/>
        <w:ind w:left="200" w:hanging="198"/>
        <w:spacing w:after="0" w:line="253"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Karol, K. G. (2001). The Closest Living Relatives of Land Plants. Science 294, 2351</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2353. doi: </w:t>
      </w:r>
      <w:hyperlink r:id="rId48">
        <w:r>
          <w:rPr>
            <w:rFonts w:ascii="Times New Roman" w:cs="Times New Roman" w:eastAsia="Times New Roman" w:hAnsi="Times New Roman"/>
            <w:sz w:val="15"/>
            <w:szCs w:val="15"/>
            <w:color w:val="auto"/>
          </w:rPr>
          <w:t>10.1126/science.1065156</w:t>
        </w:r>
      </w:hyperlink>
    </w:p>
    <w:p>
      <w:pPr>
        <w:spacing w:after="0" w:line="17" w:lineRule="exact"/>
        <w:rPr>
          <w:sz w:val="20"/>
          <w:szCs w:val="20"/>
          <w:color w:val="auto"/>
        </w:rPr>
      </w:pPr>
    </w:p>
    <w:p>
      <w:pPr>
        <w:jc w:val="both"/>
        <w:ind w:left="200" w:hanging="198"/>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Keane, T. M., Creevy, C. J., Pentony, M. M., Naughton, T. J., and McInerney, J. (2006). Assessment of methods for amino acid matrix selection and their use on empirical data shows that ad hoc assumptions for choice of matrix are not justi</w:t>
      </w:r>
      <w:r>
        <w:rPr>
          <w:rFonts w:ascii="Arial" w:cs="Arial" w:eastAsia="Arial" w:hAnsi="Arial"/>
          <w:sz w:val="15"/>
          <w:szCs w:val="15"/>
          <w:color w:val="auto"/>
        </w:rPr>
        <w:t>fi</w:t>
      </w:r>
      <w:r>
        <w:rPr>
          <w:rFonts w:ascii="Times New Roman" w:cs="Times New Roman" w:eastAsia="Times New Roman" w:hAnsi="Times New Roman"/>
          <w:sz w:val="15"/>
          <w:szCs w:val="15"/>
          <w:color w:val="auto"/>
        </w:rPr>
        <w:t xml:space="preserve">ed. BMC Evol. Biol. 6, 29. doi: </w:t>
      </w:r>
      <w:hyperlink r:id="rId49">
        <w:r>
          <w:rPr>
            <w:rFonts w:ascii="Times New Roman" w:cs="Times New Roman" w:eastAsia="Times New Roman" w:hAnsi="Times New Roman"/>
            <w:sz w:val="15"/>
            <w:szCs w:val="15"/>
            <w:color w:val="auto"/>
          </w:rPr>
          <w:t>10.1186/1471-2148-6-29</w:t>
        </w:r>
      </w:hyperlink>
    </w:p>
    <w:p>
      <w:pPr>
        <w:spacing w:after="0" w:line="12" w:lineRule="exact"/>
        <w:rPr>
          <w:sz w:val="20"/>
          <w:szCs w:val="20"/>
          <w:color w:val="auto"/>
        </w:rPr>
      </w:pPr>
    </w:p>
    <w:p>
      <w:pPr>
        <w:jc w:val="both"/>
        <w:ind w:left="200" w:hanging="199"/>
        <w:spacing w:after="0" w:line="252"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Kenrick, P., and Crane, P. R. (1997). The origin and early evolution of plants on land. Nature 389, 33. doi: </w:t>
      </w:r>
      <w:hyperlink r:id="rId50">
        <w:r>
          <w:rPr>
            <w:rFonts w:ascii="Times New Roman" w:cs="Times New Roman" w:eastAsia="Times New Roman" w:hAnsi="Times New Roman"/>
            <w:sz w:val="15"/>
            <w:szCs w:val="15"/>
            <w:color w:val="auto"/>
          </w:rPr>
          <w:t>10.1038/37918</w:t>
        </w:r>
      </w:hyperlink>
    </w:p>
    <w:p>
      <w:pPr>
        <w:spacing w:after="0" w:line="209"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spacing w:after="0"/>
        <w:tabs>
          <w:tab w:leader="none" w:pos="500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9</w:t>
        <w:tab/>
      </w:r>
      <w:hyperlink r:id="rId20">
        <w:r>
          <w:rPr>
            <w:rFonts w:ascii="Arial" w:cs="Arial" w:eastAsia="Arial" w:hAnsi="Arial"/>
            <w:sz w:val="14"/>
            <w:szCs w:val="14"/>
            <w:color w:val="4C4C4C"/>
          </w:rPr>
          <w:t>July 2020 | Volume 11 | Article 1062</w:t>
        </w:r>
      </w:hyperlink>
    </w:p>
    <w:p>
      <w:pPr>
        <w:sectPr>
          <w:pgSz w:w="11900" w:h="15591" w:orient="portrait"/>
          <w:cols w:equalWidth="0" w:num="1">
            <w:col w:w="10100"/>
          </w:cols>
          <w:pgMar w:left="900" w:top="571" w:right="906" w:bottom="34" w:gutter="0" w:footer="0" w:header="0"/>
          <w:type w:val="continuous"/>
        </w:sectPr>
      </w:pPr>
    </w:p>
    <w:bookmarkStart w:id="9" w:name="page10"/>
    <w:bookmarkEnd w:id="9"/>
    <w:p>
      <w:pPr>
        <w:spacing w:after="0"/>
        <w:tabs>
          <w:tab w:leader="none" w:pos="8060" w:val="left"/>
        </w:tabs>
        <w:rPr>
          <w:sz w:val="20"/>
          <w:szCs w:val="20"/>
          <w:color w:val="auto"/>
        </w:rPr>
      </w:pPr>
      <w:r>
        <w:rPr>
          <w:rFonts w:ascii="Arial" w:cs="Arial" w:eastAsia="Arial" w:hAnsi="Arial"/>
          <w:sz w:val="14"/>
          <w:szCs w:val="14"/>
          <w:color w:val="4C4C4C"/>
        </w:rPr>
        <w:t>Sousa et al.</w:t>
      </w:r>
      <w:r>
        <w:rPr>
          <w:sz w:val="20"/>
          <w:szCs w:val="20"/>
          <w:color w:val="auto"/>
        </w:rPr>
        <w:tab/>
      </w:r>
      <w:r>
        <w:rPr>
          <w:rFonts w:ascii="Arial" w:cs="Arial" w:eastAsia="Arial" w:hAnsi="Arial"/>
          <w:sz w:val="13"/>
          <w:szCs w:val="13"/>
          <w:color w:val="4C4C4C"/>
        </w:rPr>
        <w:t>Land Plant Chloroplast Phylogeny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66675</wp:posOffset>
                </wp:positionV>
                <wp:extent cx="640778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3599">
                          <a:solidFill>
                            <a:srgbClr val="4C4C4C"/>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5.25pt" to="504.9pt,5.25pt" o:allowincell="f" strokecolor="#4C4C4C" strokeweight="0.2834pt"/>
            </w:pict>
          </mc:Fallback>
        </mc:AlternateContent>
      </w:r>
    </w:p>
    <w:p>
      <w:pPr>
        <w:sectPr>
          <w:pgSz w:w="11900" w:h="15591" w:orient="portrait"/>
          <w:cols w:equalWidth="0" w:num="1">
            <w:col w:w="10100"/>
          </w:cols>
          <w:pgMar w:left="900" w:top="571" w:right="906" w:bottom="34" w:gutter="0" w:footer="0" w:header="0"/>
        </w:sectPr>
      </w:pPr>
    </w:p>
    <w:p>
      <w:pPr>
        <w:spacing w:after="0" w:line="200" w:lineRule="exact"/>
        <w:rPr>
          <w:sz w:val="20"/>
          <w:szCs w:val="20"/>
          <w:color w:val="auto"/>
        </w:rPr>
      </w:pPr>
    </w:p>
    <w:p>
      <w:pPr>
        <w:spacing w:after="0" w:line="292" w:lineRule="exact"/>
        <w:rPr>
          <w:sz w:val="20"/>
          <w:szCs w:val="20"/>
          <w:color w:val="auto"/>
        </w:rPr>
      </w:pPr>
    </w:p>
    <w:p>
      <w:pPr>
        <w:jc w:val="both"/>
        <w:ind w:left="200" w:hanging="199"/>
        <w:spacing w:after="0" w:line="253"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Kenrick, P. (2017). How land plant life cycles </w:t>
      </w:r>
      <w:r>
        <w:rPr>
          <w:rFonts w:ascii="Arial" w:cs="Arial" w:eastAsia="Arial" w:hAnsi="Arial"/>
          <w:sz w:val="15"/>
          <w:szCs w:val="15"/>
          <w:color w:val="auto"/>
        </w:rPr>
        <w:t>fi</w:t>
      </w:r>
      <w:r>
        <w:rPr>
          <w:rFonts w:ascii="Times New Roman" w:cs="Times New Roman" w:eastAsia="Times New Roman" w:hAnsi="Times New Roman"/>
          <w:sz w:val="15"/>
          <w:szCs w:val="15"/>
          <w:color w:val="auto"/>
        </w:rPr>
        <w:t>rst evolved. Science 358, 1538</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1539. doi: </w:t>
      </w:r>
      <w:hyperlink r:id="rId51">
        <w:r>
          <w:rPr>
            <w:rFonts w:ascii="Times New Roman" w:cs="Times New Roman" w:eastAsia="Times New Roman" w:hAnsi="Times New Roman"/>
            <w:sz w:val="15"/>
            <w:szCs w:val="15"/>
            <w:color w:val="auto"/>
          </w:rPr>
          <w:t>10.1126/science.aan2923</w:t>
        </w:r>
      </w:hyperlink>
    </w:p>
    <w:p>
      <w:pPr>
        <w:spacing w:after="0" w:line="15"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Lanfear, R., Calcott, B., Kainer, D., Mayer, C., and Stamatakis, A. (2014). Selecting optimal partitioning schemes for phylogenetic datasets. BMC Evol. Biol. 14, 82. doi: </w:t>
      </w:r>
      <w:hyperlink r:id="rId52">
        <w:r>
          <w:rPr>
            <w:rFonts w:ascii="Times New Roman" w:cs="Times New Roman" w:eastAsia="Times New Roman" w:hAnsi="Times New Roman"/>
            <w:sz w:val="15"/>
            <w:szCs w:val="15"/>
            <w:color w:val="auto"/>
          </w:rPr>
          <w:t>10.1186/1471-2148-14-82</w:t>
        </w:r>
      </w:hyperlink>
    </w:p>
    <w:p>
      <w:pPr>
        <w:spacing w:after="0" w:line="14"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Lartillot, N., and Philippe, H. (2004). A Bayesian mixture model for across-site heterogeneities in the amino-acid replacement process. Mol. Biol. Evol. 21, 1095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1109. doi: </w:t>
      </w:r>
      <w:hyperlink r:id="rId53">
        <w:r>
          <w:rPr>
            <w:rFonts w:ascii="Times New Roman" w:cs="Times New Roman" w:eastAsia="Times New Roman" w:hAnsi="Times New Roman"/>
            <w:sz w:val="15"/>
            <w:szCs w:val="15"/>
            <w:color w:val="auto"/>
          </w:rPr>
          <w:t>10.1093/molbev/msh112</w:t>
        </w:r>
      </w:hyperlink>
    </w:p>
    <w:p>
      <w:pPr>
        <w:spacing w:after="0" w:line="13"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Leebens-Mack, J., Barker, M., Carpenter, E., Deyholos, M., Gitzendanner, M., Graham, S., et al. (2019). One thousand plant transcriptomes and the phylogenomics of green plants. Nature 574, 679</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685. doi: </w:t>
      </w:r>
      <w:hyperlink r:id="rId54">
        <w:r>
          <w:rPr>
            <w:rFonts w:ascii="Times New Roman" w:cs="Times New Roman" w:eastAsia="Times New Roman" w:hAnsi="Times New Roman"/>
            <w:sz w:val="15"/>
            <w:szCs w:val="15"/>
            <w:color w:val="auto"/>
          </w:rPr>
          <w:t>10.1038/s41586-</w:t>
        </w:r>
      </w:hyperlink>
      <w:hyperlink r:id="rId54">
        <w:r>
          <w:rPr>
            <w:rFonts w:ascii="Times New Roman" w:cs="Times New Roman" w:eastAsia="Times New Roman" w:hAnsi="Times New Roman"/>
            <w:sz w:val="15"/>
            <w:szCs w:val="15"/>
            <w:color w:val="auto"/>
          </w:rPr>
          <w:t>019-1693-2</w:t>
        </w:r>
      </w:hyperlink>
    </w:p>
    <w:p>
      <w:pPr>
        <w:spacing w:after="0" w:line="12"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Lemieux, C., Otis, C., and Turmel, M. (2016). Comparative chloroplast genome analyses of streptophyte green algae uncover major structural alterations in the Klebsormidiophyceae, Coleochaetophyceae and Zygnematophyceae. Front. Plant Sci. 7, 697. doi: </w:t>
      </w:r>
      <w:hyperlink r:id="rId55">
        <w:r>
          <w:rPr>
            <w:rFonts w:ascii="Times New Roman" w:cs="Times New Roman" w:eastAsia="Times New Roman" w:hAnsi="Times New Roman"/>
            <w:sz w:val="15"/>
            <w:szCs w:val="15"/>
            <w:color w:val="auto"/>
          </w:rPr>
          <w:t>10.3389/fpls.2016.00697</w:t>
        </w:r>
      </w:hyperlink>
    </w:p>
    <w:p>
      <w:pPr>
        <w:spacing w:after="0" w:line="12" w:lineRule="exact"/>
        <w:rPr>
          <w:sz w:val="20"/>
          <w:szCs w:val="20"/>
          <w:color w:val="auto"/>
        </w:rPr>
      </w:pPr>
    </w:p>
    <w:p>
      <w:pPr>
        <w:jc w:val="both"/>
        <w:ind w:left="200" w:hanging="199"/>
        <w:spacing w:after="0" w:line="283"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Lemmon, A. R., Brown, J. M., Stanger-Hall, K., and Lemmon, E. M. (2009). The effect of ambiguous data on phylogenetic estimates obtained by likelihood and Bayesian inference. Syst. Biol. 58, 130</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145. doi: </w:t>
      </w:r>
      <w:hyperlink r:id="rId56">
        <w:r>
          <w:rPr>
            <w:rFonts w:ascii="Times New Roman" w:cs="Times New Roman" w:eastAsia="Times New Roman" w:hAnsi="Times New Roman"/>
            <w:sz w:val="14"/>
            <w:szCs w:val="14"/>
            <w:color w:val="auto"/>
          </w:rPr>
          <w:t>10.1093/sysbio/syp017</w:t>
        </w:r>
      </w:hyperlink>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Lewis, L. A., Mishler, B. D., and Vilgalys, R. (1997). Phylogenetic relationships of the liverworts (Hepaticae), a basal embryophyte lineage, inferred from nucleotide sequence data of the chloroplast gene rbcL. Mol. Phylogenet. Evol. 7, 377</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393. doi: </w:t>
      </w:r>
      <w:hyperlink r:id="rId57">
        <w:r>
          <w:rPr>
            <w:rFonts w:ascii="Times New Roman" w:cs="Times New Roman" w:eastAsia="Times New Roman" w:hAnsi="Times New Roman"/>
            <w:sz w:val="15"/>
            <w:szCs w:val="15"/>
            <w:color w:val="auto"/>
          </w:rPr>
          <w:t>10.1006/mpev.1996.0395</w:t>
        </w:r>
      </w:hyperlink>
    </w:p>
    <w:p>
      <w:pPr>
        <w:spacing w:after="0" w:line="12" w:lineRule="exact"/>
        <w:rPr>
          <w:sz w:val="20"/>
          <w:szCs w:val="20"/>
          <w:color w:val="auto"/>
        </w:rPr>
      </w:pPr>
    </w:p>
    <w:p>
      <w:pPr>
        <w:jc w:val="both"/>
        <w:ind w:left="200" w:hanging="199"/>
        <w:spacing w:after="0" w:line="275"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Liu, Y., Cox, C. J., and Gof</w:t>
      </w:r>
      <w:r>
        <w:rPr>
          <w:rFonts w:ascii="Arial" w:cs="Arial" w:eastAsia="Arial" w:hAnsi="Arial"/>
          <w:sz w:val="14"/>
          <w:szCs w:val="14"/>
          <w:color w:val="auto"/>
        </w:rPr>
        <w:t>fi</w:t>
      </w:r>
      <w:r>
        <w:rPr>
          <w:rFonts w:ascii="Times New Roman" w:cs="Times New Roman" w:eastAsia="Times New Roman" w:hAnsi="Times New Roman"/>
          <w:sz w:val="14"/>
          <w:szCs w:val="14"/>
          <w:color w:val="auto"/>
        </w:rPr>
        <w:t>net, B. (2014). Mitochondrial phylogenomics of early land plants: mitigating the effects of saturation, compositional heterogeneity, and codon-usage bias. Syst. Biol. 63, 862</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878. doi: </w:t>
      </w:r>
      <w:hyperlink r:id="rId58">
        <w:r>
          <w:rPr>
            <w:rFonts w:ascii="Times New Roman" w:cs="Times New Roman" w:eastAsia="Times New Roman" w:hAnsi="Times New Roman"/>
            <w:sz w:val="14"/>
            <w:szCs w:val="14"/>
            <w:color w:val="auto"/>
          </w:rPr>
          <w:t>10.1093/sysbio/syu049</w:t>
        </w:r>
      </w:hyperlink>
    </w:p>
    <w:p>
      <w:pPr>
        <w:spacing w:after="0" w:line="1" w:lineRule="exact"/>
        <w:rPr>
          <w:sz w:val="20"/>
          <w:szCs w:val="20"/>
          <w:color w:val="auto"/>
        </w:rPr>
      </w:pPr>
    </w:p>
    <w:p>
      <w:pPr>
        <w:jc w:val="both"/>
        <w:ind w:left="200" w:hanging="199"/>
        <w:spacing w:after="0" w:line="266"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Magallo</w:t>
      </w:r>
      <w:r>
        <w:rPr>
          <w:rFonts w:ascii="Arial" w:cs="Arial" w:eastAsia="Arial" w:hAnsi="Arial"/>
          <w:sz w:val="15"/>
          <w:szCs w:val="15"/>
          <w:color w:val="auto"/>
        </w:rPr>
        <w:t>́</w:t>
      </w:r>
      <w:r>
        <w:rPr>
          <w:rFonts w:ascii="Times New Roman" w:cs="Times New Roman" w:eastAsia="Times New Roman" w:hAnsi="Times New Roman"/>
          <w:sz w:val="15"/>
          <w:szCs w:val="15"/>
          <w:color w:val="auto"/>
        </w:rPr>
        <w:t>n, S., Hilu, K. W., and Quandt, D. (2013). Land plant evolutionary timeline: gene effects are secondary to fossil constraints in relaxed clock estimation of age and substitution rates. Am. J. Bot. 100, 556</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573. doi: </w:t>
      </w:r>
      <w:hyperlink r:id="rId59">
        <w:r>
          <w:rPr>
            <w:rFonts w:ascii="Times New Roman" w:cs="Times New Roman" w:eastAsia="Times New Roman" w:hAnsi="Times New Roman"/>
            <w:sz w:val="15"/>
            <w:szCs w:val="15"/>
            <w:color w:val="auto"/>
          </w:rPr>
          <w:t>10.3732/ajb.1200416</w:t>
        </w:r>
      </w:hyperlink>
    </w:p>
    <w:p>
      <w:pPr>
        <w:spacing w:after="0" w:line="8" w:lineRule="exact"/>
        <w:rPr>
          <w:sz w:val="20"/>
          <w:szCs w:val="20"/>
          <w:color w:val="auto"/>
        </w:rPr>
      </w:pPr>
    </w:p>
    <w:p>
      <w:pPr>
        <w:jc w:val="both"/>
        <w:ind w:left="200" w:hanging="199"/>
        <w:spacing w:after="0" w:line="282"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McCourt, R. M., Delwiche, C. F., and Karol, K. G. (2004). Charophyte algae and land plant origins. Trends Ecol. Evol. 19, 661</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666. doi: </w:t>
      </w:r>
      <w:hyperlink r:id="rId60">
        <w:r>
          <w:rPr>
            <w:rFonts w:ascii="Times New Roman" w:cs="Times New Roman" w:eastAsia="Times New Roman" w:hAnsi="Times New Roman"/>
            <w:sz w:val="14"/>
            <w:szCs w:val="14"/>
            <w:color w:val="auto"/>
          </w:rPr>
          <w:t>10.1016/j.tree.2004.09.013</w:t>
        </w:r>
      </w:hyperlink>
    </w:p>
    <w:p>
      <w:pPr>
        <w:spacing w:after="0" w:line="1" w:lineRule="exact"/>
        <w:rPr>
          <w:sz w:val="20"/>
          <w:szCs w:val="20"/>
          <w:color w:val="auto"/>
        </w:rPr>
      </w:pPr>
    </w:p>
    <w:p>
      <w:pPr>
        <w:jc w:val="both"/>
        <w:ind w:left="200" w:hanging="199"/>
        <w:spacing w:after="0" w:line="253"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Mishler, B. D., and Churchill, S. P. (1984). A cladistic approach to the phylogeny of the </w:t>
      </w:r>
      <w:r>
        <w:rPr>
          <w:rFonts w:ascii="Arial" w:cs="Arial" w:eastAsia="Arial" w:hAnsi="Arial"/>
          <w:sz w:val="15"/>
          <w:szCs w:val="15"/>
          <w:color w:val="auto"/>
        </w:rPr>
        <w:t>“</w:t>
      </w:r>
      <w:r>
        <w:rPr>
          <w:rFonts w:ascii="Times New Roman" w:cs="Times New Roman" w:eastAsia="Times New Roman" w:hAnsi="Times New Roman"/>
          <w:sz w:val="15"/>
          <w:szCs w:val="15"/>
          <w:color w:val="auto"/>
        </w:rPr>
        <w:t>bryophytes</w:t>
      </w:r>
      <w:r>
        <w:rPr>
          <w:rFonts w:ascii="Arial" w:cs="Arial" w:eastAsia="Arial" w:hAnsi="Arial"/>
          <w:sz w:val="15"/>
          <w:szCs w:val="15"/>
          <w:color w:val="auto"/>
        </w:rPr>
        <w:t>”</w:t>
      </w:r>
      <w:r>
        <w:rPr>
          <w:rFonts w:ascii="Times New Roman" w:cs="Times New Roman" w:eastAsia="Times New Roman" w:hAnsi="Times New Roman"/>
          <w:sz w:val="15"/>
          <w:szCs w:val="15"/>
          <w:color w:val="auto"/>
        </w:rPr>
        <w:t>. Brittonia 36, 406</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424. doi: </w:t>
      </w:r>
      <w:hyperlink r:id="rId61">
        <w:r>
          <w:rPr>
            <w:rFonts w:ascii="Times New Roman" w:cs="Times New Roman" w:eastAsia="Times New Roman" w:hAnsi="Times New Roman"/>
            <w:sz w:val="15"/>
            <w:szCs w:val="15"/>
            <w:color w:val="auto"/>
          </w:rPr>
          <w:t>10.2307/2806602</w:t>
        </w:r>
      </w:hyperlink>
    </w:p>
    <w:p>
      <w:pPr>
        <w:spacing w:after="0" w:line="17"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Morris, J. L., Puttick, M. N., Clark, J. W., Edwards, D., Kenrick, P., Pressel, S., et al. (2018). The timescale of early land plant evolution. Proc. Natl. Acad. Sci. U. S. A. 115, E2274</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E2283. doi: </w:t>
      </w:r>
      <w:hyperlink r:id="rId62">
        <w:r>
          <w:rPr>
            <w:rFonts w:ascii="Times New Roman" w:cs="Times New Roman" w:eastAsia="Times New Roman" w:hAnsi="Times New Roman"/>
            <w:sz w:val="15"/>
            <w:szCs w:val="15"/>
            <w:color w:val="auto"/>
          </w:rPr>
          <w:t>10.1073/pnas.1719588115</w:t>
        </w:r>
      </w:hyperlink>
    </w:p>
    <w:p>
      <w:pPr>
        <w:spacing w:after="0" w:line="12"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Nishiyama, T., and Kato, M. (1999). Molecular phylogenetic analysis among bryophytes and tracheophytes based on combined data of plastid coded genes and the 18S rRNA gene. Mol. Biol. Evol. 16, 1027</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1036. doi: </w:t>
      </w:r>
      <w:hyperlink r:id="rId63">
        <w:r>
          <w:rPr>
            <w:rFonts w:ascii="Times New Roman" w:cs="Times New Roman" w:eastAsia="Times New Roman" w:hAnsi="Times New Roman"/>
            <w:sz w:val="15"/>
            <w:szCs w:val="15"/>
            <w:color w:val="auto"/>
          </w:rPr>
          <w:t>10.1093/</w:t>
        </w:r>
      </w:hyperlink>
      <w:r>
        <w:rPr>
          <w:rFonts w:ascii="Times New Roman" w:cs="Times New Roman" w:eastAsia="Times New Roman" w:hAnsi="Times New Roman"/>
          <w:sz w:val="15"/>
          <w:szCs w:val="15"/>
          <w:color w:val="auto"/>
        </w:rPr>
        <w:t xml:space="preserve"> </w:t>
      </w:r>
      <w:hyperlink r:id="rId63">
        <w:r>
          <w:rPr>
            <w:rFonts w:ascii="Times New Roman" w:cs="Times New Roman" w:eastAsia="Times New Roman" w:hAnsi="Times New Roman"/>
            <w:sz w:val="15"/>
            <w:szCs w:val="15"/>
            <w:color w:val="auto"/>
          </w:rPr>
          <w:t>oxfordjournals.molbev.a026192</w:t>
        </w:r>
      </w:hyperlink>
    </w:p>
    <w:p>
      <w:pPr>
        <w:spacing w:after="0" w:line="13"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Nishiyama, T., Wolf, P. G., Kugita, M., Sinclair, R. B., Sugita, M., Sugiura, C., et al. (2004). Chloroplast phylogeny indicates that bryophytes are monophyletic. Mol. Biol. Evol. 21, 1813</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1819. doi: </w:t>
      </w:r>
      <w:hyperlink r:id="rId64">
        <w:r>
          <w:rPr>
            <w:rFonts w:ascii="Times New Roman" w:cs="Times New Roman" w:eastAsia="Times New Roman" w:hAnsi="Times New Roman"/>
            <w:sz w:val="15"/>
            <w:szCs w:val="15"/>
            <w:color w:val="auto"/>
          </w:rPr>
          <w:t>10.1093/molbev/msh203</w:t>
        </w:r>
      </w:hyperlink>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4445</wp:posOffset>
                </wp:positionH>
                <wp:positionV relativeFrom="paragraph">
                  <wp:posOffset>3275965</wp:posOffset>
                </wp:positionV>
                <wp:extent cx="640778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07785" cy="4763"/>
                        </a:xfrm>
                        <a:prstGeom prst="line">
                          <a:avLst/>
                        </a:prstGeom>
                        <a:solidFill>
                          <a:srgbClr val="FFFFFF"/>
                        </a:solidFill>
                        <a:ln w="2879">
                          <a:solidFill>
                            <a:srgbClr val="4C4C4C"/>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35pt,257.95pt" to="504.9pt,257.95pt" o:allowincell="f" strokecolor="#4C4C4C" strokeweight="0.2267pt"/>
            </w:pict>
          </mc:Fallback>
        </mc:AlternateConten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72" w:lineRule="exact"/>
        <w:rPr>
          <w:sz w:val="20"/>
          <w:szCs w:val="20"/>
          <w:color w:val="auto"/>
        </w:rPr>
      </w:pPr>
    </w:p>
    <w:p>
      <w:pPr>
        <w:jc w:val="right"/>
        <w:spacing w:after="0" w:line="261"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Puttick, M. N., Morris, J. L., Williams, T. A., Cox, C. J., Edwards, D., Kenrick, P., et al. (2018). The interrelationships of land plants and the nature of the ancestral embryophyte. Curr. Biol. 28, 733</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745. doi: </w:t>
      </w:r>
      <w:hyperlink r:id="rId65">
        <w:r>
          <w:rPr>
            <w:rFonts w:ascii="Times New Roman" w:cs="Times New Roman" w:eastAsia="Times New Roman" w:hAnsi="Times New Roman"/>
            <w:sz w:val="15"/>
            <w:szCs w:val="15"/>
            <w:color w:val="auto"/>
          </w:rPr>
          <w:t>10.1016/j.cub.2018.01.063</w:t>
        </w:r>
      </w:hyperlink>
      <w:r>
        <w:rPr>
          <w:rFonts w:ascii="Times New Roman" w:cs="Times New Roman" w:eastAsia="Times New Roman" w:hAnsi="Times New Roman"/>
          <w:sz w:val="15"/>
          <w:szCs w:val="15"/>
          <w:color w:val="auto"/>
        </w:rPr>
        <w:t xml:space="preserve"> Raubeson, L. A., and Jansen, R. K. (1992). Chloroplast DNA evidence on the ancient evolutionary split in vascular land plants. Science 255, 1697</w:t>
      </w:r>
      <w:r>
        <w:rPr>
          <w:rFonts w:ascii="Arial" w:cs="Arial" w:eastAsia="Arial" w:hAnsi="Arial"/>
          <w:sz w:val="15"/>
          <w:szCs w:val="15"/>
          <w:color w:val="auto"/>
        </w:rPr>
        <w:t>–</w:t>
      </w:r>
      <w:r>
        <w:rPr>
          <w:rFonts w:ascii="Times New Roman" w:cs="Times New Roman" w:eastAsia="Times New Roman" w:hAnsi="Times New Roman"/>
          <w:sz w:val="15"/>
          <w:szCs w:val="15"/>
          <w:color w:val="auto"/>
        </w:rPr>
        <w:t>1699. doi:</w:t>
      </w:r>
    </w:p>
    <w:p>
      <w:pPr>
        <w:spacing w:after="0" w:line="3" w:lineRule="exact"/>
        <w:rPr>
          <w:sz w:val="20"/>
          <w:szCs w:val="20"/>
          <w:color w:val="auto"/>
        </w:rPr>
      </w:pPr>
    </w:p>
    <w:p>
      <w:pPr>
        <w:ind w:left="200"/>
        <w:spacing w:after="0"/>
        <w:rPr>
          <w:rFonts w:ascii="Times New Roman" w:cs="Times New Roman" w:eastAsia="Times New Roman" w:hAnsi="Times New Roman"/>
          <w:sz w:val="15"/>
          <w:szCs w:val="15"/>
          <w:color w:val="auto"/>
        </w:rPr>
      </w:pPr>
      <w:hyperlink r:id="rId66">
        <w:r>
          <w:rPr>
            <w:rFonts w:ascii="Times New Roman" w:cs="Times New Roman" w:eastAsia="Times New Roman" w:hAnsi="Times New Roman"/>
            <w:sz w:val="15"/>
            <w:szCs w:val="15"/>
            <w:color w:val="auto"/>
          </w:rPr>
          <w:t>10.1126/science.255.5052.1697</w:t>
        </w:r>
      </w:hyperlink>
    </w:p>
    <w:p>
      <w:pPr>
        <w:spacing w:after="0" w:line="26"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Ruhfel, B. R., Gitzendanner, M. A., Soltis, P. S., Soltis, D. E., and Burleigh, J. G. (2014). From algae to angiosperms</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inferring the phylogeny of green plants (Viridiplantae) from 360 plastid genomes. BMC Evol. Biol. 14, 23. doi: </w:t>
      </w:r>
      <w:hyperlink r:id="rId67">
        <w:r>
          <w:rPr>
            <w:rFonts w:ascii="Times New Roman" w:cs="Times New Roman" w:eastAsia="Times New Roman" w:hAnsi="Times New Roman"/>
            <w:sz w:val="15"/>
            <w:szCs w:val="15"/>
            <w:color w:val="auto"/>
          </w:rPr>
          <w:t>10.1186/</w:t>
        </w:r>
      </w:hyperlink>
      <w:r>
        <w:rPr>
          <w:rFonts w:ascii="Times New Roman" w:cs="Times New Roman" w:eastAsia="Times New Roman" w:hAnsi="Times New Roman"/>
          <w:sz w:val="15"/>
          <w:szCs w:val="15"/>
          <w:color w:val="auto"/>
        </w:rPr>
        <w:t xml:space="preserve"> </w:t>
      </w:r>
      <w:hyperlink r:id="rId67">
        <w:r>
          <w:rPr>
            <w:rFonts w:ascii="Times New Roman" w:cs="Times New Roman" w:eastAsia="Times New Roman" w:hAnsi="Times New Roman"/>
            <w:sz w:val="15"/>
            <w:szCs w:val="15"/>
            <w:color w:val="auto"/>
          </w:rPr>
          <w:t>1471-2148-14-23</w:t>
        </w:r>
      </w:hyperlink>
    </w:p>
    <w:p>
      <w:pPr>
        <w:spacing w:after="0" w:line="12" w:lineRule="exact"/>
        <w:rPr>
          <w:sz w:val="20"/>
          <w:szCs w:val="20"/>
          <w:color w:val="auto"/>
        </w:rPr>
      </w:pPr>
    </w:p>
    <w:p>
      <w:pPr>
        <w:jc w:val="right"/>
        <w:spacing w:after="0" w:line="283"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Ruszala, E. M., Beerling, D. J., Franks, P. J., Chater, C., Casson, S. A., Gray, J. E., et al. (2011). Land plants acquired active stomatal control early in their evolutionary history. Curr. Biol. 21, 1030</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1035. doi: </w:t>
      </w:r>
      <w:hyperlink r:id="rId68">
        <w:r>
          <w:rPr>
            <w:rFonts w:ascii="Times New Roman" w:cs="Times New Roman" w:eastAsia="Times New Roman" w:hAnsi="Times New Roman"/>
            <w:sz w:val="14"/>
            <w:szCs w:val="14"/>
            <w:color w:val="auto"/>
          </w:rPr>
          <w:t>10.1016/j.cub.2011.04.044</w:t>
        </w:r>
      </w:hyperlink>
      <w:r>
        <w:rPr>
          <w:rFonts w:ascii="Times New Roman" w:cs="Times New Roman" w:eastAsia="Times New Roman" w:hAnsi="Times New Roman"/>
          <w:sz w:val="14"/>
          <w:szCs w:val="14"/>
          <w:color w:val="auto"/>
        </w:rPr>
        <w:t xml:space="preserve"> Sousa, F., Foster, P. G., Donoghue, P. C., Schneider, H., and Cox, C. J. (2019). Nuclear protein phylogenies support the monophyly of the three bryophyte groups</w:t>
      </w:r>
    </w:p>
    <w:p>
      <w:pPr>
        <w:ind w:left="200"/>
        <w:spacing w:after="0" w:line="22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(Bryophyta Schimp.). New Phytol. 222, 565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575. doi: </w:t>
      </w:r>
      <w:hyperlink r:id="rId69">
        <w:r>
          <w:rPr>
            <w:rFonts w:ascii="Times New Roman" w:cs="Times New Roman" w:eastAsia="Times New Roman" w:hAnsi="Times New Roman"/>
            <w:sz w:val="15"/>
            <w:szCs w:val="15"/>
            <w:color w:val="auto"/>
          </w:rPr>
          <w:t>10.1111/nph.15587</w:t>
        </w:r>
      </w:hyperlink>
    </w:p>
    <w:p>
      <w:pPr>
        <w:spacing w:after="0" w:line="25" w:lineRule="exact"/>
        <w:rPr>
          <w:sz w:val="20"/>
          <w:szCs w:val="20"/>
          <w:color w:val="auto"/>
        </w:rPr>
      </w:pPr>
    </w:p>
    <w:p>
      <w:pPr>
        <w:spacing w:after="0"/>
        <w:rPr>
          <w:sz w:val="20"/>
          <w:szCs w:val="20"/>
          <w:color w:val="auto"/>
        </w:rPr>
      </w:pPr>
      <w:r>
        <w:rPr>
          <w:rFonts w:ascii="Times New Roman" w:cs="Times New Roman" w:eastAsia="Times New Roman" w:hAnsi="Times New Roman"/>
          <w:sz w:val="15"/>
          <w:szCs w:val="15"/>
          <w:color w:val="auto"/>
        </w:rPr>
        <w:t>Sousa, F., Civa</w:t>
      </w:r>
      <w:r>
        <w:rPr>
          <w:rFonts w:ascii="Arial" w:cs="Arial" w:eastAsia="Arial" w:hAnsi="Arial"/>
          <w:sz w:val="15"/>
          <w:szCs w:val="15"/>
          <w:color w:val="auto"/>
        </w:rPr>
        <w:t>́</w:t>
      </w:r>
      <w:r>
        <w:rPr>
          <w:rFonts w:ascii="Times New Roman" w:cs="Times New Roman" w:eastAsia="Times New Roman" w:hAnsi="Times New Roman"/>
          <w:sz w:val="15"/>
          <w:szCs w:val="15"/>
          <w:color w:val="auto"/>
        </w:rPr>
        <w:t>n</w:t>
      </w:r>
      <w:r>
        <w:rPr>
          <w:rFonts w:ascii="Arial" w:cs="Arial" w:eastAsia="Arial" w:hAnsi="Arial"/>
          <w:sz w:val="15"/>
          <w:szCs w:val="15"/>
          <w:color w:val="auto"/>
        </w:rPr>
        <w:t>̌</w:t>
      </w:r>
      <w:r>
        <w:rPr>
          <w:rFonts w:ascii="Times New Roman" w:cs="Times New Roman" w:eastAsia="Times New Roman" w:hAnsi="Times New Roman"/>
          <w:sz w:val="15"/>
          <w:szCs w:val="15"/>
          <w:color w:val="auto"/>
        </w:rPr>
        <w:t>,P., Brazão, J., Foster, P. G., and Cox, C. J. (2020). The</w:t>
      </w:r>
    </w:p>
    <w:p>
      <w:pPr>
        <w:spacing w:after="0" w:line="17" w:lineRule="exact"/>
        <w:rPr>
          <w:sz w:val="20"/>
          <w:szCs w:val="20"/>
          <w:color w:val="auto"/>
        </w:rPr>
      </w:pPr>
    </w:p>
    <w:p>
      <w:pPr>
        <w:jc w:val="both"/>
        <w:ind w:left="200"/>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mitochondrial phylogeny of land plants shows support for Setaphyta under composition-heterogeneous substitution models. PeerJ 8, e8995. doi: </w:t>
      </w:r>
      <w:hyperlink r:id="rId70">
        <w:r>
          <w:rPr>
            <w:rFonts w:ascii="Times New Roman" w:cs="Times New Roman" w:eastAsia="Times New Roman" w:hAnsi="Times New Roman"/>
            <w:sz w:val="15"/>
            <w:szCs w:val="15"/>
            <w:color w:val="auto"/>
          </w:rPr>
          <w:t>10.7717/</w:t>
        </w:r>
      </w:hyperlink>
      <w:r>
        <w:rPr>
          <w:rFonts w:ascii="Times New Roman" w:cs="Times New Roman" w:eastAsia="Times New Roman" w:hAnsi="Times New Roman"/>
          <w:sz w:val="15"/>
          <w:szCs w:val="15"/>
          <w:color w:val="auto"/>
        </w:rPr>
        <w:t xml:space="preserve"> </w:t>
      </w:r>
      <w:hyperlink r:id="rId70">
        <w:r>
          <w:rPr>
            <w:rFonts w:ascii="Times New Roman" w:cs="Times New Roman" w:eastAsia="Times New Roman" w:hAnsi="Times New Roman"/>
            <w:sz w:val="15"/>
            <w:szCs w:val="15"/>
            <w:color w:val="auto"/>
          </w:rPr>
          <w:t>peerj.8995</w:t>
        </w:r>
      </w:hyperlink>
    </w:p>
    <w:p>
      <w:pPr>
        <w:spacing w:after="0" w:line="14"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Stamatakis, A. (2006). RAxML-VI-HPC: maximum likelihood-based phylogenetic analyses with thousands of taxa and mixed models. Bioinformatics 22, 2688</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 2690. doi: </w:t>
      </w:r>
      <w:hyperlink r:id="rId71">
        <w:r>
          <w:rPr>
            <w:rFonts w:ascii="Times New Roman" w:cs="Times New Roman" w:eastAsia="Times New Roman" w:hAnsi="Times New Roman"/>
            <w:sz w:val="15"/>
            <w:szCs w:val="15"/>
            <w:color w:val="auto"/>
          </w:rPr>
          <w:t>10.1093/bioinformatics/btl446</w:t>
        </w:r>
      </w:hyperlink>
    </w:p>
    <w:p>
      <w:pPr>
        <w:spacing w:after="0" w:line="12"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Talavera, G., and Castrasana, J. (2007). Improvement of phylogenies after removing divergent and ambiguously aligned blocks from protein sequence alignments. Syst. Biol. 56, 564</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577. doi: </w:t>
      </w:r>
      <w:hyperlink r:id="rId72">
        <w:r>
          <w:rPr>
            <w:rFonts w:ascii="Times New Roman" w:cs="Times New Roman" w:eastAsia="Times New Roman" w:hAnsi="Times New Roman"/>
            <w:sz w:val="15"/>
            <w:szCs w:val="15"/>
            <w:color w:val="auto"/>
          </w:rPr>
          <w:t>10.1080/10635150701472164</w:t>
        </w:r>
      </w:hyperlink>
    </w:p>
    <w:p>
      <w:pPr>
        <w:spacing w:after="0" w:line="13" w:lineRule="exact"/>
        <w:rPr>
          <w:sz w:val="20"/>
          <w:szCs w:val="20"/>
          <w:color w:val="auto"/>
        </w:rPr>
      </w:pPr>
    </w:p>
    <w:p>
      <w:pPr>
        <w:jc w:val="both"/>
        <w:ind w:left="200" w:hanging="199"/>
        <w:spacing w:after="0" w:line="260"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Wickett, N. J., Mirarab, S., Nguyen, N., Warnow, T., Carpenter, C., Matasci, N., et al. (2014). Phylotranscriptomic analysis of the origin and early diversi</w:t>
      </w:r>
      <w:r>
        <w:rPr>
          <w:rFonts w:ascii="Arial" w:cs="Arial" w:eastAsia="Arial" w:hAnsi="Arial"/>
          <w:sz w:val="15"/>
          <w:szCs w:val="15"/>
          <w:color w:val="auto"/>
        </w:rPr>
        <w:t>fi</w:t>
      </w:r>
      <w:r>
        <w:rPr>
          <w:rFonts w:ascii="Times New Roman" w:cs="Times New Roman" w:eastAsia="Times New Roman" w:hAnsi="Times New Roman"/>
          <w:sz w:val="15"/>
          <w:szCs w:val="15"/>
          <w:color w:val="auto"/>
        </w:rPr>
        <w:t>cation of land plants. Proc. Natl. Acad. Sci. U. S. A. 111, E4859</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E4868. doi: </w:t>
      </w:r>
      <w:hyperlink r:id="rId73">
        <w:r>
          <w:rPr>
            <w:rFonts w:ascii="Times New Roman" w:cs="Times New Roman" w:eastAsia="Times New Roman" w:hAnsi="Times New Roman"/>
            <w:sz w:val="15"/>
            <w:szCs w:val="15"/>
            <w:color w:val="auto"/>
          </w:rPr>
          <w:t>10.1073/</w:t>
        </w:r>
      </w:hyperlink>
      <w:r>
        <w:rPr>
          <w:rFonts w:ascii="Times New Roman" w:cs="Times New Roman" w:eastAsia="Times New Roman" w:hAnsi="Times New Roman"/>
          <w:sz w:val="15"/>
          <w:szCs w:val="15"/>
          <w:color w:val="auto"/>
        </w:rPr>
        <w:t xml:space="preserve"> </w:t>
      </w:r>
      <w:hyperlink r:id="rId73">
        <w:r>
          <w:rPr>
            <w:rFonts w:ascii="Times New Roman" w:cs="Times New Roman" w:eastAsia="Times New Roman" w:hAnsi="Times New Roman"/>
            <w:sz w:val="15"/>
            <w:szCs w:val="15"/>
            <w:color w:val="auto"/>
          </w:rPr>
          <w:t>pnas.1323926111</w:t>
        </w:r>
      </w:hyperlink>
    </w:p>
    <w:p>
      <w:pPr>
        <w:spacing w:after="0" w:line="12" w:lineRule="exact"/>
        <w:rPr>
          <w:sz w:val="20"/>
          <w:szCs w:val="20"/>
          <w:color w:val="auto"/>
        </w:rPr>
      </w:pPr>
    </w:p>
    <w:p>
      <w:pPr>
        <w:jc w:val="both"/>
        <w:ind w:left="200" w:hanging="199"/>
        <w:spacing w:after="0" w:line="258"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Xu, B., Ohtani, M., Yamaguchi, M., Toyooka, K., Wakazaki, M., Sato, M., et al. (2014). Contribution of NAC transcription factors to plant adaptation to land. Science 343, 1505</w:t>
      </w:r>
      <w:r>
        <w:rPr>
          <w:rFonts w:ascii="Arial" w:cs="Arial" w:eastAsia="Arial" w:hAnsi="Arial"/>
          <w:sz w:val="15"/>
          <w:szCs w:val="15"/>
          <w:color w:val="auto"/>
        </w:rPr>
        <w:t>–</w:t>
      </w:r>
      <w:r>
        <w:rPr>
          <w:rFonts w:ascii="Times New Roman" w:cs="Times New Roman" w:eastAsia="Times New Roman" w:hAnsi="Times New Roman"/>
          <w:sz w:val="15"/>
          <w:szCs w:val="15"/>
          <w:color w:val="auto"/>
        </w:rPr>
        <w:t xml:space="preserve">1508. doi: </w:t>
      </w:r>
      <w:hyperlink r:id="rId74">
        <w:r>
          <w:rPr>
            <w:rFonts w:ascii="Times New Roman" w:cs="Times New Roman" w:eastAsia="Times New Roman" w:hAnsi="Times New Roman"/>
            <w:sz w:val="15"/>
            <w:szCs w:val="15"/>
            <w:color w:val="auto"/>
          </w:rPr>
          <w:t>10.1126/science.1248417</w:t>
        </w:r>
      </w:hyperlink>
    </w:p>
    <w:p>
      <w:pPr>
        <w:spacing w:after="0" w:line="212"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15"/>
          <w:szCs w:val="15"/>
          <w:color w:val="auto"/>
        </w:rPr>
        <w:t>Con</w:t>
      </w:r>
      <w:r>
        <w:rPr>
          <w:rFonts w:ascii="Arial" w:cs="Arial" w:eastAsia="Arial" w:hAnsi="Arial"/>
          <w:sz w:val="15"/>
          <w:szCs w:val="15"/>
          <w:color w:val="auto"/>
        </w:rPr>
        <w:t>fl</w:t>
      </w:r>
      <w:r>
        <w:rPr>
          <w:rFonts w:ascii="Times New Roman" w:cs="Times New Roman" w:eastAsia="Times New Roman" w:hAnsi="Times New Roman"/>
          <w:sz w:val="15"/>
          <w:szCs w:val="15"/>
          <w:color w:val="auto"/>
        </w:rPr>
        <w:t xml:space="preserve">ict of Interest: The authors declare that the research was conducted in the absence of any commercial or </w:t>
      </w:r>
      <w:r>
        <w:rPr>
          <w:rFonts w:ascii="Arial" w:cs="Arial" w:eastAsia="Arial" w:hAnsi="Arial"/>
          <w:sz w:val="15"/>
          <w:szCs w:val="15"/>
          <w:color w:val="auto"/>
        </w:rPr>
        <w:t>fi</w:t>
      </w:r>
      <w:r>
        <w:rPr>
          <w:rFonts w:ascii="Times New Roman" w:cs="Times New Roman" w:eastAsia="Times New Roman" w:hAnsi="Times New Roman"/>
          <w:sz w:val="15"/>
          <w:szCs w:val="15"/>
          <w:color w:val="auto"/>
        </w:rPr>
        <w:t>nancial relationships that could be construed as a potential con</w:t>
      </w:r>
      <w:r>
        <w:rPr>
          <w:rFonts w:ascii="Arial" w:cs="Arial" w:eastAsia="Arial" w:hAnsi="Arial"/>
          <w:sz w:val="15"/>
          <w:szCs w:val="15"/>
          <w:color w:val="auto"/>
        </w:rPr>
        <w:t>fl</w:t>
      </w:r>
      <w:r>
        <w:rPr>
          <w:rFonts w:ascii="Times New Roman" w:cs="Times New Roman" w:eastAsia="Times New Roman" w:hAnsi="Times New Roman"/>
          <w:sz w:val="15"/>
          <w:szCs w:val="15"/>
          <w:color w:val="auto"/>
        </w:rPr>
        <w:t>ict of interest.</w:t>
      </w:r>
    </w:p>
    <w:p>
      <w:pPr>
        <w:spacing w:after="0" w:line="189" w:lineRule="exact"/>
        <w:rPr>
          <w:sz w:val="20"/>
          <w:szCs w:val="20"/>
          <w:color w:val="auto"/>
        </w:rPr>
      </w:pPr>
    </w:p>
    <w:p>
      <w:pPr>
        <w:jc w:val="both"/>
        <w:spacing w:after="0" w:line="288" w:lineRule="auto"/>
        <w:rPr>
          <w:rFonts w:ascii="Times New Roman" w:cs="Times New Roman" w:eastAsia="Times New Roman" w:hAnsi="Times New Roman"/>
          <w:sz w:val="14"/>
          <w:szCs w:val="14"/>
          <w:color w:val="auto"/>
        </w:rPr>
      </w:pPr>
      <w:r>
        <w:rPr>
          <w:rFonts w:ascii="Times New Roman" w:cs="Times New Roman" w:eastAsia="Times New Roman" w:hAnsi="Times New Roman"/>
          <w:sz w:val="14"/>
          <w:szCs w:val="14"/>
          <w:color w:val="auto"/>
        </w:rPr>
        <w:t>Copyright © 2020 Sousa, Civa</w:t>
      </w:r>
      <w:r>
        <w:rPr>
          <w:rFonts w:ascii="Arial" w:cs="Arial" w:eastAsia="Arial" w:hAnsi="Arial"/>
          <w:sz w:val="14"/>
          <w:szCs w:val="14"/>
          <w:color w:val="auto"/>
        </w:rPr>
        <w:t>ň</w:t>
      </w:r>
      <w:r>
        <w:rPr>
          <w:rFonts w:ascii="Arial" w:cs="Arial" w:eastAsia="Arial" w:hAnsi="Arial"/>
          <w:sz w:val="14"/>
          <w:szCs w:val="14"/>
          <w:color w:val="auto"/>
        </w:rPr>
        <w:t>́</w:t>
      </w:r>
      <w:r>
        <w:rPr>
          <w:rFonts w:ascii="Times New Roman" w:cs="Times New Roman" w:eastAsia="Times New Roman" w:hAnsi="Times New Roman"/>
          <w:sz w:val="14"/>
          <w:szCs w:val="14"/>
          <w:color w:val="auto"/>
        </w:rPr>
        <w:t xml:space="preserve">, Foster and Cox. This is an open-access article distributed under the terms of the </w:t>
      </w:r>
      <w:hyperlink r:id="rId75">
        <w:r>
          <w:rPr>
            <w:rFonts w:ascii="Times New Roman" w:cs="Times New Roman" w:eastAsia="Times New Roman" w:hAnsi="Times New Roman"/>
            <w:sz w:val="14"/>
            <w:szCs w:val="14"/>
            <w:color w:val="auto"/>
          </w:rPr>
          <w:t>Creative Commons Attribution License (CC BY)</w:t>
        </w:r>
      </w:hyperlink>
      <w:r>
        <w:rPr>
          <w:rFonts w:ascii="Times New Roman" w:cs="Times New Roman" w:eastAsia="Times New Roman" w:hAnsi="Times New Roman"/>
          <w:sz w:val="14"/>
          <w:szCs w:val="14"/>
          <w:color w:val="auto"/>
        </w:rPr>
        <w:t>. The use, distribution or reproduction in other forums is permitted, provided the original author(s) and the copyright owner(s) are credited and that the original publication in this journal is cited, in accordance with accepted academic practice. No use, distribution or reproduction is permitted which does not comply with these terms.</w:t>
      </w:r>
    </w:p>
    <w:p>
      <w:pPr>
        <w:spacing w:after="0" w:line="200" w:lineRule="exact"/>
        <w:rPr>
          <w:sz w:val="20"/>
          <w:szCs w:val="20"/>
          <w:color w:val="auto"/>
        </w:rPr>
      </w:pPr>
    </w:p>
    <w:p>
      <w:pPr>
        <w:sectPr>
          <w:pgSz w:w="11900" w:h="15591" w:orient="portrait"/>
          <w:cols w:equalWidth="0" w:num="2">
            <w:col w:w="4880" w:space="340"/>
            <w:col w:w="4880"/>
          </w:cols>
          <w:pgMar w:left="900" w:top="571" w:right="906" w:bottom="34"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4960" w:val="left"/>
          <w:tab w:leader="none" w:pos="7800" w:val="left"/>
        </w:tabs>
        <w:rPr>
          <w:rFonts w:ascii="Arial" w:cs="Arial" w:eastAsia="Arial" w:hAnsi="Arial"/>
          <w:sz w:val="14"/>
          <w:szCs w:val="14"/>
          <w:color w:val="4C4C4C"/>
        </w:rPr>
      </w:pPr>
      <w:hyperlink r:id="rId18">
        <w:r>
          <w:rPr>
            <w:rFonts w:ascii="Arial" w:cs="Arial" w:eastAsia="Arial" w:hAnsi="Arial"/>
            <w:sz w:val="14"/>
            <w:szCs w:val="14"/>
            <w:color w:val="4C4C4C"/>
          </w:rPr>
          <w:t xml:space="preserve">Frontiers in Plant Science </w:t>
        </w:r>
      </w:hyperlink>
      <w:r>
        <w:rPr>
          <w:rFonts w:ascii="Arial" w:cs="Arial" w:eastAsia="Arial" w:hAnsi="Arial"/>
          <w:sz w:val="14"/>
          <w:szCs w:val="14"/>
          <w:color w:val="4C4C4C"/>
        </w:rPr>
        <w:t xml:space="preserve">| </w:t>
      </w:r>
      <w:hyperlink r:id="rId19">
        <w:r>
          <w:rPr>
            <w:rFonts w:ascii="Arial" w:cs="Arial" w:eastAsia="Arial" w:hAnsi="Arial"/>
            <w:sz w:val="14"/>
            <w:szCs w:val="14"/>
            <w:color w:val="4C4C4C"/>
          </w:rPr>
          <w:t>www.frontiersin.org</w:t>
        </w:r>
      </w:hyperlink>
      <w:r>
        <w:rPr>
          <w:rFonts w:ascii="Arial" w:cs="Arial" w:eastAsia="Arial" w:hAnsi="Arial"/>
          <w:sz w:val="14"/>
          <w:szCs w:val="14"/>
          <w:color w:val="4C4C4C"/>
        </w:rPr>
        <w:tab/>
        <w:t>10</w:t>
        <w:tab/>
      </w:r>
      <w:hyperlink r:id="rId20">
        <w:r>
          <w:rPr>
            <w:rFonts w:ascii="Arial" w:cs="Arial" w:eastAsia="Arial" w:hAnsi="Arial"/>
            <w:sz w:val="14"/>
            <w:szCs w:val="14"/>
            <w:color w:val="4C4C4C"/>
          </w:rPr>
          <w:t>July 2020 | Volume 11 | Article 1062</w:t>
        </w:r>
      </w:hyperlink>
    </w:p>
    <w:sectPr>
      <w:pgSz w:w="11900" w:h="15591" w:orient="portrait"/>
      <w:cols w:equalWidth="0" w:num="1">
        <w:col w:w="10100"/>
      </w:cols>
      <w:pgMar w:left="900" w:top="571" w:right="906" w:bottom="34"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74B0DC51"/>
    <w:multiLevelType w:val="hybridMultilevel"/>
    <w:lvl w:ilvl="0">
      <w:lvlJc w:val="left"/>
      <w:lvlText w:val="%1"/>
      <w:numFmt w:val="decimal"/>
      <w:start w:val="1"/>
    </w:lvl>
  </w:abstractNum>
  <w:abstractNum w:abstractNumId="1">
    <w:nsid w:val="19495CFF"/>
    <w:multiLevelType w:val="hybridMultilevel"/>
    <w:lvl w:ilvl="0">
      <w:lvlJc w:val="left"/>
      <w:lvlText w:val="%1)"/>
      <w:numFmt w:val="lowerLetter"/>
      <w:start w:val="4"/>
    </w:lvl>
  </w:abstractNum>
  <w:abstractNum w:abstractNumId="2">
    <w:nsid w:val="2AE8944A"/>
    <w:multiLevelType w:val="hybridMultilevel"/>
    <w:lvl w:ilvl="0">
      <w:lvlJc w:val="left"/>
      <w:lvlText w:val="%1"/>
      <w:numFmt w:val="upperLetter"/>
      <w:start w:val="29"/>
    </w:lvl>
  </w:abstractNum>
  <w:abstractNum w:abstractNumId="3">
    <w:nsid w:val="625558EC"/>
    <w:multiLevelType w:val="hybridMultilevel"/>
    <w:lvl w:ilvl="0">
      <w:lvlJc w:val="left"/>
      <w:lvlText w:val="%1."/>
      <w:numFmt w:val="upperLetter"/>
      <w:start w:val="10"/>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11" Type="http://schemas.openxmlformats.org/officeDocument/2006/relationships/image" Target="media/image2.png"/><Relationship Id="rId16"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9" Type="http://schemas.openxmlformats.org/officeDocument/2006/relationships/hyperlink" Target="https://www.frontiersin.org/journals/plant-science#editorial-board" TargetMode="External"/><Relationship Id="rId10" Type="http://schemas.openxmlformats.org/officeDocument/2006/relationships/hyperlink" Target="https://doi.org/10.3389/fpls.2020.01062" TargetMode="External"/><Relationship Id="rId12" Type="http://schemas.openxmlformats.org/officeDocument/2006/relationships/hyperlink" Target="https://www.frontiersin.org/articles/10.3389/fpls.2020.01062/full" TargetMode="External"/><Relationship Id="rId13" Type="http://schemas.openxmlformats.org/officeDocument/2006/relationships/hyperlink" Target="https://loop.frontiersin.org/people/814636" TargetMode="External"/><Relationship Id="rId14" Type="http://schemas.openxmlformats.org/officeDocument/2006/relationships/hyperlink" Target="https://loop.frontiersin.org/people/571459" TargetMode="External"/><Relationship Id="rId15" Type="http://schemas.openxmlformats.org/officeDocument/2006/relationships/hyperlink" Target="https://loop.frontiersin.org/people/995546" TargetMode="External"/><Relationship Id="rId17" Type="http://schemas.openxmlformats.org/officeDocument/2006/relationships/hyperlink" Target="mailto:cymon.cox@googlemail.com" TargetMode="External"/><Relationship Id="rId18" Type="http://schemas.openxmlformats.org/officeDocument/2006/relationships/hyperlink" Target="https://www.frontiersin.org/journals/plant-science" TargetMode="External"/><Relationship Id="rId19" Type="http://schemas.openxmlformats.org/officeDocument/2006/relationships/hyperlink" Target="http://www.frontiersin.org/" TargetMode="External"/><Relationship Id="rId20" Type="http://schemas.openxmlformats.org/officeDocument/2006/relationships/hyperlink" Target="https://www.frontiersin.org/journals/plant-science#articles" TargetMode="External"/><Relationship Id="rId25" Type="http://schemas.openxmlformats.org/officeDocument/2006/relationships/hyperlink" Target="https://doi.org/10.1093/bioinformatics/btl064" TargetMode="External"/><Relationship Id="rId26" Type="http://schemas.openxmlformats.org/officeDocument/2006/relationships/hyperlink" Target="https://doi.org/10.1093/nar/gkq291" TargetMode="External"/><Relationship Id="rId27" Type="http://schemas.openxmlformats.org/officeDocument/2006/relationships/hyperlink" Target="https://doi.org/10.1146/annurev.genet.35.102401.090231" TargetMode="External"/><Relationship Id="rId28" Type="http://schemas.openxmlformats.org/officeDocument/2006/relationships/hyperlink" Target="https://doi.org/10.1093/molbev/msl091" TargetMode="External"/><Relationship Id="rId29" Type="http://schemas.openxmlformats.org/officeDocument/2006/relationships/hyperlink" Target="https://doi.org/10.1016/j.tplants.2009.10.001" TargetMode="External"/><Relationship Id="rId30" Type="http://schemas.openxmlformats.org/officeDocument/2006/relationships/hyperlink" Target="https://doi.org/10.1093/sysbio/syp081" TargetMode="External"/><Relationship Id="rId31" Type="http://schemas.openxmlformats.org/officeDocument/2006/relationships/hyperlink" Target="https://doi.org/10.3732/ajb.0900384" TargetMode="External"/><Relationship Id="rId32" Type="http://schemas.openxmlformats.org/officeDocument/2006/relationships/hyperlink" Target="https://doi.org/10.1016/j.ympev.2013.03.030" TargetMode="External"/><Relationship Id="rId33" Type="http://schemas.openxmlformats.org/officeDocument/2006/relationships/hyperlink" Target="https://doi.org/10.1073/pnas.0810647105" TargetMode="External"/><Relationship Id="rId34" Type="http://schemas.openxmlformats.org/officeDocument/2006/relationships/hyperlink" Target="https://doi.org/10.1093/sysbio/syt109" TargetMode="External"/><Relationship Id="rId35" Type="http://schemas.openxmlformats.org/officeDocument/2006/relationships/hyperlink" Target="https://doi.org/10.1080/07352689.2018.1482443" TargetMode="External"/><Relationship Id="rId36" Type="http://schemas.openxmlformats.org/officeDocument/2006/relationships/hyperlink" Target="https://doi.org/10.1098/rstb.2009.0034" TargetMode="External"/><Relationship Id="rId37" Type="http://schemas.openxmlformats.org/officeDocument/2006/relationships/hyperlink" Target="https://doi.org/10.1080/10635150490445779" TargetMode="External"/><Relationship Id="rId38" Type="http://schemas.openxmlformats.org/officeDocument/2006/relationships/hyperlink" Target="https://www.frontiersin.org/articles/10.3389/fpls.2020.01062/full#supplementary-material" TargetMode="External"/><Relationship Id="rId39" Type="http://schemas.openxmlformats.org/officeDocument/2006/relationships/hyperlink" Target="https://doi.org/10.1111/j.1759-6831.2010.00071.x" TargetMode="External"/><Relationship Id="rId40" Type="http://schemas.openxmlformats.org/officeDocument/2006/relationships/hyperlink" Target="https://doi.org/10.1002/ajb2.1048" TargetMode="External"/><Relationship Id="rId41" Type="http://schemas.openxmlformats.org/officeDocument/2006/relationships/hyperlink" Target="https://doi.org/10.1093/molbev/msg159" TargetMode="External"/><Relationship Id="rId42" Type="http://schemas.openxmlformats.org/officeDocument/2006/relationships/hyperlink" Target="https://doi.org/10.1016/j.cub.2020.03.048" TargetMode="External"/><Relationship Id="rId43" Type="http://schemas.openxmlformats.org/officeDocument/2006/relationships/hyperlink" Target="https://doi.org/10.1007/BF00984936" TargetMode="External"/><Relationship Id="rId44" Type="http://schemas.openxmlformats.org/officeDocument/2006/relationships/hyperlink" Target="https://doi.org/10.1016/j.tig.2006.02.003" TargetMode="External"/><Relationship Id="rId45" Type="http://schemas.openxmlformats.org/officeDocument/2006/relationships/hyperlink" Target="https://doi.org/10.1101/2020.01.03.894097" TargetMode="External"/><Relationship Id="rId46" Type="http://schemas.openxmlformats.org/officeDocument/2006/relationships/hyperlink" Target="https://doi.org/10.1101/828996" TargetMode="External"/><Relationship Id="rId47" Type="http://schemas.openxmlformats.org/officeDocument/2006/relationships/hyperlink" Target="https://doi.org/10.1186/1471-2148-10-321" TargetMode="External"/><Relationship Id="rId48" Type="http://schemas.openxmlformats.org/officeDocument/2006/relationships/hyperlink" Target="https://doi.org/10.1126/science.1065156" TargetMode="External"/><Relationship Id="rId49" Type="http://schemas.openxmlformats.org/officeDocument/2006/relationships/hyperlink" Target="https://doi.org/10.1186/1471-2148-6-29" TargetMode="External"/><Relationship Id="rId50" Type="http://schemas.openxmlformats.org/officeDocument/2006/relationships/hyperlink" Target="https://doi.org/10.1038/37918" TargetMode="External"/><Relationship Id="rId51" Type="http://schemas.openxmlformats.org/officeDocument/2006/relationships/hyperlink" Target="https://doi.org/10.1126/science.aan2923" TargetMode="External"/><Relationship Id="rId52" Type="http://schemas.openxmlformats.org/officeDocument/2006/relationships/hyperlink" Target="https://doi.org/10.1186/1471-2148-14-82" TargetMode="External"/><Relationship Id="rId53" Type="http://schemas.openxmlformats.org/officeDocument/2006/relationships/hyperlink" Target="https://doi.org/10.1093/molbev/msh112" TargetMode="External"/><Relationship Id="rId54" Type="http://schemas.openxmlformats.org/officeDocument/2006/relationships/hyperlink" Target="https://doi.org/10.1038/s41586-019-1693-2" TargetMode="External"/><Relationship Id="rId55" Type="http://schemas.openxmlformats.org/officeDocument/2006/relationships/hyperlink" Target="https://doi.org/10.3389/fpls.2016.00697" TargetMode="External"/><Relationship Id="rId56" Type="http://schemas.openxmlformats.org/officeDocument/2006/relationships/hyperlink" Target="https://doi.org/10.1093/sysbio/syp017" TargetMode="External"/><Relationship Id="rId57" Type="http://schemas.openxmlformats.org/officeDocument/2006/relationships/hyperlink" Target="https://doi.org/10.1006/mpev.1996.0395" TargetMode="External"/><Relationship Id="rId58" Type="http://schemas.openxmlformats.org/officeDocument/2006/relationships/hyperlink" Target="https://doi.org/10.1093/sysbio/syu049" TargetMode="External"/><Relationship Id="rId59" Type="http://schemas.openxmlformats.org/officeDocument/2006/relationships/hyperlink" Target="https://doi.org/10.3732/ajb.1200416" TargetMode="External"/><Relationship Id="rId60" Type="http://schemas.openxmlformats.org/officeDocument/2006/relationships/hyperlink" Target="https://doi.org/10.1016/j.tree.2004.09.013" TargetMode="External"/><Relationship Id="rId61" Type="http://schemas.openxmlformats.org/officeDocument/2006/relationships/hyperlink" Target="https://doi.org/10.2307/2806602" TargetMode="External"/><Relationship Id="rId62" Type="http://schemas.openxmlformats.org/officeDocument/2006/relationships/hyperlink" Target="https://doi.org/10.1073/pnas.1719588115" TargetMode="External"/><Relationship Id="rId63" Type="http://schemas.openxmlformats.org/officeDocument/2006/relationships/hyperlink" Target="https://doi.org/10.1093/oxfordjournals.molbev.a026192" TargetMode="External"/><Relationship Id="rId64" Type="http://schemas.openxmlformats.org/officeDocument/2006/relationships/hyperlink" Target="https://doi.org/10.1093/molbev/msh203" TargetMode="External"/><Relationship Id="rId65" Type="http://schemas.openxmlformats.org/officeDocument/2006/relationships/hyperlink" Target="https://doi.org/10.1016/j.cub.2018.01.063" TargetMode="External"/><Relationship Id="rId66" Type="http://schemas.openxmlformats.org/officeDocument/2006/relationships/hyperlink" Target="https://doi.org/10.1126/science.255.5052.1697" TargetMode="External"/><Relationship Id="rId67" Type="http://schemas.openxmlformats.org/officeDocument/2006/relationships/hyperlink" Target="https://doi.org/10.1186/1471-2148-14-23" TargetMode="External"/><Relationship Id="rId68" Type="http://schemas.openxmlformats.org/officeDocument/2006/relationships/hyperlink" Target="https://doi.org/10.1016/j.cub.2011.04.044" TargetMode="External"/><Relationship Id="rId69" Type="http://schemas.openxmlformats.org/officeDocument/2006/relationships/hyperlink" Target="https://doi.org/10.1111/nph.15587" TargetMode="External"/><Relationship Id="rId70" Type="http://schemas.openxmlformats.org/officeDocument/2006/relationships/hyperlink" Target="https://doi.org/10.7717/peerj.8995" TargetMode="External"/><Relationship Id="rId71" Type="http://schemas.openxmlformats.org/officeDocument/2006/relationships/hyperlink" Target="https://doi.org/10.1093/bioinformatics/btl446" TargetMode="External"/><Relationship Id="rId72" Type="http://schemas.openxmlformats.org/officeDocument/2006/relationships/hyperlink" Target="https://doi.org/10.1080/10635150701472164" TargetMode="External"/><Relationship Id="rId73" Type="http://schemas.openxmlformats.org/officeDocument/2006/relationships/hyperlink" Target="https://doi.org/10.1073/pnas.1323926111" TargetMode="External"/><Relationship Id="rId74" Type="http://schemas.openxmlformats.org/officeDocument/2006/relationships/hyperlink" Target="https://doi.org/10.1126/science.1248417" TargetMode="External"/><Relationship Id="rId75" Type="http://schemas.openxmlformats.org/officeDocument/2006/relationships/hyperlink" Target="http://creativecommons.org/licenses/by/4.0/"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2020-09-15T04:11:55Z</dcterms:created>
  <dcterms:modified xsi:type="dcterms:W3CDTF">2020-09-15T04:11:55Z</dcterms:modified>
</cp:coreProperties>
</file>