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562610</wp:posOffset>
            </wp:positionH>
            <wp:positionV relativeFrom="page">
              <wp:posOffset>127000</wp:posOffset>
            </wp:positionV>
            <wp:extent cx="6908800" cy="571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908800" cy="571500"/>
                    </a:xfrm>
                    <a:prstGeom prst="rect">
                      <a:avLst/>
                    </a:prstGeom>
                    <a:noFill/>
                  </pic:spPr>
                </pic:pic>
              </a:graphicData>
            </a:graphic>
          </wp:anchor>
        </w:drawing>
        <w:t xml:space="preserve">Received: 11 May 2020  </w:t>
      </w:r>
      <w:r>
        <w:rPr>
          <w:sz w:val="1"/>
          <w:szCs w:val="1"/>
          <w:color w:val="auto"/>
        </w:rPr>
        <w:drawing>
          <wp:inline distT="0" distB="0" distL="0" distR="0">
            <wp:extent cx="19050" cy="170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Revised: 10 June 2020  </w:t>
      </w:r>
      <w:r>
        <w:rPr>
          <w:sz w:val="1"/>
          <w:szCs w:val="1"/>
          <w:color w:val="auto"/>
        </w:rPr>
        <w:drawing>
          <wp:inline distT="0" distB="0" distL="0" distR="0">
            <wp:extent cx="19050" cy="170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Accepted: 23 June 2020</w:t>
      </w:r>
    </w:p>
    <w:p>
      <w:pPr>
        <w:spacing w:after="0" w:line="33" w:lineRule="exact"/>
        <w:rPr>
          <w:sz w:val="24"/>
          <w:szCs w:val="24"/>
          <w:color w:val="auto"/>
        </w:rPr>
      </w:pPr>
    </w:p>
    <w:p>
      <w:pPr>
        <w:ind w:left="20"/>
        <w:spacing w:after="0"/>
        <w:rPr>
          <w:sz w:val="20"/>
          <w:szCs w:val="20"/>
          <w:color w:val="auto"/>
        </w:rPr>
      </w:pPr>
      <w:r>
        <w:rPr>
          <w:rFonts w:ascii="Arial" w:cs="Arial" w:eastAsia="Arial" w:hAnsi="Arial"/>
          <w:sz w:val="14"/>
          <w:szCs w:val="14"/>
          <w:color w:val="auto"/>
        </w:rPr>
        <w:t>DOI: 10.1002/ptr.6802</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5722620</wp:posOffset>
            </wp:positionH>
            <wp:positionV relativeFrom="paragraph">
              <wp:posOffset>151130</wp:posOffset>
            </wp:positionV>
            <wp:extent cx="687705" cy="1435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pacing w:after="0" w:line="313" w:lineRule="exact"/>
        <w:rPr>
          <w:sz w:val="24"/>
          <w:szCs w:val="24"/>
          <w:color w:val="auto"/>
        </w:rPr>
      </w:pPr>
    </w:p>
    <w:p>
      <w:pPr>
        <w:ind w:left="20"/>
        <w:spacing w:after="0"/>
        <w:rPr>
          <w:sz w:val="20"/>
          <w:szCs w:val="20"/>
          <w:color w:val="auto"/>
        </w:rPr>
      </w:pPr>
      <w:r>
        <w:rPr>
          <w:rFonts w:ascii="Arial" w:cs="Arial" w:eastAsia="Arial" w:hAnsi="Arial"/>
          <w:sz w:val="18"/>
          <w:szCs w:val="18"/>
          <w:color w:val="auto"/>
        </w:rPr>
        <w:t>RESEARCH ARTICLE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38100</wp:posOffset>
                </wp:positionV>
                <wp:extent cx="14103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10335" cy="4763"/>
                        </a:xfrm>
                        <a:prstGeom prst="line">
                          <a:avLst/>
                        </a:prstGeom>
                        <a:solidFill>
                          <a:srgbClr val="FFFFFF"/>
                        </a:solidFill>
                        <a:ln w="24942">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3pt" to="111.8pt,3pt" o:allowincell="f" strokecolor="#000000" strokeweight="1.9639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38100</wp:posOffset>
                </wp:positionV>
                <wp:extent cx="127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224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pt" to="1.25pt,3pt" o:allowincell="f" strokecolor="#000000" strokeweight="0.9639pt"/>
            </w:pict>
          </mc:Fallback>
        </mc:AlternateContent>
      </w:r>
    </w:p>
    <w:p>
      <w:pPr>
        <w:spacing w:after="0" w:line="200" w:lineRule="exact"/>
        <w:rPr>
          <w:sz w:val="24"/>
          <w:szCs w:val="24"/>
          <w:color w:val="auto"/>
        </w:rPr>
      </w:pPr>
    </w:p>
    <w:p>
      <w:pPr>
        <w:spacing w:after="0" w:line="350" w:lineRule="exact"/>
        <w:rPr>
          <w:sz w:val="24"/>
          <w:szCs w:val="24"/>
          <w:color w:val="auto"/>
        </w:rPr>
      </w:pPr>
    </w:p>
    <w:p>
      <w:pPr>
        <w:ind w:left="20" w:right="120"/>
        <w:spacing w:after="0" w:line="260" w:lineRule="auto"/>
        <w:rPr>
          <w:sz w:val="20"/>
          <w:szCs w:val="20"/>
          <w:color w:val="auto"/>
        </w:rPr>
      </w:pPr>
      <w:r>
        <w:rPr>
          <w:rFonts w:ascii="Arial" w:cs="Arial" w:eastAsia="Arial" w:hAnsi="Arial"/>
          <w:sz w:val="36"/>
          <w:szCs w:val="36"/>
          <w:color w:val="auto"/>
        </w:rPr>
        <w:t>Evaluation of medicinal herbs as a potential therapeutic option against SARS-CoV-2 targeting its main protease</w:t>
      </w:r>
    </w:p>
    <w:p>
      <w:pPr>
        <w:spacing w:after="0" w:line="200" w:lineRule="exact"/>
        <w:rPr>
          <w:sz w:val="24"/>
          <w:szCs w:val="24"/>
          <w:color w:val="auto"/>
        </w:rPr>
      </w:pPr>
    </w:p>
    <w:p>
      <w:pPr>
        <w:spacing w:after="0" w:line="226" w:lineRule="exact"/>
        <w:rPr>
          <w:sz w:val="24"/>
          <w:szCs w:val="24"/>
          <w:color w:val="auto"/>
        </w:rPr>
      </w:pPr>
    </w:p>
    <w:tbl>
      <w:tblPr>
        <w:tblLayout w:type="fixed"/>
        <w:tblInd w:w="20" w:type="dxa"/>
        <w:tblCellMar>
          <w:top w:w="0" w:type="dxa"/>
          <w:left w:w="0" w:type="dxa"/>
          <w:bottom w:w="0" w:type="dxa"/>
          <w:right w:w="0" w:type="dxa"/>
        </w:tblCellMar>
      </w:tblPr>
      <w:tr>
        <w:trPr>
          <w:trHeight w:val="357"/>
        </w:trPr>
        <w:tc>
          <w:tcPr>
            <w:tcW w:w="2220" w:type="dxa"/>
            <w:vAlign w:val="bottom"/>
          </w:tcPr>
          <w:p>
            <w:pPr>
              <w:spacing w:after="0"/>
              <w:rPr>
                <w:sz w:val="20"/>
                <w:szCs w:val="20"/>
                <w:color w:val="auto"/>
              </w:rPr>
            </w:pPr>
            <w:r>
              <w:rPr>
                <w:rFonts w:ascii="Arial" w:cs="Arial" w:eastAsia="Arial" w:hAnsi="Arial"/>
                <w:sz w:val="24"/>
                <w:szCs w:val="24"/>
                <w:color w:val="auto"/>
              </w:rPr>
              <w:t>Saurabh Upadhyay</w:t>
            </w:r>
            <w:r>
              <w:rPr>
                <w:rFonts w:ascii="Arial" w:cs="Arial" w:eastAsia="Arial" w:hAnsi="Arial"/>
                <w:sz w:val="31"/>
                <w:szCs w:val="31"/>
                <w:color w:val="auto"/>
                <w:vertAlign w:val="superscript"/>
              </w:rPr>
              <w:t>1</w:t>
            </w:r>
          </w:p>
        </w:tc>
        <w:tc>
          <w:tcPr>
            <w:tcW w:w="7480" w:type="dxa"/>
            <w:vAlign w:val="bottom"/>
          </w:tcPr>
          <w:p>
            <w:pPr>
              <w:ind w:left="120"/>
              <w:spacing w:after="0"/>
              <w:rPr>
                <w:sz w:val="20"/>
                <w:szCs w:val="20"/>
                <w:color w:val="auto"/>
              </w:rPr>
            </w:pPr>
            <w:r>
              <w:rPr>
                <w:rFonts w:ascii="Arial" w:cs="Arial" w:eastAsia="Arial" w:hAnsi="Arial"/>
                <w:sz w:val="24"/>
                <w:szCs w:val="24"/>
                <w:color w:val="auto"/>
              </w:rPr>
              <w:t>|  Praveen K. Tripathi</w:t>
            </w:r>
            <w:r>
              <w:rPr>
                <w:rFonts w:ascii="Arial" w:cs="Arial" w:eastAsia="Arial" w:hAnsi="Arial"/>
                <w:sz w:val="31"/>
                <w:szCs w:val="31"/>
                <w:color w:val="auto"/>
                <w:vertAlign w:val="superscript"/>
              </w:rPr>
              <w:t>1</w:t>
            </w:r>
            <w:r>
              <w:rPr>
                <w:rFonts w:ascii="Arial" w:cs="Arial" w:eastAsia="Arial" w:hAnsi="Arial"/>
                <w:sz w:val="24"/>
                <w:szCs w:val="24"/>
                <w:color w:val="auto"/>
              </w:rPr>
              <w:t xml:space="preserve">   |  Manju Singh</w:t>
            </w:r>
            <w:r>
              <w:rPr>
                <w:rFonts w:ascii="Arial" w:cs="Arial" w:eastAsia="Arial" w:hAnsi="Arial"/>
                <w:sz w:val="31"/>
                <w:szCs w:val="31"/>
                <w:color w:val="auto"/>
                <w:vertAlign w:val="superscript"/>
              </w:rPr>
              <w:t>2</w:t>
            </w:r>
            <w:r>
              <w:rPr>
                <w:rFonts w:ascii="Arial" w:cs="Arial" w:eastAsia="Arial" w:hAnsi="Arial"/>
                <w:sz w:val="24"/>
                <w:szCs w:val="24"/>
                <w:color w:val="auto"/>
              </w:rPr>
              <w:t xml:space="preserve">   |  Siva Raghavendhar</w:t>
            </w:r>
            <w:r>
              <w:rPr>
                <w:rFonts w:ascii="Arial" w:cs="Arial" w:eastAsia="Arial" w:hAnsi="Arial"/>
                <w:sz w:val="31"/>
                <w:szCs w:val="31"/>
                <w:color w:val="auto"/>
                <w:vertAlign w:val="superscript"/>
              </w:rPr>
              <w:t>1</w:t>
            </w:r>
            <w:r>
              <w:rPr>
                <w:rFonts w:ascii="Arial" w:cs="Arial" w:eastAsia="Arial" w:hAnsi="Arial"/>
                <w:sz w:val="24"/>
                <w:szCs w:val="24"/>
                <w:color w:val="auto"/>
              </w:rPr>
              <w:t xml:space="preserve">   |</w:t>
            </w:r>
          </w:p>
        </w:tc>
      </w:tr>
      <w:tr>
        <w:trPr>
          <w:trHeight w:val="359"/>
        </w:trPr>
        <w:tc>
          <w:tcPr>
            <w:tcW w:w="2220" w:type="dxa"/>
            <w:vAlign w:val="bottom"/>
          </w:tcPr>
          <w:p>
            <w:pPr>
              <w:spacing w:after="0"/>
              <w:rPr>
                <w:sz w:val="20"/>
                <w:szCs w:val="20"/>
                <w:color w:val="auto"/>
              </w:rPr>
            </w:pPr>
            <w:r>
              <w:rPr>
                <w:rFonts w:ascii="Arial" w:cs="Arial" w:eastAsia="Arial" w:hAnsi="Arial"/>
                <w:sz w:val="24"/>
                <w:szCs w:val="24"/>
                <w:color w:val="auto"/>
              </w:rPr>
              <w:t>Mohit Bhardwaj</w:t>
            </w:r>
            <w:r>
              <w:rPr>
                <w:rFonts w:ascii="Arial" w:cs="Arial" w:eastAsia="Arial" w:hAnsi="Arial"/>
                <w:sz w:val="31"/>
                <w:szCs w:val="31"/>
                <w:color w:val="auto"/>
                <w:vertAlign w:val="superscript"/>
              </w:rPr>
              <w:t>1</w:t>
            </w:r>
            <w:r>
              <w:rPr>
                <w:rFonts w:ascii="Arial" w:cs="Arial" w:eastAsia="Arial" w:hAnsi="Arial"/>
                <w:sz w:val="24"/>
                <w:szCs w:val="24"/>
                <w:color w:val="auto"/>
              </w:rPr>
              <w:t xml:space="preserve">   |</w:t>
            </w:r>
          </w:p>
        </w:tc>
        <w:tc>
          <w:tcPr>
            <w:tcW w:w="7480" w:type="dxa"/>
            <w:vAlign w:val="bottom"/>
          </w:tcPr>
          <w:p>
            <w:pPr>
              <w:ind w:left="140"/>
              <w:spacing w:after="0"/>
              <w:rPr>
                <w:sz w:val="20"/>
                <w:szCs w:val="20"/>
                <w:color w:val="auto"/>
              </w:rPr>
            </w:pPr>
            <w:r>
              <w:rPr>
                <w:rFonts w:ascii="Arial" w:cs="Arial" w:eastAsia="Arial" w:hAnsi="Arial"/>
                <w:sz w:val="24"/>
                <w:szCs w:val="24"/>
                <w:color w:val="auto"/>
              </w:rPr>
              <w:t>Ashok K. Patel</w:t>
            </w:r>
            <w:r>
              <w:rPr>
                <w:rFonts w:ascii="Arial" w:cs="Arial" w:eastAsia="Arial" w:hAnsi="Arial"/>
                <w:sz w:val="31"/>
                <w:szCs w:val="31"/>
                <w:color w:val="auto"/>
                <w:vertAlign w:val="superscript"/>
              </w:rPr>
              <w:t>1</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2576195</wp:posOffset>
            </wp:positionH>
            <wp:positionV relativeFrom="paragraph">
              <wp:posOffset>-193040</wp:posOffset>
            </wp:positionV>
            <wp:extent cx="133350" cy="133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133350" cy="133350"/>
                    </a:xfrm>
                    <a:prstGeom prst="rect">
                      <a:avLst/>
                    </a:prstGeom>
                    <a:noFill/>
                  </pic:spPr>
                </pic:pic>
              </a:graphicData>
            </a:graphic>
          </wp:anchor>
        </w:drawing>
      </w:r>
    </w:p>
    <w:p>
      <w:pPr>
        <w:sectPr>
          <w:pgSz w:w="11900" w:h="15647" w:orient="portrait"/>
          <w:cols w:equalWidth="0" w:num="1">
            <w:col w:w="10100"/>
          </w:cols>
          <w:pgMar w:left="880" w:top="530" w:right="926" w:bottom="0" w:gutter="0" w:footer="0" w:header="0"/>
        </w:sectPr>
      </w:pPr>
    </w:p>
    <w:p>
      <w:pPr>
        <w:spacing w:after="0" w:line="200" w:lineRule="exact"/>
        <w:rPr>
          <w:sz w:val="24"/>
          <w:szCs w:val="24"/>
          <w:color w:val="auto"/>
        </w:rPr>
      </w:pPr>
    </w:p>
    <w:p>
      <w:pPr>
        <w:spacing w:after="0" w:line="234" w:lineRule="exact"/>
        <w:rPr>
          <w:sz w:val="24"/>
          <w:szCs w:val="24"/>
          <w:color w:val="auto"/>
        </w:rPr>
      </w:pPr>
    </w:p>
    <w:p>
      <w:pPr>
        <w:ind w:left="20"/>
        <w:spacing w:after="0" w:line="281" w:lineRule="auto"/>
        <w:rPr>
          <w:sz w:val="20"/>
          <w:szCs w:val="20"/>
          <w:color w:val="auto"/>
        </w:rPr>
      </w:pPr>
      <w:r>
        <w:rPr>
          <w:rFonts w:ascii="Arial" w:cs="Arial" w:eastAsia="Arial" w:hAnsi="Arial"/>
          <w:sz w:val="17"/>
          <w:szCs w:val="17"/>
          <w:color w:val="auto"/>
          <w:vertAlign w:val="superscript"/>
        </w:rPr>
        <w:t>1</w:t>
      </w:r>
      <w:r>
        <w:rPr>
          <w:rFonts w:ascii="Arial" w:cs="Arial" w:eastAsia="Arial" w:hAnsi="Arial"/>
          <w:sz w:val="13"/>
          <w:szCs w:val="13"/>
          <w:color w:val="auto"/>
        </w:rPr>
        <w:t>Kusuma School of Biological Sciences, Indian Institute of Technology Delhi, New Delhi, India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1918335</wp:posOffset>
                </wp:positionH>
                <wp:positionV relativeFrom="paragraph">
                  <wp:posOffset>-232410</wp:posOffset>
                </wp:positionV>
                <wp:extent cx="0" cy="363093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30930"/>
                        </a:xfrm>
                        <a:prstGeom prst="line">
                          <a:avLst/>
                        </a:prstGeom>
                        <a:solidFill>
                          <a:srgbClr val="FFFFFF"/>
                        </a:solidFill>
                        <a:ln w="6479">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05pt,-18.2999pt" to="151.05pt,267.6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1921510</wp:posOffset>
                </wp:positionH>
                <wp:positionV relativeFrom="paragraph">
                  <wp:posOffset>-226060</wp:posOffset>
                </wp:positionV>
                <wp:extent cx="0" cy="361823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823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3pt,-17.7999pt" to="151.3pt,267.1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1914525</wp:posOffset>
                </wp:positionH>
                <wp:positionV relativeFrom="paragraph">
                  <wp:posOffset>-226060</wp:posOffset>
                </wp:positionV>
                <wp:extent cx="0" cy="361823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823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75pt,-17.7999pt" to="150.75pt,267.1pt" o:allowincell="f" strokecolor="#000000" strokeweight="1pt"/>
            </w:pict>
          </mc:Fallback>
        </mc:AlternateContent>
      </w:r>
    </w:p>
    <w:p>
      <w:pPr>
        <w:spacing w:after="0" w:line="36" w:lineRule="exact"/>
        <w:rPr>
          <w:sz w:val="24"/>
          <w:szCs w:val="24"/>
          <w:color w:val="auto"/>
        </w:rPr>
      </w:pPr>
    </w:p>
    <w:p>
      <w:pPr>
        <w:ind w:left="20" w:right="320"/>
        <w:spacing w:after="0" w:line="243" w:lineRule="auto"/>
        <w:rPr>
          <w:sz w:val="20"/>
          <w:szCs w:val="20"/>
          <w:color w:val="auto"/>
        </w:rPr>
      </w:pPr>
      <w:r>
        <w:rPr>
          <w:rFonts w:ascii="Arial" w:cs="Arial" w:eastAsia="Arial" w:hAnsi="Arial"/>
          <w:sz w:val="18"/>
          <w:szCs w:val="18"/>
          <w:color w:val="auto"/>
          <w:vertAlign w:val="superscript"/>
        </w:rPr>
        <w:t>2</w:t>
      </w:r>
      <w:r>
        <w:rPr>
          <w:rFonts w:ascii="Arial" w:cs="Arial" w:eastAsia="Arial" w:hAnsi="Arial"/>
          <w:sz w:val="14"/>
          <w:szCs w:val="14"/>
          <w:color w:val="auto"/>
        </w:rPr>
        <w:t>Morarji Desai National Institute of Yoga, New Delhi, India</w:t>
      </w:r>
    </w:p>
    <w:p>
      <w:pPr>
        <w:spacing w:after="0" w:line="237" w:lineRule="exact"/>
        <w:rPr>
          <w:sz w:val="24"/>
          <w:szCs w:val="24"/>
          <w:color w:val="auto"/>
        </w:rPr>
      </w:pPr>
    </w:p>
    <w:p>
      <w:pPr>
        <w:ind w:left="20"/>
        <w:spacing w:after="0"/>
        <w:rPr>
          <w:sz w:val="20"/>
          <w:szCs w:val="20"/>
          <w:color w:val="auto"/>
        </w:rPr>
      </w:pPr>
      <w:r>
        <w:rPr>
          <w:rFonts w:ascii="Arial" w:cs="Arial" w:eastAsia="Arial" w:hAnsi="Arial"/>
          <w:sz w:val="14"/>
          <w:szCs w:val="14"/>
          <w:color w:val="auto"/>
        </w:rPr>
        <w:t>Correspondence</w:t>
      </w:r>
    </w:p>
    <w:p>
      <w:pPr>
        <w:spacing w:after="0" w:line="47" w:lineRule="exact"/>
        <w:rPr>
          <w:sz w:val="24"/>
          <w:szCs w:val="24"/>
          <w:color w:val="auto"/>
        </w:rPr>
      </w:pPr>
    </w:p>
    <w:p>
      <w:pPr>
        <w:ind w:left="20" w:right="40"/>
        <w:spacing w:after="0" w:line="292" w:lineRule="auto"/>
        <w:rPr>
          <w:sz w:val="20"/>
          <w:szCs w:val="20"/>
          <w:color w:val="auto"/>
        </w:rPr>
      </w:pPr>
      <w:r>
        <w:rPr>
          <w:rFonts w:ascii="Arial" w:cs="Arial" w:eastAsia="Arial" w:hAnsi="Arial"/>
          <w:sz w:val="14"/>
          <w:szCs w:val="14"/>
          <w:color w:val="auto"/>
        </w:rPr>
        <w:t>Ashok K. Patel, Kusuma School of Biological Sciences, Indian Institute of Technology Delhi, New Delhi 110016, India.</w:t>
      </w:r>
    </w:p>
    <w:p>
      <w:pPr>
        <w:spacing w:after="0" w:line="4" w:lineRule="exact"/>
        <w:rPr>
          <w:sz w:val="24"/>
          <w:szCs w:val="24"/>
          <w:color w:val="auto"/>
        </w:rPr>
      </w:pPr>
    </w:p>
    <w:p>
      <w:pPr>
        <w:ind w:left="20"/>
        <w:spacing w:after="0"/>
        <w:rPr>
          <w:rFonts w:ascii="Arial" w:cs="Arial" w:eastAsia="Arial" w:hAnsi="Arial"/>
          <w:sz w:val="14"/>
          <w:szCs w:val="14"/>
          <w:color w:val="auto"/>
        </w:rPr>
      </w:pPr>
      <w:r>
        <w:rPr>
          <w:rFonts w:ascii="Arial" w:cs="Arial" w:eastAsia="Arial" w:hAnsi="Arial"/>
          <w:sz w:val="14"/>
          <w:szCs w:val="14"/>
          <w:color w:val="auto"/>
        </w:rPr>
        <w:t xml:space="preserve">Email: </w:t>
      </w:r>
      <w:hyperlink r:id="rId13">
        <w:r>
          <w:rPr>
            <w:rFonts w:ascii="Arial" w:cs="Arial" w:eastAsia="Arial" w:hAnsi="Arial"/>
            <w:sz w:val="14"/>
            <w:szCs w:val="14"/>
            <w:color w:val="auto"/>
          </w:rPr>
          <w:t>ashokpatel@bioschool.iitd.ac.in</w:t>
        </w:r>
      </w:hyperlink>
    </w:p>
    <w:p>
      <w:pPr>
        <w:spacing w:after="0" w:line="239" w:lineRule="exact"/>
        <w:rPr>
          <w:sz w:val="24"/>
          <w:szCs w:val="24"/>
          <w:color w:val="auto"/>
        </w:rPr>
      </w:pPr>
    </w:p>
    <w:p>
      <w:pPr>
        <w:ind w:left="20"/>
        <w:spacing w:after="0"/>
        <w:rPr>
          <w:sz w:val="20"/>
          <w:szCs w:val="20"/>
          <w:color w:val="auto"/>
        </w:rPr>
      </w:pPr>
      <w:r>
        <w:rPr>
          <w:rFonts w:ascii="Arial" w:cs="Arial" w:eastAsia="Arial" w:hAnsi="Arial"/>
          <w:sz w:val="14"/>
          <w:szCs w:val="14"/>
          <w:color w:val="auto"/>
        </w:rPr>
        <w:t>Funding information</w:t>
      </w:r>
    </w:p>
    <w:p>
      <w:pPr>
        <w:spacing w:after="0" w:line="47" w:lineRule="exact"/>
        <w:rPr>
          <w:sz w:val="24"/>
          <w:szCs w:val="24"/>
          <w:color w:val="auto"/>
        </w:rPr>
      </w:pPr>
    </w:p>
    <w:p>
      <w:pPr>
        <w:ind w:left="20" w:right="140"/>
        <w:spacing w:after="0" w:line="287" w:lineRule="auto"/>
        <w:rPr>
          <w:sz w:val="20"/>
          <w:szCs w:val="20"/>
          <w:color w:val="auto"/>
        </w:rPr>
      </w:pPr>
      <w:r>
        <w:rPr>
          <w:rFonts w:ascii="Arial" w:cs="Arial" w:eastAsia="Arial" w:hAnsi="Arial"/>
          <w:sz w:val="14"/>
          <w:szCs w:val="14"/>
          <w:color w:val="auto"/>
        </w:rPr>
        <w:t>Indian Institute of Technology Delhi, Grant/ Award Number: MI02217G</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94" w:lineRule="exact"/>
        <w:rPr>
          <w:sz w:val="24"/>
          <w:szCs w:val="24"/>
          <w:color w:val="auto"/>
        </w:rPr>
      </w:pPr>
    </w:p>
    <w:p>
      <w:pPr>
        <w:jc w:val="both"/>
        <w:ind w:right="140"/>
        <w:spacing w:after="0" w:line="340" w:lineRule="auto"/>
        <w:rPr>
          <w:sz w:val="20"/>
          <w:szCs w:val="20"/>
          <w:color w:val="auto"/>
        </w:rPr>
      </w:pPr>
      <w:r>
        <w:rPr>
          <w:rFonts w:ascii="Arial" w:cs="Arial" w:eastAsia="Arial" w:hAnsi="Arial"/>
          <w:sz w:val="18"/>
          <w:szCs w:val="18"/>
          <w:color w:val="auto"/>
        </w:rPr>
        <w:t>The COVID-19 disease caused by the SARS-CoV-2 has emerged as a worldwide pandemic and caused huge damage to the lives and economy of more than hundred countries. As on May 10, 2020, more than 4,153,300 people stand infected from the virus due to an unprecedented rate of transmission and 282,700 have lost their lives because of the disease. In this context, medicinal plants may provide a way to treat the disease by targeting specific essential proteins of the virus. We screened about 51 medicinal plants and found that Tea (Camellia sinensis) and Haritaki (Terminalia chebula) has potential against SARS-COV-2 3CL</w:t>
      </w:r>
      <w:r>
        <w:rPr>
          <w:rFonts w:ascii="Arial" w:cs="Arial" w:eastAsia="Arial" w:hAnsi="Arial"/>
          <w:sz w:val="23"/>
          <w:szCs w:val="23"/>
          <w:color w:val="auto"/>
          <w:vertAlign w:val="superscript"/>
        </w:rPr>
        <w:t>pro</w:t>
      </w:r>
      <w:r>
        <w:rPr>
          <w:rFonts w:ascii="Arial" w:cs="Arial" w:eastAsia="Arial" w:hAnsi="Arial"/>
          <w:sz w:val="18"/>
          <w:szCs w:val="18"/>
          <w:color w:val="auto"/>
        </w:rPr>
        <w:t>, with an IC</w:t>
      </w:r>
      <w:r>
        <w:rPr>
          <w:rFonts w:ascii="Arial" w:cs="Arial" w:eastAsia="Arial" w:hAnsi="Arial"/>
          <w:sz w:val="23"/>
          <w:szCs w:val="23"/>
          <w:color w:val="auto"/>
          <w:vertAlign w:val="subscript"/>
        </w:rPr>
        <w:t>50</w:t>
      </w:r>
      <w:r>
        <w:rPr>
          <w:rFonts w:ascii="Arial" w:cs="Arial" w:eastAsia="Arial" w:hAnsi="Arial"/>
          <w:sz w:val="18"/>
          <w:szCs w:val="18"/>
          <w:color w:val="auto"/>
        </w:rPr>
        <w:t xml:space="preserve"> for Green Tea as 8.9 ± 0.5 </w:t>
      </w:r>
      <w:r>
        <w:rPr>
          <w:rFonts w:ascii="Arial" w:cs="Arial" w:eastAsia="Arial" w:hAnsi="Arial"/>
          <w:sz w:val="18"/>
          <w:szCs w:val="18"/>
          <w:color w:val="auto"/>
        </w:rPr>
        <w:t>μ</w:t>
      </w:r>
      <w:r>
        <w:rPr>
          <w:rFonts w:ascii="Arial" w:cs="Arial" w:eastAsia="Arial" w:hAnsi="Arial"/>
          <w:sz w:val="18"/>
          <w:szCs w:val="18"/>
          <w:color w:val="auto"/>
        </w:rPr>
        <w:t xml:space="preserve">g/ml and Haritaki 8.8 ± 0.5 </w:t>
      </w:r>
      <w:r>
        <w:rPr>
          <w:rFonts w:ascii="Arial" w:cs="Arial" w:eastAsia="Arial" w:hAnsi="Arial"/>
          <w:sz w:val="18"/>
          <w:szCs w:val="18"/>
          <w:color w:val="auto"/>
        </w:rPr>
        <w:t>μ</w:t>
      </w:r>
      <w:r>
        <w:rPr>
          <w:rFonts w:ascii="Arial" w:cs="Arial" w:eastAsia="Arial" w:hAnsi="Arial"/>
          <w:sz w:val="18"/>
          <w:szCs w:val="18"/>
          <w:color w:val="auto"/>
        </w:rPr>
        <w:t>g/ml. The in-silico studies suggested that Tea component Thearubigins binds to the cysteine 145 of protease active site and could be a pharmacoactive molecule. We predict that the inhibition in protease activity may be able to halt the SARS-CoV-2 replication cycle and therefore, we propose Green Tea, Black Tea, and Haritaki plant extracts as potential therapeutic candidates for SARS-CoV-2 infection. Further investigation on role of bioactive constituents of extracts is needed to establish the molecular basis of inhibition and towards expe-dited drug discovery.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-97155</wp:posOffset>
            </wp:positionH>
            <wp:positionV relativeFrom="paragraph">
              <wp:posOffset>-3127375</wp:posOffset>
            </wp:positionV>
            <wp:extent cx="4425950" cy="36442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4425950" cy="3644265"/>
                    </a:xfrm>
                    <a:prstGeom prst="rect">
                      <a:avLst/>
                    </a:prstGeom>
                    <a:noFill/>
                  </pic:spPr>
                </pic:pic>
              </a:graphicData>
            </a:graphic>
          </wp:anchor>
        </w:drawing>
      </w:r>
    </w:p>
    <w:p>
      <w:pPr>
        <w:spacing w:after="0" w:line="216" w:lineRule="exact"/>
        <w:rPr>
          <w:sz w:val="24"/>
          <w:szCs w:val="24"/>
          <w:color w:val="auto"/>
        </w:rPr>
      </w:pPr>
    </w:p>
    <w:p>
      <w:pPr>
        <w:spacing w:after="0"/>
        <w:rPr>
          <w:sz w:val="20"/>
          <w:szCs w:val="20"/>
          <w:color w:val="auto"/>
        </w:rPr>
      </w:pPr>
      <w:r>
        <w:rPr>
          <w:rFonts w:ascii="Arial" w:cs="Arial" w:eastAsia="Arial" w:hAnsi="Arial"/>
          <w:sz w:val="14"/>
          <w:szCs w:val="14"/>
          <w:color w:val="auto"/>
        </w:rPr>
        <w:t>KEYWORDS</w:t>
      </w:r>
    </w:p>
    <w:p>
      <w:pPr>
        <w:spacing w:after="0" w:line="79" w:lineRule="exact"/>
        <w:rPr>
          <w:sz w:val="24"/>
          <w:szCs w:val="24"/>
          <w:color w:val="auto"/>
        </w:rPr>
      </w:pPr>
    </w:p>
    <w:p>
      <w:pPr>
        <w:spacing w:after="0"/>
        <w:rPr>
          <w:sz w:val="20"/>
          <w:szCs w:val="20"/>
          <w:color w:val="auto"/>
        </w:rPr>
      </w:pPr>
      <w:r>
        <w:rPr>
          <w:rFonts w:ascii="Arial" w:cs="Arial" w:eastAsia="Arial" w:hAnsi="Arial"/>
          <w:sz w:val="16"/>
          <w:szCs w:val="16"/>
          <w:color w:val="auto"/>
        </w:rPr>
        <w:t>3CL</w:t>
      </w:r>
      <w:r>
        <w:rPr>
          <w:rFonts w:ascii="Arial" w:cs="Arial" w:eastAsia="Arial" w:hAnsi="Arial"/>
          <w:sz w:val="21"/>
          <w:szCs w:val="21"/>
          <w:color w:val="auto"/>
          <w:vertAlign w:val="superscript"/>
        </w:rPr>
        <w:t>pro</w:t>
      </w:r>
      <w:r>
        <w:rPr>
          <w:rFonts w:ascii="Arial" w:cs="Arial" w:eastAsia="Arial" w:hAnsi="Arial"/>
          <w:sz w:val="16"/>
          <w:szCs w:val="16"/>
          <w:color w:val="auto"/>
        </w:rPr>
        <w:t>, Haritaki, medicinal plants, SARS-CoV-2, tea</w:t>
      </w:r>
    </w:p>
    <w:p>
      <w:pPr>
        <w:spacing w:after="0" w:line="200" w:lineRule="exact"/>
        <w:rPr>
          <w:sz w:val="24"/>
          <w:szCs w:val="24"/>
          <w:color w:val="auto"/>
        </w:rPr>
      </w:pPr>
    </w:p>
    <w:p>
      <w:pPr>
        <w:sectPr>
          <w:pgSz w:w="11900" w:h="15647" w:orient="portrait"/>
          <w:cols w:equalWidth="0" w:num="2">
            <w:col w:w="2860" w:space="440"/>
            <w:col w:w="6800"/>
          </w:cols>
          <w:pgMar w:left="880" w:top="530" w:right="926" w:bottom="0" w:gutter="0" w:footer="0" w:header="0"/>
          <w:type w:val="continuous"/>
        </w:sectPr>
      </w:pPr>
    </w:p>
    <w:p>
      <w:pPr>
        <w:spacing w:after="0" w:line="123" w:lineRule="exact"/>
        <w:rPr>
          <w:sz w:val="24"/>
          <w:szCs w:val="24"/>
          <w:color w:val="auto"/>
        </w:rPr>
      </w:pPr>
    </w:p>
    <w:p>
      <w:pPr>
        <w:ind w:left="20"/>
        <w:spacing w:after="0"/>
        <w:tabs>
          <w:tab w:leader="none" w:pos="340" w:val="left"/>
          <w:tab w:leader="none" w:pos="620" w:val="left"/>
        </w:tabs>
        <w:rPr>
          <w:sz w:val="20"/>
          <w:szCs w:val="20"/>
          <w:color w:val="auto"/>
        </w:rPr>
      </w:pPr>
      <w:r>
        <w:rPr>
          <w:rFonts w:ascii="Arial" w:cs="Arial" w:eastAsia="Arial" w:hAnsi="Arial"/>
          <w:sz w:val="20"/>
          <w:szCs w:val="20"/>
          <w:color w:val="auto"/>
        </w:rPr>
        <w:t>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INTRODUCTION</w:t>
      </w:r>
    </w:p>
    <w:p>
      <w:pPr>
        <w:spacing w:after="0" w:line="337" w:lineRule="exact"/>
        <w:rPr>
          <w:sz w:val="24"/>
          <w:szCs w:val="24"/>
          <w:color w:val="auto"/>
        </w:rPr>
      </w:pPr>
    </w:p>
    <w:p>
      <w:pPr>
        <w:jc w:val="both"/>
        <w:ind w:left="20"/>
        <w:spacing w:after="0" w:line="362" w:lineRule="auto"/>
        <w:rPr>
          <w:sz w:val="20"/>
          <w:szCs w:val="20"/>
          <w:color w:val="auto"/>
        </w:rPr>
      </w:pPr>
      <w:r>
        <w:rPr>
          <w:rFonts w:ascii="Arial" w:cs="Arial" w:eastAsia="Arial" w:hAnsi="Arial"/>
          <w:sz w:val="15"/>
          <w:szCs w:val="15"/>
          <w:color w:val="auto"/>
        </w:rPr>
        <w:t>Coronavirus disease 2019 (COVID-19) originated from Wuhan, China, has recently emerged as a global pandemic and a serious blow to human life and economy. The etiological agent of the disease is a positive-sense single-stranded RNA virus that belongs to the Coronaviridae family. Phylogenetically, the virus relates to the SARS-CoV that emerged in 2002 and hence been named as the SARS-CoV-2 (Gorbalenya et al., 2020). The COVID-19 is characterized by the serious illness such as pneumonia and even respiratory failure in extreme cases (Chan et al., 2020) among other multiple effects which are being deciphered with each passing day. The disease transmission occurs via droplet means and upon infection it displays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10160</wp:posOffset>
            </wp:positionH>
            <wp:positionV relativeFrom="paragraph">
              <wp:posOffset>162560</wp:posOffset>
            </wp:positionV>
            <wp:extent cx="3083560" cy="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3083560" cy="5715"/>
                    </a:xfrm>
                    <a:prstGeom prst="rect">
                      <a:avLst/>
                    </a:prstGeom>
                    <a:noFill/>
                  </pic:spPr>
                </pic:pic>
              </a:graphicData>
            </a:graphic>
          </wp:anchor>
        </w:drawing>
      </w:r>
    </w:p>
    <w:p>
      <w:pPr>
        <w:spacing w:after="0" w:line="355" w:lineRule="exact"/>
        <w:rPr>
          <w:sz w:val="24"/>
          <w:szCs w:val="24"/>
          <w:color w:val="auto"/>
        </w:rPr>
      </w:pPr>
    </w:p>
    <w:p>
      <w:pPr>
        <w:ind w:left="20" w:right="480"/>
        <w:spacing w:after="0" w:line="300" w:lineRule="auto"/>
        <w:rPr>
          <w:sz w:val="20"/>
          <w:szCs w:val="20"/>
          <w:color w:val="auto"/>
        </w:rPr>
      </w:pPr>
      <w:r>
        <w:rPr>
          <w:rFonts w:ascii="Arial" w:cs="Arial" w:eastAsia="Arial" w:hAnsi="Arial"/>
          <w:sz w:val="12"/>
          <w:szCs w:val="12"/>
          <w:color w:val="auto"/>
        </w:rPr>
        <w:t>Saurabh Upadhyay, Praveen K. Tripathi, and Manju Singh authors are provided equal contribution.</w:t>
      </w:r>
    </w:p>
    <w:p>
      <w:pPr>
        <w:spacing w:after="0" w:line="20" w:lineRule="exact"/>
        <w:rPr>
          <w:sz w:val="24"/>
          <w:szCs w:val="24"/>
          <w:color w:val="auto"/>
        </w:rPr>
      </w:pPr>
      <w:r>
        <w:rPr>
          <w:sz w:val="24"/>
          <w:szCs w:val="24"/>
          <w:color w:val="auto"/>
        </w:rPr>
        <w:br w:type="column"/>
      </w:r>
    </w:p>
    <w:p>
      <w:pPr>
        <w:spacing w:after="0" w:line="153" w:lineRule="exact"/>
        <w:rPr>
          <w:sz w:val="24"/>
          <w:szCs w:val="24"/>
          <w:color w:val="auto"/>
        </w:rPr>
      </w:pPr>
    </w:p>
    <w:p>
      <w:pPr>
        <w:jc w:val="both"/>
        <w:spacing w:after="0" w:line="337" w:lineRule="auto"/>
        <w:rPr>
          <w:sz w:val="20"/>
          <w:szCs w:val="20"/>
          <w:color w:val="auto"/>
        </w:rPr>
      </w:pPr>
      <w:r>
        <w:rPr>
          <w:rFonts w:ascii="Arial" w:cs="Arial" w:eastAsia="Arial" w:hAnsi="Arial"/>
          <w:sz w:val="16"/>
          <w:szCs w:val="16"/>
          <w:color w:val="auto"/>
        </w:rPr>
        <w:t>higher fatality rate in elderly and immunocompromised individuals. These group of sufferers have more chances of disease progression (Liu, Chen, Lin, &amp; Han, 2020). The disease leaves lesions on lungs and has effects liver as well. These pathological manifestations effects the post-infection physiology of internal organs (Xu, Liu, Lu, Yang, &amp; Zheng, 2020).</w:t>
      </w:r>
    </w:p>
    <w:p>
      <w:pPr>
        <w:spacing w:after="0" w:line="10" w:lineRule="exact"/>
        <w:rPr>
          <w:sz w:val="24"/>
          <w:szCs w:val="24"/>
          <w:color w:val="auto"/>
        </w:rPr>
      </w:pPr>
    </w:p>
    <w:p>
      <w:pPr>
        <w:jc w:val="both"/>
        <w:ind w:firstLine="299"/>
        <w:spacing w:after="0" w:line="331" w:lineRule="auto"/>
        <w:rPr>
          <w:sz w:val="20"/>
          <w:szCs w:val="20"/>
          <w:color w:val="auto"/>
        </w:rPr>
      </w:pPr>
      <w:r>
        <w:rPr>
          <w:rFonts w:ascii="Arial" w:cs="Arial" w:eastAsia="Arial" w:hAnsi="Arial"/>
          <w:sz w:val="15"/>
          <w:szCs w:val="15"/>
          <w:color w:val="auto"/>
        </w:rPr>
        <w:t>The virus comprises 26 different proteins, which include 10 major structural proteins, namely the envelope (E), membrane (M), nucleo-capsid (N), and the trimeric spike (S) proteins that are vital to the com-pletion of its replication cycle. Further, the viral genome encodes two proteases- the papain-like protease (PL</w:t>
      </w:r>
      <w:r>
        <w:rPr>
          <w:rFonts w:ascii="Arial" w:cs="Arial" w:eastAsia="Arial" w:hAnsi="Arial"/>
          <w:sz w:val="20"/>
          <w:szCs w:val="20"/>
          <w:color w:val="auto"/>
          <w:vertAlign w:val="superscript"/>
        </w:rPr>
        <w:t>pro</w:t>
      </w:r>
      <w:r>
        <w:rPr>
          <w:rFonts w:ascii="Arial" w:cs="Arial" w:eastAsia="Arial" w:hAnsi="Arial"/>
          <w:sz w:val="15"/>
          <w:szCs w:val="15"/>
          <w:color w:val="auto"/>
        </w:rPr>
        <w:t>); and the 3-chymotrypsin-like protease (3CL</w:t>
      </w:r>
      <w:r>
        <w:rPr>
          <w:rFonts w:ascii="Arial" w:cs="Arial" w:eastAsia="Arial" w:hAnsi="Arial"/>
          <w:sz w:val="20"/>
          <w:szCs w:val="20"/>
          <w:color w:val="auto"/>
          <w:vertAlign w:val="superscript"/>
        </w:rPr>
        <w:t>pro</w:t>
      </w:r>
      <w:r>
        <w:rPr>
          <w:rFonts w:ascii="Arial" w:cs="Arial" w:eastAsia="Arial" w:hAnsi="Arial"/>
          <w:sz w:val="15"/>
          <w:szCs w:val="15"/>
          <w:color w:val="auto"/>
        </w:rPr>
        <w:t>) also known as the main protease (M</w:t>
      </w:r>
      <w:r>
        <w:rPr>
          <w:rFonts w:ascii="Arial" w:cs="Arial" w:eastAsia="Arial" w:hAnsi="Arial"/>
          <w:sz w:val="20"/>
          <w:szCs w:val="20"/>
          <w:color w:val="auto"/>
          <w:vertAlign w:val="superscript"/>
        </w:rPr>
        <w:t>pro</w:t>
      </w:r>
      <w:r>
        <w:rPr>
          <w:rFonts w:ascii="Arial" w:cs="Arial" w:eastAsia="Arial" w:hAnsi="Arial"/>
          <w:sz w:val="15"/>
          <w:szCs w:val="15"/>
          <w:color w:val="auto"/>
        </w:rPr>
        <w:t>) of the virus (Anand, Ziebuhr, Wadhwani, Mesters, &amp; Hilgenfeld, 2003). Both of the proteases are essential for the processing of polyproteins PP1A and PP1B, translated from the RNA of the virus (Hilgenfeld, 2014) and the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enzyme has emerged as an interesting premise for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2766060</wp:posOffset>
            </wp:positionH>
            <wp:positionV relativeFrom="paragraph">
              <wp:posOffset>39370</wp:posOffset>
            </wp:positionV>
            <wp:extent cx="31115" cy="1524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extLst>
                    </a:blip>
                    <a:srcRect/>
                    <a:stretch>
                      <a:fillRect/>
                    </a:stretch>
                  </pic:blipFill>
                  <pic:spPr bwMode="auto">
                    <a:xfrm>
                      <a:off x="0" y="0"/>
                      <a:ext cx="31115" cy="152400"/>
                    </a:xfrm>
                    <a:prstGeom prst="rect">
                      <a:avLst/>
                    </a:prstGeom>
                    <a:noFill/>
                  </pic:spPr>
                </pic:pic>
              </a:graphicData>
            </a:graphic>
          </wp:anchor>
        </w:drawing>
      </w:r>
    </w:p>
    <w:p>
      <w:pPr>
        <w:spacing w:after="0" w:line="42" w:lineRule="exact"/>
        <w:rPr>
          <w:sz w:val="24"/>
          <w:szCs w:val="24"/>
          <w:color w:val="auto"/>
        </w:rPr>
      </w:pPr>
    </w:p>
    <w:p>
      <w:pPr>
        <w:sectPr>
          <w:pgSz w:w="11900" w:h="15647" w:orient="portrait"/>
          <w:cols w:equalWidth="0" w:num="2">
            <w:col w:w="4880" w:space="360"/>
            <w:col w:w="4860"/>
          </w:cols>
          <w:pgMar w:left="880" w:top="530" w:right="926" w:bottom="0" w:gutter="0" w:footer="0" w:header="0"/>
          <w:type w:val="continuous"/>
        </w:sectPr>
      </w:pPr>
    </w:p>
    <w:tbl>
      <w:tblPr>
        <w:tblLayout w:type="fixed"/>
        <w:tblInd w:w="0" w:type="dxa"/>
        <w:tblCellMar>
          <w:top w:w="0" w:type="dxa"/>
          <w:left w:w="0" w:type="dxa"/>
          <w:bottom w:w="0" w:type="dxa"/>
          <w:right w:w="0" w:type="dxa"/>
        </w:tblCellMar>
      </w:tblPr>
      <w:tr>
        <w:trPr>
          <w:trHeight w:val="220"/>
        </w:trPr>
        <w:tc>
          <w:tcPr>
            <w:tcW w:w="2940" w:type="dxa"/>
            <w:vAlign w:val="bottom"/>
            <w:tcBorders>
              <w:top w:val="single" w:sz="8" w:color="auto"/>
            </w:tcBorders>
          </w:tcPr>
          <w:p>
            <w:pPr>
              <w:ind w:left="20"/>
              <w:spacing w:after="0"/>
              <w:rPr>
                <w:sz w:val="20"/>
                <w:szCs w:val="20"/>
                <w:color w:val="auto"/>
              </w:rPr>
            </w:pPr>
            <w:r>
              <w:rPr>
                <w:rFonts w:ascii="Arial" w:cs="Arial" w:eastAsia="Arial" w:hAnsi="Arial"/>
                <w:sz w:val="14"/>
                <w:szCs w:val="14"/>
                <w:color w:val="auto"/>
              </w:rPr>
              <w:t>Phytotherapy Research. 2020;1–9.</w:t>
            </w:r>
          </w:p>
        </w:tc>
        <w:tc>
          <w:tcPr>
            <w:tcW w:w="3760" w:type="dxa"/>
            <w:vAlign w:val="bottom"/>
            <w:tcBorders>
              <w:top w:val="single" w:sz="8" w:color="auto"/>
            </w:tcBorders>
          </w:tcPr>
          <w:p>
            <w:pPr>
              <w:ind w:left="860"/>
              <w:spacing w:after="0"/>
              <w:rPr>
                <w:rFonts w:ascii="Arial" w:cs="Arial" w:eastAsia="Arial" w:hAnsi="Arial"/>
                <w:sz w:val="14"/>
                <w:szCs w:val="14"/>
                <w:color w:val="auto"/>
              </w:rPr>
            </w:pPr>
            <w:hyperlink r:id="rId17">
              <w:r>
                <w:rPr>
                  <w:rFonts w:ascii="Arial" w:cs="Arial" w:eastAsia="Arial" w:hAnsi="Arial"/>
                  <w:sz w:val="14"/>
                  <w:szCs w:val="14"/>
                  <w:color w:val="auto"/>
                </w:rPr>
                <w:t>wileyonlinelibrary.com/journal/ptr</w:t>
              </w:r>
            </w:hyperlink>
          </w:p>
        </w:tc>
        <w:tc>
          <w:tcPr>
            <w:tcW w:w="2940" w:type="dxa"/>
            <w:vAlign w:val="bottom"/>
            <w:tcBorders>
              <w:top w:val="single" w:sz="8" w:color="auto"/>
              <w:right w:val="single" w:sz="8" w:color="auto"/>
            </w:tcBorders>
          </w:tcPr>
          <w:p>
            <w:pPr>
              <w:ind w:left="820"/>
              <w:spacing w:after="0"/>
              <w:rPr>
                <w:sz w:val="20"/>
                <w:szCs w:val="20"/>
                <w:color w:val="auto"/>
              </w:rPr>
            </w:pPr>
            <w:r>
              <w:rPr>
                <w:rFonts w:ascii="Arial" w:cs="Arial" w:eastAsia="Arial" w:hAnsi="Arial"/>
                <w:sz w:val="14"/>
                <w:szCs w:val="14"/>
                <w:color w:val="auto"/>
              </w:rPr>
              <w:t>© 2020 John Wiley &amp; Sons, Ltd.</w:t>
            </w:r>
          </w:p>
        </w:tc>
        <w:tc>
          <w:tcPr>
            <w:tcW w:w="460" w:type="dxa"/>
            <w:vAlign w:val="bottom"/>
            <w:tcBorders>
              <w:top w:val="single" w:sz="8" w:color="auto"/>
            </w:tcBorders>
          </w:tcPr>
          <w:p>
            <w:pPr>
              <w:jc w:val="right"/>
              <w:spacing w:after="0"/>
              <w:rPr>
                <w:sz w:val="20"/>
                <w:szCs w:val="20"/>
                <w:color w:val="auto"/>
              </w:rPr>
            </w:pPr>
            <w:r>
              <w:rPr>
                <w:rFonts w:ascii="Arial" w:cs="Arial" w:eastAsia="Arial" w:hAnsi="Arial"/>
                <w:sz w:val="14"/>
                <w:szCs w:val="14"/>
                <w:color w:val="auto"/>
              </w:rPr>
              <w:t>1</w:t>
            </w: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6403975</wp:posOffset>
                </wp:positionH>
                <wp:positionV relativeFrom="paragraph">
                  <wp:posOffset>-129540</wp:posOffset>
                </wp:positionV>
                <wp:extent cx="127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25pt,-10.1999pt" to="505.25pt,-10.1999pt" o:allowincell="f" strokecolor="#000000" strokeweight="0.5102pt"/>
            </w:pict>
          </mc:Fallback>
        </mc:AlternateContent>
      </w:r>
    </w:p>
    <w:p>
      <w:pPr>
        <w:sectPr>
          <w:pgSz w:w="11900" w:h="15647" w:orient="portrait"/>
          <w:cols w:equalWidth="0" w:num="1">
            <w:col w:w="10100"/>
          </w:cols>
          <w:pgMar w:left="880" w:top="530" w:right="926" w:bottom="0" w:gutter="0" w:footer="0" w:header="0"/>
          <w:type w:val="continuous"/>
        </w:sectPr>
      </w:pPr>
    </w:p>
    <w:bookmarkStart w:id="1" w:name="page2"/>
    <w:bookmarkEnd w:id="1"/>
    <w:p>
      <w:pPr>
        <w:spacing w:after="0"/>
        <w:tabs>
          <w:tab w:leader="none" w:pos="429" w:val="left"/>
        </w:tabs>
        <w:rPr>
          <w:sz w:val="20"/>
          <w:szCs w:val="20"/>
          <w:color w:val="auto"/>
        </w:rPr>
      </w:pPr>
      <w:r>
        <w:rPr>
          <w:rFonts w:ascii="Arial" w:cs="Arial" w:eastAsia="Arial" w:hAnsi="Arial"/>
          <w:sz w:val="14"/>
          <w:szCs w:val="14"/>
          <w:color w:val="auto"/>
        </w:rPr>
        <w:t>2</w:t>
      </w:r>
      <w:r>
        <w:rPr>
          <w:sz w:val="20"/>
          <w:szCs w:val="20"/>
          <w:color w:val="auto"/>
        </w:rPr>
        <w:tab/>
      </w:r>
      <w:r>
        <w:rPr>
          <w:sz w:val="1"/>
          <w:szCs w:val="1"/>
          <w:color w:val="auto"/>
        </w:rPr>
        <w:drawing>
          <wp:inline distT="0" distB="0" distL="0" distR="0">
            <wp:extent cx="19050" cy="1708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drawing>
          <wp:inline distT="0" distB="0" distL="0" distR="0">
            <wp:extent cx="687705" cy="1435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r>
      <w:r>
        <w:rPr>
          <w:rFonts w:ascii="Arial" w:cs="Arial" w:eastAsia="Arial" w:hAnsi="Arial"/>
          <w:sz w:val="14"/>
          <w:szCs w:val="14"/>
          <w:color w:val="auto"/>
        </w:rPr>
        <w:t xml:space="preserve">                                                                                                 UPADHYAY </w:t>
      </w:r>
      <w:r>
        <w:rPr>
          <w:rFonts w:ascii="Arial" w:cs="Arial" w:eastAsia="Arial" w:hAnsi="Arial"/>
          <w:sz w:val="11"/>
          <w:szCs w:val="11"/>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1087120</wp:posOffset>
                </wp:positionH>
                <wp:positionV relativeFrom="paragraph">
                  <wp:posOffset>-27940</wp:posOffset>
                </wp:positionV>
                <wp:extent cx="532574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2574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6pt,-2.1999pt" to="504.9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-27940</wp:posOffset>
                </wp:positionV>
                <wp:extent cx="3937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3700"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1999pt" to="31.4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-27940</wp:posOffset>
                </wp:positionV>
                <wp:extent cx="1206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99pt" to="0.95pt,-2.1999pt" o:allowincell="f" strokecolor="#000000" strokeweight="0.4535pt"/>
            </w:pict>
          </mc:Fallback>
        </mc:AlternateContent>
      </w:r>
    </w:p>
    <w:p>
      <w:pPr>
        <w:sectPr>
          <w:pgSz w:w="11900" w:h="15647" w:orient="portrait"/>
          <w:cols w:equalWidth="0" w:num="1">
            <w:col w:w="10100"/>
          </w:cols>
          <w:pgMar w:left="920" w:top="415" w:right="886" w:bottom="251" w:gutter="0" w:footer="0" w:header="0"/>
        </w:sectPr>
      </w:pPr>
    </w:p>
    <w:p>
      <w:pPr>
        <w:spacing w:after="0" w:line="295" w:lineRule="exact"/>
        <w:rPr>
          <w:sz w:val="20"/>
          <w:szCs w:val="20"/>
          <w:color w:val="auto"/>
        </w:rPr>
      </w:pPr>
    </w:p>
    <w:p>
      <w:pPr>
        <w:jc w:val="both"/>
        <w:spacing w:after="0" w:line="339" w:lineRule="auto"/>
        <w:rPr>
          <w:sz w:val="20"/>
          <w:szCs w:val="20"/>
          <w:color w:val="auto"/>
        </w:rPr>
      </w:pPr>
      <w:r>
        <w:rPr>
          <w:rFonts w:ascii="Arial" w:cs="Arial" w:eastAsia="Arial" w:hAnsi="Arial"/>
          <w:sz w:val="15"/>
          <w:szCs w:val="15"/>
          <w:color w:val="auto"/>
        </w:rPr>
        <w:t>the development of drugs targeting the virus. The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is very important for virus to replicate and propagate and its inhibitors may halt the disease at an early stage of replication. It recognises and cleaves the virus non-structural polyprotein at 12 sites. One of the site on the polyprotein includes Leu-Gln*(Ser, Ala, Gly) (* denotes the cleavage site). To impede virus replication, multiple strategies are being employed. Medicinal plants could be harnessed as one of the safest means of medication and have been used traditionally for vari-ous manifestations. The anti-viral activities of several plants have been elucidated so far (Newman &amp; Cragg, 2007). The role of plant lectins as anti-SARS-CoV-2 has been proposed (Capell et al., 2020). We have shortlisted the medicinal plants which are reported to pos-sess the anti-viral, anti-oxidant, and anti-inflammatory properties. Further, the aqueous extracts were screened for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inhibition, in-vitro. We found that tea (Camellia sinensis) and Haritaki (Terminalia chebula) as potential inhibitors of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activity of SARS-CoV-2. Additonally, we compared the activity inhibition by different types of Teas and found that Green Tea and Black Tea displayed comparable potencies to inhibit the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activity of SARS-CoV-2.</w:t>
      </w:r>
    </w:p>
    <w:p>
      <w:pPr>
        <w:spacing w:after="0" w:line="9" w:lineRule="exact"/>
        <w:rPr>
          <w:sz w:val="20"/>
          <w:szCs w:val="20"/>
          <w:color w:val="auto"/>
        </w:rPr>
      </w:pPr>
    </w:p>
    <w:p>
      <w:pPr>
        <w:jc w:val="both"/>
        <w:ind w:firstLine="300"/>
        <w:spacing w:after="0" w:line="341" w:lineRule="auto"/>
        <w:rPr>
          <w:sz w:val="20"/>
          <w:szCs w:val="20"/>
          <w:color w:val="auto"/>
        </w:rPr>
      </w:pPr>
      <w:r>
        <w:rPr>
          <w:rFonts w:ascii="Arial" w:cs="Arial" w:eastAsia="Arial" w:hAnsi="Arial"/>
          <w:sz w:val="15"/>
          <w:szCs w:val="15"/>
          <w:color w:val="auto"/>
        </w:rPr>
        <w:t>The pharmacoactive molecules like catechins, present in Green Tea, have been shown to possess multiple health-boosting activities like hypoglycemic, hypotensive, anti-tumor, anti-oxidative, hypo-lipidemic, anti-bacterial, and anti-viral effects (Cabrera, Artacho, &amp; Giménez, 2006; Cooper, Morré, &amp; Morré, 2005a, 2005b; Mahmood et al., 2016). The (−)-Epigallocatechin gallate (EGCG) present in Green Tea has a virucidal effect on the Zika virus (Carneiro, Batista, Braga, Nogueira, &amp; Rahal, 2016). Similarly, the Prodelphinidin B-2 3</w:t>
      </w:r>
      <w:r>
        <w:rPr>
          <w:rFonts w:ascii="Arial" w:cs="Arial" w:eastAsia="Arial" w:hAnsi="Arial"/>
          <w:sz w:val="21"/>
          <w:szCs w:val="21"/>
          <w:color w:val="auto"/>
          <w:vertAlign w:val="superscript"/>
        </w:rPr>
        <w:t>0</w:t>
      </w:r>
      <w:r>
        <w:rPr>
          <w:rFonts w:ascii="Arial" w:cs="Arial" w:eastAsia="Arial" w:hAnsi="Arial"/>
          <w:sz w:val="15"/>
          <w:szCs w:val="15"/>
          <w:color w:val="auto"/>
        </w:rPr>
        <w:t>-O-Gallate molecule has shown an anti-viral effect against the Herpes Simplex Virus type 2 (HSV-2; Cheng, Lin, &amp; Lin, 2002). Further, the Green Tea extract has also been demonstrated as a safe personal hygiene option against viral infections like human influenza A/H1N1 virus (Lee, Jang, Kim, Kim, &amp; Seong, 2018). Interestingly, Theaflavin-3, 3</w:t>
      </w:r>
      <w:r>
        <w:rPr>
          <w:rFonts w:ascii="Arial" w:cs="Arial" w:eastAsia="Arial" w:hAnsi="Arial"/>
          <w:sz w:val="21"/>
          <w:szCs w:val="21"/>
          <w:color w:val="auto"/>
          <w:vertAlign w:val="superscript"/>
        </w:rPr>
        <w:t>0</w:t>
      </w:r>
      <w:r>
        <w:rPr>
          <w:rFonts w:ascii="Arial" w:cs="Arial" w:eastAsia="Arial" w:hAnsi="Arial"/>
          <w:sz w:val="15"/>
          <w:szCs w:val="15"/>
          <w:color w:val="auto"/>
        </w:rPr>
        <w:t>-digallate (TF3) which is produced from polymerization and oxidization of the epicatechin gallate and EGCG during fermentation of fresh Tea leaves, displayed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inhibition (Chen et al., 2005). Similarly, Haritaki is also believed to possess anti-bacterial and anti-viral activities (Lee et al., 2011). Furthermore, it has been reported beneficial against viruses like HSV-2 (Kesharwani et al., 2017) and Influenza A virus (Li et al., 2020). Epigallocathechin-3-gallate present in the C. sinensis inhibited the replication of hepatitis-B virus (Karamese, Aydogdu, Karamese, Altoparlak, &amp; Gundogdu, 2015). We assessed the proteolytic activity of the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protein and found that the extracts of Tea (Green Tea and Black Tea) and Haritaki displayed a significant reduction in proteolytic activity.</w:t>
      </w:r>
    </w:p>
    <w:p>
      <w:pPr>
        <w:spacing w:after="0" w:line="200" w:lineRule="exact"/>
        <w:rPr>
          <w:sz w:val="20"/>
          <w:szCs w:val="20"/>
          <w:color w:val="auto"/>
        </w:rPr>
      </w:pPr>
    </w:p>
    <w:p>
      <w:pPr>
        <w:spacing w:after="0" w:line="284" w:lineRule="exact"/>
        <w:rPr>
          <w:sz w:val="20"/>
          <w:szCs w:val="20"/>
          <w:color w:val="auto"/>
        </w:rPr>
      </w:pPr>
    </w:p>
    <w:p>
      <w:pPr>
        <w:spacing w:after="0"/>
        <w:tabs>
          <w:tab w:leader="none" w:pos="340" w:val="left"/>
          <w:tab w:leader="none" w:pos="620" w:val="left"/>
        </w:tabs>
        <w:rPr>
          <w:sz w:val="20"/>
          <w:szCs w:val="20"/>
          <w:color w:val="auto"/>
        </w:rPr>
      </w:pPr>
      <w:r>
        <w:rPr>
          <w:rFonts w:ascii="Arial" w:cs="Arial" w:eastAsia="Arial" w:hAnsi="Arial"/>
          <w:sz w:val="20"/>
          <w:szCs w:val="20"/>
          <w:color w:val="auto"/>
        </w:rPr>
        <w:t>2</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MATERIALS AND METHODS</w:t>
      </w:r>
    </w:p>
    <w:p>
      <w:pPr>
        <w:spacing w:after="0" w:line="295" w:lineRule="exact"/>
        <w:rPr>
          <w:sz w:val="20"/>
          <w:szCs w:val="20"/>
          <w:color w:val="auto"/>
        </w:rPr>
      </w:pPr>
    </w:p>
    <w:p>
      <w:pPr>
        <w:ind w:right="440"/>
        <w:spacing w:after="0" w:line="241" w:lineRule="auto"/>
        <w:rPr>
          <w:sz w:val="20"/>
          <w:szCs w:val="20"/>
          <w:color w:val="auto"/>
        </w:rPr>
      </w:pPr>
      <w:r>
        <w:rPr>
          <w:rFonts w:ascii="Arial" w:cs="Arial" w:eastAsia="Arial" w:hAnsi="Arial"/>
          <w:sz w:val="20"/>
          <w:szCs w:val="20"/>
          <w:color w:val="auto"/>
        </w:rPr>
        <w:t>2.1 | Cloning and expression of main protease 3CL</w:t>
      </w:r>
      <w:r>
        <w:rPr>
          <w:rFonts w:ascii="Arial" w:cs="Arial" w:eastAsia="Arial" w:hAnsi="Arial"/>
          <w:sz w:val="26"/>
          <w:szCs w:val="26"/>
          <w:color w:val="auto"/>
          <w:vertAlign w:val="superscript"/>
        </w:rPr>
        <w:t>pro</w:t>
      </w:r>
    </w:p>
    <w:p>
      <w:pPr>
        <w:spacing w:after="0" w:line="269" w:lineRule="exact"/>
        <w:rPr>
          <w:sz w:val="20"/>
          <w:szCs w:val="20"/>
          <w:color w:val="auto"/>
        </w:rPr>
      </w:pPr>
    </w:p>
    <w:p>
      <w:pPr>
        <w:spacing w:after="0" w:line="316" w:lineRule="auto"/>
        <w:rPr>
          <w:sz w:val="20"/>
          <w:szCs w:val="20"/>
          <w:color w:val="auto"/>
        </w:rPr>
      </w:pPr>
      <w:r>
        <w:rPr>
          <w:rFonts w:ascii="Arial" w:cs="Arial" w:eastAsia="Arial" w:hAnsi="Arial"/>
          <w:sz w:val="15"/>
          <w:szCs w:val="15"/>
          <w:color w:val="auto"/>
        </w:rPr>
        <w:t>The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gene (Wuhan-Hu-1, NC_045512.2, region 10,055–10,972) which is 918 base pair synthesized in pEXA2 vector was procured from</w:t>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jc w:val="both"/>
        <w:spacing w:after="0" w:line="327" w:lineRule="auto"/>
        <w:rPr>
          <w:sz w:val="20"/>
          <w:szCs w:val="20"/>
          <w:color w:val="auto"/>
        </w:rPr>
      </w:pPr>
      <w:r>
        <w:rPr>
          <w:rFonts w:ascii="Arial" w:cs="Arial" w:eastAsia="Arial" w:hAnsi="Arial"/>
          <w:sz w:val="16"/>
          <w:szCs w:val="16"/>
          <w:color w:val="auto"/>
        </w:rPr>
        <w:t>Eurofins Genomics, Japan and was used for sub cloning in protein expression vector since it has been designed with BamHI and XhoI restriction enzyme sites. The digested desired gene insert was purified and ligated to a modified pET-28a vector between BamHI and XhoI sites. This modified vector contains the sequences coding for PreScission, flag tag, and hexahistidine. The cloned gene in the pET-28a vector was subjected to protein expression. After analyzing the soluble expressions from various expressing strains of Escherichia coli, we chose BL-21DE3 Rosetta RIL cells for expressing the protein. The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protein tagged with 6-histidines at N-terminal end was expressed using an auto-induction method of protein production with appropriate antibiotics kanamycin (50 </w:t>
      </w:r>
      <w:r>
        <w:rPr>
          <w:rFonts w:ascii="Arial" w:cs="Arial" w:eastAsia="Arial" w:hAnsi="Arial"/>
          <w:sz w:val="16"/>
          <w:szCs w:val="16"/>
          <w:color w:val="auto"/>
        </w:rPr>
        <w:t>μ</w:t>
      </w:r>
      <w:r>
        <w:rPr>
          <w:rFonts w:ascii="Arial" w:cs="Arial" w:eastAsia="Arial" w:hAnsi="Arial"/>
          <w:sz w:val="16"/>
          <w:szCs w:val="16"/>
          <w:color w:val="auto"/>
        </w:rPr>
        <w:t xml:space="preserve">g/ml) and chloramphenicol (34 </w:t>
      </w:r>
      <w:r>
        <w:rPr>
          <w:rFonts w:ascii="Arial" w:cs="Arial" w:eastAsia="Arial" w:hAnsi="Arial"/>
          <w:sz w:val="16"/>
          <w:szCs w:val="16"/>
          <w:color w:val="auto"/>
        </w:rPr>
        <w:t>μ</w:t>
      </w:r>
      <w:r>
        <w:rPr>
          <w:rFonts w:ascii="Arial" w:cs="Arial" w:eastAsia="Arial" w:hAnsi="Arial"/>
          <w:sz w:val="16"/>
          <w:szCs w:val="16"/>
          <w:color w:val="auto"/>
        </w:rPr>
        <w:t>g/ml; Studier, 2005). The cells were first cultured for 2 hr at +37 C, further grown at +18 C for 18 hr. The cells were harvested by centrifugation, and the pellet was re-suspended in buffer A (50 mM Tris pH 7.5, 500 mM NaCl, 10% glycerol, 10 mM Imidazole) con-taining protease inhibitors 1 mM DTT, 0.5 mM PMSF and DNAseI 0.001 mg/ml with 5 mM MgCl</w:t>
      </w:r>
      <w:r>
        <w:rPr>
          <w:rFonts w:ascii="Arial" w:cs="Arial" w:eastAsia="Arial" w:hAnsi="Arial"/>
          <w:sz w:val="21"/>
          <w:szCs w:val="21"/>
          <w:color w:val="auto"/>
          <w:vertAlign w:val="subscript"/>
        </w:rPr>
        <w:t>2</w:t>
      </w:r>
      <w:r>
        <w:rPr>
          <w:rFonts w:ascii="Arial" w:cs="Arial" w:eastAsia="Arial" w:hAnsi="Arial"/>
          <w:sz w:val="16"/>
          <w:szCs w:val="16"/>
          <w:color w:val="auto"/>
        </w:rPr>
        <w:t>. The cells were lysed by adding lyso-zyme having final concentration 1 mg/ml and disrupted by sonication on ice with 30 s ON and 30 s OFF for 10 min, and the lysate was clar-ified by centrifugation at 10,000g for 30 min. The clear lysate was applied onto a Ni-NTA column pre-equilibrated with buffer A on ÄKTA™ start FPLC system (GE Healthcare). The column was washed with 100 mL of Buffer A, and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protein was eluted with gradient elution 0–500 mM imidazole in buffer A. The fractions were analyzed on SDS-PAGE for purity. The eluted fractions were pooled, dialyzed, and purified through QFF anion exchange chromatography with a lin-ear gradient of NaCl (0–500 mM). The purified protein was homoge-neous with about &gt;95% purity and confirmed with western blot analysis. Fractions containing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protein were pooled and cleaved with recombinant Precision protease at +4 C overnight. The overnight cleaved protein was reapplied on the Ni-NTA column and the unbound sample has been collected. It was concentrated, buffer exchanged (20 mM Tris HCl pH 7.5, 150 mM NaCl, 10% Glycerol, and 1 mM DTT), flash frozen and stored at −80 C for all biochemical and biophysical studies.</w:t>
      </w:r>
    </w:p>
    <w:p>
      <w:pPr>
        <w:spacing w:after="0" w:line="200" w:lineRule="exact"/>
        <w:rPr>
          <w:sz w:val="20"/>
          <w:szCs w:val="20"/>
          <w:color w:val="auto"/>
        </w:rPr>
      </w:pPr>
    </w:p>
    <w:p>
      <w:pPr>
        <w:spacing w:after="0" w:line="292" w:lineRule="exact"/>
        <w:rPr>
          <w:sz w:val="20"/>
          <w:szCs w:val="20"/>
          <w:color w:val="auto"/>
        </w:rPr>
      </w:pPr>
    </w:p>
    <w:p>
      <w:pPr>
        <w:spacing w:after="0"/>
        <w:tabs>
          <w:tab w:leader="none" w:pos="480" w:val="left"/>
          <w:tab w:leader="none" w:pos="780" w:val="left"/>
        </w:tabs>
        <w:rPr>
          <w:sz w:val="20"/>
          <w:szCs w:val="20"/>
          <w:color w:val="auto"/>
        </w:rPr>
      </w:pPr>
      <w:r>
        <w:rPr>
          <w:rFonts w:ascii="Arial" w:cs="Arial" w:eastAsia="Arial" w:hAnsi="Arial"/>
          <w:sz w:val="20"/>
          <w:szCs w:val="20"/>
          <w:color w:val="auto"/>
        </w:rPr>
        <w:t>2.2</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Screening and preparation of plant extracts</w:t>
      </w:r>
    </w:p>
    <w:p>
      <w:pPr>
        <w:spacing w:after="0" w:line="337" w:lineRule="exact"/>
        <w:rPr>
          <w:sz w:val="20"/>
          <w:szCs w:val="20"/>
          <w:color w:val="auto"/>
        </w:rPr>
      </w:pPr>
    </w:p>
    <w:p>
      <w:pPr>
        <w:jc w:val="both"/>
        <w:spacing w:after="0" w:line="364" w:lineRule="auto"/>
        <w:rPr>
          <w:sz w:val="20"/>
          <w:szCs w:val="20"/>
          <w:color w:val="auto"/>
        </w:rPr>
      </w:pPr>
      <w:r>
        <w:rPr>
          <w:rFonts w:ascii="Arial" w:cs="Arial" w:eastAsia="Arial" w:hAnsi="Arial"/>
          <w:sz w:val="15"/>
          <w:szCs w:val="15"/>
          <w:color w:val="auto"/>
        </w:rPr>
        <w:t xml:space="preserve">The extensive review of scientific and Ayurvedic literature provided the basis of selection of plants having anti-oxidant, anti-inflammatory, anti-viral, and other fortifying characteristics. All plants used in the study were supplied by an Ayurvedic physician at Morarji Desai National Institute of Yoga, New Delhi, India. Two grams of crude plants were powdered and dissolved in 10 mL de-ionized water. The extraction of pharmacoactive compounds was done by keeping the aqueous extracts at 50 C for 12 hr. The resultant suspension was cen-trifuged at 4,000g for 10 min, the supernatant was collected and kept for drying in petridish at 42 C for 24 hr. The dried plant extracts pow-der was weighed and re-dissolved at a concentration of 100 mg/ml in de-ionized water and 10 </w:t>
      </w:r>
      <w:r>
        <w:rPr>
          <w:rFonts w:ascii="Arial" w:cs="Arial" w:eastAsia="Arial" w:hAnsi="Arial"/>
          <w:sz w:val="15"/>
          <w:szCs w:val="15"/>
          <w:color w:val="auto"/>
        </w:rPr>
        <w:t>μ</w:t>
      </w:r>
      <w:r>
        <w:rPr>
          <w:rFonts w:ascii="Arial" w:cs="Arial" w:eastAsia="Arial" w:hAnsi="Arial"/>
          <w:sz w:val="15"/>
          <w:szCs w:val="15"/>
          <w:color w:val="auto"/>
        </w:rPr>
        <w:t>L aliquots (1 mg per tube) was stored in −20 C (Raghavendhar, Tripati, Ray, &amp; Patel, 2019). In each</w:t>
      </w:r>
    </w:p>
    <w:p>
      <w:pPr>
        <w:sectPr>
          <w:pgSz w:w="11900" w:h="15647" w:orient="portrait"/>
          <w:cols w:equalWidth="0" w:num="2">
            <w:col w:w="4860" w:space="380"/>
            <w:col w:w="4860"/>
          </w:cols>
          <w:pgMar w:left="920" w:top="415" w:right="886" w:bottom="251" w:gutter="0" w:footer="0" w:header="0"/>
          <w:type w:val="continuous"/>
        </w:sectPr>
      </w:pPr>
    </w:p>
    <w:bookmarkStart w:id="2" w:name="page3"/>
    <w:bookmarkEnd w:id="2"/>
    <w:p>
      <w:pPr>
        <w:spacing w:after="0"/>
        <w:rPr>
          <w:sz w:val="20"/>
          <w:szCs w:val="20"/>
          <w:color w:val="auto"/>
        </w:rPr>
      </w:pPr>
      <w:r>
        <w:rPr>
          <w:rFonts w:ascii="Arial" w:cs="Arial" w:eastAsia="Arial" w:hAnsi="Arial"/>
          <w:sz w:val="14"/>
          <w:szCs w:val="14"/>
          <w:color w:val="auto"/>
        </w:rPr>
        <w:t xml:space="preserve">UPADHYAY </w:t>
      </w:r>
      <w:r>
        <w:rPr>
          <w:rFonts w:ascii="Arial" w:cs="Arial" w:eastAsia="Arial" w:hAnsi="Arial"/>
          <w:sz w:val="11"/>
          <w:szCs w:val="11"/>
          <w:color w:val="auto"/>
        </w:rPr>
        <w:t>ET AL</w:t>
      </w:r>
      <w:r>
        <w:rPr>
          <w:rFonts w:ascii="Arial" w:cs="Arial" w:eastAsia="Arial" w:hAnsi="Arial"/>
          <w:sz w:val="14"/>
          <w:szCs w:val="14"/>
          <w:color w:val="auto"/>
        </w:rPr>
        <w:t xml:space="preserve">.                                                                                                 </w:t>
      </w:r>
      <w:r>
        <w:rPr>
          <w:sz w:val="1"/>
          <w:szCs w:val="1"/>
          <w:color w:val="auto"/>
        </w:rPr>
        <w:drawing>
          <wp:inline distT="0" distB="0" distL="0" distR="0">
            <wp:extent cx="687705" cy="143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drawing>
          <wp:inline distT="0" distB="0" distL="0" distR="0">
            <wp:extent cx="19050" cy="1708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-27940</wp:posOffset>
                </wp:positionV>
                <wp:extent cx="531812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812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999pt" to="418.5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6003290</wp:posOffset>
                </wp:positionH>
                <wp:positionV relativeFrom="paragraph">
                  <wp:posOffset>-27940</wp:posOffset>
                </wp:positionV>
                <wp:extent cx="40068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068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2.7pt,-2.1999pt" to="504.2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-27940</wp:posOffset>
                </wp:positionV>
                <wp:extent cx="1206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1999pt" to="0.25pt,-2.1999pt" o:allowincell="f" strokecolor="#000000" strokeweight="0.4535pt"/>
            </w:pict>
          </mc:Fallback>
        </mc:AlternateContent>
      </w:r>
    </w:p>
    <w:p>
      <w:pPr>
        <w:sectPr>
          <w:pgSz w:w="11900" w:h="15647" w:orient="portrait"/>
          <w:cols w:equalWidth="0" w:num="1">
            <w:col w:w="10080"/>
          </w:cols>
          <w:pgMar w:left="900" w:top="415" w:right="926" w:bottom="267" w:gutter="0" w:footer="0" w:header="0"/>
        </w:sectPr>
      </w:pPr>
    </w:p>
    <w:p>
      <w:pPr>
        <w:spacing w:after="0" w:line="317" w:lineRule="exact"/>
        <w:rPr>
          <w:sz w:val="20"/>
          <w:szCs w:val="20"/>
          <w:color w:val="auto"/>
        </w:rPr>
      </w:pPr>
    </w:p>
    <w:p>
      <w:pPr>
        <w:spacing w:after="0" w:line="327" w:lineRule="auto"/>
        <w:rPr>
          <w:sz w:val="20"/>
          <w:szCs w:val="20"/>
          <w:color w:val="auto"/>
        </w:rPr>
      </w:pPr>
      <w:r>
        <w:rPr>
          <w:rFonts w:ascii="Arial" w:cs="Arial" w:eastAsia="Arial" w:hAnsi="Arial"/>
          <w:sz w:val="16"/>
          <w:szCs w:val="16"/>
          <w:color w:val="auto"/>
        </w:rPr>
        <w:t>experiments, the dilutions were freshly made as desired concentration of 1 mg/ml and used only once.</w:t>
      </w:r>
    </w:p>
    <w:p>
      <w:pPr>
        <w:spacing w:after="0" w:line="200" w:lineRule="exact"/>
        <w:rPr>
          <w:sz w:val="20"/>
          <w:szCs w:val="20"/>
          <w:color w:val="auto"/>
        </w:rPr>
      </w:pPr>
    </w:p>
    <w:p>
      <w:pPr>
        <w:spacing w:after="0" w:line="298" w:lineRule="exact"/>
        <w:rPr>
          <w:sz w:val="20"/>
          <w:szCs w:val="20"/>
          <w:color w:val="auto"/>
        </w:rPr>
      </w:pPr>
    </w:p>
    <w:p>
      <w:pPr>
        <w:ind w:right="540"/>
        <w:spacing w:after="0" w:line="241" w:lineRule="auto"/>
        <w:rPr>
          <w:sz w:val="20"/>
          <w:szCs w:val="20"/>
          <w:color w:val="auto"/>
        </w:rPr>
      </w:pPr>
      <w:r>
        <w:rPr>
          <w:rFonts w:ascii="Arial" w:cs="Arial" w:eastAsia="Arial" w:hAnsi="Arial"/>
          <w:sz w:val="20"/>
          <w:szCs w:val="20"/>
          <w:color w:val="auto"/>
        </w:rPr>
        <w:t>2.3 | Establishment of protease activity using purified 3CL</w:t>
      </w:r>
      <w:r>
        <w:rPr>
          <w:rFonts w:ascii="Arial" w:cs="Arial" w:eastAsia="Arial" w:hAnsi="Arial"/>
          <w:sz w:val="26"/>
          <w:szCs w:val="26"/>
          <w:color w:val="auto"/>
          <w:vertAlign w:val="superscript"/>
        </w:rPr>
        <w:t>pro</w:t>
      </w:r>
      <w:r>
        <w:rPr>
          <w:rFonts w:ascii="Arial" w:cs="Arial" w:eastAsia="Arial" w:hAnsi="Arial"/>
          <w:sz w:val="20"/>
          <w:szCs w:val="20"/>
          <w:color w:val="auto"/>
        </w:rPr>
        <w:t xml:space="preserve"> and casein substrate</w:t>
      </w:r>
    </w:p>
    <w:p>
      <w:pPr>
        <w:spacing w:after="0" w:line="268" w:lineRule="exact"/>
        <w:rPr>
          <w:sz w:val="20"/>
          <w:szCs w:val="20"/>
          <w:color w:val="auto"/>
        </w:rPr>
      </w:pPr>
    </w:p>
    <w:p>
      <w:pPr>
        <w:jc w:val="both"/>
        <w:spacing w:after="0" w:line="330" w:lineRule="auto"/>
        <w:rPr>
          <w:sz w:val="20"/>
          <w:szCs w:val="20"/>
          <w:color w:val="auto"/>
        </w:rPr>
      </w:pPr>
      <w:r>
        <w:rPr>
          <w:rFonts w:ascii="Arial" w:cs="Arial" w:eastAsia="Arial" w:hAnsi="Arial"/>
          <w:sz w:val="15"/>
          <w:szCs w:val="15"/>
          <w:color w:val="auto"/>
        </w:rPr>
        <w:t>The protease activity of the purified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was tested using a modi-fied protocol from previously reported protocol using casein as a sub-strate (Banik, Biswas, &amp; Karmakar, 2018; Cupp-Enyard, 2008). The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enzyme is non-specific as it cleaves at 12 different locations in SARS-CoV-2. Casein substrate contains peptide sequences that can be cleaved by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of SARS-CoV-2. Hence, we have used the casein substrate for activity measurements. The substrate stock of 0.65% (274 </w:t>
      </w:r>
      <w:r>
        <w:rPr>
          <w:rFonts w:ascii="Arial" w:cs="Arial" w:eastAsia="Arial" w:hAnsi="Arial"/>
          <w:sz w:val="15"/>
          <w:szCs w:val="15"/>
          <w:color w:val="auto"/>
        </w:rPr>
        <w:t>μ</w:t>
      </w:r>
      <w:r>
        <w:rPr>
          <w:rFonts w:ascii="Arial" w:cs="Arial" w:eastAsia="Arial" w:hAnsi="Arial"/>
          <w:sz w:val="15"/>
          <w:szCs w:val="15"/>
          <w:color w:val="auto"/>
        </w:rPr>
        <w:t>M) was prepared in phosphate buffer pH 7.4 and the enzyme (3CL</w:t>
      </w:r>
      <w:r>
        <w:rPr>
          <w:rFonts w:ascii="Arial" w:cs="Arial" w:eastAsia="Arial" w:hAnsi="Arial"/>
          <w:sz w:val="20"/>
          <w:szCs w:val="20"/>
          <w:color w:val="auto"/>
          <w:vertAlign w:val="superscript"/>
        </w:rPr>
        <w:t>pro</w:t>
      </w:r>
      <w:r>
        <w:rPr>
          <w:rFonts w:ascii="Arial" w:cs="Arial" w:eastAsia="Arial" w:hAnsi="Arial"/>
          <w:sz w:val="15"/>
          <w:szCs w:val="15"/>
          <w:color w:val="auto"/>
        </w:rPr>
        <w:t>) was taken in varying concentrations. The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enzyme (10 </w:t>
      </w:r>
      <w:r>
        <w:rPr>
          <w:rFonts w:ascii="Arial" w:cs="Arial" w:eastAsia="Arial" w:hAnsi="Arial"/>
          <w:sz w:val="15"/>
          <w:szCs w:val="15"/>
          <w:color w:val="auto"/>
        </w:rPr>
        <w:t>μ</w:t>
      </w:r>
      <w:r>
        <w:rPr>
          <w:rFonts w:ascii="Arial" w:cs="Arial" w:eastAsia="Arial" w:hAnsi="Arial"/>
          <w:sz w:val="15"/>
          <w:szCs w:val="15"/>
          <w:color w:val="auto"/>
        </w:rPr>
        <w:t xml:space="preserve">M) and varying casein substrate (0–257 </w:t>
      </w:r>
      <w:r>
        <w:rPr>
          <w:rFonts w:ascii="Arial" w:cs="Arial" w:eastAsia="Arial" w:hAnsi="Arial"/>
          <w:sz w:val="15"/>
          <w:szCs w:val="15"/>
          <w:color w:val="auto"/>
        </w:rPr>
        <w:t>μ</w:t>
      </w:r>
      <w:r>
        <w:rPr>
          <w:rFonts w:ascii="Arial" w:cs="Arial" w:eastAsia="Arial" w:hAnsi="Arial"/>
          <w:sz w:val="15"/>
          <w:szCs w:val="15"/>
          <w:color w:val="auto"/>
        </w:rPr>
        <w:t xml:space="preserve">M) were mixed to a final volume of 400 </w:t>
      </w:r>
      <w:r>
        <w:rPr>
          <w:rFonts w:ascii="Arial" w:cs="Arial" w:eastAsia="Arial" w:hAnsi="Arial"/>
          <w:sz w:val="15"/>
          <w:szCs w:val="15"/>
          <w:color w:val="auto"/>
        </w:rPr>
        <w:t>μ</w:t>
      </w:r>
      <w:r>
        <w:rPr>
          <w:rFonts w:ascii="Arial" w:cs="Arial" w:eastAsia="Arial" w:hAnsi="Arial"/>
          <w:sz w:val="15"/>
          <w:szCs w:val="15"/>
          <w:color w:val="auto"/>
        </w:rPr>
        <w:t xml:space="preserve">l and incubated at 37 C for an hour. After the incubation period reaction was stopped by adding 200 </w:t>
      </w:r>
      <w:r>
        <w:rPr>
          <w:rFonts w:ascii="Arial" w:cs="Arial" w:eastAsia="Arial" w:hAnsi="Arial"/>
          <w:sz w:val="15"/>
          <w:szCs w:val="15"/>
          <w:color w:val="auto"/>
        </w:rPr>
        <w:t>μ</w:t>
      </w:r>
      <w:r>
        <w:rPr>
          <w:rFonts w:ascii="Arial" w:cs="Arial" w:eastAsia="Arial" w:hAnsi="Arial"/>
          <w:sz w:val="15"/>
          <w:szCs w:val="15"/>
          <w:color w:val="auto"/>
        </w:rPr>
        <w:t>l of 110 mM trichloroacetic acid (TCA) for 10 min. The final reaction mixture was then centrifuged for 10 min at 15,000g and absorbance at OD</w:t>
      </w:r>
      <w:r>
        <w:rPr>
          <w:rFonts w:ascii="Arial" w:cs="Arial" w:eastAsia="Arial" w:hAnsi="Arial"/>
          <w:sz w:val="20"/>
          <w:szCs w:val="20"/>
          <w:color w:val="auto"/>
          <w:vertAlign w:val="subscript"/>
        </w:rPr>
        <w:t>280</w:t>
      </w:r>
      <w:r>
        <w:rPr>
          <w:rFonts w:ascii="Arial" w:cs="Arial" w:eastAsia="Arial" w:hAnsi="Arial"/>
          <w:sz w:val="15"/>
          <w:szCs w:val="15"/>
          <w:color w:val="auto"/>
        </w:rPr>
        <w:t xml:space="preserve"> was measured using a spectrometer (Beckman Coulter DU 800 spectro-photometer) and values of reactions were subtracted with that of the buffer. The absorbance at 280 nm is the measurement of </w:t>
      </w:r>
      <w:r>
        <w:rPr>
          <w:rFonts w:ascii="Arial" w:cs="Arial" w:eastAsia="Arial" w:hAnsi="Arial"/>
          <w:sz w:val="12"/>
          <w:szCs w:val="12"/>
          <w:color w:val="auto"/>
        </w:rPr>
        <w:t>L</w:t>
      </w:r>
      <w:r>
        <w:rPr>
          <w:rFonts w:ascii="Arial" w:cs="Arial" w:eastAsia="Arial" w:hAnsi="Arial"/>
          <w:sz w:val="15"/>
          <w:szCs w:val="15"/>
          <w:color w:val="auto"/>
        </w:rPr>
        <w:t xml:space="preserve">-tyrosine produced by the protease activity. The standard plot of </w:t>
      </w:r>
      <w:r>
        <w:rPr>
          <w:rFonts w:ascii="Arial" w:cs="Arial" w:eastAsia="Arial" w:hAnsi="Arial"/>
          <w:sz w:val="12"/>
          <w:szCs w:val="12"/>
          <w:color w:val="auto"/>
        </w:rPr>
        <w:t>L</w:t>
      </w:r>
      <w:r>
        <w:rPr>
          <w:rFonts w:ascii="Arial" w:cs="Arial" w:eastAsia="Arial" w:hAnsi="Arial"/>
          <w:sz w:val="15"/>
          <w:szCs w:val="15"/>
          <w:color w:val="auto"/>
        </w:rPr>
        <w:t>-tyrosine was plotted for the velocity calculations. The maximum velocity of the enzymatic reaction was calculated using substrate concentration ver-sus velocity plot and fitted with Michaelis–Menten equations.</w:t>
      </w:r>
    </w:p>
    <w:p>
      <w:pPr>
        <w:spacing w:after="0" w:line="200" w:lineRule="exact"/>
        <w:rPr>
          <w:sz w:val="20"/>
          <w:szCs w:val="20"/>
          <w:color w:val="auto"/>
        </w:rPr>
      </w:pPr>
    </w:p>
    <w:p>
      <w:pPr>
        <w:spacing w:after="0" w:line="307" w:lineRule="exact"/>
        <w:rPr>
          <w:sz w:val="20"/>
          <w:szCs w:val="20"/>
          <w:color w:val="auto"/>
        </w:rPr>
      </w:pPr>
    </w:p>
    <w:p>
      <w:pPr>
        <w:ind w:right="420"/>
        <w:spacing w:after="0" w:line="265" w:lineRule="auto"/>
        <w:rPr>
          <w:sz w:val="20"/>
          <w:szCs w:val="20"/>
          <w:color w:val="auto"/>
        </w:rPr>
      </w:pPr>
      <w:r>
        <w:rPr>
          <w:rFonts w:ascii="Arial" w:cs="Arial" w:eastAsia="Arial" w:hAnsi="Arial"/>
          <w:sz w:val="20"/>
          <w:szCs w:val="20"/>
          <w:color w:val="auto"/>
        </w:rPr>
        <w:t>2.4 | Evaluation of protease inhibition by plant extracts</w:t>
      </w:r>
    </w:p>
    <w:p>
      <w:pPr>
        <w:spacing w:after="0" w:line="313" w:lineRule="exact"/>
        <w:rPr>
          <w:sz w:val="20"/>
          <w:szCs w:val="20"/>
          <w:color w:val="auto"/>
        </w:rPr>
      </w:pPr>
    </w:p>
    <w:p>
      <w:pPr>
        <w:jc w:val="both"/>
        <w:spacing w:after="0" w:line="300" w:lineRule="auto"/>
        <w:rPr>
          <w:sz w:val="20"/>
          <w:szCs w:val="20"/>
          <w:color w:val="auto"/>
        </w:rPr>
      </w:pPr>
      <w:r>
        <w:rPr>
          <w:rFonts w:ascii="Arial" w:cs="Arial" w:eastAsia="Arial" w:hAnsi="Arial"/>
          <w:sz w:val="16"/>
          <w:szCs w:val="16"/>
          <w:color w:val="auto"/>
        </w:rPr>
        <w:t xml:space="preserve">The plants aqueous extracts were evaluated for their potential to inhibit the enzyme activity. The 10 </w:t>
      </w:r>
      <w:r>
        <w:rPr>
          <w:rFonts w:ascii="Arial" w:cs="Arial" w:eastAsia="Arial" w:hAnsi="Arial"/>
          <w:sz w:val="16"/>
          <w:szCs w:val="16"/>
          <w:color w:val="auto"/>
        </w:rPr>
        <w:t>μ</w:t>
      </w:r>
      <w:r>
        <w:rPr>
          <w:rFonts w:ascii="Arial" w:cs="Arial" w:eastAsia="Arial" w:hAnsi="Arial"/>
          <w:sz w:val="16"/>
          <w:szCs w:val="16"/>
          <w:color w:val="auto"/>
        </w:rPr>
        <w:t>M of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enzyme and 137 </w:t>
      </w:r>
      <w:r>
        <w:rPr>
          <w:rFonts w:ascii="Arial" w:cs="Arial" w:eastAsia="Arial" w:hAnsi="Arial"/>
          <w:sz w:val="16"/>
          <w:szCs w:val="16"/>
          <w:color w:val="auto"/>
        </w:rPr>
        <w:t>μ</w:t>
      </w:r>
      <w:r>
        <w:rPr>
          <w:rFonts w:ascii="Arial" w:cs="Arial" w:eastAsia="Arial" w:hAnsi="Arial"/>
          <w:sz w:val="16"/>
          <w:szCs w:val="16"/>
          <w:color w:val="auto"/>
        </w:rPr>
        <w:t xml:space="preserve">M of casein substrate were used to study the inhibition effects of extracts. Different concentrations (0–450 </w:t>
      </w:r>
      <w:r>
        <w:rPr>
          <w:rFonts w:ascii="Arial" w:cs="Arial" w:eastAsia="Arial" w:hAnsi="Arial"/>
          <w:sz w:val="16"/>
          <w:szCs w:val="16"/>
          <w:color w:val="auto"/>
        </w:rPr>
        <w:t>μ</w:t>
      </w:r>
      <w:r>
        <w:rPr>
          <w:rFonts w:ascii="Arial" w:cs="Arial" w:eastAsia="Arial" w:hAnsi="Arial"/>
          <w:sz w:val="16"/>
          <w:szCs w:val="16"/>
          <w:color w:val="auto"/>
        </w:rPr>
        <w:t>g/ml) of extracts were screened to assess their inhibitory potential. Two sets of reactions were prepared, one for reaction with extracts having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and another without 3CL</w:t>
      </w:r>
      <w:r>
        <w:rPr>
          <w:rFonts w:ascii="Arial" w:cs="Arial" w:eastAsia="Arial" w:hAnsi="Arial"/>
          <w:sz w:val="21"/>
          <w:szCs w:val="21"/>
          <w:color w:val="auto"/>
          <w:vertAlign w:val="superscript"/>
        </w:rPr>
        <w:t>pro</w:t>
      </w:r>
      <w:r>
        <w:rPr>
          <w:rFonts w:ascii="Arial" w:cs="Arial" w:eastAsia="Arial" w:hAnsi="Arial"/>
          <w:sz w:val="16"/>
          <w:szCs w:val="16"/>
          <w:color w:val="auto"/>
        </w:rPr>
        <w:t>, as control. The rate of inhibition and potential efficacy was calculated by standard kinetics curve.</w:t>
      </w:r>
    </w:p>
    <w:p>
      <w:pPr>
        <w:spacing w:after="0" w:line="200" w:lineRule="exact"/>
        <w:rPr>
          <w:sz w:val="20"/>
          <w:szCs w:val="20"/>
          <w:color w:val="auto"/>
        </w:rPr>
      </w:pPr>
    </w:p>
    <w:p>
      <w:pPr>
        <w:spacing w:after="0" w:line="304" w:lineRule="exact"/>
        <w:rPr>
          <w:sz w:val="20"/>
          <w:szCs w:val="20"/>
          <w:color w:val="auto"/>
        </w:rPr>
      </w:pPr>
    </w:p>
    <w:p>
      <w:pPr>
        <w:ind w:right="700"/>
        <w:spacing w:after="0" w:line="265" w:lineRule="auto"/>
        <w:rPr>
          <w:sz w:val="20"/>
          <w:szCs w:val="20"/>
          <w:color w:val="auto"/>
        </w:rPr>
      </w:pPr>
      <w:r>
        <w:rPr>
          <w:rFonts w:ascii="Arial" w:cs="Arial" w:eastAsia="Arial" w:hAnsi="Arial"/>
          <w:sz w:val="20"/>
          <w:szCs w:val="20"/>
          <w:color w:val="auto"/>
        </w:rPr>
        <w:t>2.5 | Biomolecular interaction studies using an intrinsic fluorescence assay</w:t>
      </w:r>
    </w:p>
    <w:p>
      <w:pPr>
        <w:spacing w:after="0" w:line="313" w:lineRule="exact"/>
        <w:rPr>
          <w:sz w:val="20"/>
          <w:szCs w:val="20"/>
          <w:color w:val="auto"/>
        </w:rPr>
      </w:pPr>
    </w:p>
    <w:p>
      <w:pPr>
        <w:jc w:val="both"/>
        <w:spacing w:after="0" w:line="326" w:lineRule="auto"/>
        <w:rPr>
          <w:sz w:val="20"/>
          <w:szCs w:val="20"/>
          <w:color w:val="auto"/>
        </w:rPr>
      </w:pPr>
      <w:r>
        <w:rPr>
          <w:rFonts w:ascii="Arial" w:cs="Arial" w:eastAsia="Arial" w:hAnsi="Arial"/>
          <w:sz w:val="15"/>
          <w:szCs w:val="15"/>
          <w:color w:val="auto"/>
        </w:rPr>
        <w:t>Fluorescence quenching was performed to analyze the effect of plants extracts on the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structural dynamics. The tertiary structure pertur-bations post-interaction to ligands present in the extracts were assessed using intrinsic fluorescence of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Ten </w:t>
      </w:r>
      <w:r>
        <w:rPr>
          <w:rFonts w:ascii="Arial" w:cs="Arial" w:eastAsia="Arial" w:hAnsi="Arial"/>
          <w:sz w:val="15"/>
          <w:szCs w:val="15"/>
          <w:color w:val="auto"/>
        </w:rPr>
        <w:t>μ</w:t>
      </w:r>
      <w:r>
        <w:rPr>
          <w:rFonts w:ascii="Arial" w:cs="Arial" w:eastAsia="Arial" w:hAnsi="Arial"/>
          <w:sz w:val="15"/>
          <w:szCs w:val="15"/>
          <w:color w:val="auto"/>
        </w:rPr>
        <w:t>M of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protein was incubated with or without extracts at different concentrations (0–-80 </w:t>
      </w:r>
      <w:r>
        <w:rPr>
          <w:rFonts w:ascii="Arial" w:cs="Arial" w:eastAsia="Arial" w:hAnsi="Arial"/>
          <w:sz w:val="15"/>
          <w:szCs w:val="15"/>
          <w:color w:val="auto"/>
        </w:rPr>
        <w:t>μ</w:t>
      </w:r>
      <w:r>
        <w:rPr>
          <w:rFonts w:ascii="Arial" w:cs="Arial" w:eastAsia="Arial" w:hAnsi="Arial"/>
          <w:sz w:val="15"/>
          <w:szCs w:val="15"/>
          <w:color w:val="auto"/>
        </w:rPr>
        <w:t>g/ml), fluorescence intensity was monitored on Cary Eclipse fluo-rescence spectrophotometer (Agilent technologies). The parameters</w:t>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jc w:val="both"/>
        <w:spacing w:after="0" w:line="336" w:lineRule="auto"/>
        <w:rPr>
          <w:sz w:val="20"/>
          <w:szCs w:val="20"/>
          <w:color w:val="auto"/>
        </w:rPr>
      </w:pPr>
      <w:r>
        <w:rPr>
          <w:rFonts w:ascii="Arial" w:cs="Arial" w:eastAsia="Arial" w:hAnsi="Arial"/>
          <w:sz w:val="16"/>
          <w:szCs w:val="16"/>
          <w:color w:val="auto"/>
        </w:rPr>
        <w:t>used for excitation wavelength is 295 nm and emission scan between 310 and 400 nm with the slit width for excitation (5 nm) and emission (10 nm). The experiments were performed at controlled temperature 25 C. The change in intensity or wavelength was used for the protein ligand interaction analysis.</w:t>
      </w:r>
    </w:p>
    <w:p>
      <w:pPr>
        <w:spacing w:after="0" w:line="200" w:lineRule="exact"/>
        <w:rPr>
          <w:sz w:val="20"/>
          <w:szCs w:val="20"/>
          <w:color w:val="auto"/>
        </w:rPr>
      </w:pPr>
    </w:p>
    <w:p>
      <w:pPr>
        <w:spacing w:after="0" w:line="291" w:lineRule="exact"/>
        <w:rPr>
          <w:sz w:val="20"/>
          <w:szCs w:val="20"/>
          <w:color w:val="auto"/>
        </w:rPr>
      </w:pPr>
    </w:p>
    <w:p>
      <w:pPr>
        <w:ind w:right="680"/>
        <w:spacing w:after="0" w:line="263" w:lineRule="auto"/>
        <w:rPr>
          <w:sz w:val="20"/>
          <w:szCs w:val="20"/>
          <w:color w:val="auto"/>
        </w:rPr>
      </w:pPr>
      <w:r>
        <w:rPr>
          <w:rFonts w:ascii="Arial" w:cs="Arial" w:eastAsia="Arial" w:hAnsi="Arial"/>
          <w:sz w:val="20"/>
          <w:szCs w:val="20"/>
          <w:color w:val="auto"/>
        </w:rPr>
        <w:t>2.6 | Comparative protease inhibition study of Green Tea, Black Tea, and Haritaki</w:t>
      </w:r>
    </w:p>
    <w:p>
      <w:pPr>
        <w:spacing w:after="0" w:line="317" w:lineRule="exact"/>
        <w:rPr>
          <w:sz w:val="20"/>
          <w:szCs w:val="20"/>
          <w:color w:val="auto"/>
        </w:rPr>
      </w:pPr>
    </w:p>
    <w:p>
      <w:pPr>
        <w:jc w:val="both"/>
        <w:spacing w:after="0" w:line="320" w:lineRule="auto"/>
        <w:rPr>
          <w:sz w:val="20"/>
          <w:szCs w:val="20"/>
          <w:color w:val="auto"/>
        </w:rPr>
      </w:pPr>
      <w:r>
        <w:rPr>
          <w:rFonts w:ascii="Arial" w:cs="Arial" w:eastAsia="Arial" w:hAnsi="Arial"/>
          <w:sz w:val="16"/>
          <w:szCs w:val="16"/>
          <w:color w:val="auto"/>
        </w:rPr>
        <w:t xml:space="preserve">To decipher the difference in efficacies to inhibit the viral protease by universally used Tea, we compared the enzymatic inhibition for Green Tea as wells as Black Tea mentioned above using the 10 </w:t>
      </w:r>
      <w:r>
        <w:rPr>
          <w:rFonts w:ascii="Arial" w:cs="Arial" w:eastAsia="Arial" w:hAnsi="Arial"/>
          <w:sz w:val="16"/>
          <w:szCs w:val="16"/>
          <w:color w:val="auto"/>
        </w:rPr>
        <w:t>μ</w:t>
      </w:r>
      <w:r>
        <w:rPr>
          <w:rFonts w:ascii="Arial" w:cs="Arial" w:eastAsia="Arial" w:hAnsi="Arial"/>
          <w:sz w:val="16"/>
          <w:szCs w:val="16"/>
          <w:color w:val="auto"/>
        </w:rPr>
        <w:t>M of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at varying concentrations of Tea. Moreover, we have analyzed the effective protease inhibition by both tea with Haritaki. All the parame-ters like substrate, enzyme, and inhibitor concentrations were kept constant during the reactions.</w:t>
      </w:r>
    </w:p>
    <w:p>
      <w:pPr>
        <w:spacing w:after="0" w:line="200" w:lineRule="exact"/>
        <w:rPr>
          <w:sz w:val="20"/>
          <w:szCs w:val="20"/>
          <w:color w:val="auto"/>
        </w:rPr>
      </w:pPr>
    </w:p>
    <w:p>
      <w:pPr>
        <w:spacing w:after="0" w:line="306" w:lineRule="exact"/>
        <w:rPr>
          <w:sz w:val="20"/>
          <w:szCs w:val="20"/>
          <w:color w:val="auto"/>
        </w:rPr>
      </w:pPr>
    </w:p>
    <w:p>
      <w:pPr>
        <w:ind w:right="60"/>
        <w:spacing w:after="0" w:line="265" w:lineRule="auto"/>
        <w:rPr>
          <w:sz w:val="20"/>
          <w:szCs w:val="20"/>
          <w:color w:val="auto"/>
        </w:rPr>
      </w:pPr>
      <w:r>
        <w:rPr>
          <w:rFonts w:ascii="Arial" w:cs="Arial" w:eastAsia="Arial" w:hAnsi="Arial"/>
          <w:sz w:val="20"/>
          <w:szCs w:val="20"/>
          <w:color w:val="auto"/>
        </w:rPr>
        <w:t>2.7 | Docking studies of abundantly present active molecules</w:t>
      </w:r>
    </w:p>
    <w:p>
      <w:pPr>
        <w:spacing w:after="0" w:line="291" w:lineRule="exact"/>
        <w:rPr>
          <w:sz w:val="20"/>
          <w:szCs w:val="20"/>
          <w:color w:val="auto"/>
        </w:rPr>
      </w:pPr>
    </w:p>
    <w:p>
      <w:pPr>
        <w:jc w:val="both"/>
        <w:spacing w:after="0" w:line="327" w:lineRule="auto"/>
        <w:rPr>
          <w:sz w:val="20"/>
          <w:szCs w:val="20"/>
          <w:color w:val="auto"/>
        </w:rPr>
      </w:pPr>
      <w:r>
        <w:rPr>
          <w:rFonts w:ascii="Arial" w:cs="Arial" w:eastAsia="Arial" w:hAnsi="Arial"/>
          <w:sz w:val="16"/>
          <w:szCs w:val="16"/>
          <w:color w:val="auto"/>
        </w:rPr>
        <w:t>The crystal structure PDB 6LU7 of the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was taken from the RCSB databank. The active site prediction was performed using the metaPocket2.0 server and the best hit near to catalytic site having His41 and Cys145 was fixed. This was used for site-specific docking using ParDock software. The 3-dimensional structures of active com-pounds present in the medicinal plants were taken from the PubChem database. The docking results were analyzed based on binding energy and binding poses.</w:t>
      </w:r>
    </w:p>
    <w:p>
      <w:pPr>
        <w:spacing w:after="0" w:line="200" w:lineRule="exact"/>
        <w:rPr>
          <w:sz w:val="20"/>
          <w:szCs w:val="20"/>
          <w:color w:val="auto"/>
        </w:rPr>
      </w:pPr>
    </w:p>
    <w:p>
      <w:pPr>
        <w:spacing w:after="0" w:line="289" w:lineRule="exact"/>
        <w:rPr>
          <w:sz w:val="20"/>
          <w:szCs w:val="20"/>
          <w:color w:val="auto"/>
        </w:rPr>
      </w:pPr>
    </w:p>
    <w:p>
      <w:pPr>
        <w:spacing w:after="0"/>
        <w:tabs>
          <w:tab w:leader="none" w:pos="320" w:val="left"/>
          <w:tab w:leader="none" w:pos="620" w:val="left"/>
        </w:tabs>
        <w:rPr>
          <w:sz w:val="20"/>
          <w:szCs w:val="20"/>
          <w:color w:val="auto"/>
        </w:rPr>
      </w:pPr>
      <w:r>
        <w:rPr>
          <w:rFonts w:ascii="Arial" w:cs="Arial" w:eastAsia="Arial" w:hAnsi="Arial"/>
          <w:sz w:val="20"/>
          <w:szCs w:val="20"/>
          <w:color w:val="auto"/>
        </w:rPr>
        <w:t>3</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RESULTS</w:t>
      </w:r>
    </w:p>
    <w:p>
      <w:pPr>
        <w:spacing w:after="0" w:line="261" w:lineRule="exact"/>
        <w:rPr>
          <w:sz w:val="20"/>
          <w:szCs w:val="20"/>
          <w:color w:val="auto"/>
        </w:rPr>
      </w:pPr>
    </w:p>
    <w:p>
      <w:pPr>
        <w:spacing w:after="0"/>
        <w:tabs>
          <w:tab w:leader="none" w:pos="500" w:val="left"/>
          <w:tab w:leader="none" w:pos="780" w:val="left"/>
        </w:tabs>
        <w:rPr>
          <w:sz w:val="20"/>
          <w:szCs w:val="20"/>
          <w:color w:val="auto"/>
        </w:rPr>
      </w:pPr>
      <w:r>
        <w:rPr>
          <w:rFonts w:ascii="Arial" w:cs="Arial" w:eastAsia="Arial" w:hAnsi="Arial"/>
          <w:sz w:val="20"/>
          <w:szCs w:val="20"/>
          <w:color w:val="auto"/>
        </w:rPr>
        <w:t>3.1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Cloning and expression of 3CL</w:t>
      </w:r>
      <w:r>
        <w:rPr>
          <w:rFonts w:ascii="Arial" w:cs="Arial" w:eastAsia="Arial" w:hAnsi="Arial"/>
          <w:sz w:val="25"/>
          <w:szCs w:val="25"/>
          <w:color w:val="auto"/>
          <w:vertAlign w:val="superscript"/>
        </w:rPr>
        <w:t>pro</w:t>
      </w:r>
    </w:p>
    <w:p>
      <w:pPr>
        <w:spacing w:after="0" w:line="277" w:lineRule="exact"/>
        <w:rPr>
          <w:sz w:val="20"/>
          <w:szCs w:val="20"/>
          <w:color w:val="auto"/>
        </w:rPr>
      </w:pPr>
    </w:p>
    <w:p>
      <w:pPr>
        <w:jc w:val="both"/>
        <w:spacing w:after="0" w:line="318" w:lineRule="auto"/>
        <w:rPr>
          <w:sz w:val="20"/>
          <w:szCs w:val="20"/>
          <w:color w:val="auto"/>
        </w:rPr>
      </w:pPr>
      <w:r>
        <w:rPr>
          <w:rFonts w:ascii="Arial" w:cs="Arial" w:eastAsia="Arial" w:hAnsi="Arial"/>
          <w:sz w:val="16"/>
          <w:szCs w:val="16"/>
          <w:color w:val="auto"/>
        </w:rPr>
        <w:t>The gene encoding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was cloned in pET-28a vector having 6x His, FLAG (DYKDDDDK) sequence and PreScission cleavage (LEVLFQGP) sequence. The cloning was successfully done, the double digested product of the expected size of nearly 5.4 kb and 918 bp for vector and insert, respectively (Figure 1A).</w:t>
      </w:r>
    </w:p>
    <w:p>
      <w:pPr>
        <w:spacing w:after="0" w:line="5" w:lineRule="exact"/>
        <w:rPr>
          <w:sz w:val="20"/>
          <w:szCs w:val="20"/>
          <w:color w:val="auto"/>
        </w:rPr>
      </w:pPr>
    </w:p>
    <w:p>
      <w:pPr>
        <w:jc w:val="both"/>
        <w:ind w:firstLine="299"/>
        <w:spacing w:after="0" w:line="335" w:lineRule="auto"/>
        <w:rPr>
          <w:sz w:val="20"/>
          <w:szCs w:val="20"/>
          <w:color w:val="auto"/>
        </w:rPr>
      </w:pPr>
      <w:r>
        <w:rPr>
          <w:rFonts w:ascii="Arial" w:cs="Arial" w:eastAsia="Arial" w:hAnsi="Arial"/>
          <w:sz w:val="15"/>
          <w:szCs w:val="15"/>
          <w:color w:val="auto"/>
        </w:rPr>
        <w:t>The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was expressed in E. coli expression system and puri-fied to homogeneity with affinity and anion exchange chromatogra-phy (Figure 1B). The confirmation of the protein was done using western blot analysis using anti-His antibody (Figure 1C).</w:t>
      </w:r>
    </w:p>
    <w:p>
      <w:pPr>
        <w:spacing w:after="0" w:line="200" w:lineRule="exact"/>
        <w:rPr>
          <w:sz w:val="20"/>
          <w:szCs w:val="20"/>
          <w:color w:val="auto"/>
        </w:rPr>
      </w:pPr>
    </w:p>
    <w:p>
      <w:pPr>
        <w:spacing w:after="0" w:line="288" w:lineRule="exact"/>
        <w:rPr>
          <w:sz w:val="20"/>
          <w:szCs w:val="20"/>
          <w:color w:val="auto"/>
        </w:rPr>
      </w:pPr>
    </w:p>
    <w:p>
      <w:pPr>
        <w:spacing w:after="0"/>
        <w:tabs>
          <w:tab w:leader="none" w:pos="320" w:val="left"/>
          <w:tab w:leader="none" w:pos="620" w:val="left"/>
        </w:tabs>
        <w:rPr>
          <w:sz w:val="20"/>
          <w:szCs w:val="20"/>
          <w:color w:val="auto"/>
        </w:rPr>
      </w:pPr>
      <w:r>
        <w:rPr>
          <w:rFonts w:ascii="Arial" w:cs="Arial" w:eastAsia="Arial" w:hAnsi="Arial"/>
          <w:sz w:val="20"/>
          <w:szCs w:val="20"/>
          <w:color w:val="auto"/>
        </w:rPr>
        <w:t>4</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ESTIMATION OF ENZYME</w:t>
      </w:r>
    </w:p>
    <w:p>
      <w:pPr>
        <w:spacing w:after="0" w:line="35" w:lineRule="exact"/>
        <w:rPr>
          <w:sz w:val="20"/>
          <w:szCs w:val="20"/>
          <w:color w:val="auto"/>
        </w:rPr>
      </w:pPr>
    </w:p>
    <w:p>
      <w:pPr>
        <w:ind w:right="100"/>
        <w:spacing w:after="0" w:line="266" w:lineRule="auto"/>
        <w:rPr>
          <w:sz w:val="20"/>
          <w:szCs w:val="20"/>
          <w:color w:val="auto"/>
        </w:rPr>
      </w:pPr>
      <w:r>
        <w:rPr>
          <w:rFonts w:ascii="Arial" w:cs="Arial" w:eastAsia="Arial" w:hAnsi="Arial"/>
          <w:sz w:val="20"/>
          <w:szCs w:val="20"/>
          <w:color w:val="auto"/>
        </w:rPr>
        <w:t>PARAMETERS BY CASEIN-BASED PROTEASE ASSAY</w:t>
      </w:r>
    </w:p>
    <w:p>
      <w:pPr>
        <w:spacing w:after="0" w:line="311" w:lineRule="exact"/>
        <w:rPr>
          <w:sz w:val="20"/>
          <w:szCs w:val="20"/>
          <w:color w:val="auto"/>
        </w:rPr>
      </w:pPr>
    </w:p>
    <w:p>
      <w:pPr>
        <w:spacing w:after="0" w:line="313" w:lineRule="auto"/>
        <w:rPr>
          <w:sz w:val="20"/>
          <w:szCs w:val="20"/>
          <w:color w:val="auto"/>
        </w:rPr>
      </w:pPr>
      <w:r>
        <w:rPr>
          <w:rFonts w:ascii="Arial" w:cs="Arial" w:eastAsia="Arial" w:hAnsi="Arial"/>
          <w:sz w:val="15"/>
          <w:szCs w:val="15"/>
          <w:color w:val="auto"/>
        </w:rPr>
        <w:t>The activity assay to validate the enzymatic property of recombinantly purified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was established by using the casein substrate. The</w:t>
      </w:r>
    </w:p>
    <w:p>
      <w:pPr>
        <w:sectPr>
          <w:pgSz w:w="11900" w:h="15647" w:orient="portrait"/>
          <w:cols w:equalWidth="0" w:num="2">
            <w:col w:w="4860" w:space="360"/>
            <w:col w:w="4860"/>
          </w:cols>
          <w:pgMar w:left="900" w:top="415" w:right="926" w:bottom="267" w:gutter="0" w:footer="0" w:header="0"/>
          <w:type w:val="continuous"/>
        </w:sectPr>
      </w:pPr>
    </w:p>
    <w:bookmarkStart w:id="3" w:name="page4"/>
    <w:bookmarkEnd w:id="3"/>
    <w:p>
      <w:pPr>
        <w:spacing w:after="0"/>
        <w:tabs>
          <w:tab w:leader="none" w:pos="429" w:val="left"/>
        </w:tabs>
        <w:rPr>
          <w:sz w:val="20"/>
          <w:szCs w:val="20"/>
          <w:color w:val="auto"/>
        </w:rPr>
      </w:pPr>
      <w:r>
        <w:rPr>
          <w:rFonts w:ascii="Arial" w:cs="Arial" w:eastAsia="Arial" w:hAnsi="Arial"/>
          <w:sz w:val="14"/>
          <w:szCs w:val="14"/>
          <w:color w:val="auto"/>
        </w:rPr>
        <w:t>4</w:t>
      </w:r>
      <w:r>
        <w:rPr>
          <w:sz w:val="20"/>
          <w:szCs w:val="20"/>
          <w:color w:val="auto"/>
        </w:rPr>
        <w:tab/>
      </w:r>
      <w:r>
        <w:rPr>
          <w:sz w:val="1"/>
          <w:szCs w:val="1"/>
          <w:color w:val="auto"/>
        </w:rPr>
        <w:drawing>
          <wp:inline distT="0" distB="0" distL="0" distR="0">
            <wp:extent cx="19050" cy="1708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drawing>
          <wp:inline distT="0" distB="0" distL="0" distR="0">
            <wp:extent cx="687705" cy="1435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r>
      <w:r>
        <w:rPr>
          <w:rFonts w:ascii="Arial" w:cs="Arial" w:eastAsia="Arial" w:hAnsi="Arial"/>
          <w:sz w:val="14"/>
          <w:szCs w:val="14"/>
          <w:color w:val="auto"/>
        </w:rPr>
        <w:t xml:space="preserve">                                                                                                 UPADHYAY </w:t>
      </w:r>
      <w:r>
        <w:rPr>
          <w:rFonts w:ascii="Arial" w:cs="Arial" w:eastAsia="Arial" w:hAnsi="Arial"/>
          <w:sz w:val="11"/>
          <w:szCs w:val="11"/>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-27940</wp:posOffset>
                </wp:positionV>
                <wp:extent cx="39941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941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99pt" to="31.4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1087120</wp:posOffset>
                </wp:positionH>
                <wp:positionV relativeFrom="paragraph">
                  <wp:posOffset>-27940</wp:posOffset>
                </wp:positionV>
                <wp:extent cx="532574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2574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6pt,-2.1999pt" to="504.95pt,-2.1999pt" o:allowincell="f" strokecolor="#000000" strokeweight="1.4535pt"/>
            </w:pict>
          </mc:Fallback>
        </mc:AlternateContent>
      </w:r>
    </w:p>
    <w:p>
      <w:pPr>
        <w:sectPr>
          <w:pgSz w:w="11900" w:h="15647" w:orient="portrait"/>
          <w:cols w:equalWidth="0" w:num="1">
            <w:col w:w="10100"/>
          </w:cols>
          <w:pgMar w:left="920" w:top="415" w:right="886" w:bottom="2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spacing w:after="0" w:line="347" w:lineRule="auto"/>
        <w:rPr>
          <w:sz w:val="20"/>
          <w:szCs w:val="20"/>
          <w:color w:val="auto"/>
        </w:rPr>
      </w:pPr>
      <w:r>
        <w:rPr>
          <w:rFonts w:ascii="Arial" w:cs="Arial" w:eastAsia="Arial" w:hAnsi="Arial"/>
          <w:sz w:val="16"/>
          <w:szCs w:val="16"/>
          <w:color w:val="auto"/>
        </w:rPr>
        <w:t>calculation of K</w:t>
      </w:r>
      <w:r>
        <w:rPr>
          <w:rFonts w:ascii="Arial" w:cs="Arial" w:eastAsia="Arial" w:hAnsi="Arial"/>
          <w:sz w:val="21"/>
          <w:szCs w:val="21"/>
          <w:color w:val="auto"/>
          <w:vertAlign w:val="subscript"/>
        </w:rPr>
        <w:t>m</w:t>
      </w:r>
      <w:r>
        <w:rPr>
          <w:rFonts w:ascii="Arial" w:cs="Arial" w:eastAsia="Arial" w:hAnsi="Arial"/>
          <w:sz w:val="16"/>
          <w:szCs w:val="16"/>
          <w:color w:val="auto"/>
        </w:rPr>
        <w:t xml:space="preserve"> for casein was performed by the varying casein sub-strate and it was obtained as 137 </w:t>
      </w:r>
      <w:r>
        <w:rPr>
          <w:rFonts w:ascii="Arial" w:cs="Arial" w:eastAsia="Arial" w:hAnsi="Arial"/>
          <w:sz w:val="16"/>
          <w:szCs w:val="16"/>
          <w:color w:val="auto"/>
        </w:rPr>
        <w:t>μ</w:t>
      </w:r>
      <w:r>
        <w:rPr>
          <w:rFonts w:ascii="Arial" w:cs="Arial" w:eastAsia="Arial" w:hAnsi="Arial"/>
          <w:sz w:val="16"/>
          <w:szCs w:val="16"/>
          <w:color w:val="auto"/>
        </w:rPr>
        <w:t>M (Figure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-7130415</wp:posOffset>
            </wp:positionV>
            <wp:extent cx="4692015" cy="642239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extLst>
                    </a:blip>
                    <a:srcRect/>
                    <a:stretch>
                      <a:fillRect/>
                    </a:stretch>
                  </pic:blipFill>
                  <pic:spPr bwMode="auto">
                    <a:xfrm>
                      <a:off x="0" y="0"/>
                      <a:ext cx="4692015" cy="6422390"/>
                    </a:xfrm>
                    <a:prstGeom prst="rect">
                      <a:avLst/>
                    </a:prstGeom>
                    <a:noFill/>
                  </pic:spPr>
                </pic:pic>
              </a:graphicData>
            </a:graphic>
          </wp:anchor>
        </w:drawing>
      </w:r>
    </w:p>
    <w:p>
      <w:pPr>
        <w:spacing w:after="0" w:line="371" w:lineRule="exact"/>
        <w:rPr>
          <w:sz w:val="20"/>
          <w:szCs w:val="20"/>
          <w:color w:val="auto"/>
        </w:rPr>
      </w:pPr>
    </w:p>
    <w:p>
      <w:pPr>
        <w:spacing w:after="0"/>
        <w:tabs>
          <w:tab w:leader="none" w:pos="500" w:val="left"/>
          <w:tab w:leader="none" w:pos="780" w:val="left"/>
        </w:tabs>
        <w:rPr>
          <w:sz w:val="20"/>
          <w:szCs w:val="20"/>
          <w:color w:val="auto"/>
        </w:rPr>
      </w:pPr>
      <w:r>
        <w:rPr>
          <w:rFonts w:ascii="Arial" w:cs="Arial" w:eastAsia="Arial" w:hAnsi="Arial"/>
          <w:sz w:val="20"/>
          <w:szCs w:val="20"/>
          <w:color w:val="auto"/>
        </w:rPr>
        <w:t>4.1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Inhibition of 3CL</w:t>
      </w:r>
      <w:r>
        <w:rPr>
          <w:rFonts w:ascii="Arial" w:cs="Arial" w:eastAsia="Arial" w:hAnsi="Arial"/>
          <w:sz w:val="26"/>
          <w:szCs w:val="26"/>
          <w:color w:val="auto"/>
          <w:vertAlign w:val="superscript"/>
        </w:rPr>
        <w:t>pro</w:t>
      </w:r>
      <w:r>
        <w:rPr>
          <w:rFonts w:ascii="Arial" w:cs="Arial" w:eastAsia="Arial" w:hAnsi="Arial"/>
          <w:sz w:val="20"/>
          <w:szCs w:val="20"/>
          <w:color w:val="auto"/>
        </w:rPr>
        <w:t xml:space="preserve"> enzyme by plant extracts</w:t>
      </w:r>
    </w:p>
    <w:p>
      <w:pPr>
        <w:spacing w:after="0" w:line="291" w:lineRule="exact"/>
        <w:rPr>
          <w:sz w:val="20"/>
          <w:szCs w:val="20"/>
          <w:color w:val="auto"/>
        </w:rPr>
      </w:pPr>
    </w:p>
    <w:p>
      <w:pPr>
        <w:jc w:val="both"/>
        <w:spacing w:after="0" w:line="302" w:lineRule="auto"/>
        <w:rPr>
          <w:sz w:val="20"/>
          <w:szCs w:val="20"/>
          <w:color w:val="auto"/>
        </w:rPr>
      </w:pPr>
      <w:r>
        <w:rPr>
          <w:rFonts w:ascii="Arial" w:cs="Arial" w:eastAsia="Arial" w:hAnsi="Arial"/>
          <w:sz w:val="16"/>
          <w:szCs w:val="16"/>
          <w:color w:val="auto"/>
        </w:rPr>
        <w:t>The plant extracts were screened for protease activity and inhibition potential is shown in Table 1. Results shown a significant reduction in protease activity of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by Green Tea (C. sinensis) and Haritaki (T. chebula).</w:t>
      </w:r>
    </w:p>
    <w:p>
      <w:pPr>
        <w:jc w:val="both"/>
        <w:ind w:firstLine="300"/>
        <w:spacing w:after="0" w:line="347" w:lineRule="auto"/>
        <w:rPr>
          <w:sz w:val="20"/>
          <w:szCs w:val="20"/>
          <w:color w:val="auto"/>
        </w:rPr>
      </w:pPr>
      <w:r>
        <w:rPr>
          <w:rFonts w:ascii="Arial" w:cs="Arial" w:eastAsia="Arial" w:hAnsi="Arial"/>
          <w:sz w:val="16"/>
          <w:szCs w:val="16"/>
          <w:color w:val="auto"/>
        </w:rPr>
        <w:t>The IC</w:t>
      </w:r>
      <w:r>
        <w:rPr>
          <w:rFonts w:ascii="Arial" w:cs="Arial" w:eastAsia="Arial" w:hAnsi="Arial"/>
          <w:sz w:val="21"/>
          <w:szCs w:val="21"/>
          <w:color w:val="auto"/>
          <w:vertAlign w:val="subscript"/>
        </w:rPr>
        <w:t>50</w:t>
      </w:r>
      <w:r>
        <w:rPr>
          <w:rFonts w:ascii="Arial" w:cs="Arial" w:eastAsia="Arial" w:hAnsi="Arial"/>
          <w:sz w:val="16"/>
          <w:szCs w:val="16"/>
          <w:color w:val="auto"/>
        </w:rPr>
        <w:t xml:space="preserve"> values of Green Tea and Haritaki was found to be 8.9 ± 0.5 and 8.8 ± 0.5 </w:t>
      </w:r>
      <w:r>
        <w:rPr>
          <w:rFonts w:ascii="Arial" w:cs="Arial" w:eastAsia="Arial" w:hAnsi="Arial"/>
          <w:sz w:val="16"/>
          <w:szCs w:val="16"/>
          <w:color w:val="auto"/>
        </w:rPr>
        <w:t>μ</w:t>
      </w:r>
      <w:r>
        <w:rPr>
          <w:rFonts w:ascii="Arial" w:cs="Arial" w:eastAsia="Arial" w:hAnsi="Arial"/>
          <w:sz w:val="16"/>
          <w:szCs w:val="16"/>
          <w:color w:val="auto"/>
        </w:rPr>
        <w:t>g/ml, respectively (Figure 3). The aqueous</w:t>
      </w:r>
    </w:p>
    <w:p>
      <w:pPr>
        <w:spacing w:after="0" w:line="20" w:lineRule="exact"/>
        <w:rPr>
          <w:sz w:val="20"/>
          <w:szCs w:val="20"/>
          <w:color w:val="auto"/>
        </w:rPr>
      </w:pPr>
      <w:r>
        <w:rPr>
          <w:sz w:val="20"/>
          <w:szCs w:val="20"/>
          <w:color w:val="auto"/>
        </w:rPr>
        <w:br w:type="column"/>
      </w:r>
    </w:p>
    <w:p>
      <w:pPr>
        <w:spacing w:after="0" w:line="280" w:lineRule="exact"/>
        <w:rPr>
          <w:sz w:val="20"/>
          <w:szCs w:val="20"/>
          <w:color w:val="auto"/>
        </w:rPr>
      </w:pPr>
    </w:p>
    <w:p>
      <w:pPr>
        <w:ind w:left="2500" w:right="300"/>
        <w:spacing w:after="0" w:line="265" w:lineRule="auto"/>
        <w:rPr>
          <w:sz w:val="20"/>
          <w:szCs w:val="20"/>
          <w:color w:val="auto"/>
        </w:rPr>
      </w:pPr>
      <w:r>
        <w:rPr>
          <w:rFonts w:ascii="Arial" w:cs="Arial" w:eastAsia="Arial" w:hAnsi="Arial"/>
          <w:sz w:val="15"/>
          <w:szCs w:val="15"/>
          <w:color w:val="auto"/>
        </w:rPr>
        <w:t>F I G U R E 1 Cloning and purification of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protein.</w:t>
      </w:r>
    </w:p>
    <w:p>
      <w:pPr>
        <w:ind w:left="2500" w:right="80"/>
        <w:spacing w:after="0" w:line="306" w:lineRule="auto"/>
        <w:rPr>
          <w:sz w:val="20"/>
          <w:szCs w:val="20"/>
          <w:color w:val="auto"/>
        </w:rPr>
      </w:pPr>
      <w:r>
        <w:rPr>
          <w:rFonts w:ascii="Arial" w:cs="Arial" w:eastAsia="Arial" w:hAnsi="Arial"/>
          <w:sz w:val="15"/>
          <w:szCs w:val="15"/>
          <w:color w:val="auto"/>
        </w:rPr>
        <w:t>(A) 1% agarose gel showing the bands of the double digested plasmid with vector 5.4 kb and insert around 918 bases (L2), the cloned plasmid showing band at 6.4 kb (L3). (B) SDS-PAGE on 12% acrylamide gel, depicting homogenous protein at 34 kDa</w:t>
      </w:r>
    </w:p>
    <w:p>
      <w:pPr>
        <w:spacing w:after="0" w:line="32" w:lineRule="exact"/>
        <w:rPr>
          <w:sz w:val="20"/>
          <w:szCs w:val="20"/>
          <w:color w:val="auto"/>
        </w:rPr>
      </w:pPr>
    </w:p>
    <w:p>
      <w:pPr>
        <w:jc w:val="both"/>
        <w:ind w:left="2500" w:right="180"/>
        <w:spacing w:after="0" w:line="247" w:lineRule="auto"/>
        <w:rPr>
          <w:sz w:val="20"/>
          <w:szCs w:val="20"/>
          <w:color w:val="auto"/>
        </w:rPr>
      </w:pPr>
      <w:r>
        <w:rPr>
          <w:rFonts w:ascii="Arial" w:cs="Arial" w:eastAsia="Arial" w:hAnsi="Arial"/>
          <w:sz w:val="15"/>
          <w:szCs w:val="15"/>
          <w:color w:val="auto"/>
        </w:rPr>
        <w:t>(C) The western blot of purified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using anti-His antibody with mol wt 34 kDa (L2)</w:t>
      </w:r>
    </w:p>
    <w:p>
      <w:pPr>
        <w:spacing w:after="0" w:line="68" w:lineRule="exact"/>
        <w:rPr>
          <w:sz w:val="20"/>
          <w:szCs w:val="20"/>
          <w:color w:val="auto"/>
        </w:rPr>
      </w:pPr>
    </w:p>
    <w:p>
      <w:pPr>
        <w:jc w:val="both"/>
        <w:ind w:left="2500" w:right="180"/>
        <w:spacing w:after="0" w:line="238" w:lineRule="auto"/>
        <w:rPr>
          <w:rFonts w:ascii="Arial" w:cs="Arial" w:eastAsia="Arial" w:hAnsi="Arial"/>
          <w:sz w:val="16"/>
          <w:szCs w:val="16"/>
          <w:color w:val="auto"/>
        </w:rPr>
      </w:pPr>
      <w:r>
        <w:rPr>
          <w:rFonts w:ascii="Arial" w:cs="Arial" w:eastAsia="Arial" w:hAnsi="Arial"/>
          <w:sz w:val="16"/>
          <w:szCs w:val="16"/>
          <w:color w:val="auto"/>
        </w:rPr>
        <w:t xml:space="preserve">[Colour figure can be viewed at </w:t>
      </w:r>
      <w:hyperlink r:id="rId25">
        <w:r>
          <w:rPr>
            <w:rFonts w:ascii="Arial" w:cs="Arial" w:eastAsia="Arial" w:hAnsi="Arial"/>
            <w:sz w:val="16"/>
            <w:szCs w:val="16"/>
            <w:color w:val="auto"/>
          </w:rPr>
          <w:t>wileyonlinelibrary.com]</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2500" w:right="160"/>
        <w:spacing w:after="0" w:line="291" w:lineRule="auto"/>
        <w:rPr>
          <w:sz w:val="20"/>
          <w:szCs w:val="20"/>
          <w:color w:val="auto"/>
        </w:rPr>
      </w:pPr>
      <w:r>
        <w:rPr>
          <w:rFonts w:ascii="Arial" w:cs="Arial" w:eastAsia="Arial" w:hAnsi="Arial"/>
          <w:sz w:val="15"/>
          <w:szCs w:val="15"/>
          <w:color w:val="auto"/>
        </w:rPr>
        <w:t>F I G U R E 2 Enzyme kinetic studies of 3CL</w:t>
      </w:r>
      <w:r>
        <w:rPr>
          <w:rFonts w:ascii="Arial" w:cs="Arial" w:eastAsia="Arial" w:hAnsi="Arial"/>
          <w:sz w:val="20"/>
          <w:szCs w:val="20"/>
          <w:color w:val="auto"/>
          <w:vertAlign w:val="superscript"/>
        </w:rPr>
        <w:t>pro</w:t>
      </w:r>
      <w:r>
        <w:rPr>
          <w:rFonts w:ascii="Arial" w:cs="Arial" w:eastAsia="Arial" w:hAnsi="Arial"/>
          <w:sz w:val="15"/>
          <w:szCs w:val="15"/>
          <w:color w:val="auto"/>
        </w:rPr>
        <w:t>. (A) Evaluation of kinetic parameters in Michaelis–Menten fit. The varying concentration of the casein substrate (x-axis) plotted against the velocity (y-axis).</w:t>
      </w:r>
    </w:p>
    <w:p>
      <w:pPr>
        <w:spacing w:after="0" w:line="11" w:lineRule="exact"/>
        <w:rPr>
          <w:sz w:val="20"/>
          <w:szCs w:val="20"/>
          <w:color w:val="auto"/>
        </w:rPr>
      </w:pPr>
    </w:p>
    <w:p>
      <w:pPr>
        <w:ind w:left="2500" w:right="40"/>
        <w:spacing w:after="0" w:line="292" w:lineRule="auto"/>
        <w:rPr>
          <w:rFonts w:ascii="Arial" w:cs="Arial" w:eastAsia="Arial" w:hAnsi="Arial"/>
          <w:sz w:val="15"/>
          <w:szCs w:val="15"/>
          <w:color w:val="auto"/>
        </w:rPr>
      </w:pPr>
      <w:r>
        <w:rPr>
          <w:rFonts w:ascii="Arial" w:cs="Arial" w:eastAsia="Arial" w:hAnsi="Arial"/>
          <w:sz w:val="15"/>
          <w:szCs w:val="15"/>
          <w:color w:val="auto"/>
        </w:rPr>
        <w:t>(B) Inverse substrate versus inverse velocity plot (Lineweaver–Burk plot) depicting the casein substrate cleavage by the action of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All the experiments were performed in triplicates [Colour figure can be viewed at </w:t>
      </w:r>
      <w:hyperlink r:id="rId25">
        <w:r>
          <w:rPr>
            <w:rFonts w:ascii="Arial" w:cs="Arial" w:eastAsia="Arial" w:hAnsi="Arial"/>
            <w:sz w:val="15"/>
            <w:szCs w:val="15"/>
            <w:color w:val="auto"/>
          </w:rPr>
          <w:t>wileyonlinelibrary.com]</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spacing w:after="0" w:line="327" w:lineRule="auto"/>
        <w:rPr>
          <w:sz w:val="20"/>
          <w:szCs w:val="20"/>
          <w:color w:val="auto"/>
        </w:rPr>
      </w:pPr>
      <w:r>
        <w:rPr>
          <w:rFonts w:ascii="Arial" w:cs="Arial" w:eastAsia="Arial" w:hAnsi="Arial"/>
          <w:sz w:val="16"/>
          <w:szCs w:val="16"/>
          <w:color w:val="auto"/>
        </w:rPr>
        <w:t>extracts of plants Mulethi (Glycyrrhiza glabra), Tulsi (Ocimum ten-uiflorum), Giloy (Tinospora cordifolia), and Neem (Azadirachta indica) have less efficiency in inhibiting the protease activity of 3CL</w:t>
      </w:r>
      <w:r>
        <w:rPr>
          <w:rFonts w:ascii="Arial" w:cs="Arial" w:eastAsia="Arial" w:hAnsi="Arial"/>
          <w:sz w:val="21"/>
          <w:szCs w:val="21"/>
          <w:color w:val="auto"/>
          <w:vertAlign w:val="superscript"/>
        </w:rPr>
        <w:t>pro</w:t>
      </w:r>
      <w:r>
        <w:rPr>
          <w:rFonts w:ascii="Arial" w:cs="Arial" w:eastAsia="Arial" w:hAnsi="Arial"/>
          <w:sz w:val="16"/>
          <w:szCs w:val="16"/>
          <w:color w:val="auto"/>
        </w:rPr>
        <w:t>. These plants could not inhibit the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protease activity to 50% even with 450 </w:t>
      </w:r>
      <w:r>
        <w:rPr>
          <w:rFonts w:ascii="Arial" w:cs="Arial" w:eastAsia="Arial" w:hAnsi="Arial"/>
          <w:sz w:val="16"/>
          <w:szCs w:val="16"/>
          <w:color w:val="auto"/>
        </w:rPr>
        <w:t>μ</w:t>
      </w:r>
      <w:r>
        <w:rPr>
          <w:rFonts w:ascii="Arial" w:cs="Arial" w:eastAsia="Arial" w:hAnsi="Arial"/>
          <w:sz w:val="16"/>
          <w:szCs w:val="16"/>
          <w:color w:val="auto"/>
        </w:rPr>
        <w:t>g/ml of the plant extracts.</w:t>
      </w:r>
    </w:p>
    <w:p>
      <w:pPr>
        <w:spacing w:after="0" w:line="200" w:lineRule="exact"/>
        <w:rPr>
          <w:sz w:val="20"/>
          <w:szCs w:val="20"/>
          <w:color w:val="auto"/>
        </w:rPr>
      </w:pPr>
    </w:p>
    <w:p>
      <w:pPr>
        <w:spacing w:after="0" w:line="247" w:lineRule="exact"/>
        <w:rPr>
          <w:sz w:val="20"/>
          <w:szCs w:val="20"/>
          <w:color w:val="auto"/>
        </w:rPr>
      </w:pPr>
    </w:p>
    <w:p>
      <w:pPr>
        <w:ind w:right="560"/>
        <w:spacing w:after="0" w:line="241" w:lineRule="auto"/>
        <w:rPr>
          <w:sz w:val="20"/>
          <w:szCs w:val="20"/>
          <w:color w:val="auto"/>
        </w:rPr>
      </w:pPr>
      <w:r>
        <w:rPr>
          <w:rFonts w:ascii="Arial" w:cs="Arial" w:eastAsia="Arial" w:hAnsi="Arial"/>
          <w:sz w:val="20"/>
          <w:szCs w:val="20"/>
          <w:color w:val="auto"/>
        </w:rPr>
        <w:t>4.2 | Evaluation of tertiary structure changes in 3CL</w:t>
      </w:r>
      <w:r>
        <w:rPr>
          <w:rFonts w:ascii="Arial" w:cs="Arial" w:eastAsia="Arial" w:hAnsi="Arial"/>
          <w:sz w:val="26"/>
          <w:szCs w:val="26"/>
          <w:color w:val="auto"/>
          <w:vertAlign w:val="superscript"/>
        </w:rPr>
        <w:t>pro</w:t>
      </w:r>
      <w:r>
        <w:rPr>
          <w:rFonts w:ascii="Arial" w:cs="Arial" w:eastAsia="Arial" w:hAnsi="Arial"/>
          <w:sz w:val="20"/>
          <w:szCs w:val="20"/>
          <w:color w:val="auto"/>
        </w:rPr>
        <w:t xml:space="preserve"> post-interaction to plant extracts</w:t>
      </w:r>
    </w:p>
    <w:p>
      <w:pPr>
        <w:spacing w:after="0" w:line="290" w:lineRule="exact"/>
        <w:rPr>
          <w:sz w:val="20"/>
          <w:szCs w:val="20"/>
          <w:color w:val="auto"/>
        </w:rPr>
      </w:pPr>
    </w:p>
    <w:p>
      <w:pPr>
        <w:ind w:right="20"/>
        <w:spacing w:after="0" w:line="287" w:lineRule="auto"/>
        <w:rPr>
          <w:sz w:val="20"/>
          <w:szCs w:val="20"/>
          <w:color w:val="auto"/>
        </w:rPr>
      </w:pPr>
      <w:r>
        <w:rPr>
          <w:rFonts w:ascii="Arial" w:cs="Arial" w:eastAsia="Arial" w:hAnsi="Arial"/>
          <w:sz w:val="16"/>
          <w:szCs w:val="16"/>
          <w:color w:val="auto"/>
        </w:rPr>
        <w:t>The interactions of the active moieties present in the extracts inter-acted with the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protein and resulted in the tertiary structure</w:t>
      </w:r>
    </w:p>
    <w:p>
      <w:pPr>
        <w:sectPr>
          <w:pgSz w:w="11900" w:h="15647" w:orient="portrait"/>
          <w:cols w:equalWidth="0" w:num="2">
            <w:col w:w="4860" w:space="380"/>
            <w:col w:w="4860"/>
          </w:cols>
          <w:pgMar w:left="920" w:top="415" w:right="886" w:bottom="218"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83"/>
        </w:trPr>
        <w:tc>
          <w:tcPr>
            <w:tcW w:w="8380" w:type="dxa"/>
            <w:vAlign w:val="bottom"/>
            <w:vMerge w:val="restart"/>
          </w:tcPr>
          <w:p>
            <w:pPr>
              <w:spacing w:after="0"/>
              <w:rPr>
                <w:sz w:val="20"/>
                <w:szCs w:val="20"/>
                <w:color w:val="auto"/>
              </w:rPr>
            </w:pPr>
            <w:r>
              <w:rPr>
                <w:rFonts w:ascii="Arial" w:cs="Arial" w:eastAsia="Arial" w:hAnsi="Arial"/>
                <w:sz w:val="14"/>
                <w:szCs w:val="14"/>
                <w:color w:val="auto"/>
              </w:rPr>
              <w:t xml:space="preserve">UPADHYAY </w:t>
            </w:r>
            <w:r>
              <w:rPr>
                <w:rFonts w:ascii="Arial" w:cs="Arial" w:eastAsia="Arial" w:hAnsi="Arial"/>
                <w:sz w:val="11"/>
                <w:szCs w:val="11"/>
                <w:color w:val="auto"/>
              </w:rPr>
              <w:t>ET AL</w:t>
            </w:r>
            <w:r>
              <w:rPr>
                <w:rFonts w:ascii="Arial" w:cs="Arial" w:eastAsia="Arial" w:hAnsi="Arial"/>
                <w:sz w:val="14"/>
                <w:szCs w:val="14"/>
                <w:color w:val="auto"/>
              </w:rPr>
              <w:t>.</w:t>
            </w:r>
          </w:p>
        </w:tc>
        <w:tc>
          <w:tcPr>
            <w:tcW w:w="1260" w:type="dxa"/>
            <w:vAlign w:val="bottom"/>
            <w:tcBorders>
              <w:right w:val="single" w:sz="8" w:color="auto"/>
            </w:tcBorders>
            <w:gridSpan w:val="2"/>
          </w:tcPr>
          <w:p>
            <w:pPr>
              <w:spacing w:after="0"/>
              <w:rPr>
                <w:sz w:val="7"/>
                <w:szCs w:val="7"/>
                <w:color w:val="auto"/>
              </w:rPr>
            </w:pPr>
          </w:p>
        </w:tc>
        <w:tc>
          <w:tcPr>
            <w:tcW w:w="440" w:type="dxa"/>
            <w:vAlign w:val="bottom"/>
            <w:vMerge w:val="restart"/>
          </w:tcPr>
          <w:p>
            <w:pPr>
              <w:jc w:val="right"/>
              <w:spacing w:after="0"/>
              <w:rPr>
                <w:sz w:val="20"/>
                <w:szCs w:val="20"/>
                <w:color w:val="auto"/>
              </w:rPr>
            </w:pPr>
            <w:r>
              <w:rPr>
                <w:rFonts w:ascii="Arial" w:cs="Arial" w:eastAsia="Arial" w:hAnsi="Arial"/>
                <w:sz w:val="14"/>
                <w:szCs w:val="14"/>
                <w:color w:val="auto"/>
              </w:rPr>
              <w:t>5</w:t>
            </w:r>
          </w:p>
        </w:tc>
        <w:tc>
          <w:tcPr>
            <w:tcW w:w="0" w:type="dxa"/>
            <w:vAlign w:val="bottom"/>
          </w:tcPr>
          <w:p>
            <w:pPr>
              <w:spacing w:after="0"/>
              <w:rPr>
                <w:sz w:val="1"/>
                <w:szCs w:val="1"/>
                <w:color w:val="auto"/>
              </w:rPr>
            </w:pPr>
          </w:p>
        </w:tc>
      </w:tr>
      <w:tr>
        <w:trPr>
          <w:trHeight w:val="111"/>
        </w:trPr>
        <w:tc>
          <w:tcPr>
            <w:tcW w:w="8380" w:type="dxa"/>
            <w:vAlign w:val="bottom"/>
            <w:vMerge w:val="continue"/>
          </w:tcPr>
          <w:p>
            <w:pPr>
              <w:spacing w:after="0"/>
              <w:rPr>
                <w:sz w:val="9"/>
                <w:szCs w:val="9"/>
                <w:color w:val="auto"/>
              </w:rPr>
            </w:pPr>
          </w:p>
        </w:tc>
        <w:tc>
          <w:tcPr>
            <w:tcW w:w="1080" w:type="dxa"/>
            <w:vAlign w:val="bottom"/>
          </w:tcPr>
          <w:p>
            <w:pPr>
              <w:spacing w:after="0"/>
              <w:rPr>
                <w:sz w:val="9"/>
                <w:szCs w:val="9"/>
                <w:color w:val="auto"/>
              </w:rPr>
            </w:pPr>
          </w:p>
        </w:tc>
        <w:tc>
          <w:tcPr>
            <w:tcW w:w="180" w:type="dxa"/>
            <w:vAlign w:val="bottom"/>
            <w:tcBorders>
              <w:right w:val="single" w:sz="8" w:color="auto"/>
            </w:tcBorders>
          </w:tcPr>
          <w:p>
            <w:pPr>
              <w:spacing w:after="0"/>
              <w:rPr>
                <w:sz w:val="9"/>
                <w:szCs w:val="9"/>
                <w:color w:val="auto"/>
              </w:rPr>
            </w:pPr>
          </w:p>
        </w:tc>
        <w:tc>
          <w:tcPr>
            <w:tcW w:w="4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8380" w:type="dxa"/>
            <w:vAlign w:val="bottom"/>
            <w:tcBorders>
              <w:bottom w:val="single" w:sz="8" w:color="auto"/>
            </w:tcBorders>
          </w:tcPr>
          <w:p>
            <w:pPr>
              <w:spacing w:after="0"/>
              <w:rPr>
                <w:sz w:val="4"/>
                <w:szCs w:val="4"/>
                <w:color w:val="auto"/>
              </w:rPr>
            </w:pPr>
          </w:p>
        </w:tc>
        <w:tc>
          <w:tcPr>
            <w:tcW w:w="1080" w:type="dxa"/>
            <w:vAlign w:val="bottom"/>
          </w:tcPr>
          <w:p>
            <w:pPr>
              <w:spacing w:after="0"/>
              <w:rPr>
                <w:sz w:val="4"/>
                <w:szCs w:val="4"/>
                <w:color w:val="auto"/>
              </w:rPr>
            </w:pPr>
          </w:p>
        </w:tc>
        <w:tc>
          <w:tcPr>
            <w:tcW w:w="18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838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80" w:type="dxa"/>
            <w:vAlign w:val="bottom"/>
          </w:tcPr>
          <w:p>
            <w:pPr>
              <w:spacing w:after="0"/>
              <w:rPr>
                <w:sz w:val="3"/>
                <w:szCs w:val="3"/>
                <w:color w:val="auto"/>
              </w:rPr>
            </w:pPr>
          </w:p>
        </w:tc>
        <w:tc>
          <w:tcPr>
            <w:tcW w:w="4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-33655</wp:posOffset>
                </wp:positionV>
                <wp:extent cx="1206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499pt" to="0.25pt,-2.6499pt" o:allowincell="f" strokecolor="#000000" strokeweight="0.4535pt"/>
            </w:pict>
          </mc:Fallback>
        </mc:AlternateContent>
        <w:drawing>
          <wp:anchor simplePos="0" relativeHeight="251657728" behindDoc="1" locked="0" layoutInCell="0" allowOverlap="1">
            <wp:simplePos x="0" y="0"/>
            <wp:positionH relativeFrom="column">
              <wp:posOffset>5316220</wp:posOffset>
            </wp:positionH>
            <wp:positionV relativeFrom="paragraph">
              <wp:posOffset>-142875</wp:posOffset>
            </wp:positionV>
            <wp:extent cx="687705" cy="1435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pacing w:after="0" w:line="235" w:lineRule="exact"/>
        <w:rPr>
          <w:sz w:val="20"/>
          <w:szCs w:val="20"/>
          <w:color w:val="auto"/>
        </w:rPr>
      </w:pPr>
    </w:p>
    <w:tbl>
      <w:tblPr>
        <w:tblLayout w:type="fixed"/>
        <w:tblInd w:w="0" w:type="dxa"/>
        <w:tblCellMar>
          <w:top w:w="0" w:type="dxa"/>
          <w:left w:w="0" w:type="dxa"/>
          <w:bottom w:w="0" w:type="dxa"/>
          <w:right w:w="0" w:type="dxa"/>
        </w:tblCellMar>
      </w:tblPr>
      <w:tr>
        <w:trPr>
          <w:trHeight w:val="241"/>
        </w:trPr>
        <w:tc>
          <w:tcPr>
            <w:tcW w:w="840" w:type="dxa"/>
            <w:vAlign w:val="bottom"/>
          </w:tcPr>
          <w:p>
            <w:pPr>
              <w:spacing w:after="0"/>
              <w:rPr>
                <w:sz w:val="20"/>
                <w:szCs w:val="20"/>
                <w:color w:val="auto"/>
              </w:rPr>
            </w:pPr>
            <w:r>
              <w:rPr>
                <w:rFonts w:ascii="Arial" w:cs="Arial" w:eastAsia="Arial" w:hAnsi="Arial"/>
                <w:sz w:val="16"/>
                <w:szCs w:val="16"/>
                <w:color w:val="auto"/>
              </w:rPr>
              <w:t>TABLE 1</w:t>
            </w:r>
          </w:p>
        </w:tc>
        <w:tc>
          <w:tcPr>
            <w:tcW w:w="6460" w:type="dxa"/>
            <w:vAlign w:val="bottom"/>
            <w:gridSpan w:val="3"/>
          </w:tcPr>
          <w:p>
            <w:pPr>
              <w:ind w:left="120"/>
              <w:spacing w:after="0"/>
              <w:rPr>
                <w:sz w:val="20"/>
                <w:szCs w:val="20"/>
                <w:color w:val="auto"/>
              </w:rPr>
            </w:pPr>
            <w:r>
              <w:rPr>
                <w:rFonts w:ascii="Arial" w:cs="Arial" w:eastAsia="Arial" w:hAnsi="Arial"/>
                <w:sz w:val="16"/>
                <w:szCs w:val="16"/>
                <w:color w:val="auto"/>
              </w:rPr>
              <w:t>List of medicinal plants screened for SARS-CoV-2 main protease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inhibition</w:t>
            </w:r>
          </w:p>
        </w:tc>
        <w:tc>
          <w:tcPr>
            <w:tcW w:w="2780" w:type="dxa"/>
            <w:vAlign w:val="bottom"/>
          </w:tcPr>
          <w:p>
            <w:pPr>
              <w:spacing w:after="0"/>
              <w:rPr>
                <w:sz w:val="21"/>
                <w:szCs w:val="21"/>
                <w:color w:val="auto"/>
              </w:rPr>
            </w:pPr>
          </w:p>
        </w:tc>
      </w:tr>
      <w:tr>
        <w:trPr>
          <w:trHeight w:val="75"/>
        </w:trPr>
        <w:tc>
          <w:tcPr>
            <w:tcW w:w="840" w:type="dxa"/>
            <w:vAlign w:val="bottom"/>
          </w:tcPr>
          <w:p>
            <w:pPr>
              <w:spacing w:after="0"/>
              <w:rPr>
                <w:sz w:val="6"/>
                <w:szCs w:val="6"/>
                <w:color w:val="auto"/>
              </w:rPr>
            </w:pPr>
          </w:p>
        </w:tc>
        <w:tc>
          <w:tcPr>
            <w:tcW w:w="2240" w:type="dxa"/>
            <w:vAlign w:val="bottom"/>
          </w:tcPr>
          <w:p>
            <w:pPr>
              <w:spacing w:after="0"/>
              <w:rPr>
                <w:sz w:val="6"/>
                <w:szCs w:val="6"/>
                <w:color w:val="auto"/>
              </w:rPr>
            </w:pPr>
          </w:p>
        </w:tc>
        <w:tc>
          <w:tcPr>
            <w:tcW w:w="2520" w:type="dxa"/>
            <w:vAlign w:val="bottom"/>
          </w:tcPr>
          <w:p>
            <w:pPr>
              <w:spacing w:after="0"/>
              <w:rPr>
                <w:sz w:val="6"/>
                <w:szCs w:val="6"/>
                <w:color w:val="auto"/>
              </w:rPr>
            </w:pPr>
          </w:p>
        </w:tc>
        <w:tc>
          <w:tcPr>
            <w:tcW w:w="1700" w:type="dxa"/>
            <w:vAlign w:val="bottom"/>
          </w:tcPr>
          <w:p>
            <w:pPr>
              <w:spacing w:after="0"/>
              <w:rPr>
                <w:sz w:val="6"/>
                <w:szCs w:val="6"/>
                <w:color w:val="auto"/>
              </w:rPr>
            </w:pPr>
          </w:p>
        </w:tc>
        <w:tc>
          <w:tcPr>
            <w:tcW w:w="2780" w:type="dxa"/>
            <w:vAlign w:val="bottom"/>
          </w:tcPr>
          <w:p>
            <w:pPr>
              <w:spacing w:after="0"/>
              <w:rPr>
                <w:sz w:val="6"/>
                <w:szCs w:val="6"/>
                <w:color w:val="auto"/>
              </w:rPr>
            </w:pPr>
          </w:p>
        </w:tc>
      </w:tr>
      <w:tr>
        <w:trPr>
          <w:trHeight w:val="272"/>
        </w:trPr>
        <w:tc>
          <w:tcPr>
            <w:tcW w:w="840" w:type="dxa"/>
            <w:vAlign w:val="bottom"/>
            <w:shd w:val="clear" w:color="auto" w:fill="CCCCCC"/>
          </w:tcPr>
          <w:p>
            <w:pPr>
              <w:spacing w:after="0"/>
              <w:rPr>
                <w:sz w:val="23"/>
                <w:szCs w:val="23"/>
                <w:color w:val="auto"/>
              </w:rPr>
            </w:pPr>
          </w:p>
        </w:tc>
        <w:tc>
          <w:tcPr>
            <w:tcW w:w="2240" w:type="dxa"/>
            <w:vAlign w:val="bottom"/>
            <w:shd w:val="clear" w:color="auto" w:fill="CCCCCC"/>
          </w:tcPr>
          <w:p>
            <w:pPr>
              <w:spacing w:after="0"/>
              <w:rPr>
                <w:sz w:val="23"/>
                <w:szCs w:val="23"/>
                <w:color w:val="auto"/>
              </w:rPr>
            </w:pPr>
          </w:p>
        </w:tc>
        <w:tc>
          <w:tcPr>
            <w:tcW w:w="2520" w:type="dxa"/>
            <w:vAlign w:val="bottom"/>
            <w:shd w:val="clear" w:color="auto" w:fill="CCCCCC"/>
          </w:tcPr>
          <w:p>
            <w:pPr>
              <w:spacing w:after="0"/>
              <w:rPr>
                <w:sz w:val="23"/>
                <w:szCs w:val="23"/>
                <w:color w:val="auto"/>
              </w:rPr>
            </w:pPr>
          </w:p>
        </w:tc>
        <w:tc>
          <w:tcPr>
            <w:tcW w:w="1700" w:type="dxa"/>
            <w:vAlign w:val="bottom"/>
            <w:shd w:val="clear" w:color="auto" w:fill="CCCCCC"/>
          </w:tcPr>
          <w:p>
            <w:pPr>
              <w:spacing w:after="0"/>
              <w:rPr>
                <w:sz w:val="23"/>
                <w:szCs w:val="23"/>
                <w:color w:val="auto"/>
              </w:rPr>
            </w:pPr>
          </w:p>
        </w:tc>
        <w:tc>
          <w:tcPr>
            <w:tcW w:w="2780" w:type="dxa"/>
            <w:vAlign w:val="bottom"/>
            <w:shd w:val="clear" w:color="auto" w:fill="CCCCCC"/>
          </w:tcPr>
          <w:p>
            <w:pPr>
              <w:ind w:left="420"/>
              <w:spacing w:after="0"/>
              <w:rPr>
                <w:sz w:val="20"/>
                <w:szCs w:val="20"/>
                <w:color w:val="auto"/>
              </w:rPr>
            </w:pPr>
            <w:r>
              <w:rPr>
                <w:rFonts w:ascii="Arial" w:cs="Arial" w:eastAsia="Arial" w:hAnsi="Arial"/>
                <w:sz w:val="15"/>
                <w:szCs w:val="15"/>
                <w:color w:val="auto"/>
              </w:rPr>
              <w:t xml:space="preserve">% activity inhibition at 100 </w:t>
            </w:r>
            <w:r>
              <w:rPr>
                <w:rFonts w:ascii="Arial" w:cs="Arial" w:eastAsia="Arial" w:hAnsi="Arial"/>
                <w:sz w:val="15"/>
                <w:szCs w:val="15"/>
                <w:color w:val="auto"/>
              </w:rPr>
              <w:t>μ</w:t>
            </w:r>
            <w:r>
              <w:rPr>
                <w:rFonts w:ascii="Arial" w:cs="Arial" w:eastAsia="Arial" w:hAnsi="Arial"/>
                <w:sz w:val="15"/>
                <w:szCs w:val="15"/>
                <w:color w:val="auto"/>
              </w:rPr>
              <w:t>g/ml</w:t>
            </w:r>
          </w:p>
        </w:tc>
      </w:tr>
      <w:tr>
        <w:trPr>
          <w:trHeight w:val="175"/>
        </w:trPr>
        <w:tc>
          <w:tcPr>
            <w:tcW w:w="840" w:type="dxa"/>
            <w:vAlign w:val="bottom"/>
            <w:shd w:val="clear" w:color="auto" w:fill="CCCCCC"/>
          </w:tcPr>
          <w:p>
            <w:pPr>
              <w:ind w:left="140"/>
              <w:spacing w:after="0"/>
              <w:rPr>
                <w:sz w:val="20"/>
                <w:szCs w:val="20"/>
                <w:color w:val="auto"/>
              </w:rPr>
            </w:pPr>
            <w:r>
              <w:rPr>
                <w:rFonts w:ascii="Arial" w:cs="Arial" w:eastAsia="Arial" w:hAnsi="Arial"/>
                <w:sz w:val="15"/>
                <w:szCs w:val="15"/>
                <w:color w:val="auto"/>
              </w:rPr>
              <w:t>S.no</w:t>
            </w:r>
          </w:p>
        </w:tc>
        <w:tc>
          <w:tcPr>
            <w:tcW w:w="2240" w:type="dxa"/>
            <w:vAlign w:val="bottom"/>
            <w:shd w:val="clear" w:color="auto" w:fill="CCCCCC"/>
          </w:tcPr>
          <w:p>
            <w:pPr>
              <w:ind w:left="400"/>
              <w:spacing w:after="0"/>
              <w:rPr>
                <w:sz w:val="20"/>
                <w:szCs w:val="20"/>
                <w:color w:val="auto"/>
              </w:rPr>
            </w:pPr>
            <w:r>
              <w:rPr>
                <w:rFonts w:ascii="Arial" w:cs="Arial" w:eastAsia="Arial" w:hAnsi="Arial"/>
                <w:sz w:val="15"/>
                <w:szCs w:val="15"/>
                <w:color w:val="auto"/>
              </w:rPr>
              <w:t>Plants common name</w:t>
            </w:r>
          </w:p>
        </w:tc>
        <w:tc>
          <w:tcPr>
            <w:tcW w:w="2520" w:type="dxa"/>
            <w:vAlign w:val="bottom"/>
            <w:shd w:val="clear" w:color="auto" w:fill="CCCCCC"/>
          </w:tcPr>
          <w:p>
            <w:pPr>
              <w:ind w:left="420"/>
              <w:spacing w:after="0"/>
              <w:rPr>
                <w:sz w:val="20"/>
                <w:szCs w:val="20"/>
                <w:color w:val="auto"/>
              </w:rPr>
            </w:pPr>
            <w:r>
              <w:rPr>
                <w:rFonts w:ascii="Arial" w:cs="Arial" w:eastAsia="Arial" w:hAnsi="Arial"/>
                <w:sz w:val="15"/>
                <w:szCs w:val="15"/>
                <w:color w:val="auto"/>
              </w:rPr>
              <w:t>Plants scientific name</w:t>
            </w:r>
          </w:p>
        </w:tc>
        <w:tc>
          <w:tcPr>
            <w:tcW w:w="1700" w:type="dxa"/>
            <w:vAlign w:val="bottom"/>
            <w:shd w:val="clear" w:color="auto" w:fill="CCCCCC"/>
          </w:tcPr>
          <w:p>
            <w:pPr>
              <w:ind w:left="420"/>
              <w:spacing w:after="0"/>
              <w:rPr>
                <w:sz w:val="20"/>
                <w:szCs w:val="20"/>
                <w:color w:val="auto"/>
              </w:rPr>
            </w:pPr>
            <w:r>
              <w:rPr>
                <w:rFonts w:ascii="Arial" w:cs="Arial" w:eastAsia="Arial" w:hAnsi="Arial"/>
                <w:sz w:val="15"/>
                <w:szCs w:val="15"/>
                <w:color w:val="auto"/>
              </w:rPr>
              <w:t>Part used</w:t>
            </w:r>
          </w:p>
        </w:tc>
        <w:tc>
          <w:tcPr>
            <w:tcW w:w="2780" w:type="dxa"/>
            <w:vAlign w:val="bottom"/>
            <w:shd w:val="clear" w:color="auto" w:fill="CCCCCC"/>
          </w:tcPr>
          <w:p>
            <w:pPr>
              <w:ind w:left="420"/>
              <w:spacing w:after="0"/>
              <w:rPr>
                <w:sz w:val="20"/>
                <w:szCs w:val="20"/>
                <w:color w:val="auto"/>
              </w:rPr>
            </w:pPr>
            <w:r>
              <w:rPr>
                <w:rFonts w:ascii="Arial" w:cs="Arial" w:eastAsia="Arial" w:hAnsi="Arial"/>
                <w:sz w:val="15"/>
                <w:szCs w:val="15"/>
                <w:color w:val="auto"/>
              </w:rPr>
              <w:t>of aqueous extract</w:t>
            </w:r>
          </w:p>
        </w:tc>
      </w:tr>
      <w:tr>
        <w:trPr>
          <w:trHeight w:val="74"/>
        </w:trPr>
        <w:tc>
          <w:tcPr>
            <w:tcW w:w="840" w:type="dxa"/>
            <w:vAlign w:val="bottom"/>
            <w:shd w:val="clear" w:color="auto" w:fill="CCCCCC"/>
          </w:tcPr>
          <w:p>
            <w:pPr>
              <w:spacing w:after="0"/>
              <w:rPr>
                <w:sz w:val="6"/>
                <w:szCs w:val="6"/>
                <w:color w:val="auto"/>
              </w:rPr>
            </w:pPr>
          </w:p>
        </w:tc>
        <w:tc>
          <w:tcPr>
            <w:tcW w:w="2240" w:type="dxa"/>
            <w:vAlign w:val="bottom"/>
            <w:shd w:val="clear" w:color="auto" w:fill="CCCCCC"/>
          </w:tcPr>
          <w:p>
            <w:pPr>
              <w:spacing w:after="0"/>
              <w:rPr>
                <w:sz w:val="6"/>
                <w:szCs w:val="6"/>
                <w:color w:val="auto"/>
              </w:rPr>
            </w:pPr>
          </w:p>
        </w:tc>
        <w:tc>
          <w:tcPr>
            <w:tcW w:w="2520" w:type="dxa"/>
            <w:vAlign w:val="bottom"/>
            <w:shd w:val="clear" w:color="auto" w:fill="CCCCCC"/>
          </w:tcPr>
          <w:p>
            <w:pPr>
              <w:spacing w:after="0"/>
              <w:rPr>
                <w:sz w:val="6"/>
                <w:szCs w:val="6"/>
                <w:color w:val="auto"/>
              </w:rPr>
            </w:pPr>
          </w:p>
        </w:tc>
        <w:tc>
          <w:tcPr>
            <w:tcW w:w="1700" w:type="dxa"/>
            <w:vAlign w:val="bottom"/>
            <w:shd w:val="clear" w:color="auto" w:fill="CCCCCC"/>
          </w:tcPr>
          <w:p>
            <w:pPr>
              <w:spacing w:after="0"/>
              <w:rPr>
                <w:sz w:val="6"/>
                <w:szCs w:val="6"/>
                <w:color w:val="auto"/>
              </w:rPr>
            </w:pPr>
          </w:p>
        </w:tc>
        <w:tc>
          <w:tcPr>
            <w:tcW w:w="2780" w:type="dxa"/>
            <w:vAlign w:val="bottom"/>
            <w:shd w:val="clear" w:color="auto" w:fill="CCCCCC"/>
          </w:tcPr>
          <w:p>
            <w:pPr>
              <w:spacing w:after="0"/>
              <w:rPr>
                <w:sz w:val="6"/>
                <w:szCs w:val="6"/>
                <w:color w:val="auto"/>
              </w:rPr>
            </w:pP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1</w:t>
            </w:r>
          </w:p>
        </w:tc>
        <w:tc>
          <w:tcPr>
            <w:tcW w:w="2240" w:type="dxa"/>
            <w:vAlign w:val="bottom"/>
          </w:tcPr>
          <w:p>
            <w:pPr>
              <w:ind w:left="400"/>
              <w:spacing w:after="0"/>
              <w:rPr>
                <w:sz w:val="20"/>
                <w:szCs w:val="20"/>
                <w:color w:val="auto"/>
              </w:rPr>
            </w:pPr>
            <w:r>
              <w:rPr>
                <w:rFonts w:ascii="Arial" w:cs="Arial" w:eastAsia="Arial" w:hAnsi="Arial"/>
                <w:sz w:val="15"/>
                <w:szCs w:val="15"/>
                <w:color w:val="auto"/>
              </w:rPr>
              <w:t>Aloe vera</w:t>
            </w:r>
          </w:p>
        </w:tc>
        <w:tc>
          <w:tcPr>
            <w:tcW w:w="2520" w:type="dxa"/>
            <w:vAlign w:val="bottom"/>
          </w:tcPr>
          <w:p>
            <w:pPr>
              <w:ind w:left="420"/>
              <w:spacing w:after="0"/>
              <w:rPr>
                <w:sz w:val="20"/>
                <w:szCs w:val="20"/>
                <w:color w:val="auto"/>
              </w:rPr>
            </w:pPr>
            <w:r>
              <w:rPr>
                <w:rFonts w:ascii="Arial" w:cs="Arial" w:eastAsia="Arial" w:hAnsi="Arial"/>
                <w:sz w:val="15"/>
                <w:szCs w:val="15"/>
                <w:color w:val="auto"/>
              </w:rPr>
              <w:t>Aloe barbadensis miller</w:t>
            </w:r>
          </w:p>
        </w:tc>
        <w:tc>
          <w:tcPr>
            <w:tcW w:w="1700" w:type="dxa"/>
            <w:vAlign w:val="bottom"/>
          </w:tcPr>
          <w:p>
            <w:pPr>
              <w:ind w:left="420"/>
              <w:spacing w:after="0"/>
              <w:rPr>
                <w:sz w:val="20"/>
                <w:szCs w:val="20"/>
                <w:color w:val="auto"/>
              </w:rPr>
            </w:pPr>
            <w:r>
              <w:rPr>
                <w:rFonts w:ascii="Arial" w:cs="Arial" w:eastAsia="Arial" w:hAnsi="Arial"/>
                <w:sz w:val="15"/>
                <w:szCs w:val="15"/>
                <w:color w:val="auto"/>
              </w:rPr>
              <w:t>Leaf</w:t>
            </w:r>
          </w:p>
        </w:tc>
        <w:tc>
          <w:tcPr>
            <w:tcW w:w="2780" w:type="dxa"/>
            <w:vAlign w:val="bottom"/>
          </w:tcPr>
          <w:p>
            <w:pPr>
              <w:ind w:left="420"/>
              <w:spacing w:after="0"/>
              <w:rPr>
                <w:sz w:val="20"/>
                <w:szCs w:val="20"/>
                <w:color w:val="auto"/>
              </w:rPr>
            </w:pPr>
            <w:r>
              <w:rPr>
                <w:rFonts w:ascii="Arial" w:cs="Arial" w:eastAsia="Arial" w:hAnsi="Arial"/>
                <w:sz w:val="15"/>
                <w:szCs w:val="15"/>
                <w:color w:val="auto"/>
              </w:rPr>
              <w:t>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2</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Amala</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Phyllanthus emblica</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Fruit</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10%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3</w:t>
            </w:r>
          </w:p>
        </w:tc>
        <w:tc>
          <w:tcPr>
            <w:tcW w:w="2240" w:type="dxa"/>
            <w:vAlign w:val="bottom"/>
          </w:tcPr>
          <w:p>
            <w:pPr>
              <w:ind w:left="400"/>
              <w:spacing w:after="0"/>
              <w:rPr>
                <w:sz w:val="20"/>
                <w:szCs w:val="20"/>
                <w:color w:val="auto"/>
              </w:rPr>
            </w:pPr>
            <w:r>
              <w:rPr>
                <w:rFonts w:ascii="Arial" w:cs="Arial" w:eastAsia="Arial" w:hAnsi="Arial"/>
                <w:sz w:val="15"/>
                <w:szCs w:val="15"/>
                <w:color w:val="auto"/>
              </w:rPr>
              <w:t>Anise</w:t>
            </w:r>
          </w:p>
        </w:tc>
        <w:tc>
          <w:tcPr>
            <w:tcW w:w="2520" w:type="dxa"/>
            <w:vAlign w:val="bottom"/>
          </w:tcPr>
          <w:p>
            <w:pPr>
              <w:ind w:left="420"/>
              <w:spacing w:after="0"/>
              <w:rPr>
                <w:sz w:val="20"/>
                <w:szCs w:val="20"/>
                <w:color w:val="auto"/>
              </w:rPr>
            </w:pPr>
            <w:r>
              <w:rPr>
                <w:rFonts w:ascii="Arial" w:cs="Arial" w:eastAsia="Arial" w:hAnsi="Arial"/>
                <w:sz w:val="15"/>
                <w:szCs w:val="15"/>
                <w:color w:val="auto"/>
              </w:rPr>
              <w:t>Pimpinella anisum</w:t>
            </w:r>
          </w:p>
        </w:tc>
        <w:tc>
          <w:tcPr>
            <w:tcW w:w="1700" w:type="dxa"/>
            <w:vAlign w:val="bottom"/>
          </w:tcPr>
          <w:p>
            <w:pPr>
              <w:ind w:left="420"/>
              <w:spacing w:after="0"/>
              <w:rPr>
                <w:sz w:val="20"/>
                <w:szCs w:val="20"/>
                <w:color w:val="auto"/>
              </w:rPr>
            </w:pPr>
            <w:r>
              <w:rPr>
                <w:rFonts w:ascii="Arial" w:cs="Arial" w:eastAsia="Arial" w:hAnsi="Arial"/>
                <w:sz w:val="15"/>
                <w:szCs w:val="15"/>
                <w:color w:val="auto"/>
              </w:rPr>
              <w:t>Fruit</w:t>
            </w:r>
          </w:p>
        </w:tc>
        <w:tc>
          <w:tcPr>
            <w:tcW w:w="2780" w:type="dxa"/>
            <w:vAlign w:val="bottom"/>
          </w:tcPr>
          <w:p>
            <w:pPr>
              <w:ind w:left="420"/>
              <w:spacing w:after="0"/>
              <w:rPr>
                <w:sz w:val="20"/>
                <w:szCs w:val="20"/>
                <w:color w:val="auto"/>
              </w:rPr>
            </w:pPr>
            <w:r>
              <w:rPr>
                <w:rFonts w:ascii="Arial" w:cs="Arial" w:eastAsia="Arial" w:hAnsi="Arial"/>
                <w:sz w:val="15"/>
                <w:szCs w:val="15"/>
                <w:color w:val="auto"/>
              </w:rPr>
              <w:t>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4</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Antmul</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Tylophora indica</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Leaf</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0</w:t>
            </w:r>
          </w:p>
        </w:tc>
      </w:tr>
      <w:tr>
        <w:trPr>
          <w:trHeight w:val="220"/>
        </w:trPr>
        <w:tc>
          <w:tcPr>
            <w:tcW w:w="840" w:type="dxa"/>
            <w:vAlign w:val="bottom"/>
          </w:tcPr>
          <w:p>
            <w:pPr>
              <w:ind w:left="140"/>
              <w:spacing w:after="0"/>
              <w:rPr>
                <w:sz w:val="20"/>
                <w:szCs w:val="20"/>
                <w:color w:val="auto"/>
              </w:rPr>
            </w:pPr>
            <w:r>
              <w:rPr>
                <w:rFonts w:ascii="Arial" w:cs="Arial" w:eastAsia="Arial" w:hAnsi="Arial"/>
                <w:sz w:val="15"/>
                <w:szCs w:val="15"/>
                <w:color w:val="auto"/>
              </w:rPr>
              <w:t>5</w:t>
            </w:r>
          </w:p>
        </w:tc>
        <w:tc>
          <w:tcPr>
            <w:tcW w:w="2240" w:type="dxa"/>
            <w:vAlign w:val="bottom"/>
          </w:tcPr>
          <w:p>
            <w:pPr>
              <w:ind w:left="400"/>
              <w:spacing w:after="0"/>
              <w:rPr>
                <w:sz w:val="20"/>
                <w:szCs w:val="20"/>
                <w:color w:val="auto"/>
              </w:rPr>
            </w:pPr>
            <w:r>
              <w:rPr>
                <w:rFonts w:ascii="Arial" w:cs="Arial" w:eastAsia="Arial" w:hAnsi="Arial"/>
                <w:sz w:val="15"/>
                <w:szCs w:val="15"/>
                <w:color w:val="auto"/>
              </w:rPr>
              <w:t>Bael</w:t>
            </w:r>
          </w:p>
        </w:tc>
        <w:tc>
          <w:tcPr>
            <w:tcW w:w="2520" w:type="dxa"/>
            <w:vAlign w:val="bottom"/>
          </w:tcPr>
          <w:p>
            <w:pPr>
              <w:ind w:left="420"/>
              <w:spacing w:after="0"/>
              <w:rPr>
                <w:sz w:val="20"/>
                <w:szCs w:val="20"/>
                <w:color w:val="auto"/>
              </w:rPr>
            </w:pPr>
            <w:r>
              <w:rPr>
                <w:rFonts w:ascii="Arial" w:cs="Arial" w:eastAsia="Arial" w:hAnsi="Arial"/>
                <w:sz w:val="15"/>
                <w:szCs w:val="15"/>
                <w:color w:val="auto"/>
              </w:rPr>
              <w:t>Aegle marmelos</w:t>
            </w:r>
          </w:p>
        </w:tc>
        <w:tc>
          <w:tcPr>
            <w:tcW w:w="1700" w:type="dxa"/>
            <w:vAlign w:val="bottom"/>
          </w:tcPr>
          <w:p>
            <w:pPr>
              <w:ind w:left="420"/>
              <w:spacing w:after="0"/>
              <w:rPr>
                <w:sz w:val="20"/>
                <w:szCs w:val="20"/>
                <w:color w:val="auto"/>
              </w:rPr>
            </w:pPr>
            <w:r>
              <w:rPr>
                <w:rFonts w:ascii="Arial" w:cs="Arial" w:eastAsia="Arial" w:hAnsi="Arial"/>
                <w:sz w:val="15"/>
                <w:szCs w:val="15"/>
                <w:color w:val="auto"/>
              </w:rPr>
              <w:t>Pulp of fruit</w:t>
            </w:r>
          </w:p>
        </w:tc>
        <w:tc>
          <w:tcPr>
            <w:tcW w:w="2780" w:type="dxa"/>
            <w:vAlign w:val="bottom"/>
          </w:tcPr>
          <w:p>
            <w:pPr>
              <w:ind w:left="420"/>
              <w:spacing w:after="0"/>
              <w:rPr>
                <w:sz w:val="20"/>
                <w:szCs w:val="20"/>
                <w:color w:val="auto"/>
              </w:rPr>
            </w:pPr>
            <w:r>
              <w:rPr>
                <w:rFonts w:ascii="Arial" w:cs="Arial" w:eastAsia="Arial" w:hAnsi="Arial"/>
                <w:sz w:val="15"/>
                <w:szCs w:val="15"/>
                <w:color w:val="auto"/>
              </w:rPr>
              <w:t>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6</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Ber</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Ziziphus mauritiana</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Fruit</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7</w:t>
            </w:r>
          </w:p>
        </w:tc>
        <w:tc>
          <w:tcPr>
            <w:tcW w:w="2240" w:type="dxa"/>
            <w:vAlign w:val="bottom"/>
          </w:tcPr>
          <w:p>
            <w:pPr>
              <w:ind w:left="400"/>
              <w:spacing w:after="0"/>
              <w:rPr>
                <w:sz w:val="20"/>
                <w:szCs w:val="20"/>
                <w:color w:val="auto"/>
              </w:rPr>
            </w:pPr>
            <w:r>
              <w:rPr>
                <w:rFonts w:ascii="Arial" w:cs="Arial" w:eastAsia="Arial" w:hAnsi="Arial"/>
                <w:sz w:val="15"/>
                <w:szCs w:val="15"/>
                <w:color w:val="auto"/>
              </w:rPr>
              <w:t>Bhilawa</w:t>
            </w:r>
          </w:p>
        </w:tc>
        <w:tc>
          <w:tcPr>
            <w:tcW w:w="2520" w:type="dxa"/>
            <w:vAlign w:val="bottom"/>
          </w:tcPr>
          <w:p>
            <w:pPr>
              <w:ind w:left="420"/>
              <w:spacing w:after="0"/>
              <w:rPr>
                <w:sz w:val="20"/>
                <w:szCs w:val="20"/>
                <w:color w:val="auto"/>
              </w:rPr>
            </w:pPr>
            <w:r>
              <w:rPr>
                <w:rFonts w:ascii="Arial" w:cs="Arial" w:eastAsia="Arial" w:hAnsi="Arial"/>
                <w:sz w:val="15"/>
                <w:szCs w:val="15"/>
                <w:color w:val="auto"/>
              </w:rPr>
              <w:t>Semecarpusana cardium</w:t>
            </w:r>
          </w:p>
        </w:tc>
        <w:tc>
          <w:tcPr>
            <w:tcW w:w="1700" w:type="dxa"/>
            <w:vAlign w:val="bottom"/>
          </w:tcPr>
          <w:p>
            <w:pPr>
              <w:ind w:left="420"/>
              <w:spacing w:after="0"/>
              <w:rPr>
                <w:sz w:val="20"/>
                <w:szCs w:val="20"/>
                <w:color w:val="auto"/>
              </w:rPr>
            </w:pPr>
            <w:r>
              <w:rPr>
                <w:rFonts w:ascii="Arial" w:cs="Arial" w:eastAsia="Arial" w:hAnsi="Arial"/>
                <w:sz w:val="15"/>
                <w:szCs w:val="15"/>
                <w:color w:val="auto"/>
              </w:rPr>
              <w:t>Fruit</w:t>
            </w:r>
          </w:p>
        </w:tc>
        <w:tc>
          <w:tcPr>
            <w:tcW w:w="2780" w:type="dxa"/>
            <w:vAlign w:val="bottom"/>
          </w:tcPr>
          <w:p>
            <w:pPr>
              <w:ind w:left="420"/>
              <w:spacing w:after="0"/>
              <w:rPr>
                <w:sz w:val="20"/>
                <w:szCs w:val="20"/>
                <w:color w:val="auto"/>
              </w:rPr>
            </w:pPr>
            <w:r>
              <w:rPr>
                <w:rFonts w:ascii="Arial" w:cs="Arial" w:eastAsia="Arial" w:hAnsi="Arial"/>
                <w:sz w:val="15"/>
                <w:szCs w:val="15"/>
                <w:color w:val="auto"/>
              </w:rPr>
              <w:t>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8</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Bhojpatra</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Betula utilis</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Leaf</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9</w:t>
            </w:r>
          </w:p>
        </w:tc>
        <w:tc>
          <w:tcPr>
            <w:tcW w:w="2240" w:type="dxa"/>
            <w:vAlign w:val="bottom"/>
          </w:tcPr>
          <w:p>
            <w:pPr>
              <w:ind w:left="400"/>
              <w:spacing w:after="0"/>
              <w:rPr>
                <w:sz w:val="20"/>
                <w:szCs w:val="20"/>
                <w:color w:val="auto"/>
              </w:rPr>
            </w:pPr>
            <w:r>
              <w:rPr>
                <w:rFonts w:ascii="Arial" w:cs="Arial" w:eastAsia="Arial" w:hAnsi="Arial"/>
                <w:sz w:val="15"/>
                <w:szCs w:val="15"/>
                <w:color w:val="auto"/>
              </w:rPr>
              <w:t>Black tea</w:t>
            </w:r>
          </w:p>
        </w:tc>
        <w:tc>
          <w:tcPr>
            <w:tcW w:w="2520" w:type="dxa"/>
            <w:vAlign w:val="bottom"/>
          </w:tcPr>
          <w:p>
            <w:pPr>
              <w:ind w:left="420"/>
              <w:spacing w:after="0"/>
              <w:rPr>
                <w:sz w:val="20"/>
                <w:szCs w:val="20"/>
                <w:color w:val="auto"/>
              </w:rPr>
            </w:pPr>
            <w:r>
              <w:rPr>
                <w:rFonts w:ascii="Arial" w:cs="Arial" w:eastAsia="Arial" w:hAnsi="Arial"/>
                <w:sz w:val="15"/>
                <w:szCs w:val="15"/>
                <w:color w:val="auto"/>
              </w:rPr>
              <w:t>Camellia sinensis</w:t>
            </w:r>
          </w:p>
        </w:tc>
        <w:tc>
          <w:tcPr>
            <w:tcW w:w="1700" w:type="dxa"/>
            <w:vAlign w:val="bottom"/>
          </w:tcPr>
          <w:p>
            <w:pPr>
              <w:ind w:left="420"/>
              <w:spacing w:after="0"/>
              <w:rPr>
                <w:sz w:val="20"/>
                <w:szCs w:val="20"/>
                <w:color w:val="auto"/>
              </w:rPr>
            </w:pPr>
            <w:r>
              <w:rPr>
                <w:rFonts w:ascii="Arial" w:cs="Arial" w:eastAsia="Arial" w:hAnsi="Arial"/>
                <w:sz w:val="15"/>
                <w:szCs w:val="15"/>
                <w:color w:val="auto"/>
              </w:rPr>
              <w:t>Leaf</w:t>
            </w:r>
          </w:p>
        </w:tc>
        <w:tc>
          <w:tcPr>
            <w:tcW w:w="2780" w:type="dxa"/>
            <w:vAlign w:val="bottom"/>
          </w:tcPr>
          <w:p>
            <w:pPr>
              <w:ind w:left="420"/>
              <w:spacing w:after="0"/>
              <w:rPr>
                <w:sz w:val="20"/>
                <w:szCs w:val="20"/>
                <w:color w:val="auto"/>
              </w:rPr>
            </w:pPr>
            <w:r>
              <w:rPr>
                <w:rFonts w:ascii="Arial" w:cs="Arial" w:eastAsia="Arial" w:hAnsi="Arial"/>
                <w:sz w:val="15"/>
                <w:szCs w:val="15"/>
                <w:color w:val="auto"/>
              </w:rPr>
              <w:t>100%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10</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Chirata</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Swertia chirayita</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Leaf and stem</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11</w:t>
            </w:r>
          </w:p>
        </w:tc>
        <w:tc>
          <w:tcPr>
            <w:tcW w:w="2240" w:type="dxa"/>
            <w:vAlign w:val="bottom"/>
          </w:tcPr>
          <w:p>
            <w:pPr>
              <w:ind w:left="400"/>
              <w:spacing w:after="0"/>
              <w:rPr>
                <w:sz w:val="20"/>
                <w:szCs w:val="20"/>
                <w:color w:val="auto"/>
              </w:rPr>
            </w:pPr>
            <w:r>
              <w:rPr>
                <w:rFonts w:ascii="Arial" w:cs="Arial" w:eastAsia="Arial" w:hAnsi="Arial"/>
                <w:sz w:val="15"/>
                <w:szCs w:val="15"/>
                <w:color w:val="auto"/>
              </w:rPr>
              <w:t>Chopachini</w:t>
            </w:r>
          </w:p>
        </w:tc>
        <w:tc>
          <w:tcPr>
            <w:tcW w:w="2520" w:type="dxa"/>
            <w:vAlign w:val="bottom"/>
          </w:tcPr>
          <w:p>
            <w:pPr>
              <w:ind w:left="420"/>
              <w:spacing w:after="0"/>
              <w:rPr>
                <w:sz w:val="20"/>
                <w:szCs w:val="20"/>
                <w:color w:val="auto"/>
              </w:rPr>
            </w:pPr>
            <w:r>
              <w:rPr>
                <w:rFonts w:ascii="Arial" w:cs="Arial" w:eastAsia="Arial" w:hAnsi="Arial"/>
                <w:sz w:val="15"/>
                <w:szCs w:val="15"/>
                <w:color w:val="auto"/>
              </w:rPr>
              <w:t>Smilax glabra</w:t>
            </w:r>
          </w:p>
        </w:tc>
        <w:tc>
          <w:tcPr>
            <w:tcW w:w="1700" w:type="dxa"/>
            <w:vAlign w:val="bottom"/>
          </w:tcPr>
          <w:p>
            <w:pPr>
              <w:ind w:left="420"/>
              <w:spacing w:after="0"/>
              <w:rPr>
                <w:sz w:val="20"/>
                <w:szCs w:val="20"/>
                <w:color w:val="auto"/>
              </w:rPr>
            </w:pPr>
            <w:r>
              <w:rPr>
                <w:rFonts w:ascii="Arial" w:cs="Arial" w:eastAsia="Arial" w:hAnsi="Arial"/>
                <w:sz w:val="15"/>
                <w:szCs w:val="15"/>
                <w:color w:val="auto"/>
              </w:rPr>
              <w:t>Rhizome</w:t>
            </w:r>
          </w:p>
        </w:tc>
        <w:tc>
          <w:tcPr>
            <w:tcW w:w="2780" w:type="dxa"/>
            <w:vAlign w:val="bottom"/>
          </w:tcPr>
          <w:p>
            <w:pPr>
              <w:ind w:left="420"/>
              <w:spacing w:after="0"/>
              <w:rPr>
                <w:sz w:val="20"/>
                <w:szCs w:val="20"/>
                <w:color w:val="auto"/>
              </w:rPr>
            </w:pPr>
            <w:r>
              <w:rPr>
                <w:rFonts w:ascii="Arial" w:cs="Arial" w:eastAsia="Arial" w:hAnsi="Arial"/>
                <w:sz w:val="15"/>
                <w:szCs w:val="15"/>
                <w:color w:val="auto"/>
              </w:rPr>
              <w:t>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12</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Cinnamon</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Cinnamomum verum</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Bark</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13</w:t>
            </w:r>
          </w:p>
        </w:tc>
        <w:tc>
          <w:tcPr>
            <w:tcW w:w="2240" w:type="dxa"/>
            <w:vAlign w:val="bottom"/>
          </w:tcPr>
          <w:p>
            <w:pPr>
              <w:ind w:left="400"/>
              <w:spacing w:after="0"/>
              <w:rPr>
                <w:sz w:val="20"/>
                <w:szCs w:val="20"/>
                <w:color w:val="auto"/>
              </w:rPr>
            </w:pPr>
            <w:r>
              <w:rPr>
                <w:rFonts w:ascii="Arial" w:cs="Arial" w:eastAsia="Arial" w:hAnsi="Arial"/>
                <w:sz w:val="15"/>
                <w:szCs w:val="15"/>
                <w:color w:val="auto"/>
              </w:rPr>
              <w:t>Coconut</w:t>
            </w:r>
          </w:p>
        </w:tc>
        <w:tc>
          <w:tcPr>
            <w:tcW w:w="2520" w:type="dxa"/>
            <w:vAlign w:val="bottom"/>
          </w:tcPr>
          <w:p>
            <w:pPr>
              <w:ind w:left="420"/>
              <w:spacing w:after="0"/>
              <w:rPr>
                <w:sz w:val="20"/>
                <w:szCs w:val="20"/>
                <w:color w:val="auto"/>
              </w:rPr>
            </w:pPr>
            <w:r>
              <w:rPr>
                <w:rFonts w:ascii="Arial" w:cs="Arial" w:eastAsia="Arial" w:hAnsi="Arial"/>
                <w:sz w:val="15"/>
                <w:szCs w:val="15"/>
                <w:color w:val="auto"/>
              </w:rPr>
              <w:t>Cocos nucifera</w:t>
            </w:r>
          </w:p>
        </w:tc>
        <w:tc>
          <w:tcPr>
            <w:tcW w:w="1700" w:type="dxa"/>
            <w:vAlign w:val="bottom"/>
          </w:tcPr>
          <w:p>
            <w:pPr>
              <w:ind w:left="420"/>
              <w:spacing w:after="0"/>
              <w:rPr>
                <w:sz w:val="20"/>
                <w:szCs w:val="20"/>
                <w:color w:val="auto"/>
              </w:rPr>
            </w:pPr>
            <w:r>
              <w:rPr>
                <w:rFonts w:ascii="Arial" w:cs="Arial" w:eastAsia="Arial" w:hAnsi="Arial"/>
                <w:sz w:val="15"/>
                <w:szCs w:val="15"/>
                <w:color w:val="auto"/>
              </w:rPr>
              <w:t>Husk fiber</w:t>
            </w:r>
          </w:p>
        </w:tc>
        <w:tc>
          <w:tcPr>
            <w:tcW w:w="2780" w:type="dxa"/>
            <w:vAlign w:val="bottom"/>
          </w:tcPr>
          <w:p>
            <w:pPr>
              <w:ind w:left="420"/>
              <w:spacing w:after="0"/>
              <w:rPr>
                <w:sz w:val="20"/>
                <w:szCs w:val="20"/>
                <w:color w:val="auto"/>
              </w:rPr>
            </w:pPr>
            <w:r>
              <w:rPr>
                <w:rFonts w:ascii="Arial" w:cs="Arial" w:eastAsia="Arial" w:hAnsi="Arial"/>
                <w:sz w:val="15"/>
                <w:szCs w:val="15"/>
                <w:color w:val="auto"/>
              </w:rPr>
              <w:t>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14</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Daaruharidra</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Berberi saristata</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Stem</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15</w:t>
            </w:r>
          </w:p>
        </w:tc>
        <w:tc>
          <w:tcPr>
            <w:tcW w:w="2240" w:type="dxa"/>
            <w:vAlign w:val="bottom"/>
          </w:tcPr>
          <w:p>
            <w:pPr>
              <w:ind w:left="400"/>
              <w:spacing w:after="0"/>
              <w:rPr>
                <w:sz w:val="20"/>
                <w:szCs w:val="20"/>
                <w:color w:val="auto"/>
              </w:rPr>
            </w:pPr>
            <w:r>
              <w:rPr>
                <w:rFonts w:ascii="Arial" w:cs="Arial" w:eastAsia="Arial" w:hAnsi="Arial"/>
                <w:sz w:val="15"/>
                <w:szCs w:val="15"/>
                <w:color w:val="auto"/>
              </w:rPr>
              <w:t>Deodar</w:t>
            </w:r>
          </w:p>
        </w:tc>
        <w:tc>
          <w:tcPr>
            <w:tcW w:w="2520" w:type="dxa"/>
            <w:vAlign w:val="bottom"/>
          </w:tcPr>
          <w:p>
            <w:pPr>
              <w:ind w:left="420"/>
              <w:spacing w:after="0"/>
              <w:rPr>
                <w:sz w:val="20"/>
                <w:szCs w:val="20"/>
                <w:color w:val="auto"/>
              </w:rPr>
            </w:pPr>
            <w:r>
              <w:rPr>
                <w:rFonts w:ascii="Arial" w:cs="Arial" w:eastAsia="Arial" w:hAnsi="Arial"/>
                <w:sz w:val="15"/>
                <w:szCs w:val="15"/>
                <w:color w:val="auto"/>
              </w:rPr>
              <w:t>Cedrus deodara</w:t>
            </w:r>
          </w:p>
        </w:tc>
        <w:tc>
          <w:tcPr>
            <w:tcW w:w="1700" w:type="dxa"/>
            <w:vAlign w:val="bottom"/>
          </w:tcPr>
          <w:p>
            <w:pPr>
              <w:ind w:left="420"/>
              <w:spacing w:after="0"/>
              <w:rPr>
                <w:sz w:val="20"/>
                <w:szCs w:val="20"/>
                <w:color w:val="auto"/>
              </w:rPr>
            </w:pPr>
            <w:r>
              <w:rPr>
                <w:rFonts w:ascii="Arial" w:cs="Arial" w:eastAsia="Arial" w:hAnsi="Arial"/>
                <w:sz w:val="15"/>
                <w:szCs w:val="15"/>
                <w:color w:val="auto"/>
              </w:rPr>
              <w:t>Bark</w:t>
            </w:r>
          </w:p>
        </w:tc>
        <w:tc>
          <w:tcPr>
            <w:tcW w:w="2780" w:type="dxa"/>
            <w:vAlign w:val="bottom"/>
          </w:tcPr>
          <w:p>
            <w:pPr>
              <w:ind w:left="420"/>
              <w:spacing w:after="0"/>
              <w:rPr>
                <w:sz w:val="20"/>
                <w:szCs w:val="20"/>
                <w:color w:val="auto"/>
              </w:rPr>
            </w:pPr>
            <w:r>
              <w:rPr>
                <w:rFonts w:ascii="Arial" w:cs="Arial" w:eastAsia="Arial" w:hAnsi="Arial"/>
                <w:sz w:val="15"/>
                <w:szCs w:val="15"/>
                <w:color w:val="auto"/>
              </w:rPr>
              <w:t>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16</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Elaichi</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Elettaria cardamomum</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Fruit</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17</w:t>
            </w:r>
          </w:p>
        </w:tc>
        <w:tc>
          <w:tcPr>
            <w:tcW w:w="2240" w:type="dxa"/>
            <w:vAlign w:val="bottom"/>
          </w:tcPr>
          <w:p>
            <w:pPr>
              <w:ind w:left="400"/>
              <w:spacing w:after="0"/>
              <w:rPr>
                <w:sz w:val="20"/>
                <w:szCs w:val="20"/>
                <w:color w:val="auto"/>
              </w:rPr>
            </w:pPr>
            <w:r>
              <w:rPr>
                <w:rFonts w:ascii="Arial" w:cs="Arial" w:eastAsia="Arial" w:hAnsi="Arial"/>
                <w:sz w:val="15"/>
                <w:szCs w:val="15"/>
                <w:color w:val="auto"/>
              </w:rPr>
              <w:t>Fennel</w:t>
            </w:r>
          </w:p>
        </w:tc>
        <w:tc>
          <w:tcPr>
            <w:tcW w:w="2520" w:type="dxa"/>
            <w:vAlign w:val="bottom"/>
          </w:tcPr>
          <w:p>
            <w:pPr>
              <w:ind w:left="420"/>
              <w:spacing w:after="0"/>
              <w:rPr>
                <w:sz w:val="20"/>
                <w:szCs w:val="20"/>
                <w:color w:val="auto"/>
              </w:rPr>
            </w:pPr>
            <w:r>
              <w:rPr>
                <w:rFonts w:ascii="Arial" w:cs="Arial" w:eastAsia="Arial" w:hAnsi="Arial"/>
                <w:sz w:val="15"/>
                <w:szCs w:val="15"/>
                <w:color w:val="auto"/>
              </w:rPr>
              <w:t>Foeniculum vulgare</w:t>
            </w:r>
          </w:p>
        </w:tc>
        <w:tc>
          <w:tcPr>
            <w:tcW w:w="1700" w:type="dxa"/>
            <w:vAlign w:val="bottom"/>
          </w:tcPr>
          <w:p>
            <w:pPr>
              <w:ind w:left="420"/>
              <w:spacing w:after="0"/>
              <w:rPr>
                <w:sz w:val="20"/>
                <w:szCs w:val="20"/>
                <w:color w:val="auto"/>
              </w:rPr>
            </w:pPr>
            <w:r>
              <w:rPr>
                <w:rFonts w:ascii="Arial" w:cs="Arial" w:eastAsia="Arial" w:hAnsi="Arial"/>
                <w:sz w:val="15"/>
                <w:szCs w:val="15"/>
                <w:color w:val="auto"/>
              </w:rPr>
              <w:t>Fruit</w:t>
            </w:r>
          </w:p>
        </w:tc>
        <w:tc>
          <w:tcPr>
            <w:tcW w:w="2780" w:type="dxa"/>
            <w:vAlign w:val="bottom"/>
          </w:tcPr>
          <w:p>
            <w:pPr>
              <w:ind w:left="420"/>
              <w:spacing w:after="0"/>
              <w:rPr>
                <w:sz w:val="20"/>
                <w:szCs w:val="20"/>
                <w:color w:val="auto"/>
              </w:rPr>
            </w:pPr>
            <w:r>
              <w:rPr>
                <w:rFonts w:ascii="Arial" w:cs="Arial" w:eastAsia="Arial" w:hAnsi="Arial"/>
                <w:sz w:val="15"/>
                <w:szCs w:val="15"/>
                <w:color w:val="auto"/>
              </w:rPr>
              <w:t>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18</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Fenugreek</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Trigonella foenum-graecum</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Fruit</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19</w:t>
            </w:r>
          </w:p>
        </w:tc>
        <w:tc>
          <w:tcPr>
            <w:tcW w:w="2240" w:type="dxa"/>
            <w:vAlign w:val="bottom"/>
          </w:tcPr>
          <w:p>
            <w:pPr>
              <w:ind w:left="400"/>
              <w:spacing w:after="0"/>
              <w:rPr>
                <w:sz w:val="20"/>
                <w:szCs w:val="20"/>
                <w:color w:val="auto"/>
              </w:rPr>
            </w:pPr>
            <w:r>
              <w:rPr>
                <w:rFonts w:ascii="Arial" w:cs="Arial" w:eastAsia="Arial" w:hAnsi="Arial"/>
                <w:sz w:val="15"/>
                <w:szCs w:val="15"/>
                <w:color w:val="auto"/>
              </w:rPr>
              <w:t>Garlic</w:t>
            </w:r>
          </w:p>
        </w:tc>
        <w:tc>
          <w:tcPr>
            <w:tcW w:w="2520" w:type="dxa"/>
            <w:vAlign w:val="bottom"/>
          </w:tcPr>
          <w:p>
            <w:pPr>
              <w:ind w:left="420"/>
              <w:spacing w:after="0"/>
              <w:rPr>
                <w:sz w:val="20"/>
                <w:szCs w:val="20"/>
                <w:color w:val="auto"/>
              </w:rPr>
            </w:pPr>
            <w:r>
              <w:rPr>
                <w:rFonts w:ascii="Arial" w:cs="Arial" w:eastAsia="Arial" w:hAnsi="Arial"/>
                <w:sz w:val="15"/>
                <w:szCs w:val="15"/>
                <w:color w:val="auto"/>
              </w:rPr>
              <w:t>Allium sativum</w:t>
            </w:r>
          </w:p>
        </w:tc>
        <w:tc>
          <w:tcPr>
            <w:tcW w:w="1700" w:type="dxa"/>
            <w:vAlign w:val="bottom"/>
          </w:tcPr>
          <w:p>
            <w:pPr>
              <w:ind w:left="420"/>
              <w:spacing w:after="0"/>
              <w:rPr>
                <w:sz w:val="20"/>
                <w:szCs w:val="20"/>
                <w:color w:val="auto"/>
              </w:rPr>
            </w:pPr>
            <w:r>
              <w:rPr>
                <w:rFonts w:ascii="Arial" w:cs="Arial" w:eastAsia="Arial" w:hAnsi="Arial"/>
                <w:sz w:val="15"/>
                <w:szCs w:val="15"/>
                <w:color w:val="auto"/>
              </w:rPr>
              <w:t>Clove</w:t>
            </w:r>
          </w:p>
        </w:tc>
        <w:tc>
          <w:tcPr>
            <w:tcW w:w="2780" w:type="dxa"/>
            <w:vAlign w:val="bottom"/>
          </w:tcPr>
          <w:p>
            <w:pPr>
              <w:ind w:left="420"/>
              <w:spacing w:after="0"/>
              <w:rPr>
                <w:sz w:val="20"/>
                <w:szCs w:val="20"/>
                <w:color w:val="auto"/>
              </w:rPr>
            </w:pPr>
            <w:r>
              <w:rPr>
                <w:rFonts w:ascii="Arial" w:cs="Arial" w:eastAsia="Arial" w:hAnsi="Arial"/>
                <w:sz w:val="15"/>
                <w:szCs w:val="15"/>
                <w:color w:val="auto"/>
              </w:rPr>
              <w:t>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20</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Giloy</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Tinospora cordifolia</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Stem</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13%</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21</w:t>
            </w:r>
          </w:p>
        </w:tc>
        <w:tc>
          <w:tcPr>
            <w:tcW w:w="2240" w:type="dxa"/>
            <w:vAlign w:val="bottom"/>
          </w:tcPr>
          <w:p>
            <w:pPr>
              <w:ind w:left="400"/>
              <w:spacing w:after="0"/>
              <w:rPr>
                <w:sz w:val="20"/>
                <w:szCs w:val="20"/>
                <w:color w:val="auto"/>
              </w:rPr>
            </w:pPr>
            <w:r>
              <w:rPr>
                <w:rFonts w:ascii="Arial" w:cs="Arial" w:eastAsia="Arial" w:hAnsi="Arial"/>
                <w:sz w:val="15"/>
                <w:szCs w:val="15"/>
                <w:color w:val="auto"/>
              </w:rPr>
              <w:t>Ginger</w:t>
            </w:r>
          </w:p>
        </w:tc>
        <w:tc>
          <w:tcPr>
            <w:tcW w:w="2520" w:type="dxa"/>
            <w:vAlign w:val="bottom"/>
          </w:tcPr>
          <w:p>
            <w:pPr>
              <w:ind w:left="420"/>
              <w:spacing w:after="0"/>
              <w:rPr>
                <w:sz w:val="20"/>
                <w:szCs w:val="20"/>
                <w:color w:val="auto"/>
              </w:rPr>
            </w:pPr>
            <w:r>
              <w:rPr>
                <w:rFonts w:ascii="Arial" w:cs="Arial" w:eastAsia="Arial" w:hAnsi="Arial"/>
                <w:sz w:val="15"/>
                <w:szCs w:val="15"/>
                <w:color w:val="auto"/>
              </w:rPr>
              <w:t>Zingiber officinale</w:t>
            </w:r>
          </w:p>
        </w:tc>
        <w:tc>
          <w:tcPr>
            <w:tcW w:w="1700" w:type="dxa"/>
            <w:vAlign w:val="bottom"/>
          </w:tcPr>
          <w:p>
            <w:pPr>
              <w:ind w:left="420"/>
              <w:spacing w:after="0"/>
              <w:rPr>
                <w:sz w:val="20"/>
                <w:szCs w:val="20"/>
                <w:color w:val="auto"/>
              </w:rPr>
            </w:pPr>
            <w:r>
              <w:rPr>
                <w:rFonts w:ascii="Arial" w:cs="Arial" w:eastAsia="Arial" w:hAnsi="Arial"/>
                <w:sz w:val="15"/>
                <w:szCs w:val="15"/>
                <w:color w:val="auto"/>
              </w:rPr>
              <w:t>Rhizome</w:t>
            </w:r>
          </w:p>
        </w:tc>
        <w:tc>
          <w:tcPr>
            <w:tcW w:w="2780" w:type="dxa"/>
            <w:vAlign w:val="bottom"/>
          </w:tcPr>
          <w:p>
            <w:pPr>
              <w:ind w:left="420"/>
              <w:spacing w:after="0"/>
              <w:rPr>
                <w:sz w:val="20"/>
                <w:szCs w:val="20"/>
                <w:color w:val="auto"/>
              </w:rPr>
            </w:pPr>
            <w:r>
              <w:rPr>
                <w:rFonts w:ascii="Arial" w:cs="Arial" w:eastAsia="Arial" w:hAnsi="Arial"/>
                <w:sz w:val="15"/>
                <w:szCs w:val="15"/>
                <w:color w:val="auto"/>
              </w:rPr>
              <w:t>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22</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Gojihva</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Onosma bracteatum</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Leaf and stem</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23</w:t>
            </w:r>
          </w:p>
        </w:tc>
        <w:tc>
          <w:tcPr>
            <w:tcW w:w="2240" w:type="dxa"/>
            <w:vAlign w:val="bottom"/>
          </w:tcPr>
          <w:p>
            <w:pPr>
              <w:ind w:left="400"/>
              <w:spacing w:after="0"/>
              <w:rPr>
                <w:sz w:val="20"/>
                <w:szCs w:val="20"/>
                <w:color w:val="auto"/>
              </w:rPr>
            </w:pPr>
            <w:r>
              <w:rPr>
                <w:rFonts w:ascii="Arial" w:cs="Arial" w:eastAsia="Arial" w:hAnsi="Arial"/>
                <w:sz w:val="15"/>
                <w:szCs w:val="15"/>
                <w:color w:val="auto"/>
              </w:rPr>
              <w:t>Green tea</w:t>
            </w:r>
          </w:p>
        </w:tc>
        <w:tc>
          <w:tcPr>
            <w:tcW w:w="2520" w:type="dxa"/>
            <w:vAlign w:val="bottom"/>
          </w:tcPr>
          <w:p>
            <w:pPr>
              <w:ind w:left="420"/>
              <w:spacing w:after="0"/>
              <w:rPr>
                <w:sz w:val="20"/>
                <w:szCs w:val="20"/>
                <w:color w:val="auto"/>
              </w:rPr>
            </w:pPr>
            <w:r>
              <w:rPr>
                <w:rFonts w:ascii="Arial" w:cs="Arial" w:eastAsia="Arial" w:hAnsi="Arial"/>
                <w:sz w:val="15"/>
                <w:szCs w:val="15"/>
                <w:color w:val="auto"/>
              </w:rPr>
              <w:t>Camellia sinensis</w:t>
            </w:r>
          </w:p>
        </w:tc>
        <w:tc>
          <w:tcPr>
            <w:tcW w:w="1700" w:type="dxa"/>
            <w:vAlign w:val="bottom"/>
          </w:tcPr>
          <w:p>
            <w:pPr>
              <w:ind w:left="420"/>
              <w:spacing w:after="0"/>
              <w:rPr>
                <w:sz w:val="20"/>
                <w:szCs w:val="20"/>
                <w:color w:val="auto"/>
              </w:rPr>
            </w:pPr>
            <w:r>
              <w:rPr>
                <w:rFonts w:ascii="Arial" w:cs="Arial" w:eastAsia="Arial" w:hAnsi="Arial"/>
                <w:sz w:val="15"/>
                <w:szCs w:val="15"/>
                <w:color w:val="auto"/>
              </w:rPr>
              <w:t>Leaf</w:t>
            </w:r>
          </w:p>
        </w:tc>
        <w:tc>
          <w:tcPr>
            <w:tcW w:w="2780" w:type="dxa"/>
            <w:vAlign w:val="bottom"/>
          </w:tcPr>
          <w:p>
            <w:pPr>
              <w:ind w:left="420"/>
              <w:spacing w:after="0"/>
              <w:rPr>
                <w:sz w:val="20"/>
                <w:szCs w:val="20"/>
                <w:color w:val="auto"/>
              </w:rPr>
            </w:pPr>
            <w:r>
              <w:rPr>
                <w:rFonts w:ascii="Arial" w:cs="Arial" w:eastAsia="Arial" w:hAnsi="Arial"/>
                <w:sz w:val="15"/>
                <w:szCs w:val="15"/>
                <w:color w:val="auto"/>
              </w:rPr>
              <w:t>100%</w:t>
            </w:r>
          </w:p>
        </w:tc>
      </w:tr>
      <w:tr>
        <w:trPr>
          <w:trHeight w:val="58"/>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24</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Guggul</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Commiphora wightii</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Resin</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8%</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25</w:t>
            </w:r>
          </w:p>
        </w:tc>
        <w:tc>
          <w:tcPr>
            <w:tcW w:w="2240" w:type="dxa"/>
            <w:vAlign w:val="bottom"/>
          </w:tcPr>
          <w:p>
            <w:pPr>
              <w:ind w:left="400"/>
              <w:spacing w:after="0"/>
              <w:rPr>
                <w:sz w:val="20"/>
                <w:szCs w:val="20"/>
                <w:color w:val="auto"/>
              </w:rPr>
            </w:pPr>
            <w:r>
              <w:rPr>
                <w:rFonts w:ascii="Arial" w:cs="Arial" w:eastAsia="Arial" w:hAnsi="Arial"/>
                <w:sz w:val="15"/>
                <w:szCs w:val="15"/>
                <w:color w:val="auto"/>
              </w:rPr>
              <w:t>Haridra</w:t>
            </w:r>
          </w:p>
        </w:tc>
        <w:tc>
          <w:tcPr>
            <w:tcW w:w="2520" w:type="dxa"/>
            <w:vAlign w:val="bottom"/>
          </w:tcPr>
          <w:p>
            <w:pPr>
              <w:ind w:left="420"/>
              <w:spacing w:after="0"/>
              <w:rPr>
                <w:sz w:val="20"/>
                <w:szCs w:val="20"/>
                <w:color w:val="auto"/>
              </w:rPr>
            </w:pPr>
            <w:r>
              <w:rPr>
                <w:rFonts w:ascii="Arial" w:cs="Arial" w:eastAsia="Arial" w:hAnsi="Arial"/>
                <w:sz w:val="15"/>
                <w:szCs w:val="15"/>
                <w:color w:val="auto"/>
              </w:rPr>
              <w:t>Curcuma longa</w:t>
            </w:r>
          </w:p>
        </w:tc>
        <w:tc>
          <w:tcPr>
            <w:tcW w:w="1700" w:type="dxa"/>
            <w:vAlign w:val="bottom"/>
          </w:tcPr>
          <w:p>
            <w:pPr>
              <w:ind w:left="420"/>
              <w:spacing w:after="0"/>
              <w:rPr>
                <w:sz w:val="20"/>
                <w:szCs w:val="20"/>
                <w:color w:val="auto"/>
              </w:rPr>
            </w:pPr>
            <w:r>
              <w:rPr>
                <w:rFonts w:ascii="Arial" w:cs="Arial" w:eastAsia="Arial" w:hAnsi="Arial"/>
                <w:sz w:val="15"/>
                <w:szCs w:val="15"/>
                <w:color w:val="auto"/>
              </w:rPr>
              <w:t>Rhizome</w:t>
            </w:r>
          </w:p>
        </w:tc>
        <w:tc>
          <w:tcPr>
            <w:tcW w:w="2780" w:type="dxa"/>
            <w:vAlign w:val="bottom"/>
          </w:tcPr>
          <w:p>
            <w:pPr>
              <w:ind w:left="420"/>
              <w:spacing w:after="0"/>
              <w:rPr>
                <w:sz w:val="20"/>
                <w:szCs w:val="20"/>
                <w:color w:val="auto"/>
              </w:rPr>
            </w:pPr>
            <w:r>
              <w:rPr>
                <w:rFonts w:ascii="Arial" w:cs="Arial" w:eastAsia="Arial" w:hAnsi="Arial"/>
                <w:sz w:val="15"/>
                <w:szCs w:val="15"/>
                <w:color w:val="auto"/>
              </w:rPr>
              <w:t>5%</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26</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Haritaki</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Terminali achebula</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Fruit</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100%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27</w:t>
            </w:r>
          </w:p>
        </w:tc>
        <w:tc>
          <w:tcPr>
            <w:tcW w:w="2240" w:type="dxa"/>
            <w:vAlign w:val="bottom"/>
          </w:tcPr>
          <w:p>
            <w:pPr>
              <w:ind w:left="400"/>
              <w:spacing w:after="0"/>
              <w:rPr>
                <w:sz w:val="20"/>
                <w:szCs w:val="20"/>
                <w:color w:val="auto"/>
              </w:rPr>
            </w:pPr>
            <w:r>
              <w:rPr>
                <w:rFonts w:ascii="Arial" w:cs="Arial" w:eastAsia="Arial" w:hAnsi="Arial"/>
                <w:sz w:val="15"/>
                <w:szCs w:val="15"/>
                <w:color w:val="auto"/>
              </w:rPr>
              <w:t>Kachur</w:t>
            </w:r>
          </w:p>
        </w:tc>
        <w:tc>
          <w:tcPr>
            <w:tcW w:w="2520" w:type="dxa"/>
            <w:vAlign w:val="bottom"/>
          </w:tcPr>
          <w:p>
            <w:pPr>
              <w:ind w:left="420"/>
              <w:spacing w:after="0"/>
              <w:rPr>
                <w:sz w:val="20"/>
                <w:szCs w:val="20"/>
                <w:color w:val="auto"/>
              </w:rPr>
            </w:pPr>
            <w:r>
              <w:rPr>
                <w:rFonts w:ascii="Arial" w:cs="Arial" w:eastAsia="Arial" w:hAnsi="Arial"/>
                <w:sz w:val="15"/>
                <w:szCs w:val="15"/>
                <w:color w:val="auto"/>
              </w:rPr>
              <w:t>Curcuma zedoaria</w:t>
            </w:r>
          </w:p>
        </w:tc>
        <w:tc>
          <w:tcPr>
            <w:tcW w:w="1700" w:type="dxa"/>
            <w:vAlign w:val="bottom"/>
          </w:tcPr>
          <w:p>
            <w:pPr>
              <w:ind w:left="420"/>
              <w:spacing w:after="0"/>
              <w:rPr>
                <w:sz w:val="20"/>
                <w:szCs w:val="20"/>
                <w:color w:val="auto"/>
              </w:rPr>
            </w:pPr>
            <w:r>
              <w:rPr>
                <w:rFonts w:ascii="Arial" w:cs="Arial" w:eastAsia="Arial" w:hAnsi="Arial"/>
                <w:sz w:val="15"/>
                <w:szCs w:val="15"/>
                <w:color w:val="auto"/>
              </w:rPr>
              <w:t>Rhizome</w:t>
            </w:r>
          </w:p>
        </w:tc>
        <w:tc>
          <w:tcPr>
            <w:tcW w:w="2780" w:type="dxa"/>
            <w:vAlign w:val="bottom"/>
          </w:tcPr>
          <w:p>
            <w:pPr>
              <w:ind w:left="420"/>
              <w:spacing w:after="0"/>
              <w:rPr>
                <w:sz w:val="20"/>
                <w:szCs w:val="20"/>
                <w:color w:val="auto"/>
              </w:rPr>
            </w:pPr>
            <w:r>
              <w:rPr>
                <w:rFonts w:ascii="Arial" w:cs="Arial" w:eastAsia="Arial" w:hAnsi="Arial"/>
                <w:sz w:val="15"/>
                <w:szCs w:val="15"/>
                <w:color w:val="auto"/>
              </w:rPr>
              <w:t>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28</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Kalmegh</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Andrographis paniculata</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Leaf</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29</w:t>
            </w:r>
          </w:p>
        </w:tc>
        <w:tc>
          <w:tcPr>
            <w:tcW w:w="2240" w:type="dxa"/>
            <w:vAlign w:val="bottom"/>
          </w:tcPr>
          <w:p>
            <w:pPr>
              <w:ind w:left="400"/>
              <w:spacing w:after="0"/>
              <w:rPr>
                <w:sz w:val="20"/>
                <w:szCs w:val="20"/>
                <w:color w:val="auto"/>
              </w:rPr>
            </w:pPr>
            <w:r>
              <w:rPr>
                <w:rFonts w:ascii="Arial" w:cs="Arial" w:eastAsia="Arial" w:hAnsi="Arial"/>
                <w:sz w:val="15"/>
                <w:szCs w:val="15"/>
                <w:color w:val="auto"/>
              </w:rPr>
              <w:t>Kantakari</w:t>
            </w:r>
          </w:p>
        </w:tc>
        <w:tc>
          <w:tcPr>
            <w:tcW w:w="2520" w:type="dxa"/>
            <w:vAlign w:val="bottom"/>
          </w:tcPr>
          <w:p>
            <w:pPr>
              <w:ind w:left="420"/>
              <w:spacing w:after="0"/>
              <w:rPr>
                <w:sz w:val="20"/>
                <w:szCs w:val="20"/>
                <w:color w:val="auto"/>
              </w:rPr>
            </w:pPr>
            <w:r>
              <w:rPr>
                <w:rFonts w:ascii="Arial" w:cs="Arial" w:eastAsia="Arial" w:hAnsi="Arial"/>
                <w:sz w:val="15"/>
                <w:szCs w:val="15"/>
                <w:color w:val="auto"/>
              </w:rPr>
              <w:t>Solanum surratense</w:t>
            </w:r>
          </w:p>
        </w:tc>
        <w:tc>
          <w:tcPr>
            <w:tcW w:w="1700" w:type="dxa"/>
            <w:vAlign w:val="bottom"/>
          </w:tcPr>
          <w:p>
            <w:pPr>
              <w:ind w:left="420"/>
              <w:spacing w:after="0"/>
              <w:rPr>
                <w:sz w:val="20"/>
                <w:szCs w:val="20"/>
                <w:color w:val="auto"/>
              </w:rPr>
            </w:pPr>
            <w:r>
              <w:rPr>
                <w:rFonts w:ascii="Arial" w:cs="Arial" w:eastAsia="Arial" w:hAnsi="Arial"/>
                <w:sz w:val="15"/>
                <w:szCs w:val="15"/>
                <w:color w:val="auto"/>
              </w:rPr>
              <w:t>Fruit</w:t>
            </w:r>
          </w:p>
        </w:tc>
        <w:tc>
          <w:tcPr>
            <w:tcW w:w="2780" w:type="dxa"/>
            <w:vAlign w:val="bottom"/>
          </w:tcPr>
          <w:p>
            <w:pPr>
              <w:ind w:left="420"/>
              <w:spacing w:after="0"/>
              <w:rPr>
                <w:sz w:val="20"/>
                <w:szCs w:val="20"/>
                <w:color w:val="auto"/>
              </w:rPr>
            </w:pPr>
            <w:r>
              <w:rPr>
                <w:rFonts w:ascii="Arial" w:cs="Arial" w:eastAsia="Arial" w:hAnsi="Arial"/>
                <w:sz w:val="15"/>
                <w:szCs w:val="15"/>
                <w:color w:val="auto"/>
              </w:rPr>
              <w:t>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30</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Lemon</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Citrus Limon</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Fruit</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31</w:t>
            </w:r>
          </w:p>
        </w:tc>
        <w:tc>
          <w:tcPr>
            <w:tcW w:w="2240" w:type="dxa"/>
            <w:vAlign w:val="bottom"/>
          </w:tcPr>
          <w:p>
            <w:pPr>
              <w:ind w:left="400"/>
              <w:spacing w:after="0"/>
              <w:rPr>
                <w:sz w:val="20"/>
                <w:szCs w:val="20"/>
                <w:color w:val="auto"/>
              </w:rPr>
            </w:pPr>
            <w:r>
              <w:rPr>
                <w:rFonts w:ascii="Arial" w:cs="Arial" w:eastAsia="Arial" w:hAnsi="Arial"/>
                <w:sz w:val="15"/>
                <w:szCs w:val="15"/>
                <w:color w:val="auto"/>
              </w:rPr>
              <w:t>Mamira</w:t>
            </w:r>
          </w:p>
        </w:tc>
        <w:tc>
          <w:tcPr>
            <w:tcW w:w="2520" w:type="dxa"/>
            <w:vAlign w:val="bottom"/>
          </w:tcPr>
          <w:p>
            <w:pPr>
              <w:ind w:left="420"/>
              <w:spacing w:after="0"/>
              <w:rPr>
                <w:sz w:val="20"/>
                <w:szCs w:val="20"/>
                <w:color w:val="auto"/>
              </w:rPr>
            </w:pPr>
            <w:r>
              <w:rPr>
                <w:rFonts w:ascii="Arial" w:cs="Arial" w:eastAsia="Arial" w:hAnsi="Arial"/>
                <w:sz w:val="15"/>
                <w:szCs w:val="15"/>
                <w:color w:val="auto"/>
              </w:rPr>
              <w:t>Coptis teeta</w:t>
            </w:r>
          </w:p>
        </w:tc>
        <w:tc>
          <w:tcPr>
            <w:tcW w:w="1700" w:type="dxa"/>
            <w:vAlign w:val="bottom"/>
          </w:tcPr>
          <w:p>
            <w:pPr>
              <w:ind w:left="420"/>
              <w:spacing w:after="0"/>
              <w:rPr>
                <w:sz w:val="20"/>
                <w:szCs w:val="20"/>
                <w:color w:val="auto"/>
              </w:rPr>
            </w:pPr>
            <w:r>
              <w:rPr>
                <w:rFonts w:ascii="Arial" w:cs="Arial" w:eastAsia="Arial" w:hAnsi="Arial"/>
                <w:sz w:val="15"/>
                <w:szCs w:val="15"/>
                <w:color w:val="auto"/>
              </w:rPr>
              <w:t>Leaf</w:t>
            </w:r>
          </w:p>
        </w:tc>
        <w:tc>
          <w:tcPr>
            <w:tcW w:w="2780" w:type="dxa"/>
            <w:vAlign w:val="bottom"/>
          </w:tcPr>
          <w:p>
            <w:pPr>
              <w:ind w:left="420"/>
              <w:spacing w:after="0"/>
              <w:rPr>
                <w:sz w:val="20"/>
                <w:szCs w:val="20"/>
                <w:color w:val="auto"/>
              </w:rPr>
            </w:pPr>
            <w:r>
              <w:rPr>
                <w:rFonts w:ascii="Arial" w:cs="Arial" w:eastAsia="Arial" w:hAnsi="Arial"/>
                <w:sz w:val="15"/>
                <w:szCs w:val="15"/>
                <w:color w:val="auto"/>
              </w:rPr>
              <w:t>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32</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Maricha</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Piper nigrum</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Fruit</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33</w:t>
            </w:r>
          </w:p>
        </w:tc>
        <w:tc>
          <w:tcPr>
            <w:tcW w:w="2240" w:type="dxa"/>
            <w:vAlign w:val="bottom"/>
          </w:tcPr>
          <w:p>
            <w:pPr>
              <w:ind w:left="400"/>
              <w:spacing w:after="0"/>
              <w:rPr>
                <w:sz w:val="20"/>
                <w:szCs w:val="20"/>
                <w:color w:val="auto"/>
              </w:rPr>
            </w:pPr>
            <w:r>
              <w:rPr>
                <w:rFonts w:ascii="Arial" w:cs="Arial" w:eastAsia="Arial" w:hAnsi="Arial"/>
                <w:sz w:val="15"/>
                <w:szCs w:val="15"/>
                <w:color w:val="auto"/>
              </w:rPr>
              <w:t>Mulethi</w:t>
            </w:r>
          </w:p>
        </w:tc>
        <w:tc>
          <w:tcPr>
            <w:tcW w:w="2520" w:type="dxa"/>
            <w:vAlign w:val="bottom"/>
          </w:tcPr>
          <w:p>
            <w:pPr>
              <w:ind w:left="420"/>
              <w:spacing w:after="0"/>
              <w:rPr>
                <w:sz w:val="20"/>
                <w:szCs w:val="20"/>
                <w:color w:val="auto"/>
              </w:rPr>
            </w:pPr>
            <w:r>
              <w:rPr>
                <w:rFonts w:ascii="Arial" w:cs="Arial" w:eastAsia="Arial" w:hAnsi="Arial"/>
                <w:sz w:val="15"/>
                <w:szCs w:val="15"/>
                <w:color w:val="auto"/>
              </w:rPr>
              <w:t>Glycyrrhiza glabra</w:t>
            </w:r>
          </w:p>
        </w:tc>
        <w:tc>
          <w:tcPr>
            <w:tcW w:w="1700" w:type="dxa"/>
            <w:vAlign w:val="bottom"/>
          </w:tcPr>
          <w:p>
            <w:pPr>
              <w:ind w:left="420"/>
              <w:spacing w:after="0"/>
              <w:rPr>
                <w:sz w:val="20"/>
                <w:szCs w:val="20"/>
                <w:color w:val="auto"/>
              </w:rPr>
            </w:pPr>
            <w:r>
              <w:rPr>
                <w:rFonts w:ascii="Arial" w:cs="Arial" w:eastAsia="Arial" w:hAnsi="Arial"/>
                <w:sz w:val="15"/>
                <w:szCs w:val="15"/>
                <w:color w:val="auto"/>
              </w:rPr>
              <w:t>Root</w:t>
            </w:r>
          </w:p>
        </w:tc>
        <w:tc>
          <w:tcPr>
            <w:tcW w:w="2780" w:type="dxa"/>
            <w:vAlign w:val="bottom"/>
          </w:tcPr>
          <w:p>
            <w:pPr>
              <w:ind w:left="420"/>
              <w:spacing w:after="0"/>
              <w:rPr>
                <w:sz w:val="20"/>
                <w:szCs w:val="20"/>
                <w:color w:val="auto"/>
              </w:rPr>
            </w:pPr>
            <w:r>
              <w:rPr>
                <w:rFonts w:ascii="Arial" w:cs="Arial" w:eastAsia="Arial" w:hAnsi="Arial"/>
                <w:sz w:val="15"/>
                <w:szCs w:val="15"/>
                <w:color w:val="auto"/>
              </w:rPr>
              <w:t>40%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34</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Musta</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Cyperus rotundus</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Rhizome</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35</w:t>
            </w:r>
          </w:p>
        </w:tc>
        <w:tc>
          <w:tcPr>
            <w:tcW w:w="2240" w:type="dxa"/>
            <w:vAlign w:val="bottom"/>
          </w:tcPr>
          <w:p>
            <w:pPr>
              <w:ind w:left="400"/>
              <w:spacing w:after="0"/>
              <w:rPr>
                <w:sz w:val="20"/>
                <w:szCs w:val="20"/>
                <w:color w:val="auto"/>
              </w:rPr>
            </w:pPr>
            <w:r>
              <w:rPr>
                <w:rFonts w:ascii="Arial" w:cs="Arial" w:eastAsia="Arial" w:hAnsi="Arial"/>
                <w:sz w:val="15"/>
                <w:szCs w:val="15"/>
                <w:color w:val="auto"/>
              </w:rPr>
              <w:t>Nimba</w:t>
            </w:r>
          </w:p>
        </w:tc>
        <w:tc>
          <w:tcPr>
            <w:tcW w:w="2520" w:type="dxa"/>
            <w:vAlign w:val="bottom"/>
          </w:tcPr>
          <w:p>
            <w:pPr>
              <w:ind w:left="420"/>
              <w:spacing w:after="0"/>
              <w:rPr>
                <w:sz w:val="20"/>
                <w:szCs w:val="20"/>
                <w:color w:val="auto"/>
              </w:rPr>
            </w:pPr>
            <w:r>
              <w:rPr>
                <w:rFonts w:ascii="Arial" w:cs="Arial" w:eastAsia="Arial" w:hAnsi="Arial"/>
                <w:sz w:val="15"/>
                <w:szCs w:val="15"/>
                <w:color w:val="auto"/>
              </w:rPr>
              <w:t>Azadirachta indica</w:t>
            </w:r>
          </w:p>
        </w:tc>
        <w:tc>
          <w:tcPr>
            <w:tcW w:w="1700" w:type="dxa"/>
            <w:vAlign w:val="bottom"/>
          </w:tcPr>
          <w:p>
            <w:pPr>
              <w:ind w:left="420"/>
              <w:spacing w:after="0"/>
              <w:rPr>
                <w:sz w:val="20"/>
                <w:szCs w:val="20"/>
                <w:color w:val="auto"/>
              </w:rPr>
            </w:pPr>
            <w:r>
              <w:rPr>
                <w:rFonts w:ascii="Arial" w:cs="Arial" w:eastAsia="Arial" w:hAnsi="Arial"/>
                <w:sz w:val="15"/>
                <w:szCs w:val="15"/>
                <w:color w:val="auto"/>
              </w:rPr>
              <w:t>Leaf</w:t>
            </w:r>
          </w:p>
        </w:tc>
        <w:tc>
          <w:tcPr>
            <w:tcW w:w="2780" w:type="dxa"/>
            <w:vAlign w:val="bottom"/>
          </w:tcPr>
          <w:p>
            <w:pPr>
              <w:ind w:left="420"/>
              <w:spacing w:after="0"/>
              <w:rPr>
                <w:sz w:val="20"/>
                <w:szCs w:val="20"/>
                <w:color w:val="auto"/>
              </w:rPr>
            </w:pPr>
            <w:r>
              <w:rPr>
                <w:rFonts w:ascii="Arial" w:cs="Arial" w:eastAsia="Arial" w:hAnsi="Arial"/>
                <w:sz w:val="15"/>
                <w:szCs w:val="15"/>
                <w:color w:val="auto"/>
              </w:rPr>
              <w:t>15%</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36</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Nirgundi</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Vitex negundo</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Leaf</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37</w:t>
            </w:r>
          </w:p>
        </w:tc>
        <w:tc>
          <w:tcPr>
            <w:tcW w:w="2240" w:type="dxa"/>
            <w:vAlign w:val="bottom"/>
          </w:tcPr>
          <w:p>
            <w:pPr>
              <w:ind w:left="400"/>
              <w:spacing w:after="0"/>
              <w:rPr>
                <w:sz w:val="20"/>
                <w:szCs w:val="20"/>
                <w:color w:val="auto"/>
              </w:rPr>
            </w:pPr>
            <w:r>
              <w:rPr>
                <w:rFonts w:ascii="Arial" w:cs="Arial" w:eastAsia="Arial" w:hAnsi="Arial"/>
                <w:sz w:val="15"/>
                <w:szCs w:val="15"/>
                <w:color w:val="auto"/>
              </w:rPr>
              <w:t>Pippali</w:t>
            </w:r>
          </w:p>
        </w:tc>
        <w:tc>
          <w:tcPr>
            <w:tcW w:w="2520" w:type="dxa"/>
            <w:vAlign w:val="bottom"/>
          </w:tcPr>
          <w:p>
            <w:pPr>
              <w:ind w:left="420"/>
              <w:spacing w:after="0"/>
              <w:rPr>
                <w:sz w:val="20"/>
                <w:szCs w:val="20"/>
                <w:color w:val="auto"/>
              </w:rPr>
            </w:pPr>
            <w:r>
              <w:rPr>
                <w:rFonts w:ascii="Arial" w:cs="Arial" w:eastAsia="Arial" w:hAnsi="Arial"/>
                <w:sz w:val="15"/>
                <w:szCs w:val="15"/>
                <w:color w:val="auto"/>
              </w:rPr>
              <w:t>Piper longum</w:t>
            </w:r>
          </w:p>
        </w:tc>
        <w:tc>
          <w:tcPr>
            <w:tcW w:w="1700" w:type="dxa"/>
            <w:vAlign w:val="bottom"/>
          </w:tcPr>
          <w:p>
            <w:pPr>
              <w:ind w:left="420"/>
              <w:spacing w:after="0"/>
              <w:rPr>
                <w:sz w:val="20"/>
                <w:szCs w:val="20"/>
                <w:color w:val="auto"/>
              </w:rPr>
            </w:pPr>
            <w:r>
              <w:rPr>
                <w:rFonts w:ascii="Arial" w:cs="Arial" w:eastAsia="Arial" w:hAnsi="Arial"/>
                <w:sz w:val="15"/>
                <w:szCs w:val="15"/>
                <w:color w:val="auto"/>
              </w:rPr>
              <w:t>Fruit</w:t>
            </w:r>
          </w:p>
        </w:tc>
        <w:tc>
          <w:tcPr>
            <w:tcW w:w="2780" w:type="dxa"/>
            <w:vAlign w:val="bottom"/>
          </w:tcPr>
          <w:p>
            <w:pPr>
              <w:ind w:left="420"/>
              <w:spacing w:after="0"/>
              <w:rPr>
                <w:sz w:val="20"/>
                <w:szCs w:val="20"/>
                <w:color w:val="auto"/>
              </w:rPr>
            </w:pPr>
            <w:r>
              <w:rPr>
                <w:rFonts w:ascii="Arial" w:cs="Arial" w:eastAsia="Arial" w:hAnsi="Arial"/>
                <w:sz w:val="15"/>
                <w:szCs w:val="15"/>
                <w:color w:val="auto"/>
              </w:rPr>
              <w:t>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38</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Puskarmool</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Inulara cemosa</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Root</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39</w:t>
            </w:r>
          </w:p>
        </w:tc>
        <w:tc>
          <w:tcPr>
            <w:tcW w:w="2240" w:type="dxa"/>
            <w:vAlign w:val="bottom"/>
          </w:tcPr>
          <w:p>
            <w:pPr>
              <w:ind w:left="400"/>
              <w:spacing w:after="0"/>
              <w:rPr>
                <w:sz w:val="20"/>
                <w:szCs w:val="20"/>
                <w:color w:val="auto"/>
              </w:rPr>
            </w:pPr>
            <w:r>
              <w:rPr>
                <w:rFonts w:ascii="Arial" w:cs="Arial" w:eastAsia="Arial" w:hAnsi="Arial"/>
                <w:sz w:val="15"/>
                <w:szCs w:val="15"/>
                <w:color w:val="auto"/>
              </w:rPr>
              <w:t>Rasna</w:t>
            </w:r>
          </w:p>
        </w:tc>
        <w:tc>
          <w:tcPr>
            <w:tcW w:w="2520" w:type="dxa"/>
            <w:vAlign w:val="bottom"/>
          </w:tcPr>
          <w:p>
            <w:pPr>
              <w:ind w:left="420"/>
              <w:spacing w:after="0"/>
              <w:rPr>
                <w:sz w:val="20"/>
                <w:szCs w:val="20"/>
                <w:color w:val="auto"/>
              </w:rPr>
            </w:pPr>
            <w:r>
              <w:rPr>
                <w:rFonts w:ascii="Arial" w:cs="Arial" w:eastAsia="Arial" w:hAnsi="Arial"/>
                <w:sz w:val="15"/>
                <w:szCs w:val="15"/>
                <w:color w:val="auto"/>
              </w:rPr>
              <w:t>Pluchea lanceolate</w:t>
            </w:r>
          </w:p>
        </w:tc>
        <w:tc>
          <w:tcPr>
            <w:tcW w:w="1700" w:type="dxa"/>
            <w:vAlign w:val="bottom"/>
          </w:tcPr>
          <w:p>
            <w:pPr>
              <w:ind w:left="420"/>
              <w:spacing w:after="0"/>
              <w:rPr>
                <w:sz w:val="20"/>
                <w:szCs w:val="20"/>
                <w:color w:val="auto"/>
              </w:rPr>
            </w:pPr>
            <w:r>
              <w:rPr>
                <w:rFonts w:ascii="Arial" w:cs="Arial" w:eastAsia="Arial" w:hAnsi="Arial"/>
                <w:sz w:val="15"/>
                <w:szCs w:val="15"/>
                <w:color w:val="auto"/>
              </w:rPr>
              <w:t>Leaf, stem</w:t>
            </w:r>
          </w:p>
        </w:tc>
        <w:tc>
          <w:tcPr>
            <w:tcW w:w="2780" w:type="dxa"/>
            <w:vAlign w:val="bottom"/>
          </w:tcPr>
          <w:p>
            <w:pPr>
              <w:ind w:left="420"/>
              <w:spacing w:after="0"/>
              <w:rPr>
                <w:sz w:val="20"/>
                <w:szCs w:val="20"/>
                <w:color w:val="auto"/>
              </w:rPr>
            </w:pPr>
            <w:r>
              <w:rPr>
                <w:rFonts w:ascii="Arial" w:cs="Arial" w:eastAsia="Arial" w:hAnsi="Arial"/>
                <w:sz w:val="15"/>
                <w:szCs w:val="15"/>
                <w:color w:val="auto"/>
              </w:rPr>
              <w:t>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40</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Sallaki</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Boswellia serrata</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Resin</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12%</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41</w:t>
            </w:r>
          </w:p>
        </w:tc>
        <w:tc>
          <w:tcPr>
            <w:tcW w:w="2240" w:type="dxa"/>
            <w:vAlign w:val="bottom"/>
          </w:tcPr>
          <w:p>
            <w:pPr>
              <w:ind w:left="400"/>
              <w:spacing w:after="0"/>
              <w:rPr>
                <w:sz w:val="20"/>
                <w:szCs w:val="20"/>
                <w:color w:val="auto"/>
              </w:rPr>
            </w:pPr>
            <w:r>
              <w:rPr>
                <w:rFonts w:ascii="Arial" w:cs="Arial" w:eastAsia="Arial" w:hAnsi="Arial"/>
                <w:sz w:val="15"/>
                <w:szCs w:val="15"/>
                <w:color w:val="auto"/>
              </w:rPr>
              <w:t>Shalparni</w:t>
            </w:r>
          </w:p>
        </w:tc>
        <w:tc>
          <w:tcPr>
            <w:tcW w:w="2520" w:type="dxa"/>
            <w:vAlign w:val="bottom"/>
          </w:tcPr>
          <w:p>
            <w:pPr>
              <w:ind w:left="420"/>
              <w:spacing w:after="0"/>
              <w:rPr>
                <w:sz w:val="20"/>
                <w:szCs w:val="20"/>
                <w:color w:val="auto"/>
              </w:rPr>
            </w:pPr>
            <w:r>
              <w:rPr>
                <w:rFonts w:ascii="Arial" w:cs="Arial" w:eastAsia="Arial" w:hAnsi="Arial"/>
                <w:sz w:val="15"/>
                <w:szCs w:val="15"/>
                <w:color w:val="auto"/>
              </w:rPr>
              <w:t>Desmodium gangeticum</w:t>
            </w:r>
          </w:p>
        </w:tc>
        <w:tc>
          <w:tcPr>
            <w:tcW w:w="1700" w:type="dxa"/>
            <w:vAlign w:val="bottom"/>
          </w:tcPr>
          <w:p>
            <w:pPr>
              <w:ind w:left="420"/>
              <w:spacing w:after="0"/>
              <w:rPr>
                <w:sz w:val="20"/>
                <w:szCs w:val="20"/>
                <w:color w:val="auto"/>
              </w:rPr>
            </w:pPr>
            <w:r>
              <w:rPr>
                <w:rFonts w:ascii="Arial" w:cs="Arial" w:eastAsia="Arial" w:hAnsi="Arial"/>
                <w:sz w:val="15"/>
                <w:szCs w:val="15"/>
                <w:color w:val="auto"/>
              </w:rPr>
              <w:t>Root</w:t>
            </w:r>
          </w:p>
        </w:tc>
        <w:tc>
          <w:tcPr>
            <w:tcW w:w="2780" w:type="dxa"/>
            <w:vAlign w:val="bottom"/>
          </w:tcPr>
          <w:p>
            <w:pPr>
              <w:ind w:left="420"/>
              <w:spacing w:after="0"/>
              <w:rPr>
                <w:sz w:val="20"/>
                <w:szCs w:val="20"/>
                <w:color w:val="auto"/>
              </w:rPr>
            </w:pPr>
            <w:r>
              <w:rPr>
                <w:rFonts w:ascii="Arial" w:cs="Arial" w:eastAsia="Arial" w:hAnsi="Arial"/>
                <w:sz w:val="15"/>
                <w:szCs w:val="15"/>
                <w:color w:val="auto"/>
              </w:rPr>
              <w:t>0</w:t>
            </w:r>
          </w:p>
        </w:tc>
      </w:tr>
      <w:tr>
        <w:trPr>
          <w:trHeight w:val="58"/>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42</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Shatavari</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Asparagus racemosus</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Rhizome</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43</w:t>
            </w:r>
          </w:p>
        </w:tc>
        <w:tc>
          <w:tcPr>
            <w:tcW w:w="2240" w:type="dxa"/>
            <w:vAlign w:val="bottom"/>
          </w:tcPr>
          <w:p>
            <w:pPr>
              <w:ind w:left="400"/>
              <w:spacing w:after="0"/>
              <w:rPr>
                <w:sz w:val="20"/>
                <w:szCs w:val="20"/>
                <w:color w:val="auto"/>
              </w:rPr>
            </w:pPr>
            <w:r>
              <w:rPr>
                <w:rFonts w:ascii="Arial" w:cs="Arial" w:eastAsia="Arial" w:hAnsi="Arial"/>
                <w:sz w:val="15"/>
                <w:szCs w:val="15"/>
                <w:color w:val="auto"/>
              </w:rPr>
              <w:t>Shleshmatak</w:t>
            </w:r>
          </w:p>
        </w:tc>
        <w:tc>
          <w:tcPr>
            <w:tcW w:w="2520" w:type="dxa"/>
            <w:vAlign w:val="bottom"/>
          </w:tcPr>
          <w:p>
            <w:pPr>
              <w:ind w:left="420"/>
              <w:spacing w:after="0"/>
              <w:rPr>
                <w:sz w:val="20"/>
                <w:szCs w:val="20"/>
                <w:color w:val="auto"/>
              </w:rPr>
            </w:pPr>
            <w:r>
              <w:rPr>
                <w:rFonts w:ascii="Arial" w:cs="Arial" w:eastAsia="Arial" w:hAnsi="Arial"/>
                <w:sz w:val="15"/>
                <w:szCs w:val="15"/>
                <w:color w:val="auto"/>
              </w:rPr>
              <w:t>Cordia dichotoma</w:t>
            </w:r>
          </w:p>
        </w:tc>
        <w:tc>
          <w:tcPr>
            <w:tcW w:w="1700" w:type="dxa"/>
            <w:vAlign w:val="bottom"/>
          </w:tcPr>
          <w:p>
            <w:pPr>
              <w:ind w:left="420"/>
              <w:spacing w:after="0"/>
              <w:rPr>
                <w:sz w:val="20"/>
                <w:szCs w:val="20"/>
                <w:color w:val="auto"/>
              </w:rPr>
            </w:pPr>
            <w:r>
              <w:rPr>
                <w:rFonts w:ascii="Arial" w:cs="Arial" w:eastAsia="Arial" w:hAnsi="Arial"/>
                <w:sz w:val="15"/>
                <w:szCs w:val="15"/>
                <w:color w:val="auto"/>
              </w:rPr>
              <w:t>Fruit</w:t>
            </w:r>
          </w:p>
        </w:tc>
        <w:tc>
          <w:tcPr>
            <w:tcW w:w="2780" w:type="dxa"/>
            <w:vAlign w:val="bottom"/>
          </w:tcPr>
          <w:p>
            <w:pPr>
              <w:ind w:left="420"/>
              <w:spacing w:after="0"/>
              <w:rPr>
                <w:sz w:val="20"/>
                <w:szCs w:val="20"/>
                <w:color w:val="auto"/>
              </w:rPr>
            </w:pPr>
            <w:r>
              <w:rPr>
                <w:rFonts w:ascii="Arial" w:cs="Arial" w:eastAsia="Arial" w:hAnsi="Arial"/>
                <w:sz w:val="15"/>
                <w:szCs w:val="15"/>
                <w:color w:val="auto"/>
              </w:rPr>
              <w:t>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60"/>
        </w:trPr>
        <w:tc>
          <w:tcPr>
            <w:tcW w:w="84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44</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Spirulina</w:t>
            </w:r>
          </w:p>
        </w:tc>
        <w:tc>
          <w:tcPr>
            <w:tcW w:w="252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Arthrospira platensis</w:t>
            </w:r>
          </w:p>
        </w:tc>
        <w:tc>
          <w:tcPr>
            <w:tcW w:w="17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Entire plant</w:t>
            </w:r>
          </w:p>
        </w:tc>
        <w:tc>
          <w:tcPr>
            <w:tcW w:w="278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0</w:t>
            </w:r>
          </w:p>
        </w:tc>
      </w:tr>
      <w:tr>
        <w:trPr>
          <w:trHeight w:val="221"/>
        </w:trPr>
        <w:tc>
          <w:tcPr>
            <w:tcW w:w="840" w:type="dxa"/>
            <w:vAlign w:val="bottom"/>
          </w:tcPr>
          <w:p>
            <w:pPr>
              <w:ind w:left="140"/>
              <w:spacing w:after="0"/>
              <w:rPr>
                <w:sz w:val="20"/>
                <w:szCs w:val="20"/>
                <w:color w:val="auto"/>
              </w:rPr>
            </w:pPr>
            <w:r>
              <w:rPr>
                <w:rFonts w:ascii="Arial" w:cs="Arial" w:eastAsia="Arial" w:hAnsi="Arial"/>
                <w:sz w:val="15"/>
                <w:szCs w:val="15"/>
                <w:color w:val="auto"/>
              </w:rPr>
              <w:t>45</w:t>
            </w:r>
          </w:p>
        </w:tc>
        <w:tc>
          <w:tcPr>
            <w:tcW w:w="2240" w:type="dxa"/>
            <w:vAlign w:val="bottom"/>
          </w:tcPr>
          <w:p>
            <w:pPr>
              <w:ind w:left="400"/>
              <w:spacing w:after="0"/>
              <w:rPr>
                <w:sz w:val="20"/>
                <w:szCs w:val="20"/>
                <w:color w:val="auto"/>
              </w:rPr>
            </w:pPr>
            <w:r>
              <w:rPr>
                <w:rFonts w:ascii="Arial" w:cs="Arial" w:eastAsia="Arial" w:hAnsi="Arial"/>
                <w:sz w:val="15"/>
                <w:szCs w:val="15"/>
                <w:color w:val="auto"/>
              </w:rPr>
              <w:t>Sunthi</w:t>
            </w:r>
          </w:p>
        </w:tc>
        <w:tc>
          <w:tcPr>
            <w:tcW w:w="2520" w:type="dxa"/>
            <w:vAlign w:val="bottom"/>
          </w:tcPr>
          <w:p>
            <w:pPr>
              <w:ind w:left="420"/>
              <w:spacing w:after="0"/>
              <w:rPr>
                <w:sz w:val="20"/>
                <w:szCs w:val="20"/>
                <w:color w:val="auto"/>
              </w:rPr>
            </w:pPr>
            <w:r>
              <w:rPr>
                <w:rFonts w:ascii="Arial" w:cs="Arial" w:eastAsia="Arial" w:hAnsi="Arial"/>
                <w:sz w:val="15"/>
                <w:szCs w:val="15"/>
                <w:color w:val="auto"/>
              </w:rPr>
              <w:t>Zingiber officinale</w:t>
            </w:r>
          </w:p>
        </w:tc>
        <w:tc>
          <w:tcPr>
            <w:tcW w:w="1700" w:type="dxa"/>
            <w:vAlign w:val="bottom"/>
          </w:tcPr>
          <w:p>
            <w:pPr>
              <w:ind w:left="420"/>
              <w:spacing w:after="0"/>
              <w:rPr>
                <w:sz w:val="20"/>
                <w:szCs w:val="20"/>
                <w:color w:val="auto"/>
              </w:rPr>
            </w:pPr>
            <w:r>
              <w:rPr>
                <w:rFonts w:ascii="Arial" w:cs="Arial" w:eastAsia="Arial" w:hAnsi="Arial"/>
                <w:sz w:val="15"/>
                <w:szCs w:val="15"/>
                <w:color w:val="auto"/>
              </w:rPr>
              <w:t>Rhizome</w:t>
            </w:r>
          </w:p>
        </w:tc>
        <w:tc>
          <w:tcPr>
            <w:tcW w:w="2780" w:type="dxa"/>
            <w:vAlign w:val="bottom"/>
          </w:tcPr>
          <w:p>
            <w:pPr>
              <w:ind w:left="420"/>
              <w:spacing w:after="0"/>
              <w:rPr>
                <w:sz w:val="20"/>
                <w:szCs w:val="20"/>
                <w:color w:val="auto"/>
              </w:rPr>
            </w:pPr>
            <w:r>
              <w:rPr>
                <w:rFonts w:ascii="Arial" w:cs="Arial" w:eastAsia="Arial" w:hAnsi="Arial"/>
                <w:sz w:val="15"/>
                <w:szCs w:val="15"/>
                <w:color w:val="auto"/>
              </w:rPr>
              <w:t>10%</w:t>
            </w:r>
          </w:p>
        </w:tc>
      </w:tr>
      <w:tr>
        <w:trPr>
          <w:trHeight w:val="59"/>
        </w:trPr>
        <w:tc>
          <w:tcPr>
            <w:tcW w:w="84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5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780" w:type="dxa"/>
            <w:vAlign w:val="bottom"/>
          </w:tcPr>
          <w:p>
            <w:pPr>
              <w:spacing w:after="0"/>
              <w:rPr>
                <w:sz w:val="5"/>
                <w:szCs w:val="5"/>
                <w:color w:val="auto"/>
              </w:rPr>
            </w:pPr>
          </w:p>
        </w:tc>
      </w:tr>
      <w:tr>
        <w:trPr>
          <w:trHeight w:val="221"/>
        </w:trPr>
        <w:tc>
          <w:tcPr>
            <w:tcW w:w="840" w:type="dxa"/>
            <w:vAlign w:val="bottom"/>
            <w:shd w:val="clear" w:color="auto" w:fill="E6E6E6"/>
          </w:tcPr>
          <w:p>
            <w:pPr>
              <w:ind w:left="140"/>
              <w:spacing w:after="0"/>
              <w:rPr>
                <w:sz w:val="20"/>
                <w:szCs w:val="20"/>
                <w:color w:val="auto"/>
              </w:rPr>
            </w:pPr>
            <w:r>
              <w:rPr>
                <w:rFonts w:ascii="Arial" w:cs="Arial" w:eastAsia="Arial" w:hAnsi="Arial"/>
                <w:sz w:val="15"/>
                <w:szCs w:val="15"/>
                <w:color w:val="auto"/>
              </w:rPr>
              <w:t>46</w:t>
            </w:r>
          </w:p>
        </w:tc>
        <w:tc>
          <w:tcPr>
            <w:tcW w:w="2240" w:type="dxa"/>
            <w:vAlign w:val="bottom"/>
            <w:shd w:val="clear" w:color="auto" w:fill="E6E6E6"/>
          </w:tcPr>
          <w:p>
            <w:pPr>
              <w:ind w:left="400"/>
              <w:spacing w:after="0"/>
              <w:rPr>
                <w:sz w:val="20"/>
                <w:szCs w:val="20"/>
                <w:color w:val="auto"/>
              </w:rPr>
            </w:pPr>
            <w:r>
              <w:rPr>
                <w:rFonts w:ascii="Arial" w:cs="Arial" w:eastAsia="Arial" w:hAnsi="Arial"/>
                <w:sz w:val="15"/>
                <w:szCs w:val="15"/>
                <w:color w:val="auto"/>
              </w:rPr>
              <w:t>Surajmukhi beej</w:t>
            </w:r>
          </w:p>
        </w:tc>
        <w:tc>
          <w:tcPr>
            <w:tcW w:w="2520" w:type="dxa"/>
            <w:vAlign w:val="bottom"/>
            <w:shd w:val="clear" w:color="auto" w:fill="E6E6E6"/>
          </w:tcPr>
          <w:p>
            <w:pPr>
              <w:ind w:left="420"/>
              <w:spacing w:after="0"/>
              <w:rPr>
                <w:sz w:val="20"/>
                <w:szCs w:val="20"/>
                <w:color w:val="auto"/>
              </w:rPr>
            </w:pPr>
            <w:r>
              <w:rPr>
                <w:rFonts w:ascii="Arial" w:cs="Arial" w:eastAsia="Arial" w:hAnsi="Arial"/>
                <w:sz w:val="15"/>
                <w:szCs w:val="15"/>
                <w:color w:val="auto"/>
              </w:rPr>
              <w:t>Helianthus annuus</w:t>
            </w:r>
          </w:p>
        </w:tc>
        <w:tc>
          <w:tcPr>
            <w:tcW w:w="1700" w:type="dxa"/>
            <w:vAlign w:val="bottom"/>
            <w:shd w:val="clear" w:color="auto" w:fill="E6E6E6"/>
          </w:tcPr>
          <w:p>
            <w:pPr>
              <w:ind w:left="420"/>
              <w:spacing w:after="0"/>
              <w:rPr>
                <w:sz w:val="20"/>
                <w:szCs w:val="20"/>
                <w:color w:val="auto"/>
              </w:rPr>
            </w:pPr>
            <w:r>
              <w:rPr>
                <w:rFonts w:ascii="Arial" w:cs="Arial" w:eastAsia="Arial" w:hAnsi="Arial"/>
                <w:sz w:val="15"/>
                <w:szCs w:val="15"/>
                <w:color w:val="auto"/>
              </w:rPr>
              <w:t>Seed</w:t>
            </w:r>
          </w:p>
        </w:tc>
        <w:tc>
          <w:tcPr>
            <w:tcW w:w="2780" w:type="dxa"/>
            <w:vAlign w:val="bottom"/>
            <w:shd w:val="clear" w:color="auto" w:fill="E6E6E6"/>
          </w:tcPr>
          <w:p>
            <w:pPr>
              <w:ind w:left="420"/>
              <w:spacing w:after="0"/>
              <w:rPr>
                <w:sz w:val="20"/>
                <w:szCs w:val="20"/>
                <w:color w:val="auto"/>
              </w:rPr>
            </w:pPr>
            <w:r>
              <w:rPr>
                <w:rFonts w:ascii="Arial" w:cs="Arial" w:eastAsia="Arial" w:hAnsi="Arial"/>
                <w:sz w:val="15"/>
                <w:szCs w:val="15"/>
                <w:color w:val="auto"/>
              </w:rPr>
              <w:t>5%</w:t>
            </w:r>
          </w:p>
        </w:tc>
      </w:tr>
      <w:tr>
        <w:trPr>
          <w:trHeight w:val="59"/>
        </w:trPr>
        <w:tc>
          <w:tcPr>
            <w:tcW w:w="840" w:type="dxa"/>
            <w:vAlign w:val="bottom"/>
            <w:shd w:val="clear" w:color="auto" w:fill="E6E6E6"/>
          </w:tcPr>
          <w:p>
            <w:pPr>
              <w:spacing w:after="0"/>
              <w:rPr>
                <w:sz w:val="5"/>
                <w:szCs w:val="5"/>
                <w:color w:val="auto"/>
              </w:rPr>
            </w:pPr>
          </w:p>
        </w:tc>
        <w:tc>
          <w:tcPr>
            <w:tcW w:w="2240" w:type="dxa"/>
            <w:vAlign w:val="bottom"/>
            <w:shd w:val="clear" w:color="auto" w:fill="E6E6E6"/>
          </w:tcPr>
          <w:p>
            <w:pPr>
              <w:spacing w:after="0"/>
              <w:rPr>
                <w:sz w:val="5"/>
                <w:szCs w:val="5"/>
                <w:color w:val="auto"/>
              </w:rPr>
            </w:pPr>
          </w:p>
        </w:tc>
        <w:tc>
          <w:tcPr>
            <w:tcW w:w="2520" w:type="dxa"/>
            <w:vAlign w:val="bottom"/>
            <w:shd w:val="clear" w:color="auto" w:fill="E6E6E6"/>
          </w:tcPr>
          <w:p>
            <w:pPr>
              <w:spacing w:after="0"/>
              <w:rPr>
                <w:sz w:val="5"/>
                <w:szCs w:val="5"/>
                <w:color w:val="auto"/>
              </w:rPr>
            </w:pPr>
          </w:p>
        </w:tc>
        <w:tc>
          <w:tcPr>
            <w:tcW w:w="1700" w:type="dxa"/>
            <w:vAlign w:val="bottom"/>
            <w:shd w:val="clear" w:color="auto" w:fill="E6E6E6"/>
          </w:tcPr>
          <w:p>
            <w:pPr>
              <w:spacing w:after="0"/>
              <w:rPr>
                <w:sz w:val="5"/>
                <w:szCs w:val="5"/>
                <w:color w:val="auto"/>
              </w:rPr>
            </w:pPr>
          </w:p>
        </w:tc>
        <w:tc>
          <w:tcPr>
            <w:tcW w:w="2780" w:type="dxa"/>
            <w:vAlign w:val="bottom"/>
            <w:shd w:val="clear" w:color="auto" w:fill="E6E6E6"/>
          </w:tcPr>
          <w:p>
            <w:pPr>
              <w:spacing w:after="0"/>
              <w:rPr>
                <w:sz w:val="5"/>
                <w:szCs w:val="5"/>
                <w:color w:val="auto"/>
              </w:rPr>
            </w:pPr>
          </w:p>
        </w:tc>
      </w:tr>
    </w:tbl>
    <w:p>
      <w:pPr>
        <w:spacing w:after="0" w:line="93" w:lineRule="exact"/>
        <w:rPr>
          <w:sz w:val="20"/>
          <w:szCs w:val="20"/>
          <w:color w:val="auto"/>
        </w:rPr>
      </w:pPr>
    </w:p>
    <w:p>
      <w:pPr>
        <w:ind w:left="9280"/>
        <w:spacing w:after="0"/>
        <w:rPr>
          <w:sz w:val="20"/>
          <w:szCs w:val="20"/>
          <w:color w:val="auto"/>
        </w:rPr>
      </w:pPr>
      <w:r>
        <w:rPr>
          <w:rFonts w:ascii="Arial" w:cs="Arial" w:eastAsia="Arial" w:hAnsi="Arial"/>
          <w:sz w:val="15"/>
          <w:szCs w:val="15"/>
          <w:color w:val="auto"/>
        </w:rPr>
        <w:t>(Continues)</w:t>
      </w:r>
    </w:p>
    <w:p>
      <w:pPr>
        <w:sectPr>
          <w:pgSz w:w="11900" w:h="15647" w:orient="portrait"/>
          <w:cols w:equalWidth="0" w:num="1">
            <w:col w:w="10080"/>
          </w:cols>
          <w:pgMar w:left="900" w:top="415" w:right="926" w:bottom="123" w:gutter="0" w:footer="0" w:header="0"/>
        </w:sectPr>
      </w:pPr>
    </w:p>
    <w:bookmarkStart w:id="5" w:name="page6"/>
    <w:bookmarkEnd w:id="5"/>
    <w:tbl>
      <w:tblPr>
        <w:tblLayout w:type="fixed"/>
        <w:tblInd w:w="0" w:type="dxa"/>
        <w:tblCellMar>
          <w:top w:w="0" w:type="dxa"/>
          <w:left w:w="0" w:type="dxa"/>
          <w:bottom w:w="0" w:type="dxa"/>
          <w:right w:w="0" w:type="dxa"/>
        </w:tblCellMar>
      </w:tblPr>
      <w:tr>
        <w:trPr>
          <w:trHeight w:val="83"/>
        </w:trPr>
        <w:tc>
          <w:tcPr>
            <w:tcW w:w="480" w:type="dxa"/>
            <w:vAlign w:val="bottom"/>
            <w:tcBorders>
              <w:right w:val="single" w:sz="8" w:color="auto"/>
            </w:tcBorders>
            <w:vMerge w:val="restart"/>
          </w:tcPr>
          <w:p>
            <w:pPr>
              <w:jc w:val="right"/>
              <w:ind w:right="330"/>
              <w:spacing w:after="0"/>
              <w:rPr>
                <w:sz w:val="20"/>
                <w:szCs w:val="20"/>
                <w:color w:val="auto"/>
              </w:rPr>
            </w:pPr>
            <w:r>
              <w:rPr>
                <w:rFonts w:ascii="Arial" w:cs="Arial" w:eastAsia="Arial" w:hAnsi="Arial"/>
                <w:sz w:val="14"/>
                <w:szCs w:val="14"/>
                <w:color w:val="auto"/>
                <w:w w:val="76"/>
              </w:rPr>
              <w:t>6</w:t>
            </w:r>
          </w:p>
        </w:tc>
        <w:tc>
          <w:tcPr>
            <w:tcW w:w="140" w:type="dxa"/>
            <w:vAlign w:val="bottom"/>
          </w:tcPr>
          <w:p>
            <w:pPr>
              <w:spacing w:after="0"/>
              <w:rPr>
                <w:sz w:val="7"/>
                <w:szCs w:val="7"/>
                <w:color w:val="auto"/>
              </w:rPr>
            </w:pPr>
          </w:p>
        </w:tc>
        <w:tc>
          <w:tcPr>
            <w:tcW w:w="1100" w:type="dxa"/>
            <w:vAlign w:val="bottom"/>
          </w:tcPr>
          <w:p>
            <w:pPr>
              <w:spacing w:after="0"/>
              <w:rPr>
                <w:sz w:val="7"/>
                <w:szCs w:val="7"/>
                <w:color w:val="auto"/>
              </w:rPr>
            </w:pPr>
          </w:p>
        </w:tc>
        <w:tc>
          <w:tcPr>
            <w:tcW w:w="8380" w:type="dxa"/>
            <w:vAlign w:val="bottom"/>
            <w:vMerge w:val="restart"/>
          </w:tcPr>
          <w:p>
            <w:pPr>
              <w:ind w:left="7240"/>
              <w:spacing w:after="0"/>
              <w:rPr>
                <w:sz w:val="20"/>
                <w:szCs w:val="20"/>
                <w:color w:val="auto"/>
              </w:rPr>
            </w:pPr>
            <w:r>
              <w:rPr>
                <w:rFonts w:ascii="Arial" w:cs="Arial" w:eastAsia="Arial" w:hAnsi="Arial"/>
                <w:sz w:val="14"/>
                <w:szCs w:val="14"/>
                <w:color w:val="auto"/>
                <w:w w:val="97"/>
              </w:rPr>
              <w:t xml:space="preserve">UPADHYAY </w:t>
            </w:r>
            <w:r>
              <w:rPr>
                <w:rFonts w:ascii="Arial" w:cs="Arial" w:eastAsia="Arial" w:hAnsi="Arial"/>
                <w:sz w:val="11"/>
                <w:szCs w:val="11"/>
                <w:color w:val="auto"/>
                <w:w w:val="97"/>
              </w:rPr>
              <w:t>ET AL</w:t>
            </w:r>
            <w:r>
              <w:rPr>
                <w:rFonts w:ascii="Arial" w:cs="Arial" w:eastAsia="Arial" w:hAnsi="Arial"/>
                <w:sz w:val="14"/>
                <w:szCs w:val="14"/>
                <w:color w:val="auto"/>
                <w:w w:val="97"/>
              </w:rPr>
              <w:t>.</w:t>
            </w:r>
          </w:p>
        </w:tc>
        <w:tc>
          <w:tcPr>
            <w:tcW w:w="0" w:type="dxa"/>
            <w:vAlign w:val="bottom"/>
          </w:tcPr>
          <w:p>
            <w:pPr>
              <w:spacing w:after="0"/>
              <w:rPr>
                <w:sz w:val="1"/>
                <w:szCs w:val="1"/>
                <w:color w:val="auto"/>
              </w:rPr>
            </w:pPr>
          </w:p>
        </w:tc>
      </w:tr>
      <w:tr>
        <w:trPr>
          <w:trHeight w:val="111"/>
        </w:trPr>
        <w:tc>
          <w:tcPr>
            <w:tcW w:w="480" w:type="dxa"/>
            <w:vAlign w:val="bottom"/>
            <w:tcBorders>
              <w:right w:val="single" w:sz="8" w:color="auto"/>
            </w:tcBorders>
            <w:vMerge w:val="continue"/>
          </w:tcPr>
          <w:p>
            <w:pPr>
              <w:spacing w:after="0"/>
              <w:rPr>
                <w:sz w:val="9"/>
                <w:szCs w:val="9"/>
                <w:color w:val="auto"/>
              </w:rPr>
            </w:pPr>
          </w:p>
        </w:tc>
        <w:tc>
          <w:tcPr>
            <w:tcW w:w="140" w:type="dxa"/>
            <w:vAlign w:val="bottom"/>
          </w:tcPr>
          <w:p>
            <w:pPr>
              <w:spacing w:after="0"/>
              <w:rPr>
                <w:sz w:val="9"/>
                <w:szCs w:val="9"/>
                <w:color w:val="auto"/>
              </w:rPr>
            </w:pPr>
          </w:p>
        </w:tc>
        <w:tc>
          <w:tcPr>
            <w:tcW w:w="1100" w:type="dxa"/>
            <w:vAlign w:val="bottom"/>
          </w:tcPr>
          <w:p>
            <w:pPr>
              <w:spacing w:after="0"/>
              <w:rPr>
                <w:sz w:val="9"/>
                <w:szCs w:val="9"/>
                <w:color w:val="auto"/>
              </w:rPr>
            </w:pPr>
          </w:p>
        </w:tc>
        <w:tc>
          <w:tcPr>
            <w:tcW w:w="8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80" w:type="dxa"/>
            <w:vAlign w:val="bottom"/>
            <w:tcBorders>
              <w:bottom w:val="single" w:sz="8" w:color="auto"/>
              <w:right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1100" w:type="dxa"/>
            <w:vAlign w:val="bottom"/>
          </w:tcPr>
          <w:p>
            <w:pPr>
              <w:spacing w:after="0"/>
              <w:rPr>
                <w:sz w:val="4"/>
                <w:szCs w:val="4"/>
                <w:color w:val="auto"/>
              </w:rPr>
            </w:pPr>
          </w:p>
        </w:tc>
        <w:tc>
          <w:tcPr>
            <w:tcW w:w="83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100" w:type="dxa"/>
            <w:vAlign w:val="bottom"/>
          </w:tcPr>
          <w:p>
            <w:pPr>
              <w:spacing w:after="0"/>
              <w:rPr>
                <w:sz w:val="3"/>
                <w:szCs w:val="3"/>
                <w:color w:val="auto"/>
              </w:rPr>
            </w:pPr>
          </w:p>
        </w:tc>
        <w:tc>
          <w:tcPr>
            <w:tcW w:w="83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400050</wp:posOffset>
            </wp:positionH>
            <wp:positionV relativeFrom="paragraph">
              <wp:posOffset>-142875</wp:posOffset>
            </wp:positionV>
            <wp:extent cx="687705" cy="14351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pacing w:after="0" w:line="256"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860" w:type="dxa"/>
            <w:vAlign w:val="bottom"/>
          </w:tcPr>
          <w:p>
            <w:pPr>
              <w:spacing w:after="0"/>
              <w:rPr>
                <w:sz w:val="20"/>
                <w:szCs w:val="20"/>
                <w:color w:val="auto"/>
              </w:rPr>
            </w:pPr>
            <w:r>
              <w:rPr>
                <w:rFonts w:ascii="Arial" w:cs="Arial" w:eastAsia="Arial" w:hAnsi="Arial"/>
                <w:sz w:val="16"/>
                <w:szCs w:val="16"/>
                <w:color w:val="auto"/>
              </w:rPr>
              <w:t>TABLE 1</w:t>
            </w:r>
          </w:p>
        </w:tc>
        <w:tc>
          <w:tcPr>
            <w:tcW w:w="2240" w:type="dxa"/>
            <w:vAlign w:val="bottom"/>
          </w:tcPr>
          <w:p>
            <w:pPr>
              <w:ind w:left="120"/>
              <w:spacing w:after="0"/>
              <w:rPr>
                <w:sz w:val="20"/>
                <w:szCs w:val="20"/>
                <w:color w:val="auto"/>
              </w:rPr>
            </w:pPr>
            <w:r>
              <w:rPr>
                <w:rFonts w:ascii="Arial" w:cs="Arial" w:eastAsia="Arial" w:hAnsi="Arial"/>
                <w:sz w:val="16"/>
                <w:szCs w:val="16"/>
                <w:color w:val="auto"/>
              </w:rPr>
              <w:t>(Continued)</w:t>
            </w:r>
          </w:p>
        </w:tc>
        <w:tc>
          <w:tcPr>
            <w:tcW w:w="2400" w:type="dxa"/>
            <w:vAlign w:val="bottom"/>
          </w:tcPr>
          <w:p>
            <w:pPr>
              <w:spacing w:after="0"/>
              <w:rPr>
                <w:sz w:val="16"/>
                <w:szCs w:val="16"/>
                <w:color w:val="auto"/>
              </w:rPr>
            </w:pPr>
          </w:p>
        </w:tc>
        <w:tc>
          <w:tcPr>
            <w:tcW w:w="1700" w:type="dxa"/>
            <w:vAlign w:val="bottom"/>
          </w:tcPr>
          <w:p>
            <w:pPr>
              <w:spacing w:after="0"/>
              <w:rPr>
                <w:sz w:val="16"/>
                <w:szCs w:val="16"/>
                <w:color w:val="auto"/>
              </w:rPr>
            </w:pPr>
          </w:p>
        </w:tc>
        <w:tc>
          <w:tcPr>
            <w:tcW w:w="2880" w:type="dxa"/>
            <w:vAlign w:val="bottom"/>
          </w:tcPr>
          <w:p>
            <w:pPr>
              <w:spacing w:after="0"/>
              <w:rPr>
                <w:sz w:val="16"/>
                <w:szCs w:val="16"/>
                <w:color w:val="auto"/>
              </w:rPr>
            </w:pPr>
          </w:p>
        </w:tc>
        <w:tc>
          <w:tcPr>
            <w:tcW w:w="20" w:type="dxa"/>
            <w:vAlign w:val="bottom"/>
          </w:tcPr>
          <w:p>
            <w:pPr>
              <w:spacing w:after="0"/>
              <w:rPr>
                <w:sz w:val="16"/>
                <w:szCs w:val="16"/>
                <w:color w:val="auto"/>
              </w:rPr>
            </w:pPr>
          </w:p>
        </w:tc>
      </w:tr>
      <w:tr>
        <w:trPr>
          <w:trHeight w:val="111"/>
        </w:trPr>
        <w:tc>
          <w:tcPr>
            <w:tcW w:w="860" w:type="dxa"/>
            <w:vAlign w:val="bottom"/>
          </w:tcPr>
          <w:p>
            <w:pPr>
              <w:spacing w:after="0"/>
              <w:rPr>
                <w:sz w:val="9"/>
                <w:szCs w:val="9"/>
                <w:color w:val="auto"/>
              </w:rPr>
            </w:pPr>
          </w:p>
        </w:tc>
        <w:tc>
          <w:tcPr>
            <w:tcW w:w="2240" w:type="dxa"/>
            <w:vAlign w:val="bottom"/>
          </w:tcPr>
          <w:p>
            <w:pPr>
              <w:spacing w:after="0"/>
              <w:rPr>
                <w:sz w:val="9"/>
                <w:szCs w:val="9"/>
                <w:color w:val="auto"/>
              </w:rPr>
            </w:pPr>
          </w:p>
        </w:tc>
        <w:tc>
          <w:tcPr>
            <w:tcW w:w="2400" w:type="dxa"/>
            <w:vAlign w:val="bottom"/>
          </w:tcPr>
          <w:p>
            <w:pPr>
              <w:spacing w:after="0"/>
              <w:rPr>
                <w:sz w:val="9"/>
                <w:szCs w:val="9"/>
                <w:color w:val="auto"/>
              </w:rPr>
            </w:pPr>
          </w:p>
        </w:tc>
        <w:tc>
          <w:tcPr>
            <w:tcW w:w="1700" w:type="dxa"/>
            <w:vAlign w:val="bottom"/>
          </w:tcPr>
          <w:p>
            <w:pPr>
              <w:spacing w:after="0"/>
              <w:rPr>
                <w:sz w:val="9"/>
                <w:szCs w:val="9"/>
                <w:color w:val="auto"/>
              </w:rPr>
            </w:pPr>
          </w:p>
        </w:tc>
        <w:tc>
          <w:tcPr>
            <w:tcW w:w="2880" w:type="dxa"/>
            <w:vAlign w:val="bottom"/>
          </w:tcPr>
          <w:p>
            <w:pPr>
              <w:spacing w:after="0"/>
              <w:rPr>
                <w:sz w:val="9"/>
                <w:szCs w:val="9"/>
                <w:color w:val="auto"/>
              </w:rPr>
            </w:pPr>
          </w:p>
        </w:tc>
        <w:tc>
          <w:tcPr>
            <w:tcW w:w="20" w:type="dxa"/>
            <w:vAlign w:val="bottom"/>
          </w:tcPr>
          <w:p>
            <w:pPr>
              <w:spacing w:after="0"/>
              <w:rPr>
                <w:sz w:val="9"/>
                <w:szCs w:val="9"/>
                <w:color w:val="auto"/>
              </w:rPr>
            </w:pPr>
          </w:p>
        </w:tc>
      </w:tr>
      <w:tr>
        <w:trPr>
          <w:trHeight w:val="272"/>
        </w:trPr>
        <w:tc>
          <w:tcPr>
            <w:tcW w:w="860" w:type="dxa"/>
            <w:vAlign w:val="bottom"/>
            <w:shd w:val="clear" w:color="auto" w:fill="CCCCCC"/>
          </w:tcPr>
          <w:p>
            <w:pPr>
              <w:spacing w:after="0"/>
              <w:rPr>
                <w:sz w:val="23"/>
                <w:szCs w:val="23"/>
                <w:color w:val="auto"/>
              </w:rPr>
            </w:pPr>
          </w:p>
        </w:tc>
        <w:tc>
          <w:tcPr>
            <w:tcW w:w="2240" w:type="dxa"/>
            <w:vAlign w:val="bottom"/>
            <w:shd w:val="clear" w:color="auto" w:fill="CCCCCC"/>
          </w:tcPr>
          <w:p>
            <w:pPr>
              <w:spacing w:after="0"/>
              <w:rPr>
                <w:sz w:val="23"/>
                <w:szCs w:val="23"/>
                <w:color w:val="auto"/>
              </w:rPr>
            </w:pPr>
          </w:p>
        </w:tc>
        <w:tc>
          <w:tcPr>
            <w:tcW w:w="2400" w:type="dxa"/>
            <w:vAlign w:val="bottom"/>
            <w:shd w:val="clear" w:color="auto" w:fill="CCCCCC"/>
          </w:tcPr>
          <w:p>
            <w:pPr>
              <w:spacing w:after="0"/>
              <w:rPr>
                <w:sz w:val="23"/>
                <w:szCs w:val="23"/>
                <w:color w:val="auto"/>
              </w:rPr>
            </w:pPr>
          </w:p>
        </w:tc>
        <w:tc>
          <w:tcPr>
            <w:tcW w:w="1700" w:type="dxa"/>
            <w:vAlign w:val="bottom"/>
            <w:shd w:val="clear" w:color="auto" w:fill="CCCCCC"/>
          </w:tcPr>
          <w:p>
            <w:pPr>
              <w:spacing w:after="0"/>
              <w:rPr>
                <w:sz w:val="23"/>
                <w:szCs w:val="23"/>
                <w:color w:val="auto"/>
              </w:rPr>
            </w:pPr>
          </w:p>
        </w:tc>
        <w:tc>
          <w:tcPr>
            <w:tcW w:w="2880" w:type="dxa"/>
            <w:vAlign w:val="bottom"/>
            <w:shd w:val="clear" w:color="auto" w:fill="CCCCCC"/>
          </w:tcPr>
          <w:p>
            <w:pPr>
              <w:ind w:left="520"/>
              <w:spacing w:after="0"/>
              <w:rPr>
                <w:sz w:val="20"/>
                <w:szCs w:val="20"/>
                <w:color w:val="auto"/>
              </w:rPr>
            </w:pPr>
            <w:r>
              <w:rPr>
                <w:rFonts w:ascii="Arial" w:cs="Arial" w:eastAsia="Arial" w:hAnsi="Arial"/>
                <w:sz w:val="15"/>
                <w:szCs w:val="15"/>
                <w:color w:val="auto"/>
              </w:rPr>
              <w:t xml:space="preserve">% activity inhibition at 100 </w:t>
            </w:r>
            <w:r>
              <w:rPr>
                <w:rFonts w:ascii="Arial" w:cs="Arial" w:eastAsia="Arial" w:hAnsi="Arial"/>
                <w:sz w:val="15"/>
                <w:szCs w:val="15"/>
                <w:color w:val="auto"/>
              </w:rPr>
              <w:t>μ</w:t>
            </w:r>
            <w:r>
              <w:rPr>
                <w:rFonts w:ascii="Arial" w:cs="Arial" w:eastAsia="Arial" w:hAnsi="Arial"/>
                <w:sz w:val="15"/>
                <w:szCs w:val="15"/>
                <w:color w:val="auto"/>
              </w:rPr>
              <w:t>g/ml</w:t>
            </w:r>
          </w:p>
        </w:tc>
        <w:tc>
          <w:tcPr>
            <w:tcW w:w="20" w:type="dxa"/>
            <w:vAlign w:val="bottom"/>
          </w:tcPr>
          <w:p>
            <w:pPr>
              <w:spacing w:after="0"/>
              <w:rPr>
                <w:sz w:val="23"/>
                <w:szCs w:val="23"/>
                <w:color w:val="auto"/>
              </w:rPr>
            </w:pPr>
          </w:p>
        </w:tc>
      </w:tr>
      <w:tr>
        <w:trPr>
          <w:trHeight w:val="175"/>
        </w:trPr>
        <w:tc>
          <w:tcPr>
            <w:tcW w:w="860" w:type="dxa"/>
            <w:vAlign w:val="bottom"/>
            <w:shd w:val="clear" w:color="auto" w:fill="CCCCCC"/>
          </w:tcPr>
          <w:p>
            <w:pPr>
              <w:ind w:left="140"/>
              <w:spacing w:after="0"/>
              <w:rPr>
                <w:sz w:val="20"/>
                <w:szCs w:val="20"/>
                <w:color w:val="auto"/>
              </w:rPr>
            </w:pPr>
            <w:r>
              <w:rPr>
                <w:rFonts w:ascii="Arial" w:cs="Arial" w:eastAsia="Arial" w:hAnsi="Arial"/>
                <w:sz w:val="15"/>
                <w:szCs w:val="15"/>
                <w:color w:val="auto"/>
              </w:rPr>
              <w:t>S.no</w:t>
            </w:r>
          </w:p>
        </w:tc>
        <w:tc>
          <w:tcPr>
            <w:tcW w:w="2240" w:type="dxa"/>
            <w:vAlign w:val="bottom"/>
            <w:shd w:val="clear" w:color="auto" w:fill="CCCCCC"/>
          </w:tcPr>
          <w:p>
            <w:pPr>
              <w:ind w:left="400"/>
              <w:spacing w:after="0"/>
              <w:rPr>
                <w:sz w:val="20"/>
                <w:szCs w:val="20"/>
                <w:color w:val="auto"/>
              </w:rPr>
            </w:pPr>
            <w:r>
              <w:rPr>
                <w:rFonts w:ascii="Arial" w:cs="Arial" w:eastAsia="Arial" w:hAnsi="Arial"/>
                <w:sz w:val="15"/>
                <w:szCs w:val="15"/>
                <w:color w:val="auto"/>
              </w:rPr>
              <w:t>Plants common name</w:t>
            </w:r>
          </w:p>
        </w:tc>
        <w:tc>
          <w:tcPr>
            <w:tcW w:w="2400" w:type="dxa"/>
            <w:vAlign w:val="bottom"/>
            <w:shd w:val="clear" w:color="auto" w:fill="CCCCCC"/>
          </w:tcPr>
          <w:p>
            <w:pPr>
              <w:ind w:left="420"/>
              <w:spacing w:after="0"/>
              <w:rPr>
                <w:sz w:val="20"/>
                <w:szCs w:val="20"/>
                <w:color w:val="auto"/>
              </w:rPr>
            </w:pPr>
            <w:r>
              <w:rPr>
                <w:rFonts w:ascii="Arial" w:cs="Arial" w:eastAsia="Arial" w:hAnsi="Arial"/>
                <w:sz w:val="15"/>
                <w:szCs w:val="15"/>
                <w:color w:val="auto"/>
              </w:rPr>
              <w:t>Plants scientific name</w:t>
            </w:r>
          </w:p>
        </w:tc>
        <w:tc>
          <w:tcPr>
            <w:tcW w:w="1700" w:type="dxa"/>
            <w:vAlign w:val="bottom"/>
            <w:shd w:val="clear" w:color="auto" w:fill="CCCCCC"/>
          </w:tcPr>
          <w:p>
            <w:pPr>
              <w:ind w:left="520"/>
              <w:spacing w:after="0"/>
              <w:rPr>
                <w:sz w:val="20"/>
                <w:szCs w:val="20"/>
                <w:color w:val="auto"/>
              </w:rPr>
            </w:pPr>
            <w:r>
              <w:rPr>
                <w:rFonts w:ascii="Arial" w:cs="Arial" w:eastAsia="Arial" w:hAnsi="Arial"/>
                <w:sz w:val="15"/>
                <w:szCs w:val="15"/>
                <w:color w:val="auto"/>
              </w:rPr>
              <w:t>Part used</w:t>
            </w:r>
          </w:p>
        </w:tc>
        <w:tc>
          <w:tcPr>
            <w:tcW w:w="2880" w:type="dxa"/>
            <w:vAlign w:val="bottom"/>
            <w:shd w:val="clear" w:color="auto" w:fill="CCCCCC"/>
          </w:tcPr>
          <w:p>
            <w:pPr>
              <w:ind w:left="520"/>
              <w:spacing w:after="0"/>
              <w:rPr>
                <w:sz w:val="20"/>
                <w:szCs w:val="20"/>
                <w:color w:val="auto"/>
              </w:rPr>
            </w:pPr>
            <w:r>
              <w:rPr>
                <w:rFonts w:ascii="Arial" w:cs="Arial" w:eastAsia="Arial" w:hAnsi="Arial"/>
                <w:sz w:val="15"/>
                <w:szCs w:val="15"/>
                <w:color w:val="auto"/>
              </w:rPr>
              <w:t>of aqueous extract</w:t>
            </w:r>
          </w:p>
        </w:tc>
        <w:tc>
          <w:tcPr>
            <w:tcW w:w="20" w:type="dxa"/>
            <w:vAlign w:val="bottom"/>
          </w:tcPr>
          <w:p>
            <w:pPr>
              <w:spacing w:after="0"/>
              <w:rPr>
                <w:sz w:val="15"/>
                <w:szCs w:val="15"/>
                <w:color w:val="auto"/>
              </w:rPr>
            </w:pPr>
          </w:p>
        </w:tc>
      </w:tr>
      <w:tr>
        <w:trPr>
          <w:trHeight w:val="74"/>
        </w:trPr>
        <w:tc>
          <w:tcPr>
            <w:tcW w:w="860" w:type="dxa"/>
            <w:vAlign w:val="bottom"/>
            <w:shd w:val="clear" w:color="auto" w:fill="CCCCCC"/>
          </w:tcPr>
          <w:p>
            <w:pPr>
              <w:spacing w:after="0"/>
              <w:rPr>
                <w:sz w:val="6"/>
                <w:szCs w:val="6"/>
                <w:color w:val="auto"/>
              </w:rPr>
            </w:pPr>
          </w:p>
        </w:tc>
        <w:tc>
          <w:tcPr>
            <w:tcW w:w="2240" w:type="dxa"/>
            <w:vAlign w:val="bottom"/>
            <w:shd w:val="clear" w:color="auto" w:fill="CCCCCC"/>
          </w:tcPr>
          <w:p>
            <w:pPr>
              <w:spacing w:after="0"/>
              <w:rPr>
                <w:sz w:val="6"/>
                <w:szCs w:val="6"/>
                <w:color w:val="auto"/>
              </w:rPr>
            </w:pPr>
          </w:p>
        </w:tc>
        <w:tc>
          <w:tcPr>
            <w:tcW w:w="2400" w:type="dxa"/>
            <w:vAlign w:val="bottom"/>
            <w:shd w:val="clear" w:color="auto" w:fill="CCCCCC"/>
          </w:tcPr>
          <w:p>
            <w:pPr>
              <w:spacing w:after="0"/>
              <w:rPr>
                <w:sz w:val="6"/>
                <w:szCs w:val="6"/>
                <w:color w:val="auto"/>
              </w:rPr>
            </w:pPr>
          </w:p>
        </w:tc>
        <w:tc>
          <w:tcPr>
            <w:tcW w:w="1700" w:type="dxa"/>
            <w:vAlign w:val="bottom"/>
            <w:shd w:val="clear" w:color="auto" w:fill="CCCCCC"/>
          </w:tcPr>
          <w:p>
            <w:pPr>
              <w:spacing w:after="0"/>
              <w:rPr>
                <w:sz w:val="6"/>
                <w:szCs w:val="6"/>
                <w:color w:val="auto"/>
              </w:rPr>
            </w:pPr>
          </w:p>
        </w:tc>
        <w:tc>
          <w:tcPr>
            <w:tcW w:w="2880" w:type="dxa"/>
            <w:vAlign w:val="bottom"/>
            <w:shd w:val="clear" w:color="auto" w:fill="CCCCCC"/>
          </w:tcPr>
          <w:p>
            <w:pPr>
              <w:spacing w:after="0"/>
              <w:rPr>
                <w:sz w:val="6"/>
                <w:szCs w:val="6"/>
                <w:color w:val="auto"/>
              </w:rPr>
            </w:pPr>
          </w:p>
        </w:tc>
        <w:tc>
          <w:tcPr>
            <w:tcW w:w="20" w:type="dxa"/>
            <w:vAlign w:val="bottom"/>
          </w:tcPr>
          <w:p>
            <w:pPr>
              <w:spacing w:after="0"/>
              <w:rPr>
                <w:sz w:val="6"/>
                <w:szCs w:val="6"/>
                <w:color w:val="auto"/>
              </w:rPr>
            </w:pPr>
          </w:p>
        </w:tc>
      </w:tr>
      <w:tr>
        <w:trPr>
          <w:trHeight w:val="221"/>
        </w:trPr>
        <w:tc>
          <w:tcPr>
            <w:tcW w:w="860" w:type="dxa"/>
            <w:vAlign w:val="bottom"/>
          </w:tcPr>
          <w:p>
            <w:pPr>
              <w:ind w:left="140"/>
              <w:spacing w:after="0"/>
              <w:rPr>
                <w:sz w:val="20"/>
                <w:szCs w:val="20"/>
                <w:color w:val="auto"/>
              </w:rPr>
            </w:pPr>
            <w:r>
              <w:rPr>
                <w:rFonts w:ascii="Arial" w:cs="Arial" w:eastAsia="Arial" w:hAnsi="Arial"/>
                <w:sz w:val="15"/>
                <w:szCs w:val="15"/>
                <w:color w:val="auto"/>
              </w:rPr>
              <w:t>47</w:t>
            </w:r>
          </w:p>
        </w:tc>
        <w:tc>
          <w:tcPr>
            <w:tcW w:w="2240" w:type="dxa"/>
            <w:vAlign w:val="bottom"/>
          </w:tcPr>
          <w:p>
            <w:pPr>
              <w:ind w:left="400"/>
              <w:spacing w:after="0"/>
              <w:rPr>
                <w:sz w:val="20"/>
                <w:szCs w:val="20"/>
                <w:color w:val="auto"/>
              </w:rPr>
            </w:pPr>
            <w:r>
              <w:rPr>
                <w:rFonts w:ascii="Arial" w:cs="Arial" w:eastAsia="Arial" w:hAnsi="Arial"/>
                <w:sz w:val="15"/>
                <w:szCs w:val="15"/>
                <w:color w:val="auto"/>
              </w:rPr>
              <w:t>Suranjaan</w:t>
            </w:r>
          </w:p>
        </w:tc>
        <w:tc>
          <w:tcPr>
            <w:tcW w:w="2400" w:type="dxa"/>
            <w:vAlign w:val="bottom"/>
          </w:tcPr>
          <w:p>
            <w:pPr>
              <w:ind w:left="420"/>
              <w:spacing w:after="0"/>
              <w:rPr>
                <w:sz w:val="20"/>
                <w:szCs w:val="20"/>
                <w:color w:val="auto"/>
              </w:rPr>
            </w:pPr>
            <w:r>
              <w:rPr>
                <w:rFonts w:ascii="Arial" w:cs="Arial" w:eastAsia="Arial" w:hAnsi="Arial"/>
                <w:sz w:val="15"/>
                <w:szCs w:val="15"/>
                <w:color w:val="auto"/>
              </w:rPr>
              <w:t>Colchicum luteum</w:t>
            </w:r>
          </w:p>
        </w:tc>
        <w:tc>
          <w:tcPr>
            <w:tcW w:w="1700" w:type="dxa"/>
            <w:vAlign w:val="bottom"/>
          </w:tcPr>
          <w:p>
            <w:pPr>
              <w:ind w:left="520"/>
              <w:spacing w:after="0"/>
              <w:rPr>
                <w:sz w:val="20"/>
                <w:szCs w:val="20"/>
                <w:color w:val="auto"/>
              </w:rPr>
            </w:pPr>
            <w:r>
              <w:rPr>
                <w:rFonts w:ascii="Arial" w:cs="Arial" w:eastAsia="Arial" w:hAnsi="Arial"/>
                <w:sz w:val="15"/>
                <w:szCs w:val="15"/>
                <w:color w:val="auto"/>
              </w:rPr>
              <w:t>Rhizome</w:t>
            </w:r>
          </w:p>
        </w:tc>
        <w:tc>
          <w:tcPr>
            <w:tcW w:w="2880" w:type="dxa"/>
            <w:vAlign w:val="bottom"/>
          </w:tcPr>
          <w:p>
            <w:pPr>
              <w:ind w:left="520"/>
              <w:spacing w:after="0"/>
              <w:rPr>
                <w:sz w:val="20"/>
                <w:szCs w:val="20"/>
                <w:color w:val="auto"/>
              </w:rPr>
            </w:pPr>
            <w:r>
              <w:rPr>
                <w:rFonts w:ascii="Arial" w:cs="Arial" w:eastAsia="Arial" w:hAnsi="Arial"/>
                <w:sz w:val="15"/>
                <w:szCs w:val="15"/>
                <w:color w:val="auto"/>
              </w:rPr>
              <w:t>0</w:t>
            </w:r>
          </w:p>
        </w:tc>
        <w:tc>
          <w:tcPr>
            <w:tcW w:w="20" w:type="dxa"/>
            <w:vAlign w:val="bottom"/>
          </w:tcPr>
          <w:p>
            <w:pPr>
              <w:spacing w:after="0"/>
              <w:rPr>
                <w:sz w:val="19"/>
                <w:szCs w:val="19"/>
                <w:color w:val="auto"/>
              </w:rPr>
            </w:pPr>
          </w:p>
        </w:tc>
      </w:tr>
      <w:tr>
        <w:trPr>
          <w:trHeight w:val="59"/>
        </w:trPr>
        <w:tc>
          <w:tcPr>
            <w:tcW w:w="86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40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880" w:type="dxa"/>
            <w:vAlign w:val="bottom"/>
          </w:tcPr>
          <w:p>
            <w:pPr>
              <w:spacing w:after="0"/>
              <w:rPr>
                <w:sz w:val="5"/>
                <w:szCs w:val="5"/>
                <w:color w:val="auto"/>
              </w:rPr>
            </w:pPr>
          </w:p>
        </w:tc>
        <w:tc>
          <w:tcPr>
            <w:tcW w:w="20" w:type="dxa"/>
            <w:vAlign w:val="bottom"/>
          </w:tcPr>
          <w:p>
            <w:pPr>
              <w:spacing w:after="0"/>
              <w:rPr>
                <w:sz w:val="5"/>
                <w:szCs w:val="5"/>
                <w:color w:val="auto"/>
              </w:rPr>
            </w:pPr>
          </w:p>
        </w:tc>
      </w:tr>
      <w:tr>
        <w:trPr>
          <w:trHeight w:val="260"/>
        </w:trPr>
        <w:tc>
          <w:tcPr>
            <w:tcW w:w="86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48</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Talispatra</w:t>
            </w:r>
          </w:p>
        </w:tc>
        <w:tc>
          <w:tcPr>
            <w:tcW w:w="24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Abies webbiana</w:t>
            </w:r>
          </w:p>
        </w:tc>
        <w:tc>
          <w:tcPr>
            <w:tcW w:w="1700" w:type="dxa"/>
            <w:vAlign w:val="bottom"/>
            <w:tcBorders>
              <w:bottom w:val="single" w:sz="8" w:color="E6E6E6"/>
            </w:tcBorders>
            <w:shd w:val="clear" w:color="auto" w:fill="E6E6E6"/>
          </w:tcPr>
          <w:p>
            <w:pPr>
              <w:ind w:left="520"/>
              <w:spacing w:after="0"/>
              <w:rPr>
                <w:sz w:val="20"/>
                <w:szCs w:val="20"/>
                <w:color w:val="auto"/>
              </w:rPr>
            </w:pPr>
            <w:r>
              <w:rPr>
                <w:rFonts w:ascii="Arial" w:cs="Arial" w:eastAsia="Arial" w:hAnsi="Arial"/>
                <w:sz w:val="15"/>
                <w:szCs w:val="15"/>
                <w:color w:val="auto"/>
              </w:rPr>
              <w:t>Leaf</w:t>
            </w:r>
          </w:p>
        </w:tc>
        <w:tc>
          <w:tcPr>
            <w:tcW w:w="2880" w:type="dxa"/>
            <w:vAlign w:val="bottom"/>
            <w:tcBorders>
              <w:bottom w:val="single" w:sz="8" w:color="E6E6E6"/>
            </w:tcBorders>
            <w:shd w:val="clear" w:color="auto" w:fill="E6E6E6"/>
          </w:tcPr>
          <w:p>
            <w:pPr>
              <w:ind w:left="520"/>
              <w:spacing w:after="0"/>
              <w:rPr>
                <w:sz w:val="20"/>
                <w:szCs w:val="20"/>
                <w:color w:val="auto"/>
              </w:rPr>
            </w:pPr>
            <w:r>
              <w:rPr>
                <w:rFonts w:ascii="Arial" w:cs="Arial" w:eastAsia="Arial" w:hAnsi="Arial"/>
                <w:sz w:val="15"/>
                <w:szCs w:val="15"/>
                <w:color w:val="auto"/>
              </w:rPr>
              <w:t>0</w:t>
            </w:r>
          </w:p>
        </w:tc>
        <w:tc>
          <w:tcPr>
            <w:tcW w:w="20" w:type="dxa"/>
            <w:vAlign w:val="bottom"/>
          </w:tcPr>
          <w:p>
            <w:pPr>
              <w:spacing w:after="0"/>
              <w:rPr>
                <w:sz w:val="22"/>
                <w:szCs w:val="22"/>
                <w:color w:val="auto"/>
              </w:rPr>
            </w:pPr>
          </w:p>
        </w:tc>
      </w:tr>
      <w:tr>
        <w:trPr>
          <w:trHeight w:val="221"/>
        </w:trPr>
        <w:tc>
          <w:tcPr>
            <w:tcW w:w="860" w:type="dxa"/>
            <w:vAlign w:val="bottom"/>
          </w:tcPr>
          <w:p>
            <w:pPr>
              <w:ind w:left="140"/>
              <w:spacing w:after="0"/>
              <w:rPr>
                <w:sz w:val="20"/>
                <w:szCs w:val="20"/>
                <w:color w:val="auto"/>
              </w:rPr>
            </w:pPr>
            <w:r>
              <w:rPr>
                <w:rFonts w:ascii="Arial" w:cs="Arial" w:eastAsia="Arial" w:hAnsi="Arial"/>
                <w:sz w:val="15"/>
                <w:szCs w:val="15"/>
                <w:color w:val="auto"/>
              </w:rPr>
              <w:t>49</w:t>
            </w:r>
          </w:p>
        </w:tc>
        <w:tc>
          <w:tcPr>
            <w:tcW w:w="2240" w:type="dxa"/>
            <w:vAlign w:val="bottom"/>
          </w:tcPr>
          <w:p>
            <w:pPr>
              <w:ind w:left="400"/>
              <w:spacing w:after="0"/>
              <w:rPr>
                <w:sz w:val="20"/>
                <w:szCs w:val="20"/>
                <w:color w:val="auto"/>
              </w:rPr>
            </w:pPr>
            <w:r>
              <w:rPr>
                <w:rFonts w:ascii="Arial" w:cs="Arial" w:eastAsia="Arial" w:hAnsi="Arial"/>
                <w:sz w:val="15"/>
                <w:szCs w:val="15"/>
                <w:color w:val="auto"/>
              </w:rPr>
              <w:t>Tilpushpi</w:t>
            </w:r>
          </w:p>
        </w:tc>
        <w:tc>
          <w:tcPr>
            <w:tcW w:w="2400" w:type="dxa"/>
            <w:vAlign w:val="bottom"/>
          </w:tcPr>
          <w:p>
            <w:pPr>
              <w:ind w:left="420"/>
              <w:spacing w:after="0"/>
              <w:rPr>
                <w:sz w:val="20"/>
                <w:szCs w:val="20"/>
                <w:color w:val="auto"/>
              </w:rPr>
            </w:pPr>
            <w:r>
              <w:rPr>
                <w:rFonts w:ascii="Arial" w:cs="Arial" w:eastAsia="Arial" w:hAnsi="Arial"/>
                <w:sz w:val="15"/>
                <w:szCs w:val="15"/>
                <w:color w:val="auto"/>
              </w:rPr>
              <w:t>Digitalis purpurea</w:t>
            </w:r>
          </w:p>
        </w:tc>
        <w:tc>
          <w:tcPr>
            <w:tcW w:w="1700" w:type="dxa"/>
            <w:vAlign w:val="bottom"/>
          </w:tcPr>
          <w:p>
            <w:pPr>
              <w:ind w:left="520"/>
              <w:spacing w:after="0"/>
              <w:rPr>
                <w:sz w:val="20"/>
                <w:szCs w:val="20"/>
                <w:color w:val="auto"/>
              </w:rPr>
            </w:pPr>
            <w:r>
              <w:rPr>
                <w:rFonts w:ascii="Arial" w:cs="Arial" w:eastAsia="Arial" w:hAnsi="Arial"/>
                <w:sz w:val="15"/>
                <w:szCs w:val="15"/>
                <w:color w:val="auto"/>
              </w:rPr>
              <w:t>Leaf</w:t>
            </w:r>
          </w:p>
        </w:tc>
        <w:tc>
          <w:tcPr>
            <w:tcW w:w="2880" w:type="dxa"/>
            <w:vAlign w:val="bottom"/>
          </w:tcPr>
          <w:p>
            <w:pPr>
              <w:ind w:left="520"/>
              <w:spacing w:after="0"/>
              <w:rPr>
                <w:sz w:val="20"/>
                <w:szCs w:val="20"/>
                <w:color w:val="auto"/>
              </w:rPr>
            </w:pPr>
            <w:r>
              <w:rPr>
                <w:rFonts w:ascii="Arial" w:cs="Arial" w:eastAsia="Arial" w:hAnsi="Arial"/>
                <w:sz w:val="15"/>
                <w:szCs w:val="15"/>
                <w:color w:val="auto"/>
              </w:rPr>
              <w:t>0</w:t>
            </w:r>
          </w:p>
        </w:tc>
        <w:tc>
          <w:tcPr>
            <w:tcW w:w="20" w:type="dxa"/>
            <w:vAlign w:val="bottom"/>
          </w:tcPr>
          <w:p>
            <w:pPr>
              <w:spacing w:after="0"/>
              <w:rPr>
                <w:sz w:val="19"/>
                <w:szCs w:val="19"/>
                <w:color w:val="auto"/>
              </w:rPr>
            </w:pPr>
          </w:p>
        </w:tc>
      </w:tr>
      <w:tr>
        <w:trPr>
          <w:trHeight w:val="59"/>
        </w:trPr>
        <w:tc>
          <w:tcPr>
            <w:tcW w:w="860" w:type="dxa"/>
            <w:vAlign w:val="bottom"/>
          </w:tcPr>
          <w:p>
            <w:pPr>
              <w:spacing w:after="0"/>
              <w:rPr>
                <w:sz w:val="5"/>
                <w:szCs w:val="5"/>
                <w:color w:val="auto"/>
              </w:rPr>
            </w:pPr>
          </w:p>
        </w:tc>
        <w:tc>
          <w:tcPr>
            <w:tcW w:w="2240" w:type="dxa"/>
            <w:vAlign w:val="bottom"/>
          </w:tcPr>
          <w:p>
            <w:pPr>
              <w:spacing w:after="0"/>
              <w:rPr>
                <w:sz w:val="5"/>
                <w:szCs w:val="5"/>
                <w:color w:val="auto"/>
              </w:rPr>
            </w:pPr>
          </w:p>
        </w:tc>
        <w:tc>
          <w:tcPr>
            <w:tcW w:w="2400" w:type="dxa"/>
            <w:vAlign w:val="bottom"/>
          </w:tcPr>
          <w:p>
            <w:pPr>
              <w:spacing w:after="0"/>
              <w:rPr>
                <w:sz w:val="5"/>
                <w:szCs w:val="5"/>
                <w:color w:val="auto"/>
              </w:rPr>
            </w:pPr>
          </w:p>
        </w:tc>
        <w:tc>
          <w:tcPr>
            <w:tcW w:w="1700" w:type="dxa"/>
            <w:vAlign w:val="bottom"/>
          </w:tcPr>
          <w:p>
            <w:pPr>
              <w:spacing w:after="0"/>
              <w:rPr>
                <w:sz w:val="5"/>
                <w:szCs w:val="5"/>
                <w:color w:val="auto"/>
              </w:rPr>
            </w:pPr>
          </w:p>
        </w:tc>
        <w:tc>
          <w:tcPr>
            <w:tcW w:w="2880" w:type="dxa"/>
            <w:vAlign w:val="bottom"/>
          </w:tcPr>
          <w:p>
            <w:pPr>
              <w:spacing w:after="0"/>
              <w:rPr>
                <w:sz w:val="5"/>
                <w:szCs w:val="5"/>
                <w:color w:val="auto"/>
              </w:rPr>
            </w:pPr>
          </w:p>
        </w:tc>
        <w:tc>
          <w:tcPr>
            <w:tcW w:w="20" w:type="dxa"/>
            <w:vAlign w:val="bottom"/>
          </w:tcPr>
          <w:p>
            <w:pPr>
              <w:spacing w:after="0"/>
              <w:rPr>
                <w:sz w:val="5"/>
                <w:szCs w:val="5"/>
                <w:color w:val="auto"/>
              </w:rPr>
            </w:pPr>
          </w:p>
        </w:tc>
      </w:tr>
      <w:tr>
        <w:trPr>
          <w:trHeight w:val="260"/>
        </w:trPr>
        <w:tc>
          <w:tcPr>
            <w:tcW w:w="86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50</w:t>
            </w:r>
          </w:p>
        </w:tc>
        <w:tc>
          <w:tcPr>
            <w:tcW w:w="2240" w:type="dxa"/>
            <w:vAlign w:val="bottom"/>
            <w:tcBorders>
              <w:bottom w:val="single" w:sz="8" w:color="E6E6E6"/>
            </w:tcBorders>
            <w:shd w:val="clear" w:color="auto" w:fill="E6E6E6"/>
          </w:tcPr>
          <w:p>
            <w:pPr>
              <w:ind w:left="400"/>
              <w:spacing w:after="0"/>
              <w:rPr>
                <w:sz w:val="20"/>
                <w:szCs w:val="20"/>
                <w:color w:val="auto"/>
              </w:rPr>
            </w:pPr>
            <w:r>
              <w:rPr>
                <w:rFonts w:ascii="Arial" w:cs="Arial" w:eastAsia="Arial" w:hAnsi="Arial"/>
                <w:sz w:val="15"/>
                <w:szCs w:val="15"/>
                <w:color w:val="auto"/>
              </w:rPr>
              <w:t>Tulsi</w:t>
            </w:r>
          </w:p>
        </w:tc>
        <w:tc>
          <w:tcPr>
            <w:tcW w:w="2400" w:type="dxa"/>
            <w:vAlign w:val="bottom"/>
            <w:tcBorders>
              <w:bottom w:val="single" w:sz="8" w:color="E6E6E6"/>
            </w:tcBorders>
            <w:shd w:val="clear" w:color="auto" w:fill="E6E6E6"/>
          </w:tcPr>
          <w:p>
            <w:pPr>
              <w:ind w:left="420"/>
              <w:spacing w:after="0"/>
              <w:rPr>
                <w:sz w:val="20"/>
                <w:szCs w:val="20"/>
                <w:color w:val="auto"/>
              </w:rPr>
            </w:pPr>
            <w:r>
              <w:rPr>
                <w:rFonts w:ascii="Arial" w:cs="Arial" w:eastAsia="Arial" w:hAnsi="Arial"/>
                <w:sz w:val="15"/>
                <w:szCs w:val="15"/>
                <w:color w:val="auto"/>
              </w:rPr>
              <w:t>Ocimum sanctum</w:t>
            </w:r>
          </w:p>
        </w:tc>
        <w:tc>
          <w:tcPr>
            <w:tcW w:w="1700" w:type="dxa"/>
            <w:vAlign w:val="bottom"/>
            <w:tcBorders>
              <w:bottom w:val="single" w:sz="8" w:color="E6E6E6"/>
            </w:tcBorders>
            <w:shd w:val="clear" w:color="auto" w:fill="E6E6E6"/>
          </w:tcPr>
          <w:p>
            <w:pPr>
              <w:ind w:left="520"/>
              <w:spacing w:after="0"/>
              <w:rPr>
                <w:sz w:val="20"/>
                <w:szCs w:val="20"/>
                <w:color w:val="auto"/>
              </w:rPr>
            </w:pPr>
            <w:r>
              <w:rPr>
                <w:rFonts w:ascii="Arial" w:cs="Arial" w:eastAsia="Arial" w:hAnsi="Arial"/>
                <w:sz w:val="15"/>
                <w:szCs w:val="15"/>
                <w:color w:val="auto"/>
              </w:rPr>
              <w:t>Leaf</w:t>
            </w:r>
          </w:p>
        </w:tc>
        <w:tc>
          <w:tcPr>
            <w:tcW w:w="2880" w:type="dxa"/>
            <w:vAlign w:val="bottom"/>
            <w:tcBorders>
              <w:bottom w:val="single" w:sz="8" w:color="E6E6E6"/>
            </w:tcBorders>
            <w:shd w:val="clear" w:color="auto" w:fill="E6E6E6"/>
          </w:tcPr>
          <w:p>
            <w:pPr>
              <w:ind w:left="520"/>
              <w:spacing w:after="0"/>
              <w:rPr>
                <w:sz w:val="20"/>
                <w:szCs w:val="20"/>
                <w:color w:val="auto"/>
              </w:rPr>
            </w:pPr>
            <w:r>
              <w:rPr>
                <w:rFonts w:ascii="Arial" w:cs="Arial" w:eastAsia="Arial" w:hAnsi="Arial"/>
                <w:sz w:val="15"/>
                <w:szCs w:val="15"/>
                <w:color w:val="auto"/>
              </w:rPr>
              <w:t>20%</w:t>
            </w:r>
          </w:p>
        </w:tc>
        <w:tc>
          <w:tcPr>
            <w:tcW w:w="20" w:type="dxa"/>
            <w:vAlign w:val="bottom"/>
          </w:tcPr>
          <w:p>
            <w:pPr>
              <w:spacing w:after="0"/>
              <w:rPr>
                <w:sz w:val="22"/>
                <w:szCs w:val="22"/>
                <w:color w:val="auto"/>
              </w:rPr>
            </w:pPr>
          </w:p>
        </w:tc>
      </w:tr>
      <w:tr>
        <w:trPr>
          <w:trHeight w:val="220"/>
        </w:trPr>
        <w:tc>
          <w:tcPr>
            <w:tcW w:w="860" w:type="dxa"/>
            <w:vAlign w:val="bottom"/>
          </w:tcPr>
          <w:p>
            <w:pPr>
              <w:ind w:left="140"/>
              <w:spacing w:after="0"/>
              <w:rPr>
                <w:sz w:val="20"/>
                <w:szCs w:val="20"/>
                <w:color w:val="auto"/>
              </w:rPr>
            </w:pPr>
            <w:r>
              <w:rPr>
                <w:rFonts w:ascii="Arial" w:cs="Arial" w:eastAsia="Arial" w:hAnsi="Arial"/>
                <w:sz w:val="15"/>
                <w:szCs w:val="15"/>
                <w:color w:val="auto"/>
              </w:rPr>
              <w:t>51</w:t>
            </w:r>
          </w:p>
        </w:tc>
        <w:tc>
          <w:tcPr>
            <w:tcW w:w="2240" w:type="dxa"/>
            <w:vAlign w:val="bottom"/>
          </w:tcPr>
          <w:p>
            <w:pPr>
              <w:ind w:left="400"/>
              <w:spacing w:after="0"/>
              <w:rPr>
                <w:sz w:val="20"/>
                <w:szCs w:val="20"/>
                <w:color w:val="auto"/>
              </w:rPr>
            </w:pPr>
            <w:r>
              <w:rPr>
                <w:rFonts w:ascii="Arial" w:cs="Arial" w:eastAsia="Arial" w:hAnsi="Arial"/>
                <w:sz w:val="15"/>
                <w:szCs w:val="15"/>
                <w:color w:val="auto"/>
              </w:rPr>
              <w:t>Vasaka</w:t>
            </w:r>
          </w:p>
        </w:tc>
        <w:tc>
          <w:tcPr>
            <w:tcW w:w="2400" w:type="dxa"/>
            <w:vAlign w:val="bottom"/>
          </w:tcPr>
          <w:p>
            <w:pPr>
              <w:ind w:left="420"/>
              <w:spacing w:after="0"/>
              <w:rPr>
                <w:sz w:val="20"/>
                <w:szCs w:val="20"/>
                <w:color w:val="auto"/>
              </w:rPr>
            </w:pPr>
            <w:r>
              <w:rPr>
                <w:rFonts w:ascii="Arial" w:cs="Arial" w:eastAsia="Arial" w:hAnsi="Arial"/>
                <w:sz w:val="15"/>
                <w:szCs w:val="15"/>
                <w:color w:val="auto"/>
              </w:rPr>
              <w:t>Adhatoda vasica</w:t>
            </w:r>
          </w:p>
        </w:tc>
        <w:tc>
          <w:tcPr>
            <w:tcW w:w="1700" w:type="dxa"/>
            <w:vAlign w:val="bottom"/>
          </w:tcPr>
          <w:p>
            <w:pPr>
              <w:ind w:left="520"/>
              <w:spacing w:after="0"/>
              <w:rPr>
                <w:sz w:val="20"/>
                <w:szCs w:val="20"/>
                <w:color w:val="auto"/>
              </w:rPr>
            </w:pPr>
            <w:r>
              <w:rPr>
                <w:rFonts w:ascii="Arial" w:cs="Arial" w:eastAsia="Arial" w:hAnsi="Arial"/>
                <w:sz w:val="15"/>
                <w:szCs w:val="15"/>
                <w:color w:val="auto"/>
              </w:rPr>
              <w:t>Leaf</w:t>
            </w:r>
          </w:p>
        </w:tc>
        <w:tc>
          <w:tcPr>
            <w:tcW w:w="2880" w:type="dxa"/>
            <w:vAlign w:val="bottom"/>
          </w:tcPr>
          <w:p>
            <w:pPr>
              <w:ind w:left="520"/>
              <w:spacing w:after="0"/>
              <w:rPr>
                <w:sz w:val="20"/>
                <w:szCs w:val="20"/>
                <w:color w:val="auto"/>
              </w:rPr>
            </w:pPr>
            <w:r>
              <w:rPr>
                <w:rFonts w:ascii="Arial" w:cs="Arial" w:eastAsia="Arial" w:hAnsi="Arial"/>
                <w:sz w:val="15"/>
                <w:szCs w:val="15"/>
                <w:color w:val="auto"/>
              </w:rPr>
              <w:t>0</w:t>
            </w:r>
          </w:p>
        </w:tc>
        <w:tc>
          <w:tcPr>
            <w:tcW w:w="20" w:type="dxa"/>
            <w:vAlign w:val="bottom"/>
          </w:tcPr>
          <w:p>
            <w:pPr>
              <w:spacing w:after="0"/>
              <w:rPr>
                <w:sz w:val="19"/>
                <w:szCs w:val="19"/>
                <w:color w:val="auto"/>
              </w:rPr>
            </w:pPr>
          </w:p>
        </w:tc>
      </w:tr>
      <w:tr>
        <w:trPr>
          <w:trHeight w:val="69"/>
        </w:trPr>
        <w:tc>
          <w:tcPr>
            <w:tcW w:w="860" w:type="dxa"/>
            <w:vAlign w:val="bottom"/>
            <w:tcBorders>
              <w:bottom w:val="single" w:sz="8" w:color="CCCCCC"/>
            </w:tcBorders>
          </w:tcPr>
          <w:p>
            <w:pPr>
              <w:spacing w:after="0"/>
              <w:rPr>
                <w:sz w:val="6"/>
                <w:szCs w:val="6"/>
                <w:color w:val="auto"/>
              </w:rPr>
            </w:pPr>
          </w:p>
        </w:tc>
        <w:tc>
          <w:tcPr>
            <w:tcW w:w="2240" w:type="dxa"/>
            <w:vAlign w:val="bottom"/>
            <w:tcBorders>
              <w:bottom w:val="single" w:sz="8" w:color="CCCCCC"/>
            </w:tcBorders>
          </w:tcPr>
          <w:p>
            <w:pPr>
              <w:spacing w:after="0"/>
              <w:rPr>
                <w:sz w:val="6"/>
                <w:szCs w:val="6"/>
                <w:color w:val="auto"/>
              </w:rPr>
            </w:pPr>
          </w:p>
        </w:tc>
        <w:tc>
          <w:tcPr>
            <w:tcW w:w="2400" w:type="dxa"/>
            <w:vAlign w:val="bottom"/>
            <w:tcBorders>
              <w:bottom w:val="single" w:sz="8" w:color="CCCCCC"/>
            </w:tcBorders>
          </w:tcPr>
          <w:p>
            <w:pPr>
              <w:spacing w:after="0"/>
              <w:rPr>
                <w:sz w:val="6"/>
                <w:szCs w:val="6"/>
                <w:color w:val="auto"/>
              </w:rPr>
            </w:pPr>
          </w:p>
        </w:tc>
        <w:tc>
          <w:tcPr>
            <w:tcW w:w="1700" w:type="dxa"/>
            <w:vAlign w:val="bottom"/>
            <w:tcBorders>
              <w:bottom w:val="single" w:sz="8" w:color="CCCCCC"/>
            </w:tcBorders>
          </w:tcPr>
          <w:p>
            <w:pPr>
              <w:spacing w:after="0"/>
              <w:rPr>
                <w:sz w:val="6"/>
                <w:szCs w:val="6"/>
                <w:color w:val="auto"/>
              </w:rPr>
            </w:pPr>
          </w:p>
        </w:tc>
        <w:tc>
          <w:tcPr>
            <w:tcW w:w="2880" w:type="dxa"/>
            <w:vAlign w:val="bottom"/>
            <w:tcBorders>
              <w:bottom w:val="single" w:sz="8" w:color="CCCCCC"/>
            </w:tcBorders>
          </w:tcPr>
          <w:p>
            <w:pPr>
              <w:spacing w:after="0"/>
              <w:rPr>
                <w:sz w:val="6"/>
                <w:szCs w:val="6"/>
                <w:color w:val="auto"/>
              </w:rPr>
            </w:pPr>
          </w:p>
        </w:tc>
        <w:tc>
          <w:tcPr>
            <w:tcW w:w="20" w:type="dxa"/>
            <w:vAlign w:val="bottom"/>
            <w:tcBorders>
              <w:bottom w:val="single" w:sz="8" w:color="CCCCCC"/>
            </w:tcBorders>
          </w:tcPr>
          <w:p>
            <w:pPr>
              <w:spacing w:after="0"/>
              <w:rPr>
                <w:sz w:val="6"/>
                <w:szCs w:val="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-25400</wp:posOffset>
                </wp:positionV>
                <wp:extent cx="0" cy="2540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CCCCCC"/>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pt" to="0.45pt,0pt" o:allowincell="f" strokecolor="#CCCCCC" strokeweight="1pt"/>
            </w:pict>
          </mc:Fallback>
        </mc:AlternateContent>
        <mc:AlternateContent>
          <mc:Choice Requires="wps">
            <w:drawing>
              <wp:anchor simplePos="0" relativeHeight="251657728" behindDoc="1" locked="0" layoutInCell="0" allowOverlap="1">
                <wp:simplePos x="0" y="0"/>
                <wp:positionH relativeFrom="column">
                  <wp:posOffset>6406515</wp:posOffset>
                </wp:positionH>
                <wp:positionV relativeFrom="paragraph">
                  <wp:posOffset>-25400</wp:posOffset>
                </wp:positionV>
                <wp:extent cx="0" cy="2540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CCCCCC"/>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45pt,-2pt" to="504.45pt,0pt" o:allowincell="f" strokecolor="#CCCCCC" strokeweight="1pt"/>
            </w:pict>
          </mc:Fallback>
        </mc:AlternateContent>
        <w:drawing>
          <wp:anchor simplePos="0" relativeHeight="251657728" behindDoc="1" locked="0" layoutInCell="0" allowOverlap="1">
            <wp:simplePos x="0" y="0"/>
            <wp:positionH relativeFrom="column">
              <wp:posOffset>12065</wp:posOffset>
            </wp:positionH>
            <wp:positionV relativeFrom="paragraph">
              <wp:posOffset>563880</wp:posOffset>
            </wp:positionV>
            <wp:extent cx="3070860" cy="324358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extLst>
                    </a:blip>
                    <a:srcRect/>
                    <a:stretch>
                      <a:fillRect/>
                    </a:stretch>
                  </pic:blipFill>
                  <pic:spPr bwMode="auto">
                    <a:xfrm>
                      <a:off x="0" y="0"/>
                      <a:ext cx="3070860" cy="3243580"/>
                    </a:xfrm>
                    <a:prstGeom prst="rect">
                      <a:avLst/>
                    </a:prstGeom>
                    <a:noFill/>
                  </pic:spPr>
                </pic:pic>
              </a:graphicData>
            </a:graphic>
          </wp:anchor>
        </w:drawing>
      </w:r>
    </w:p>
    <w:p>
      <w:pPr>
        <w:sectPr>
          <w:pgSz w:w="11900" w:h="15647" w:orient="portrait"/>
          <w:cols w:equalWidth="0" w:num="1">
            <w:col w:w="10100"/>
          </w:cols>
          <w:pgMar w:left="920" w:top="415" w:right="886" w:bottom="50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right="40"/>
        <w:spacing w:after="0" w:line="272" w:lineRule="auto"/>
        <w:rPr>
          <w:rFonts w:ascii="Arial" w:cs="Arial" w:eastAsia="Arial" w:hAnsi="Arial"/>
          <w:sz w:val="16"/>
          <w:szCs w:val="16"/>
          <w:color w:val="auto"/>
        </w:rPr>
      </w:pPr>
      <w:r>
        <w:rPr>
          <w:rFonts w:ascii="Arial" w:cs="Arial" w:eastAsia="Arial" w:hAnsi="Arial"/>
          <w:sz w:val="16"/>
          <w:szCs w:val="16"/>
          <w:color w:val="auto"/>
        </w:rPr>
        <w:t xml:space="preserve">F I G U R E 3 Determination of inhibitory concentration of plant extracts. The inhibition of percentage enzyme activity in the presence of varying concentrations (0–450 </w:t>
      </w:r>
      <w:r>
        <w:rPr>
          <w:rFonts w:ascii="Arial" w:cs="Arial" w:eastAsia="Arial" w:hAnsi="Arial"/>
          <w:sz w:val="16"/>
          <w:szCs w:val="16"/>
          <w:color w:val="auto"/>
        </w:rPr>
        <w:t>μ</w:t>
      </w:r>
      <w:r>
        <w:rPr>
          <w:rFonts w:ascii="Arial" w:cs="Arial" w:eastAsia="Arial" w:hAnsi="Arial"/>
          <w:sz w:val="16"/>
          <w:szCs w:val="16"/>
          <w:color w:val="auto"/>
        </w:rPr>
        <w:t>g/ml) of plant extracts are shown. The value at which the 50% enzyme activity-reduction observed is taken as IC</w:t>
      </w:r>
      <w:r>
        <w:rPr>
          <w:rFonts w:ascii="Arial" w:cs="Arial" w:eastAsia="Arial" w:hAnsi="Arial"/>
          <w:sz w:val="21"/>
          <w:szCs w:val="21"/>
          <w:color w:val="auto"/>
          <w:vertAlign w:val="subscript"/>
        </w:rPr>
        <w:t>50</w:t>
      </w:r>
      <w:r>
        <w:rPr>
          <w:rFonts w:ascii="Arial" w:cs="Arial" w:eastAsia="Arial" w:hAnsi="Arial"/>
          <w:sz w:val="16"/>
          <w:szCs w:val="16"/>
          <w:color w:val="auto"/>
        </w:rPr>
        <w:t xml:space="preserve"> of individual extracts. All the experiments were performed in triplicates. Error bars represent SEM [Colour figure can be viewed at </w:t>
      </w:r>
      <w:hyperlink r:id="rId25">
        <w:r>
          <w:rPr>
            <w:rFonts w:ascii="Arial" w:cs="Arial" w:eastAsia="Arial" w:hAnsi="Arial"/>
            <w:sz w:val="16"/>
            <w:szCs w:val="16"/>
            <w:color w:val="auto"/>
          </w:rPr>
          <w:t>wileyonlinelibrary.com]</w:t>
        </w:r>
      </w:hyperlink>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both"/>
        <w:spacing w:after="0" w:line="334" w:lineRule="auto"/>
        <w:rPr>
          <w:sz w:val="20"/>
          <w:szCs w:val="20"/>
          <w:color w:val="auto"/>
        </w:rPr>
      </w:pPr>
      <w:r>
        <w:rPr>
          <w:rFonts w:ascii="Arial" w:cs="Arial" w:eastAsia="Arial" w:hAnsi="Arial"/>
          <w:sz w:val="16"/>
          <w:szCs w:val="16"/>
          <w:color w:val="auto"/>
        </w:rPr>
        <w:t>perturbation. The fluorescence quenching was observed as depicted by the decrease in the intensity of the fluorescence spectra (Figure 4).</w:t>
      </w:r>
    </w:p>
    <w:p>
      <w:pPr>
        <w:spacing w:after="0" w:line="200" w:lineRule="exact"/>
        <w:rPr>
          <w:sz w:val="20"/>
          <w:szCs w:val="20"/>
          <w:color w:val="auto"/>
        </w:rPr>
      </w:pPr>
    </w:p>
    <w:p>
      <w:pPr>
        <w:spacing w:after="0" w:line="292" w:lineRule="exact"/>
        <w:rPr>
          <w:sz w:val="20"/>
          <w:szCs w:val="20"/>
          <w:color w:val="auto"/>
        </w:rPr>
      </w:pPr>
    </w:p>
    <w:p>
      <w:pPr>
        <w:ind w:right="500"/>
        <w:spacing w:after="0" w:line="265" w:lineRule="auto"/>
        <w:rPr>
          <w:sz w:val="20"/>
          <w:szCs w:val="20"/>
          <w:color w:val="auto"/>
        </w:rPr>
      </w:pPr>
      <w:r>
        <w:rPr>
          <w:rFonts w:ascii="Arial" w:cs="Arial" w:eastAsia="Arial" w:hAnsi="Arial"/>
          <w:sz w:val="20"/>
          <w:szCs w:val="20"/>
          <w:color w:val="auto"/>
        </w:rPr>
        <w:t>4.3 | Comparative protease inhibition activity of Green Tea, Black Tea, and Haritaki</w:t>
      </w:r>
    </w:p>
    <w:p>
      <w:pPr>
        <w:spacing w:after="0" w:line="291" w:lineRule="exact"/>
        <w:rPr>
          <w:sz w:val="20"/>
          <w:szCs w:val="20"/>
          <w:color w:val="auto"/>
        </w:rPr>
      </w:pPr>
    </w:p>
    <w:p>
      <w:pPr>
        <w:jc w:val="both"/>
        <w:spacing w:after="0" w:line="324" w:lineRule="auto"/>
        <w:rPr>
          <w:sz w:val="20"/>
          <w:szCs w:val="20"/>
          <w:color w:val="auto"/>
        </w:rPr>
      </w:pPr>
      <w:r>
        <w:rPr>
          <w:rFonts w:ascii="Arial" w:cs="Arial" w:eastAsia="Arial" w:hAnsi="Arial"/>
          <w:sz w:val="15"/>
          <w:szCs w:val="15"/>
          <w:color w:val="auto"/>
        </w:rPr>
        <w:t>The comparison in the 3CL</w:t>
      </w:r>
      <w:r>
        <w:rPr>
          <w:rFonts w:ascii="Arial" w:cs="Arial" w:eastAsia="Arial" w:hAnsi="Arial"/>
          <w:sz w:val="20"/>
          <w:szCs w:val="20"/>
          <w:color w:val="auto"/>
          <w:vertAlign w:val="superscript"/>
        </w:rPr>
        <w:t>pro</w:t>
      </w:r>
      <w:r>
        <w:rPr>
          <w:rFonts w:ascii="Arial" w:cs="Arial" w:eastAsia="Arial" w:hAnsi="Arial"/>
          <w:sz w:val="15"/>
          <w:szCs w:val="15"/>
          <w:color w:val="auto"/>
        </w:rPr>
        <w:t xml:space="preserve"> protease inhibition efficacies of Green Tea, Black Tea, and Haritaki were studied. Both Tea (Green Tea and Black tea) and Haritaki displayed comparable inhibition to protease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both"/>
        <w:ind w:left="5"/>
        <w:spacing w:after="0" w:line="335" w:lineRule="auto"/>
        <w:rPr>
          <w:sz w:val="20"/>
          <w:szCs w:val="20"/>
          <w:color w:val="auto"/>
        </w:rPr>
      </w:pPr>
      <w:r>
        <w:rPr>
          <w:rFonts w:ascii="Arial" w:cs="Arial" w:eastAsia="Arial" w:hAnsi="Arial"/>
          <w:sz w:val="16"/>
          <w:szCs w:val="16"/>
          <w:color w:val="auto"/>
        </w:rPr>
        <w:t xml:space="preserve">activity; 50% inhibition at 10 </w:t>
      </w:r>
      <w:r>
        <w:rPr>
          <w:rFonts w:ascii="Arial" w:cs="Arial" w:eastAsia="Arial" w:hAnsi="Arial"/>
          <w:sz w:val="16"/>
          <w:szCs w:val="16"/>
          <w:color w:val="auto"/>
        </w:rPr>
        <w:t>μ</w:t>
      </w:r>
      <w:r>
        <w:rPr>
          <w:rFonts w:ascii="Arial" w:cs="Arial" w:eastAsia="Arial" w:hAnsi="Arial"/>
          <w:sz w:val="16"/>
          <w:szCs w:val="16"/>
          <w:color w:val="auto"/>
        </w:rPr>
        <w:t xml:space="preserve">g/ml and more than 90% inhibition beyond 40 </w:t>
      </w:r>
      <w:r>
        <w:rPr>
          <w:rFonts w:ascii="Arial" w:cs="Arial" w:eastAsia="Arial" w:hAnsi="Arial"/>
          <w:sz w:val="16"/>
          <w:szCs w:val="16"/>
          <w:color w:val="auto"/>
        </w:rPr>
        <w:t>μ</w:t>
      </w:r>
      <w:r>
        <w:rPr>
          <w:rFonts w:ascii="Arial" w:cs="Arial" w:eastAsia="Arial" w:hAnsi="Arial"/>
          <w:sz w:val="16"/>
          <w:szCs w:val="16"/>
          <w:color w:val="auto"/>
        </w:rPr>
        <w:t>g/ml. The results suggest that either form of Tea and Haritaki can be a potential anti-viral agent against the SARS-CoV-2 (Figure 5).</w:t>
      </w:r>
    </w:p>
    <w:p>
      <w:pPr>
        <w:spacing w:after="0" w:line="200" w:lineRule="exact"/>
        <w:rPr>
          <w:sz w:val="20"/>
          <w:szCs w:val="20"/>
          <w:color w:val="auto"/>
        </w:rPr>
      </w:pPr>
    </w:p>
    <w:p>
      <w:pPr>
        <w:spacing w:after="0" w:line="293" w:lineRule="exact"/>
        <w:rPr>
          <w:sz w:val="20"/>
          <w:szCs w:val="20"/>
          <w:color w:val="auto"/>
        </w:rPr>
      </w:pPr>
    </w:p>
    <w:p>
      <w:pPr>
        <w:ind w:left="5" w:right="600"/>
        <w:spacing w:after="0" w:line="266" w:lineRule="auto"/>
        <w:rPr>
          <w:sz w:val="20"/>
          <w:szCs w:val="20"/>
          <w:color w:val="auto"/>
        </w:rPr>
      </w:pPr>
      <w:r>
        <w:rPr>
          <w:rFonts w:ascii="Arial" w:cs="Arial" w:eastAsia="Arial" w:hAnsi="Arial"/>
          <w:sz w:val="20"/>
          <w:szCs w:val="20"/>
          <w:color w:val="auto"/>
        </w:rPr>
        <w:t>4.4 | Deciphering molecular insights through an in-silico approach</w:t>
      </w:r>
    </w:p>
    <w:p>
      <w:pPr>
        <w:spacing w:after="0" w:line="303" w:lineRule="exact"/>
        <w:rPr>
          <w:sz w:val="20"/>
          <w:szCs w:val="20"/>
          <w:color w:val="auto"/>
        </w:rPr>
      </w:pPr>
    </w:p>
    <w:p>
      <w:pPr>
        <w:ind w:left="5"/>
        <w:spacing w:after="0"/>
        <w:rPr>
          <w:sz w:val="20"/>
          <w:szCs w:val="20"/>
          <w:color w:val="auto"/>
        </w:rPr>
      </w:pPr>
      <w:r>
        <w:rPr>
          <w:rFonts w:ascii="Arial" w:cs="Arial" w:eastAsia="Arial" w:hAnsi="Arial"/>
          <w:sz w:val="16"/>
          <w:szCs w:val="16"/>
          <w:color w:val="auto"/>
        </w:rPr>
        <w:t>The key residues of the active site are histidine 41 and cysteine</w:t>
      </w:r>
    </w:p>
    <w:p>
      <w:pPr>
        <w:spacing w:after="0" w:line="85" w:lineRule="exact"/>
        <w:rPr>
          <w:sz w:val="20"/>
          <w:szCs w:val="20"/>
          <w:color w:val="auto"/>
        </w:rPr>
      </w:pPr>
    </w:p>
    <w:p>
      <w:pPr>
        <w:jc w:val="both"/>
        <w:ind w:left="5" w:hanging="5"/>
        <w:spacing w:after="0" w:line="340" w:lineRule="auto"/>
        <w:tabs>
          <w:tab w:leader="none" w:pos="443" w:val="left"/>
        </w:tabs>
        <w:numPr>
          <w:ilvl w:val="0"/>
          <w:numId w:val="1"/>
        </w:numPr>
        <w:rPr>
          <w:rFonts w:ascii="Arial" w:cs="Arial" w:eastAsia="Arial" w:hAnsi="Arial"/>
          <w:sz w:val="16"/>
          <w:szCs w:val="16"/>
          <w:color w:val="auto"/>
        </w:rPr>
      </w:pPr>
      <w:r>
        <w:rPr>
          <w:rFonts w:ascii="Arial" w:cs="Arial" w:eastAsia="Arial" w:hAnsi="Arial"/>
          <w:sz w:val="16"/>
          <w:szCs w:val="16"/>
          <w:color w:val="auto"/>
        </w:rPr>
        <w:t>The active site-specific docking revealed the binding of thearubigin, a compound present in Tea. The binding energy of the molecule was found to be −8.53 kcal/mol. It displayed direct inter-action with the cysteine 145 of the active site. Another molecule, quercetin-3-O-rutinoside present in Tea, shown to form extensive hydrogen bonding with the residues of the active site pocket. The amino acid residues involved in the bi-molecular interactions include leucine 141, asparagine 142, glycine 143, and glutamine 166. The docking energy for this interaction was found to be −7.73 kcal/mol. Within the range of 4 Å, the hesperidin displayed hydrophobic inter-action with methionine 165 and glutamine 189 and hydrogen bond-ing with asparagine 142 and glycine 146. The binding for this interaction was −7.46 kcal/mol.</w:t>
      </w:r>
    </w:p>
    <w:p>
      <w:pPr>
        <w:spacing w:after="0" w:line="200" w:lineRule="exact"/>
        <w:rPr>
          <w:sz w:val="20"/>
          <w:szCs w:val="20"/>
          <w:color w:val="auto"/>
        </w:rPr>
      </w:pPr>
    </w:p>
    <w:p>
      <w:pPr>
        <w:spacing w:after="0" w:line="261" w:lineRule="exact"/>
        <w:rPr>
          <w:sz w:val="20"/>
          <w:szCs w:val="20"/>
          <w:color w:val="auto"/>
        </w:rPr>
      </w:pPr>
    </w:p>
    <w:p>
      <w:pPr>
        <w:ind w:left="5"/>
        <w:spacing w:after="0"/>
        <w:tabs>
          <w:tab w:leader="none" w:pos="325" w:val="left"/>
          <w:tab w:leader="none" w:pos="605" w:val="left"/>
        </w:tabs>
        <w:rPr>
          <w:sz w:val="20"/>
          <w:szCs w:val="20"/>
          <w:color w:val="auto"/>
        </w:rPr>
      </w:pPr>
      <w:r>
        <w:rPr>
          <w:rFonts w:ascii="Arial" w:cs="Arial" w:eastAsia="Arial" w:hAnsi="Arial"/>
          <w:sz w:val="20"/>
          <w:szCs w:val="20"/>
          <w:color w:val="auto"/>
        </w:rPr>
        <w:t>5</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DISCUSSION</w:t>
      </w:r>
    </w:p>
    <w:p>
      <w:pPr>
        <w:spacing w:after="0" w:line="337" w:lineRule="exact"/>
        <w:rPr>
          <w:sz w:val="20"/>
          <w:szCs w:val="20"/>
          <w:color w:val="auto"/>
        </w:rPr>
      </w:pPr>
    </w:p>
    <w:p>
      <w:pPr>
        <w:jc w:val="both"/>
        <w:ind w:left="5"/>
        <w:spacing w:after="0" w:line="356" w:lineRule="auto"/>
        <w:rPr>
          <w:sz w:val="20"/>
          <w:szCs w:val="20"/>
          <w:color w:val="auto"/>
        </w:rPr>
      </w:pPr>
      <w:r>
        <w:rPr>
          <w:rFonts w:ascii="Arial" w:cs="Arial" w:eastAsia="Arial" w:hAnsi="Arial"/>
          <w:sz w:val="15"/>
          <w:szCs w:val="15"/>
          <w:color w:val="auto"/>
        </w:rPr>
        <w:t>The COVID-19 disease has garnered immediate attention from scien-tists and medical experts worldwide. The hunt for an effective therapy and potential intervention against SARS-CoV-2 has become a primary goal. In this context, we report medicinal plant extracts from Tea (Green Tea and Black Tea) and Haritaki as potential therapeutic options for the management of infection. The Ab-Initio drug discovery programs require huge capital investment and some undesirous events like immunogenicity, toxicity, and efficacy remain a matter of concern in the clinical trials (Corsello et al., 2017). We harnessed prin-ciple of medicinal plants to tackle the challenge of COVID-19. The present study screened 51 plants having anti-viral potential against the main protease of SARS-CoV- 2. The study reveals the inhibitory potential of Tea and Haritaki against 3CL</w:t>
      </w:r>
      <w:r>
        <w:rPr>
          <w:rFonts w:ascii="Arial" w:cs="Arial" w:eastAsia="Arial" w:hAnsi="Arial"/>
          <w:sz w:val="20"/>
          <w:szCs w:val="20"/>
          <w:color w:val="auto"/>
          <w:vertAlign w:val="superscript"/>
        </w:rPr>
        <w:t>pro</w:t>
      </w:r>
      <w:r>
        <w:rPr>
          <w:rFonts w:ascii="Arial" w:cs="Arial" w:eastAsia="Arial" w:hAnsi="Arial"/>
          <w:sz w:val="15"/>
          <w:szCs w:val="15"/>
          <w:color w:val="auto"/>
        </w:rPr>
        <w:t>; a crucial enzymatic</w:t>
      </w:r>
    </w:p>
    <w:p>
      <w:pPr>
        <w:sectPr>
          <w:pgSz w:w="11900" w:h="15647" w:orient="portrait"/>
          <w:cols w:equalWidth="0" w:num="2">
            <w:col w:w="4860" w:space="375"/>
            <w:col w:w="4865"/>
          </w:cols>
          <w:pgMar w:left="920" w:top="415" w:right="886" w:bottom="500" w:gutter="0" w:footer="0" w:header="0"/>
          <w:type w:val="continuous"/>
        </w:sectPr>
      </w:pPr>
    </w:p>
    <w:bookmarkStart w:id="6" w:name="page7"/>
    <w:bookmarkEnd w:id="6"/>
    <w:p>
      <w:pPr>
        <w:ind w:left="4"/>
        <w:spacing w:after="0"/>
        <w:rPr>
          <w:sz w:val="20"/>
          <w:szCs w:val="20"/>
          <w:color w:val="auto"/>
        </w:rPr>
      </w:pPr>
      <w:r>
        <w:rPr>
          <w:rFonts w:ascii="Arial" w:cs="Arial" w:eastAsia="Arial" w:hAnsi="Arial"/>
          <w:sz w:val="14"/>
          <w:szCs w:val="14"/>
          <w:color w:val="auto"/>
        </w:rPr>
        <w:t xml:space="preserve">UPADHYAY </w:t>
      </w:r>
      <w:r>
        <w:rPr>
          <w:rFonts w:ascii="Arial" w:cs="Arial" w:eastAsia="Arial" w:hAnsi="Arial"/>
          <w:sz w:val="11"/>
          <w:szCs w:val="11"/>
          <w:color w:val="auto"/>
        </w:rPr>
        <w:t>ET AL</w:t>
      </w:r>
      <w:r>
        <w:rPr>
          <w:rFonts w:ascii="Arial" w:cs="Arial" w:eastAsia="Arial" w:hAnsi="Arial"/>
          <w:sz w:val="14"/>
          <w:szCs w:val="14"/>
          <w:color w:val="auto"/>
        </w:rPr>
        <w:t xml:space="preserve">.                                                                                                 </w:t>
      </w:r>
      <w:r>
        <w:rPr>
          <w:sz w:val="1"/>
          <w:szCs w:val="1"/>
          <w:color w:val="auto"/>
        </w:rPr>
        <w:drawing>
          <wp:inline distT="0" distB="0" distL="0" distR="0">
            <wp:extent cx="687705" cy="1435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drawing>
          <wp:inline distT="0" distB="0" distL="0" distR="0">
            <wp:extent cx="19050" cy="1708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-27940</wp:posOffset>
                </wp:positionV>
                <wp:extent cx="531812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812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99pt" to="418.7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6005830</wp:posOffset>
                </wp:positionH>
                <wp:positionV relativeFrom="paragraph">
                  <wp:posOffset>-27940</wp:posOffset>
                </wp:positionV>
                <wp:extent cx="40068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068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2.9pt,-2.1999pt" to="504.4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-27940</wp:posOffset>
                </wp:positionV>
                <wp:extent cx="1206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1999pt" to="0.45pt,-2.1999pt" o:allowincell="f" strokecolor="#000000" strokeweight="0.4535pt"/>
            </w:pict>
          </mc:Fallback>
        </mc:AlternateContent>
      </w:r>
    </w:p>
    <w:p>
      <w:pPr>
        <w:sectPr>
          <w:pgSz w:w="11900" w:h="15647" w:orient="portrait"/>
          <w:cols w:equalWidth="0" w:num="1">
            <w:col w:w="10084"/>
          </w:cols>
          <w:pgMar w:left="896" w:top="415" w:right="926" w:bottom="559" w:gutter="0" w:footer="0" w:header="0"/>
        </w:sectPr>
      </w:pPr>
    </w:p>
    <w:p>
      <w:pPr>
        <w:spacing w:after="0" w:line="300" w:lineRule="exact"/>
        <w:rPr>
          <w:sz w:val="20"/>
          <w:szCs w:val="20"/>
          <w:color w:val="auto"/>
        </w:rPr>
      </w:pPr>
    </w:p>
    <w:p>
      <w:pPr>
        <w:ind w:left="4" w:right="2580"/>
        <w:spacing w:after="0" w:line="279" w:lineRule="auto"/>
        <w:rPr>
          <w:sz w:val="20"/>
          <w:szCs w:val="20"/>
          <w:color w:val="auto"/>
        </w:rPr>
      </w:pPr>
      <w:r>
        <w:rPr>
          <w:rFonts w:ascii="Arial" w:cs="Arial" w:eastAsia="Arial" w:hAnsi="Arial"/>
          <w:sz w:val="16"/>
          <w:szCs w:val="16"/>
          <w:color w:val="auto"/>
        </w:rPr>
        <w:t>F I G U R E 4 Estimation of tertiary structure perturbation in the presence of plant extracts.</w:t>
      </w:r>
    </w:p>
    <w:p>
      <w:pPr>
        <w:spacing w:after="0" w:line="2" w:lineRule="exact"/>
        <w:rPr>
          <w:sz w:val="20"/>
          <w:szCs w:val="20"/>
          <w:color w:val="auto"/>
        </w:rPr>
      </w:pPr>
    </w:p>
    <w:p>
      <w:pPr>
        <w:ind w:left="4" w:right="2600" w:hanging="4"/>
        <w:spacing w:after="0" w:line="255" w:lineRule="auto"/>
        <w:tabs>
          <w:tab w:leader="none" w:pos="235" w:val="left"/>
        </w:tabs>
        <w:numPr>
          <w:ilvl w:val="0"/>
          <w:numId w:val="2"/>
        </w:numPr>
        <w:rPr>
          <w:rFonts w:ascii="Arial" w:cs="Arial" w:eastAsia="Arial" w:hAnsi="Arial"/>
          <w:sz w:val="16"/>
          <w:szCs w:val="16"/>
          <w:color w:val="auto"/>
        </w:rPr>
      </w:pPr>
      <w:r>
        <w:rPr>
          <w:rFonts w:ascii="Arial" w:cs="Arial" w:eastAsia="Arial" w:hAnsi="Arial"/>
          <w:sz w:val="16"/>
          <w:szCs w:val="16"/>
          <w:color w:val="auto"/>
        </w:rPr>
        <w:t>Titration of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with varying concentrations of Green Tea (Camellia sinensis).</w:t>
      </w:r>
    </w:p>
    <w:p>
      <w:pPr>
        <w:spacing w:after="0" w:line="12" w:lineRule="exact"/>
        <w:rPr>
          <w:rFonts w:ascii="Arial" w:cs="Arial" w:eastAsia="Arial" w:hAnsi="Arial"/>
          <w:sz w:val="16"/>
          <w:szCs w:val="16"/>
          <w:color w:val="auto"/>
        </w:rPr>
      </w:pPr>
    </w:p>
    <w:p>
      <w:pPr>
        <w:ind w:left="4" w:right="2660" w:hanging="4"/>
        <w:spacing w:after="0" w:line="270" w:lineRule="auto"/>
        <w:tabs>
          <w:tab w:leader="none" w:pos="232" w:val="left"/>
        </w:tabs>
        <w:numPr>
          <w:ilvl w:val="0"/>
          <w:numId w:val="2"/>
        </w:numPr>
        <w:rPr>
          <w:rFonts w:ascii="Arial" w:cs="Arial" w:eastAsia="Arial" w:hAnsi="Arial"/>
          <w:sz w:val="16"/>
          <w:szCs w:val="16"/>
          <w:color w:val="auto"/>
        </w:rPr>
      </w:pPr>
      <w:r>
        <w:rPr>
          <w:rFonts w:ascii="Arial" w:cs="Arial" w:eastAsia="Arial" w:hAnsi="Arial"/>
          <w:sz w:val="16"/>
          <w:szCs w:val="16"/>
          <w:color w:val="auto"/>
        </w:rPr>
        <w:t>Titration of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with varying concentrations of Haritaki (Terminalia chebula) [Colour figure can be viewed at </w:t>
      </w:r>
      <w:hyperlink r:id="rId25">
        <w:r>
          <w:rPr>
            <w:rFonts w:ascii="Arial" w:cs="Arial" w:eastAsia="Arial" w:hAnsi="Arial"/>
            <w:sz w:val="16"/>
            <w:szCs w:val="16"/>
            <w:color w:val="auto"/>
          </w:rPr>
          <w:t>wileyonlinelibrary.com]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2109470</wp:posOffset>
            </wp:positionV>
            <wp:extent cx="3070860" cy="392303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extLst>
                    </a:blip>
                    <a:srcRect/>
                    <a:stretch>
                      <a:fillRect/>
                    </a:stretch>
                  </pic:blipFill>
                  <pic:spPr bwMode="auto">
                    <a:xfrm>
                      <a:off x="0" y="0"/>
                      <a:ext cx="3070860" cy="39230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4"/>
        <w:spacing w:after="0" w:line="269" w:lineRule="auto"/>
        <w:rPr>
          <w:rFonts w:ascii="Arial" w:cs="Arial" w:eastAsia="Arial" w:hAnsi="Arial"/>
          <w:sz w:val="16"/>
          <w:szCs w:val="16"/>
          <w:color w:val="auto"/>
        </w:rPr>
      </w:pPr>
      <w:r>
        <w:rPr>
          <w:rFonts w:ascii="Arial" w:cs="Arial" w:eastAsia="Arial" w:hAnsi="Arial"/>
          <w:sz w:val="16"/>
          <w:szCs w:val="16"/>
          <w:color w:val="auto"/>
        </w:rPr>
        <w:t>F I G U R E 5 The comparison of inhibitory potential between Green Tea, Black Tea, and Haritaki towards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activity inhibition. The graph represents the activity inhibition by Green Tea, Black Tea, and Haritaki. All the experiments were performed in triplicates and error bars represent SEM [Colour figure can be viewed at </w:t>
      </w:r>
      <w:hyperlink r:id="rId25">
        <w:r>
          <w:rPr>
            <w:rFonts w:ascii="Arial" w:cs="Arial" w:eastAsia="Arial" w:hAnsi="Arial"/>
            <w:sz w:val="16"/>
            <w:szCs w:val="16"/>
            <w:color w:val="auto"/>
          </w:rPr>
          <w:t>wileyonlinelibrary.com]</w:t>
        </w:r>
      </w:hyperlink>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338" w:lineRule="auto"/>
        <w:rPr>
          <w:sz w:val="20"/>
          <w:szCs w:val="20"/>
          <w:color w:val="auto"/>
        </w:rPr>
      </w:pPr>
      <w:r>
        <w:rPr>
          <w:rFonts w:ascii="Arial" w:cs="Arial" w:eastAsia="Arial" w:hAnsi="Arial"/>
          <w:sz w:val="16"/>
          <w:szCs w:val="16"/>
          <w:color w:val="auto"/>
        </w:rPr>
        <w:t>protein of SARS-CoV-2 (Anand et al., 2003). The halt in this enzymatic activity can potentially block the replication of the virus inside the cells and may confer a protective effect in COVID-19. The infection of the SARS-CoV-2 produces a wave of inflammatory mediators and manifests severe oxidative damage (Varga et al., 2020). The inflamma-tory and oxidative damage to the cells conferred by the virus can be countered by the anti-inflammatory and anti-oxidative properties of these plants (Cabrera et al., 2006; Chan, Lim, &amp; Chew, 2007; Karamese et al., 2015; Lee et al., 2018). Also, as these plants are rou-tinely used for treatment in different kinds of diseases and disorders, the risks of cytotoxic effects are also relatively low (Cheng et al., 2002; Karamese et al., 2015). The anti-viral properties of Tea have been demonstrated against the influenza virus, zika virus, hepatitis-B virus, and SARS virus (Carneiro et al., 2016; Mahmood et al., 2016).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-1608455</wp:posOffset>
            </wp:positionH>
            <wp:positionV relativeFrom="paragraph">
              <wp:posOffset>-6097270</wp:posOffset>
            </wp:positionV>
            <wp:extent cx="4692015" cy="299593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extLst>
                    </a:blip>
                    <a:srcRect/>
                    <a:stretch>
                      <a:fillRect/>
                    </a:stretch>
                  </pic:blipFill>
                  <pic:spPr bwMode="auto">
                    <a:xfrm>
                      <a:off x="0" y="0"/>
                      <a:ext cx="4692015" cy="2995930"/>
                    </a:xfrm>
                    <a:prstGeom prst="rect">
                      <a:avLst/>
                    </a:prstGeom>
                    <a:noFill/>
                  </pic:spPr>
                </pic:pic>
              </a:graphicData>
            </a:graphic>
          </wp:anchor>
        </w:drawing>
      </w:r>
    </w:p>
    <w:p>
      <w:pPr>
        <w:jc w:val="both"/>
        <w:ind w:firstLine="299"/>
        <w:spacing w:after="0" w:line="317" w:lineRule="auto"/>
        <w:rPr>
          <w:sz w:val="20"/>
          <w:szCs w:val="20"/>
          <w:color w:val="auto"/>
        </w:rPr>
      </w:pPr>
      <w:r>
        <w:rPr>
          <w:rFonts w:ascii="Arial" w:cs="Arial" w:eastAsia="Arial" w:hAnsi="Arial"/>
          <w:sz w:val="16"/>
          <w:szCs w:val="16"/>
          <w:color w:val="auto"/>
        </w:rPr>
        <w:t>We found that components present in the aqueous extract of Tea and Haritaki inhibited the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of SARS-CoV-2 (Figure 3). However, the anti-viral effect of these extracts and bioactive constit-uents needs to be validated in the in-vivo studies. The activity data (Figure 5) suggests that both Tea and Haritaki might be good source for the design of potential inhibitors for the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of SARS-CoV-2. We have tried to investigate the potential and probable molecules that are abundantly present in Tea. Among the virtually screened molecules, thearubigin, quercetin-3-O-rutinoside, and hesperidin dis-played interaction with the active site of the protease (Figure 6). To our best, this is the first in-vitro reporting and validation of the prote-ase inhibition by Green Tea, Black Tea, and Haritaki extracts against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of SARS-CoV-2. These findings lays the foundation for further analysis of active molecules and their validation in higher validation systems.</w:t>
      </w:r>
    </w:p>
    <w:p>
      <w:pPr>
        <w:sectPr>
          <w:pgSz w:w="11900" w:h="15647" w:orient="portrait"/>
          <w:cols w:equalWidth="0" w:num="2">
            <w:col w:w="4824" w:space="400"/>
            <w:col w:w="4860"/>
          </w:cols>
          <w:pgMar w:left="896" w:top="415" w:right="926" w:bottom="559" w:gutter="0" w:footer="0" w:header="0"/>
          <w:type w:val="continuous"/>
        </w:sectPr>
      </w:pPr>
    </w:p>
    <w:bookmarkStart w:id="7" w:name="page8"/>
    <w:bookmarkEnd w:id="7"/>
    <w:tbl>
      <w:tblPr>
        <w:tblLayout w:type="fixed"/>
        <w:tblInd w:w="0" w:type="dxa"/>
        <w:tblCellMar>
          <w:top w:w="0" w:type="dxa"/>
          <w:left w:w="0" w:type="dxa"/>
          <w:bottom w:w="0" w:type="dxa"/>
          <w:right w:w="0" w:type="dxa"/>
        </w:tblCellMar>
      </w:tblPr>
      <w:tr>
        <w:trPr>
          <w:trHeight w:val="83"/>
        </w:trPr>
        <w:tc>
          <w:tcPr>
            <w:tcW w:w="480" w:type="dxa"/>
            <w:vAlign w:val="bottom"/>
            <w:tcBorders>
              <w:right w:val="single" w:sz="8" w:color="auto"/>
            </w:tcBorders>
            <w:vMerge w:val="restart"/>
          </w:tcPr>
          <w:p>
            <w:pPr>
              <w:jc w:val="right"/>
              <w:ind w:right="330"/>
              <w:spacing w:after="0"/>
              <w:rPr>
                <w:sz w:val="20"/>
                <w:szCs w:val="20"/>
                <w:color w:val="auto"/>
              </w:rPr>
            </w:pPr>
            <w:r>
              <w:rPr>
                <w:rFonts w:ascii="Arial" w:cs="Arial" w:eastAsia="Arial" w:hAnsi="Arial"/>
                <w:sz w:val="14"/>
                <w:szCs w:val="14"/>
                <w:color w:val="auto"/>
                <w:w w:val="76"/>
              </w:rPr>
              <w:t>8</w:t>
            </w:r>
          </w:p>
        </w:tc>
        <w:tc>
          <w:tcPr>
            <w:tcW w:w="140" w:type="dxa"/>
            <w:vAlign w:val="bottom"/>
          </w:tcPr>
          <w:p>
            <w:pPr>
              <w:spacing w:after="0"/>
              <w:rPr>
                <w:sz w:val="7"/>
                <w:szCs w:val="7"/>
                <w:color w:val="auto"/>
              </w:rPr>
            </w:pPr>
          </w:p>
        </w:tc>
        <w:tc>
          <w:tcPr>
            <w:tcW w:w="1100" w:type="dxa"/>
            <w:vAlign w:val="bottom"/>
          </w:tcPr>
          <w:p>
            <w:pPr>
              <w:spacing w:after="0"/>
              <w:rPr>
                <w:sz w:val="7"/>
                <w:szCs w:val="7"/>
                <w:color w:val="auto"/>
              </w:rPr>
            </w:pPr>
          </w:p>
        </w:tc>
        <w:tc>
          <w:tcPr>
            <w:tcW w:w="8380" w:type="dxa"/>
            <w:vAlign w:val="bottom"/>
            <w:vMerge w:val="restart"/>
          </w:tcPr>
          <w:p>
            <w:pPr>
              <w:ind w:left="7240"/>
              <w:spacing w:after="0"/>
              <w:rPr>
                <w:sz w:val="20"/>
                <w:szCs w:val="20"/>
                <w:color w:val="auto"/>
              </w:rPr>
            </w:pPr>
            <w:r>
              <w:rPr>
                <w:rFonts w:ascii="Arial" w:cs="Arial" w:eastAsia="Arial" w:hAnsi="Arial"/>
                <w:sz w:val="14"/>
                <w:szCs w:val="14"/>
                <w:color w:val="auto"/>
                <w:w w:val="97"/>
              </w:rPr>
              <w:t xml:space="preserve">UPADHYAY </w:t>
            </w:r>
            <w:r>
              <w:rPr>
                <w:rFonts w:ascii="Arial" w:cs="Arial" w:eastAsia="Arial" w:hAnsi="Arial"/>
                <w:sz w:val="11"/>
                <w:szCs w:val="11"/>
                <w:color w:val="auto"/>
                <w:w w:val="97"/>
              </w:rPr>
              <w:t>ET AL</w:t>
            </w:r>
            <w:r>
              <w:rPr>
                <w:rFonts w:ascii="Arial" w:cs="Arial" w:eastAsia="Arial" w:hAnsi="Arial"/>
                <w:sz w:val="14"/>
                <w:szCs w:val="14"/>
                <w:color w:val="auto"/>
                <w:w w:val="97"/>
              </w:rPr>
              <w:t>.</w:t>
            </w:r>
          </w:p>
        </w:tc>
        <w:tc>
          <w:tcPr>
            <w:tcW w:w="0" w:type="dxa"/>
            <w:vAlign w:val="bottom"/>
          </w:tcPr>
          <w:p>
            <w:pPr>
              <w:spacing w:after="0"/>
              <w:rPr>
                <w:sz w:val="1"/>
                <w:szCs w:val="1"/>
                <w:color w:val="auto"/>
              </w:rPr>
            </w:pPr>
          </w:p>
        </w:tc>
      </w:tr>
      <w:tr>
        <w:trPr>
          <w:trHeight w:val="111"/>
        </w:trPr>
        <w:tc>
          <w:tcPr>
            <w:tcW w:w="480" w:type="dxa"/>
            <w:vAlign w:val="bottom"/>
            <w:tcBorders>
              <w:right w:val="single" w:sz="8" w:color="auto"/>
            </w:tcBorders>
            <w:vMerge w:val="continue"/>
          </w:tcPr>
          <w:p>
            <w:pPr>
              <w:spacing w:after="0"/>
              <w:rPr>
                <w:sz w:val="9"/>
                <w:szCs w:val="9"/>
                <w:color w:val="auto"/>
              </w:rPr>
            </w:pPr>
          </w:p>
        </w:tc>
        <w:tc>
          <w:tcPr>
            <w:tcW w:w="140" w:type="dxa"/>
            <w:vAlign w:val="bottom"/>
          </w:tcPr>
          <w:p>
            <w:pPr>
              <w:spacing w:after="0"/>
              <w:rPr>
                <w:sz w:val="9"/>
                <w:szCs w:val="9"/>
                <w:color w:val="auto"/>
              </w:rPr>
            </w:pPr>
          </w:p>
        </w:tc>
        <w:tc>
          <w:tcPr>
            <w:tcW w:w="1100" w:type="dxa"/>
            <w:vAlign w:val="bottom"/>
          </w:tcPr>
          <w:p>
            <w:pPr>
              <w:spacing w:after="0"/>
              <w:rPr>
                <w:sz w:val="9"/>
                <w:szCs w:val="9"/>
                <w:color w:val="auto"/>
              </w:rPr>
            </w:pPr>
          </w:p>
        </w:tc>
        <w:tc>
          <w:tcPr>
            <w:tcW w:w="8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80" w:type="dxa"/>
            <w:vAlign w:val="bottom"/>
            <w:tcBorders>
              <w:bottom w:val="single" w:sz="8" w:color="auto"/>
              <w:right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1100" w:type="dxa"/>
            <w:vAlign w:val="bottom"/>
          </w:tcPr>
          <w:p>
            <w:pPr>
              <w:spacing w:after="0"/>
              <w:rPr>
                <w:sz w:val="4"/>
                <w:szCs w:val="4"/>
                <w:color w:val="auto"/>
              </w:rPr>
            </w:pPr>
          </w:p>
        </w:tc>
        <w:tc>
          <w:tcPr>
            <w:tcW w:w="83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100" w:type="dxa"/>
            <w:vAlign w:val="bottom"/>
          </w:tcPr>
          <w:p>
            <w:pPr>
              <w:spacing w:after="0"/>
              <w:rPr>
                <w:sz w:val="3"/>
                <w:szCs w:val="3"/>
                <w:color w:val="auto"/>
              </w:rPr>
            </w:pPr>
          </w:p>
        </w:tc>
        <w:tc>
          <w:tcPr>
            <w:tcW w:w="83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-33655</wp:posOffset>
                </wp:positionV>
                <wp:extent cx="1206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499pt" to="0.95pt,-2.6499pt" o:allowincell="f" strokecolor="#000000" strokeweight="0.4535pt"/>
            </w:pict>
          </mc:Fallback>
        </mc:AlternateContent>
        <w:drawing>
          <wp:anchor simplePos="0" relativeHeight="251657728" behindDoc="1" locked="0" layoutInCell="0" allowOverlap="1">
            <wp:simplePos x="0" y="0"/>
            <wp:positionH relativeFrom="column">
              <wp:posOffset>400050</wp:posOffset>
            </wp:positionH>
            <wp:positionV relativeFrom="paragraph">
              <wp:posOffset>-142875</wp:posOffset>
            </wp:positionV>
            <wp:extent cx="687705" cy="14351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ectPr>
          <w:pgSz w:w="11900" w:h="15647" w:orient="portrait"/>
          <w:cols w:equalWidth="0" w:num="1">
            <w:col w:w="10100"/>
          </w:cols>
          <w:pgMar w:left="920" w:top="415" w:right="886" w:bottom="3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tabs>
          <w:tab w:leader="none" w:pos="340" w:val="left"/>
          <w:tab w:leader="none" w:pos="620" w:val="left"/>
        </w:tabs>
        <w:rPr>
          <w:sz w:val="20"/>
          <w:szCs w:val="20"/>
          <w:color w:val="auto"/>
        </w:rPr>
      </w:pPr>
      <w:r>
        <w:rPr>
          <w:rFonts w:ascii="Arial" w:cs="Arial" w:eastAsia="Arial" w:hAnsi="Arial"/>
          <w:sz w:val="20"/>
          <w:szCs w:val="20"/>
          <w:color w:val="auto"/>
        </w:rPr>
        <w:t>6</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CONCLUSION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-3415665</wp:posOffset>
            </wp:positionV>
            <wp:extent cx="4704715" cy="28638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extLst>
                    </a:blip>
                    <a:srcRect/>
                    <a:stretch>
                      <a:fillRect/>
                    </a:stretch>
                  </pic:blipFill>
                  <pic:spPr bwMode="auto">
                    <a:xfrm>
                      <a:off x="0" y="0"/>
                      <a:ext cx="4704715" cy="2863850"/>
                    </a:xfrm>
                    <a:prstGeom prst="rect">
                      <a:avLst/>
                    </a:prstGeom>
                    <a:noFill/>
                  </pic:spPr>
                </pic:pic>
              </a:graphicData>
            </a:graphic>
          </wp:anchor>
        </w:drawing>
      </w:r>
    </w:p>
    <w:p>
      <w:pPr>
        <w:spacing w:after="0" w:line="317" w:lineRule="exact"/>
        <w:rPr>
          <w:sz w:val="20"/>
          <w:szCs w:val="20"/>
          <w:color w:val="auto"/>
        </w:rPr>
      </w:pPr>
    </w:p>
    <w:p>
      <w:pPr>
        <w:jc w:val="both"/>
        <w:spacing w:after="0" w:line="327" w:lineRule="auto"/>
        <w:rPr>
          <w:sz w:val="20"/>
          <w:szCs w:val="20"/>
          <w:color w:val="auto"/>
        </w:rPr>
      </w:pPr>
      <w:r>
        <w:rPr>
          <w:rFonts w:ascii="Arial" w:cs="Arial" w:eastAsia="Arial" w:hAnsi="Arial"/>
          <w:sz w:val="16"/>
          <w:szCs w:val="16"/>
          <w:color w:val="auto"/>
        </w:rPr>
        <w:t>We present the prospective therapeutic potential of the aqueous extracts of Tea (C. sinensis) and Haritaki (T. chebula) against SARS-CoV-2 based on 3CL</w:t>
      </w:r>
      <w:r>
        <w:rPr>
          <w:rFonts w:ascii="Arial" w:cs="Arial" w:eastAsia="Arial" w:hAnsi="Arial"/>
          <w:sz w:val="21"/>
          <w:szCs w:val="21"/>
          <w:color w:val="auto"/>
          <w:vertAlign w:val="superscript"/>
        </w:rPr>
        <w:t>pro</w:t>
      </w:r>
      <w:r>
        <w:rPr>
          <w:rFonts w:ascii="Arial" w:cs="Arial" w:eastAsia="Arial" w:hAnsi="Arial"/>
          <w:sz w:val="16"/>
          <w:szCs w:val="16"/>
          <w:color w:val="auto"/>
        </w:rPr>
        <w:t xml:space="preserve"> protease activity inhibition. These herb extracts contain a plethora of molecules researched to have anti-viral, anti-inflammatory, anti-oxidant properties, and other beneficial health effects. In the current scenario of pandemic, an expedited evaluation of bioactive constituents is required to establish the anti-SARS-CoV-2 property of these herbs. Moreover, larger randomized, double-blind, placebo-controlled multicenter clinical trials should be conducted before incorporation of these herbs as a prospective therapeutic option.</w:t>
      </w:r>
    </w:p>
    <w:p>
      <w:pPr>
        <w:spacing w:after="0" w:line="275" w:lineRule="exact"/>
        <w:rPr>
          <w:sz w:val="20"/>
          <w:szCs w:val="20"/>
          <w:color w:val="auto"/>
        </w:rPr>
      </w:pPr>
    </w:p>
    <w:p>
      <w:pPr>
        <w:spacing w:after="0"/>
        <w:rPr>
          <w:sz w:val="20"/>
          <w:szCs w:val="20"/>
          <w:color w:val="auto"/>
        </w:rPr>
      </w:pPr>
      <w:r>
        <w:rPr>
          <w:rFonts w:ascii="Arial" w:cs="Arial" w:eastAsia="Arial" w:hAnsi="Arial"/>
          <w:sz w:val="16"/>
          <w:szCs w:val="16"/>
          <w:color w:val="auto"/>
        </w:rPr>
        <w:t>ACKNOWLEDGMENTS</w:t>
      </w:r>
    </w:p>
    <w:p>
      <w:pPr>
        <w:spacing w:after="0" w:line="84" w:lineRule="exact"/>
        <w:rPr>
          <w:sz w:val="20"/>
          <w:szCs w:val="20"/>
          <w:color w:val="auto"/>
        </w:rPr>
      </w:pPr>
    </w:p>
    <w:p>
      <w:pPr>
        <w:jc w:val="both"/>
        <w:spacing w:after="0" w:line="335" w:lineRule="auto"/>
        <w:rPr>
          <w:sz w:val="20"/>
          <w:szCs w:val="20"/>
          <w:color w:val="auto"/>
        </w:rPr>
      </w:pPr>
      <w:r>
        <w:rPr>
          <w:rFonts w:ascii="Arial" w:cs="Arial" w:eastAsia="Arial" w:hAnsi="Arial"/>
          <w:sz w:val="16"/>
          <w:szCs w:val="16"/>
          <w:color w:val="auto"/>
        </w:rPr>
        <w:t>The authors thanks IIT Delhi and Kusuma Trust for the infrastructure support. They acknowledge the funding support from the Dean, Research and Development, IIT Delhi, New Delhi, India through Grant No MI02217G.</w:t>
      </w:r>
    </w:p>
    <w:p>
      <w:pPr>
        <w:spacing w:after="0" w:line="270" w:lineRule="exact"/>
        <w:rPr>
          <w:sz w:val="20"/>
          <w:szCs w:val="20"/>
          <w:color w:val="auto"/>
        </w:rPr>
      </w:pPr>
    </w:p>
    <w:p>
      <w:pPr>
        <w:ind w:right="2180"/>
        <w:spacing w:after="0" w:line="332" w:lineRule="auto"/>
        <w:rPr>
          <w:sz w:val="20"/>
          <w:szCs w:val="20"/>
          <w:color w:val="auto"/>
        </w:rPr>
      </w:pPr>
      <w:r>
        <w:rPr>
          <w:rFonts w:ascii="Arial" w:cs="Arial" w:eastAsia="Arial" w:hAnsi="Arial"/>
          <w:sz w:val="16"/>
          <w:szCs w:val="16"/>
          <w:color w:val="auto"/>
        </w:rPr>
        <w:t>CONFLICT OF INTEREST Authors declare no conflict of interest.</w:t>
      </w:r>
    </w:p>
    <w:p>
      <w:pPr>
        <w:spacing w:after="0" w:line="266" w:lineRule="exact"/>
        <w:rPr>
          <w:sz w:val="20"/>
          <w:szCs w:val="20"/>
          <w:color w:val="auto"/>
        </w:rPr>
      </w:pPr>
    </w:p>
    <w:p>
      <w:pPr>
        <w:spacing w:after="0"/>
        <w:rPr>
          <w:sz w:val="20"/>
          <w:szCs w:val="20"/>
          <w:color w:val="auto"/>
        </w:rPr>
      </w:pPr>
      <w:r>
        <w:rPr>
          <w:rFonts w:ascii="Arial" w:cs="Arial" w:eastAsia="Arial" w:hAnsi="Arial"/>
          <w:sz w:val="16"/>
          <w:szCs w:val="16"/>
          <w:color w:val="auto"/>
        </w:rPr>
        <w:t>ORCID</w:t>
      </w:r>
    </w:p>
    <w:p>
      <w:pPr>
        <w:spacing w:after="0" w:line="16" w:lineRule="exact"/>
        <w:rPr>
          <w:sz w:val="20"/>
          <w:szCs w:val="20"/>
          <w:color w:val="auto"/>
        </w:rPr>
      </w:pPr>
    </w:p>
    <w:p>
      <w:pPr>
        <w:spacing w:after="0"/>
        <w:rPr>
          <w:rFonts w:ascii="Arial" w:cs="Arial" w:eastAsia="Arial" w:hAnsi="Arial"/>
          <w:sz w:val="16"/>
          <w:szCs w:val="16"/>
          <w:color w:val="002786"/>
        </w:rPr>
      </w:pPr>
      <w:r>
        <w:rPr>
          <w:rFonts w:ascii="Arial" w:cs="Arial" w:eastAsia="Arial" w:hAnsi="Arial"/>
          <w:sz w:val="16"/>
          <w:szCs w:val="16"/>
          <w:color w:val="auto"/>
        </w:rPr>
        <w:t>Ashok K. Patel</w:t>
      </w:r>
      <w:r>
        <w:rPr>
          <w:sz w:val="1"/>
          <w:szCs w:val="1"/>
          <w:color w:val="auto"/>
        </w:rPr>
        <w:drawing>
          <wp:inline distT="0" distB="0" distL="0" distR="0">
            <wp:extent cx="133350" cy="1333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extLst>
                    </a:blip>
                    <a:srcRect/>
                    <a:stretch>
                      <a:fillRect/>
                    </a:stretch>
                  </pic:blipFill>
                  <pic:spPr bwMode="auto">
                    <a:xfrm>
                      <a:off x="0" y="0"/>
                      <a:ext cx="133350" cy="133350"/>
                    </a:xfrm>
                    <a:prstGeom prst="rect">
                      <a:avLst/>
                    </a:prstGeom>
                    <a:noFill/>
                    <a:ln>
                      <a:noFill/>
                    </a:ln>
                  </pic:spPr>
                </pic:pic>
              </a:graphicData>
            </a:graphic>
          </wp:inline>
        </w:drawing>
      </w:r>
      <w:hyperlink r:id="rId36">
        <w:r>
          <w:rPr>
            <w:rFonts w:ascii="Arial" w:cs="Arial" w:eastAsia="Arial" w:hAnsi="Arial"/>
            <w:sz w:val="16"/>
            <w:szCs w:val="16"/>
            <w:color w:val="002786"/>
          </w:rPr>
          <w:t xml:space="preserve"> https://orcid.org/0000-0001-6134-7794</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649605</wp:posOffset>
            </wp:positionH>
            <wp:positionV relativeFrom="paragraph">
              <wp:posOffset>-114300</wp:posOffset>
            </wp:positionV>
            <wp:extent cx="33655" cy="3365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316"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93" w:lineRule="exact"/>
        <w:rPr>
          <w:sz w:val="20"/>
          <w:szCs w:val="20"/>
          <w:color w:val="auto"/>
        </w:rPr>
      </w:pPr>
    </w:p>
    <w:p>
      <w:pPr>
        <w:jc w:val="both"/>
        <w:ind w:left="260"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Anand, K., Ziebuhr, J., Wadhwani, P., Mesters, J. R., &amp; Hilgenfeld, R. (2003). Coronavirus main proteinase (3CLpro) structure: Basis for design of anti-SARS drugs. Science, 300, 1763–1767. </w:t>
      </w:r>
      <w:hyperlink r:id="rId38">
        <w:r>
          <w:rPr>
            <w:rFonts w:ascii="Arial" w:cs="Arial" w:eastAsia="Arial" w:hAnsi="Arial"/>
            <w:sz w:val="15"/>
            <w:szCs w:val="15"/>
            <w:color w:val="auto"/>
          </w:rPr>
          <w:t>https://doi.org/</w:t>
        </w:r>
      </w:hyperlink>
      <w:r>
        <w:rPr>
          <w:rFonts w:ascii="Arial" w:cs="Arial" w:eastAsia="Arial" w:hAnsi="Arial"/>
          <w:sz w:val="15"/>
          <w:szCs w:val="15"/>
          <w:color w:val="auto"/>
        </w:rPr>
        <w:t xml:space="preserve"> </w:t>
      </w:r>
      <w:hyperlink r:id="rId38">
        <w:r>
          <w:rPr>
            <w:rFonts w:ascii="Arial" w:cs="Arial" w:eastAsia="Arial" w:hAnsi="Arial"/>
            <w:sz w:val="15"/>
            <w:szCs w:val="15"/>
            <w:color w:val="auto"/>
          </w:rPr>
          <w:t>10.1126/science.1085658</w:t>
        </w:r>
      </w:hyperlink>
    </w:p>
    <w:p>
      <w:pPr>
        <w:spacing w:after="0" w:line="12" w:lineRule="exact"/>
        <w:rPr>
          <w:sz w:val="20"/>
          <w:szCs w:val="20"/>
          <w:color w:val="auto"/>
        </w:rPr>
      </w:pPr>
    </w:p>
    <w:p>
      <w:pPr>
        <w:jc w:val="both"/>
        <w:ind w:left="260" w:hanging="259"/>
        <w:spacing w:after="0" w:line="315" w:lineRule="auto"/>
        <w:rPr>
          <w:rFonts w:ascii="Arial" w:cs="Arial" w:eastAsia="Arial" w:hAnsi="Arial"/>
          <w:sz w:val="14"/>
          <w:szCs w:val="14"/>
          <w:color w:val="auto"/>
        </w:rPr>
      </w:pPr>
      <w:r>
        <w:rPr>
          <w:rFonts w:ascii="Arial" w:cs="Arial" w:eastAsia="Arial" w:hAnsi="Arial"/>
          <w:sz w:val="14"/>
          <w:szCs w:val="14"/>
          <w:color w:val="auto"/>
        </w:rPr>
        <w:t xml:space="preserve">Banik, S., Biswas, S., &amp; Karmakar, S. (2018). Extraction, purification, and activ-ity of protease from the leaves of Moringa oleifera. F1000Research, 7, 1151. </w:t>
      </w:r>
      <w:hyperlink r:id="rId39">
        <w:r>
          <w:rPr>
            <w:rFonts w:ascii="Arial" w:cs="Arial" w:eastAsia="Arial" w:hAnsi="Arial"/>
            <w:sz w:val="14"/>
            <w:szCs w:val="14"/>
            <w:color w:val="auto"/>
          </w:rPr>
          <w:t>https://doi.org/10.12688/f1000research.15642.1</w:t>
        </w:r>
      </w:hyperlink>
    </w:p>
    <w:p>
      <w:pPr>
        <w:spacing w:after="0" w:line="20" w:lineRule="exact"/>
        <w:rPr>
          <w:sz w:val="20"/>
          <w:szCs w:val="20"/>
          <w:color w:val="auto"/>
        </w:rPr>
      </w:pPr>
      <w:r>
        <w:rPr>
          <w:sz w:val="20"/>
          <w:szCs w:val="20"/>
          <w:color w:val="auto"/>
        </w:rPr>
        <w:br w:type="column"/>
      </w:r>
    </w:p>
    <w:p>
      <w:pPr>
        <w:spacing w:after="0" w:line="271" w:lineRule="exact"/>
        <w:rPr>
          <w:sz w:val="20"/>
          <w:szCs w:val="20"/>
          <w:color w:val="auto"/>
        </w:rPr>
      </w:pPr>
    </w:p>
    <w:p>
      <w:pPr>
        <w:ind w:left="2260" w:right="60"/>
        <w:spacing w:after="0" w:line="282" w:lineRule="auto"/>
        <w:rPr>
          <w:sz w:val="20"/>
          <w:szCs w:val="20"/>
          <w:color w:val="auto"/>
        </w:rPr>
      </w:pPr>
      <w:r>
        <w:rPr>
          <w:rFonts w:ascii="Arial" w:cs="Arial" w:eastAsia="Arial" w:hAnsi="Arial"/>
          <w:sz w:val="16"/>
          <w:szCs w:val="16"/>
          <w:color w:val="auto"/>
        </w:rPr>
        <w:t>F I G U R E 6 Active site details and binding of thearubigin.</w:t>
      </w:r>
    </w:p>
    <w:p>
      <w:pPr>
        <w:spacing w:after="0" w:line="12" w:lineRule="exact"/>
        <w:rPr>
          <w:sz w:val="20"/>
          <w:szCs w:val="20"/>
          <w:color w:val="auto"/>
        </w:rPr>
      </w:pPr>
    </w:p>
    <w:p>
      <w:pPr>
        <w:ind w:left="2260" w:right="40"/>
        <w:spacing w:after="0" w:line="284" w:lineRule="auto"/>
        <w:rPr>
          <w:sz w:val="20"/>
          <w:szCs w:val="20"/>
          <w:color w:val="auto"/>
        </w:rPr>
      </w:pPr>
      <w:r>
        <w:rPr>
          <w:rFonts w:ascii="Arial" w:cs="Arial" w:eastAsia="Arial" w:hAnsi="Arial"/>
          <w:sz w:val="16"/>
          <w:szCs w:val="16"/>
          <w:color w:val="auto"/>
        </w:rPr>
        <w:t>(A) Structure of native 6LU7 (green) and bounded (yellow), the active site space determined by metapocket2.0 (MPT in magenta), and the active site residues His41 and Cys145.</w:t>
      </w:r>
    </w:p>
    <w:p>
      <w:pPr>
        <w:spacing w:after="0" w:line="13" w:lineRule="exact"/>
        <w:rPr>
          <w:sz w:val="20"/>
          <w:szCs w:val="20"/>
          <w:color w:val="auto"/>
        </w:rPr>
      </w:pPr>
    </w:p>
    <w:p>
      <w:pPr>
        <w:ind w:left="2260" w:right="80"/>
        <w:spacing w:after="0" w:line="307" w:lineRule="auto"/>
        <w:rPr>
          <w:rFonts w:ascii="Arial" w:cs="Arial" w:eastAsia="Arial" w:hAnsi="Arial"/>
          <w:sz w:val="15"/>
          <w:szCs w:val="15"/>
          <w:color w:val="auto"/>
        </w:rPr>
      </w:pPr>
      <w:r>
        <w:rPr>
          <w:rFonts w:ascii="Arial" w:cs="Arial" w:eastAsia="Arial" w:hAnsi="Arial"/>
          <w:sz w:val="15"/>
          <w:szCs w:val="15"/>
          <w:color w:val="auto"/>
        </w:rPr>
        <w:t xml:space="preserve">(B) 2-D interaction diagram of thearubigin with the residues of the active site. The interaction profile of quercetin-3-O-rutinoside (C), and hesperidin (D) [Colour figure can be viewed at </w:t>
      </w:r>
      <w:hyperlink r:id="rId25">
        <w:r>
          <w:rPr>
            <w:rFonts w:ascii="Arial" w:cs="Arial" w:eastAsia="Arial" w:hAnsi="Arial"/>
            <w:sz w:val="15"/>
            <w:szCs w:val="15"/>
            <w:color w:val="auto"/>
          </w:rPr>
          <w:t>wileyonlinelibrary.com]</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both"/>
        <w:ind w:right="20" w:hanging="259"/>
        <w:spacing w:after="0" w:line="286" w:lineRule="auto"/>
        <w:rPr>
          <w:rFonts w:ascii="Arial" w:cs="Arial" w:eastAsia="Arial" w:hAnsi="Arial"/>
          <w:sz w:val="15"/>
          <w:szCs w:val="15"/>
          <w:color w:val="auto"/>
        </w:rPr>
      </w:pPr>
      <w:r>
        <w:rPr>
          <w:rFonts w:ascii="Arial" w:cs="Arial" w:eastAsia="Arial" w:hAnsi="Arial"/>
          <w:sz w:val="15"/>
          <w:szCs w:val="15"/>
          <w:color w:val="auto"/>
        </w:rPr>
        <w:t xml:space="preserve">Cabrera, C., Artacho, R., &amp; Giménez, R. (2006). Beneficial effects of green tea—A review. Journal of the American College of Nutrition, 25, 79–99. </w:t>
      </w:r>
      <w:hyperlink r:id="rId40">
        <w:r>
          <w:rPr>
            <w:rFonts w:ascii="Arial" w:cs="Arial" w:eastAsia="Arial" w:hAnsi="Arial"/>
            <w:sz w:val="15"/>
            <w:szCs w:val="15"/>
            <w:color w:val="auto"/>
          </w:rPr>
          <w:t>https://doi.org/10.1080/07315724.2006.10719518</w:t>
        </w:r>
      </w:hyperlink>
    </w:p>
    <w:p>
      <w:pPr>
        <w:spacing w:after="0" w:line="13" w:lineRule="exact"/>
        <w:rPr>
          <w:sz w:val="20"/>
          <w:szCs w:val="20"/>
          <w:color w:val="auto"/>
        </w:rPr>
      </w:pPr>
    </w:p>
    <w:p>
      <w:pPr>
        <w:jc w:val="both"/>
        <w:ind w:right="20"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Capell, T., Twyman, R. M., Armario-Najera, V., Ma, J. K.-C., Schillberg, S., &amp; Christou, P. (2020). Potential applications of plant biotechnology against SARS-CoV-2. Trends in Plant Science, 0, 635–643. </w:t>
      </w:r>
      <w:hyperlink r:id="rId41">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41">
        <w:r>
          <w:rPr>
            <w:rFonts w:ascii="Arial" w:cs="Arial" w:eastAsia="Arial" w:hAnsi="Arial"/>
            <w:sz w:val="15"/>
            <w:szCs w:val="15"/>
            <w:color w:val="auto"/>
          </w:rPr>
          <w:t>org/10.1016/j.tplants.2020.04.009</w:t>
        </w:r>
      </w:hyperlink>
    </w:p>
    <w:p>
      <w:pPr>
        <w:spacing w:after="0" w:line="12" w:lineRule="exact"/>
        <w:rPr>
          <w:sz w:val="20"/>
          <w:szCs w:val="20"/>
          <w:color w:val="auto"/>
        </w:rPr>
      </w:pPr>
    </w:p>
    <w:p>
      <w:pPr>
        <w:jc w:val="both"/>
        <w:ind w:right="20" w:hanging="259"/>
        <w:spacing w:after="0" w:line="313" w:lineRule="auto"/>
        <w:rPr>
          <w:rFonts w:ascii="Arial" w:cs="Arial" w:eastAsia="Arial" w:hAnsi="Arial"/>
          <w:sz w:val="14"/>
          <w:szCs w:val="14"/>
          <w:color w:val="auto"/>
        </w:rPr>
      </w:pPr>
      <w:r>
        <w:rPr>
          <w:rFonts w:ascii="Arial" w:cs="Arial" w:eastAsia="Arial" w:hAnsi="Arial"/>
          <w:sz w:val="14"/>
          <w:szCs w:val="14"/>
          <w:color w:val="auto"/>
        </w:rPr>
        <w:t xml:space="preserve">Carneiro, B. M., Batista, M. N., Braga, A. C. S., Nogueira, M. L., &amp; Rahal, P. (2016). The green tea molecule EGCG inhibits Zika virus entry. Virol-ogy, 496, 215–218. </w:t>
      </w:r>
      <w:hyperlink r:id="rId42">
        <w:r>
          <w:rPr>
            <w:rFonts w:ascii="Arial" w:cs="Arial" w:eastAsia="Arial" w:hAnsi="Arial"/>
            <w:sz w:val="14"/>
            <w:szCs w:val="14"/>
            <w:color w:val="auto"/>
          </w:rPr>
          <w:t>https://doi.org/10.1016/j.virol.2016.06.012</w:t>
        </w:r>
      </w:hyperlink>
    </w:p>
    <w:p>
      <w:pPr>
        <w:spacing w:after="0" w:line="1" w:lineRule="exact"/>
        <w:rPr>
          <w:sz w:val="20"/>
          <w:szCs w:val="20"/>
          <w:color w:val="auto"/>
        </w:rPr>
      </w:pPr>
    </w:p>
    <w:p>
      <w:pPr>
        <w:jc w:val="both"/>
        <w:ind w:right="20" w:hanging="259"/>
        <w:spacing w:after="0" w:line="336" w:lineRule="auto"/>
        <w:rPr>
          <w:rFonts w:ascii="Arial" w:cs="Arial" w:eastAsia="Arial" w:hAnsi="Arial"/>
          <w:sz w:val="13"/>
          <w:szCs w:val="13"/>
          <w:color w:val="auto"/>
        </w:rPr>
      </w:pPr>
      <w:r>
        <w:rPr>
          <w:rFonts w:ascii="Arial" w:cs="Arial" w:eastAsia="Arial" w:hAnsi="Arial"/>
          <w:sz w:val="13"/>
          <w:szCs w:val="13"/>
          <w:color w:val="auto"/>
        </w:rPr>
        <w:t xml:space="preserve">Chan, E. W. C., Lim, Y. Y., &amp; Chew, Y. L. (2007). Antioxidant activity of Camellia sinensis leaves and tea from a lowland plantation in Malaysia. Food Chemis-try, 102, 1214–1222. </w:t>
      </w:r>
      <w:hyperlink r:id="rId43">
        <w:r>
          <w:rPr>
            <w:rFonts w:ascii="Arial" w:cs="Arial" w:eastAsia="Arial" w:hAnsi="Arial"/>
            <w:sz w:val="13"/>
            <w:szCs w:val="13"/>
            <w:color w:val="auto"/>
          </w:rPr>
          <w:t>https://doi.org/10.1016/j.foodchem.2006.07.009</w:t>
        </w:r>
      </w:hyperlink>
    </w:p>
    <w:p>
      <w:pPr>
        <w:jc w:val="both"/>
        <w:ind w:right="20" w:hanging="259"/>
        <w:spacing w:after="0" w:line="289" w:lineRule="auto"/>
        <w:rPr>
          <w:rFonts w:ascii="Arial" w:cs="Arial" w:eastAsia="Arial" w:hAnsi="Arial"/>
          <w:sz w:val="15"/>
          <w:szCs w:val="15"/>
          <w:color w:val="auto"/>
        </w:rPr>
      </w:pPr>
      <w:r>
        <w:rPr>
          <w:rFonts w:ascii="Arial" w:cs="Arial" w:eastAsia="Arial" w:hAnsi="Arial"/>
          <w:sz w:val="15"/>
          <w:szCs w:val="15"/>
          <w:color w:val="auto"/>
        </w:rPr>
        <w:t xml:space="preserve">Chan, J. F. W., Yuan, S., Kok, K. H., To, K. K. W., Chu, H., Yang, J., … Yuen, K. Y. (2020). A familial cluster of pneumonia associated with the 2019 novel coronavirus indicating person-to-person transmission: A study of a family cluster. The Lancet, 395, 514–523. </w:t>
      </w:r>
      <w:hyperlink r:id="rId44">
        <w:r>
          <w:rPr>
            <w:rFonts w:ascii="Arial" w:cs="Arial" w:eastAsia="Arial" w:hAnsi="Arial"/>
            <w:sz w:val="15"/>
            <w:szCs w:val="15"/>
            <w:color w:val="auto"/>
          </w:rPr>
          <w:t>https://doi.org/</w:t>
        </w:r>
      </w:hyperlink>
      <w:r>
        <w:rPr>
          <w:rFonts w:ascii="Arial" w:cs="Arial" w:eastAsia="Arial" w:hAnsi="Arial"/>
          <w:sz w:val="15"/>
          <w:szCs w:val="15"/>
          <w:color w:val="auto"/>
        </w:rPr>
        <w:t xml:space="preserve"> </w:t>
      </w:r>
      <w:hyperlink r:id="rId44">
        <w:r>
          <w:rPr>
            <w:rFonts w:ascii="Arial" w:cs="Arial" w:eastAsia="Arial" w:hAnsi="Arial"/>
            <w:sz w:val="15"/>
            <w:szCs w:val="15"/>
            <w:color w:val="auto"/>
          </w:rPr>
          <w:t>10.1016/S0140-6736(20)30154-9</w:t>
        </w:r>
      </w:hyperlink>
    </w:p>
    <w:p>
      <w:pPr>
        <w:spacing w:after="0" w:line="14" w:lineRule="exact"/>
        <w:rPr>
          <w:sz w:val="20"/>
          <w:szCs w:val="20"/>
          <w:color w:val="auto"/>
        </w:rPr>
      </w:pPr>
    </w:p>
    <w:p>
      <w:pPr>
        <w:jc w:val="both"/>
        <w:ind w:right="20" w:hanging="259"/>
        <w:spacing w:after="0" w:line="266" w:lineRule="auto"/>
        <w:rPr>
          <w:rFonts w:ascii="Arial" w:cs="Arial" w:eastAsia="Arial" w:hAnsi="Arial"/>
          <w:sz w:val="15"/>
          <w:szCs w:val="15"/>
          <w:color w:val="auto"/>
        </w:rPr>
      </w:pPr>
      <w:r>
        <w:rPr>
          <w:rFonts w:ascii="Arial" w:cs="Arial" w:eastAsia="Arial" w:hAnsi="Arial"/>
          <w:sz w:val="15"/>
          <w:szCs w:val="15"/>
          <w:color w:val="auto"/>
        </w:rPr>
        <w:t>Chen, C.-N., Lin, C. P. C., Huang, K.-K., Chen, W.-C., Hsieh, H.-P., Liang, P.-H., &amp; Hsu, J. T.-A. (2005). Inhibition of SARS-CoV 3C-like protease activity by Theaflavin-3,3</w:t>
      </w:r>
      <w:r>
        <w:rPr>
          <w:rFonts w:ascii="Arial" w:cs="Arial" w:eastAsia="Arial" w:hAnsi="Arial"/>
          <w:sz w:val="20"/>
          <w:szCs w:val="20"/>
          <w:color w:val="auto"/>
          <w:vertAlign w:val="superscript"/>
        </w:rPr>
        <w:t>0</w:t>
      </w:r>
      <w:r>
        <w:rPr>
          <w:rFonts w:ascii="Arial" w:cs="Arial" w:eastAsia="Arial" w:hAnsi="Arial"/>
          <w:sz w:val="15"/>
          <w:szCs w:val="15"/>
          <w:color w:val="auto"/>
        </w:rPr>
        <w:t xml:space="preserve">-digallate (TF3). Evidence-Based Complemen-tary and Alternative Medicine, 2, 209–215. </w:t>
      </w:r>
      <w:hyperlink r:id="rId45">
        <w:r>
          <w:rPr>
            <w:rFonts w:ascii="Arial" w:cs="Arial" w:eastAsia="Arial" w:hAnsi="Arial"/>
            <w:sz w:val="15"/>
            <w:szCs w:val="15"/>
            <w:color w:val="auto"/>
          </w:rPr>
          <w:t>https://doi.org/10.1093/</w:t>
        </w:r>
      </w:hyperlink>
      <w:r>
        <w:rPr>
          <w:rFonts w:ascii="Arial" w:cs="Arial" w:eastAsia="Arial" w:hAnsi="Arial"/>
          <w:sz w:val="15"/>
          <w:szCs w:val="15"/>
          <w:color w:val="auto"/>
        </w:rPr>
        <w:t xml:space="preserve"> </w:t>
      </w:r>
      <w:hyperlink r:id="rId45">
        <w:r>
          <w:rPr>
            <w:rFonts w:ascii="Arial" w:cs="Arial" w:eastAsia="Arial" w:hAnsi="Arial"/>
            <w:sz w:val="15"/>
            <w:szCs w:val="15"/>
            <w:color w:val="auto"/>
          </w:rPr>
          <w:t>ecam/neh081</w:t>
        </w:r>
      </w:hyperlink>
    </w:p>
    <w:p>
      <w:pPr>
        <w:spacing w:after="0" w:line="30" w:lineRule="exact"/>
        <w:rPr>
          <w:sz w:val="20"/>
          <w:szCs w:val="20"/>
          <w:color w:val="auto"/>
        </w:rPr>
      </w:pPr>
    </w:p>
    <w:p>
      <w:pPr>
        <w:jc w:val="both"/>
        <w:ind w:right="20" w:hanging="259"/>
        <w:spacing w:after="0" w:line="305" w:lineRule="auto"/>
        <w:rPr>
          <w:rFonts w:ascii="Arial" w:cs="Arial" w:eastAsia="Arial" w:hAnsi="Arial"/>
          <w:sz w:val="13"/>
          <w:szCs w:val="13"/>
          <w:color w:val="auto"/>
        </w:rPr>
      </w:pPr>
      <w:r>
        <w:rPr>
          <w:rFonts w:ascii="Arial" w:cs="Arial" w:eastAsia="Arial" w:hAnsi="Arial"/>
          <w:sz w:val="13"/>
          <w:szCs w:val="13"/>
          <w:color w:val="auto"/>
        </w:rPr>
        <w:t>Cheng, H.-Y., Lin, C.-C., &amp; Lin, T.-C. (2002). Antiviral properties of Prodelphinidin B-2 3</w:t>
      </w:r>
      <w:r>
        <w:rPr>
          <w:rFonts w:ascii="Arial" w:cs="Arial" w:eastAsia="Arial" w:hAnsi="Arial"/>
          <w:sz w:val="17"/>
          <w:szCs w:val="17"/>
          <w:color w:val="auto"/>
          <w:vertAlign w:val="superscript"/>
        </w:rPr>
        <w:t>0</w:t>
      </w:r>
      <w:r>
        <w:rPr>
          <w:rFonts w:ascii="Arial" w:cs="Arial" w:eastAsia="Arial" w:hAnsi="Arial"/>
          <w:sz w:val="13"/>
          <w:szCs w:val="13"/>
          <w:color w:val="auto"/>
        </w:rPr>
        <w:t xml:space="preserve">-O-Gallate from green tea leaf. Antiviral Chemistry &amp; Chemotherapy, 13, 223–229. </w:t>
      </w:r>
      <w:hyperlink r:id="rId46">
        <w:r>
          <w:rPr>
            <w:rFonts w:ascii="Arial" w:cs="Arial" w:eastAsia="Arial" w:hAnsi="Arial"/>
            <w:sz w:val="13"/>
            <w:szCs w:val="13"/>
            <w:color w:val="auto"/>
          </w:rPr>
          <w:t>https://doi.org/10.1177/095632020201300403</w:t>
        </w:r>
      </w:hyperlink>
    </w:p>
    <w:p>
      <w:pPr>
        <w:spacing w:after="0" w:line="1" w:lineRule="exact"/>
        <w:rPr>
          <w:sz w:val="20"/>
          <w:szCs w:val="20"/>
          <w:color w:val="auto"/>
        </w:rPr>
      </w:pPr>
    </w:p>
    <w:p>
      <w:pPr>
        <w:jc w:val="both"/>
        <w:ind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Cooper, R., Morré, D. J., &amp; Morré, D. M. (2005a). Medicinal benefits of green tea: Part I. review of noncancer health benefits. Journal of Alter-native and Complementary Medicine, 11, 521–528. </w:t>
      </w:r>
      <w:hyperlink r:id="rId47">
        <w:r>
          <w:rPr>
            <w:rFonts w:ascii="Arial" w:cs="Arial" w:eastAsia="Arial" w:hAnsi="Arial"/>
            <w:sz w:val="15"/>
            <w:szCs w:val="15"/>
            <w:color w:val="auto"/>
          </w:rPr>
          <w:t>https://doi.org/10.</w:t>
        </w:r>
      </w:hyperlink>
      <w:r>
        <w:rPr>
          <w:rFonts w:ascii="Arial" w:cs="Arial" w:eastAsia="Arial" w:hAnsi="Arial"/>
          <w:sz w:val="15"/>
          <w:szCs w:val="15"/>
          <w:color w:val="auto"/>
        </w:rPr>
        <w:t xml:space="preserve"> </w:t>
      </w:r>
      <w:hyperlink r:id="rId47">
        <w:r>
          <w:rPr>
            <w:rFonts w:ascii="Arial" w:cs="Arial" w:eastAsia="Arial" w:hAnsi="Arial"/>
            <w:sz w:val="15"/>
            <w:szCs w:val="15"/>
            <w:color w:val="auto"/>
          </w:rPr>
          <w:t>1089/acm.2005.11.521</w:t>
        </w:r>
      </w:hyperlink>
    </w:p>
    <w:p>
      <w:pPr>
        <w:spacing w:after="0" w:line="12" w:lineRule="exact"/>
        <w:rPr>
          <w:sz w:val="20"/>
          <w:szCs w:val="20"/>
          <w:color w:val="auto"/>
        </w:rPr>
      </w:pPr>
    </w:p>
    <w:p>
      <w:pPr>
        <w:jc w:val="both"/>
        <w:ind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Cooper, R., Morré, D. J., &amp; Morré, D. M. (2005b). Medicinal benefits of green tea: Part II. Review of anticancer properties. Journal of Alterna-tive and Complementary Medicine, 11, 639–652. </w:t>
      </w:r>
      <w:hyperlink r:id="rId48">
        <w:r>
          <w:rPr>
            <w:rFonts w:ascii="Arial" w:cs="Arial" w:eastAsia="Arial" w:hAnsi="Arial"/>
            <w:sz w:val="15"/>
            <w:szCs w:val="15"/>
            <w:color w:val="auto"/>
          </w:rPr>
          <w:t>https://doi.org/10.</w:t>
        </w:r>
      </w:hyperlink>
      <w:r>
        <w:rPr>
          <w:rFonts w:ascii="Arial" w:cs="Arial" w:eastAsia="Arial" w:hAnsi="Arial"/>
          <w:sz w:val="15"/>
          <w:szCs w:val="15"/>
          <w:color w:val="auto"/>
        </w:rPr>
        <w:t xml:space="preserve"> </w:t>
      </w:r>
      <w:hyperlink r:id="rId48">
        <w:r>
          <w:rPr>
            <w:rFonts w:ascii="Arial" w:cs="Arial" w:eastAsia="Arial" w:hAnsi="Arial"/>
            <w:sz w:val="15"/>
            <w:szCs w:val="15"/>
            <w:color w:val="auto"/>
          </w:rPr>
          <w:t>1089/acm.2005.11.639</w:t>
        </w:r>
      </w:hyperlink>
    </w:p>
    <w:p>
      <w:pPr>
        <w:spacing w:after="0" w:line="12" w:lineRule="exact"/>
        <w:rPr>
          <w:sz w:val="20"/>
          <w:szCs w:val="20"/>
          <w:color w:val="auto"/>
        </w:rPr>
      </w:pPr>
    </w:p>
    <w:p>
      <w:pPr>
        <w:jc w:val="both"/>
        <w:ind w:right="20" w:hanging="259"/>
        <w:spacing w:after="0" w:line="291" w:lineRule="auto"/>
        <w:rPr>
          <w:rFonts w:ascii="Arial" w:cs="Arial" w:eastAsia="Arial" w:hAnsi="Arial"/>
          <w:sz w:val="15"/>
          <w:szCs w:val="15"/>
          <w:color w:val="auto"/>
        </w:rPr>
      </w:pPr>
      <w:r>
        <w:rPr>
          <w:rFonts w:ascii="Arial" w:cs="Arial" w:eastAsia="Arial" w:hAnsi="Arial"/>
          <w:sz w:val="15"/>
          <w:szCs w:val="15"/>
          <w:color w:val="auto"/>
        </w:rPr>
        <w:t>Corsello,</w:t>
      </w:r>
      <w:r>
        <w:rPr>
          <w:sz w:val="20"/>
          <w:szCs w:val="20"/>
          <w:color w:val="auto"/>
        </w:rPr>
        <w:t xml:space="preserve"> </w:t>
      </w:r>
      <w:r>
        <w:rPr>
          <w:rFonts w:ascii="Arial" w:cs="Arial" w:eastAsia="Arial" w:hAnsi="Arial"/>
          <w:sz w:val="15"/>
          <w:szCs w:val="15"/>
          <w:color w:val="auto"/>
        </w:rPr>
        <w:t xml:space="preserve">S. M., Bittker, J. A., Liu, Z., Gould, J., McCarren, P., Hirschman, J. E., … Golub, T. R. (2017). The drug repurposing hub: A next-generation drug library and information resource. Nature Medi-cine, 23, 405–408. </w:t>
      </w:r>
      <w:hyperlink r:id="rId49">
        <w:r>
          <w:rPr>
            <w:rFonts w:ascii="Arial" w:cs="Arial" w:eastAsia="Arial" w:hAnsi="Arial"/>
            <w:sz w:val="15"/>
            <w:szCs w:val="15"/>
            <w:color w:val="auto"/>
          </w:rPr>
          <w:t>https://doi.org/10.1038/nm.4306</w:t>
        </w:r>
      </w:hyperlink>
    </w:p>
    <w:p>
      <w:pPr>
        <w:spacing w:after="0" w:line="1" w:lineRule="exact"/>
        <w:rPr>
          <w:sz w:val="20"/>
          <w:szCs w:val="20"/>
          <w:color w:val="auto"/>
        </w:rPr>
      </w:pPr>
    </w:p>
    <w:p>
      <w:pPr>
        <w:jc w:val="both"/>
        <w:ind w:right="20" w:hanging="259"/>
        <w:spacing w:after="0" w:line="287" w:lineRule="auto"/>
        <w:rPr>
          <w:rFonts w:ascii="Arial" w:cs="Arial" w:eastAsia="Arial" w:hAnsi="Arial"/>
          <w:sz w:val="15"/>
          <w:szCs w:val="15"/>
          <w:color w:val="auto"/>
        </w:rPr>
      </w:pPr>
      <w:r>
        <w:rPr>
          <w:rFonts w:ascii="Arial" w:cs="Arial" w:eastAsia="Arial" w:hAnsi="Arial"/>
          <w:sz w:val="15"/>
          <w:szCs w:val="15"/>
          <w:color w:val="auto"/>
        </w:rPr>
        <w:t xml:space="preserve">Cupp-Enyard, C. (2008). Sigma's non-specific protease activity assay— Casein as a substrate. Journal of Visualized Experiments, (19), e899. </w:t>
      </w:r>
      <w:hyperlink r:id="rId50">
        <w:r>
          <w:rPr>
            <w:rFonts w:ascii="Arial" w:cs="Arial" w:eastAsia="Arial" w:hAnsi="Arial"/>
            <w:sz w:val="15"/>
            <w:szCs w:val="15"/>
            <w:color w:val="auto"/>
          </w:rPr>
          <w:t>https://doi.org/10.3791/899</w:t>
        </w:r>
      </w:hyperlink>
    </w:p>
    <w:p>
      <w:pPr>
        <w:sectPr>
          <w:pgSz w:w="11900" w:h="15647" w:orient="portrait"/>
          <w:cols w:equalWidth="0" w:num="2">
            <w:col w:w="4860" w:space="640"/>
            <w:col w:w="4600"/>
          </w:cols>
          <w:pgMar w:left="920" w:top="415" w:right="886" w:bottom="348"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83"/>
        </w:trPr>
        <w:tc>
          <w:tcPr>
            <w:tcW w:w="8380" w:type="dxa"/>
            <w:vAlign w:val="bottom"/>
            <w:vMerge w:val="restart"/>
          </w:tcPr>
          <w:p>
            <w:pPr>
              <w:spacing w:after="0"/>
              <w:rPr>
                <w:sz w:val="20"/>
                <w:szCs w:val="20"/>
                <w:color w:val="auto"/>
              </w:rPr>
            </w:pPr>
            <w:r>
              <w:rPr>
                <w:rFonts w:ascii="Arial" w:cs="Arial" w:eastAsia="Arial" w:hAnsi="Arial"/>
                <w:sz w:val="14"/>
                <w:szCs w:val="14"/>
                <w:color w:val="auto"/>
              </w:rPr>
              <w:t xml:space="preserve">UPADHYAY </w:t>
            </w:r>
            <w:r>
              <w:rPr>
                <w:rFonts w:ascii="Arial" w:cs="Arial" w:eastAsia="Arial" w:hAnsi="Arial"/>
                <w:sz w:val="11"/>
                <w:szCs w:val="11"/>
                <w:color w:val="auto"/>
              </w:rPr>
              <w:t>ET AL</w:t>
            </w:r>
            <w:r>
              <w:rPr>
                <w:rFonts w:ascii="Arial" w:cs="Arial" w:eastAsia="Arial" w:hAnsi="Arial"/>
                <w:sz w:val="14"/>
                <w:szCs w:val="14"/>
                <w:color w:val="auto"/>
              </w:rPr>
              <w:t>.</w:t>
            </w:r>
          </w:p>
        </w:tc>
        <w:tc>
          <w:tcPr>
            <w:tcW w:w="1260" w:type="dxa"/>
            <w:vAlign w:val="bottom"/>
            <w:tcBorders>
              <w:right w:val="single" w:sz="8" w:color="auto"/>
            </w:tcBorders>
            <w:gridSpan w:val="2"/>
          </w:tcPr>
          <w:p>
            <w:pPr>
              <w:spacing w:after="0"/>
              <w:rPr>
                <w:sz w:val="7"/>
                <w:szCs w:val="7"/>
                <w:color w:val="auto"/>
              </w:rPr>
            </w:pPr>
          </w:p>
        </w:tc>
        <w:tc>
          <w:tcPr>
            <w:tcW w:w="440" w:type="dxa"/>
            <w:vAlign w:val="bottom"/>
            <w:vMerge w:val="restart"/>
          </w:tcPr>
          <w:p>
            <w:pPr>
              <w:jc w:val="right"/>
              <w:spacing w:after="0"/>
              <w:rPr>
                <w:sz w:val="20"/>
                <w:szCs w:val="20"/>
                <w:color w:val="auto"/>
              </w:rPr>
            </w:pPr>
            <w:r>
              <w:rPr>
                <w:rFonts w:ascii="Arial" w:cs="Arial" w:eastAsia="Arial" w:hAnsi="Arial"/>
                <w:sz w:val="14"/>
                <w:szCs w:val="14"/>
                <w:color w:val="auto"/>
              </w:rPr>
              <w:t>9</w:t>
            </w:r>
          </w:p>
        </w:tc>
        <w:tc>
          <w:tcPr>
            <w:tcW w:w="0" w:type="dxa"/>
            <w:vAlign w:val="bottom"/>
          </w:tcPr>
          <w:p>
            <w:pPr>
              <w:spacing w:after="0"/>
              <w:rPr>
                <w:sz w:val="1"/>
                <w:szCs w:val="1"/>
                <w:color w:val="auto"/>
              </w:rPr>
            </w:pPr>
          </w:p>
        </w:tc>
      </w:tr>
      <w:tr>
        <w:trPr>
          <w:trHeight w:val="111"/>
        </w:trPr>
        <w:tc>
          <w:tcPr>
            <w:tcW w:w="8380" w:type="dxa"/>
            <w:vAlign w:val="bottom"/>
            <w:vMerge w:val="continue"/>
          </w:tcPr>
          <w:p>
            <w:pPr>
              <w:spacing w:after="0"/>
              <w:rPr>
                <w:sz w:val="9"/>
                <w:szCs w:val="9"/>
                <w:color w:val="auto"/>
              </w:rPr>
            </w:pPr>
          </w:p>
        </w:tc>
        <w:tc>
          <w:tcPr>
            <w:tcW w:w="1080" w:type="dxa"/>
            <w:vAlign w:val="bottom"/>
          </w:tcPr>
          <w:p>
            <w:pPr>
              <w:spacing w:after="0"/>
              <w:rPr>
                <w:sz w:val="9"/>
                <w:szCs w:val="9"/>
                <w:color w:val="auto"/>
              </w:rPr>
            </w:pPr>
          </w:p>
        </w:tc>
        <w:tc>
          <w:tcPr>
            <w:tcW w:w="180" w:type="dxa"/>
            <w:vAlign w:val="bottom"/>
            <w:tcBorders>
              <w:right w:val="single" w:sz="8" w:color="auto"/>
            </w:tcBorders>
          </w:tcPr>
          <w:p>
            <w:pPr>
              <w:spacing w:after="0"/>
              <w:rPr>
                <w:sz w:val="9"/>
                <w:szCs w:val="9"/>
                <w:color w:val="auto"/>
              </w:rPr>
            </w:pPr>
          </w:p>
        </w:tc>
        <w:tc>
          <w:tcPr>
            <w:tcW w:w="4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8380" w:type="dxa"/>
            <w:vAlign w:val="bottom"/>
            <w:tcBorders>
              <w:bottom w:val="single" w:sz="8" w:color="auto"/>
            </w:tcBorders>
          </w:tcPr>
          <w:p>
            <w:pPr>
              <w:spacing w:after="0"/>
              <w:rPr>
                <w:sz w:val="4"/>
                <w:szCs w:val="4"/>
                <w:color w:val="auto"/>
              </w:rPr>
            </w:pPr>
          </w:p>
        </w:tc>
        <w:tc>
          <w:tcPr>
            <w:tcW w:w="1080" w:type="dxa"/>
            <w:vAlign w:val="bottom"/>
          </w:tcPr>
          <w:p>
            <w:pPr>
              <w:spacing w:after="0"/>
              <w:rPr>
                <w:sz w:val="4"/>
                <w:szCs w:val="4"/>
                <w:color w:val="auto"/>
              </w:rPr>
            </w:pPr>
          </w:p>
        </w:tc>
        <w:tc>
          <w:tcPr>
            <w:tcW w:w="18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838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80" w:type="dxa"/>
            <w:vAlign w:val="bottom"/>
          </w:tcPr>
          <w:p>
            <w:pPr>
              <w:spacing w:after="0"/>
              <w:rPr>
                <w:sz w:val="3"/>
                <w:szCs w:val="3"/>
                <w:color w:val="auto"/>
              </w:rPr>
            </w:pPr>
          </w:p>
        </w:tc>
        <w:tc>
          <w:tcPr>
            <w:tcW w:w="4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-33655</wp:posOffset>
                </wp:positionV>
                <wp:extent cx="1206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499pt" to="0.25pt,-2.6499pt" o:allowincell="f" strokecolor="#000000" strokeweight="0.4535pt"/>
            </w:pict>
          </mc:Fallback>
        </mc:AlternateContent>
        <w:drawing>
          <wp:anchor simplePos="0" relativeHeight="251657728" behindDoc="1" locked="0" layoutInCell="0" allowOverlap="1">
            <wp:simplePos x="0" y="0"/>
            <wp:positionH relativeFrom="column">
              <wp:posOffset>5316220</wp:posOffset>
            </wp:positionH>
            <wp:positionV relativeFrom="paragraph">
              <wp:posOffset>-142875</wp:posOffset>
            </wp:positionV>
            <wp:extent cx="687705" cy="14351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ectPr>
          <w:pgSz w:w="11900" w:h="15647" w:orient="portrait"/>
          <w:cols w:equalWidth="0" w:num="1">
            <w:col w:w="10080"/>
          </w:cols>
          <w:pgMar w:left="900" w:top="415" w:right="926" w:bottom="1440" w:gutter="0" w:footer="0" w:header="0"/>
        </w:sectPr>
      </w:pPr>
    </w:p>
    <w:p>
      <w:pPr>
        <w:spacing w:after="0" w:line="308" w:lineRule="exact"/>
        <w:rPr>
          <w:sz w:val="20"/>
          <w:szCs w:val="20"/>
          <w:color w:val="auto"/>
        </w:rPr>
      </w:pPr>
    </w:p>
    <w:p>
      <w:pPr>
        <w:jc w:val="both"/>
        <w:ind w:left="260" w:hanging="259"/>
        <w:spacing w:after="0" w:line="289" w:lineRule="auto"/>
        <w:rPr>
          <w:rFonts w:ascii="Arial" w:cs="Arial" w:eastAsia="Arial" w:hAnsi="Arial"/>
          <w:sz w:val="15"/>
          <w:szCs w:val="15"/>
          <w:color w:val="auto"/>
        </w:rPr>
      </w:pPr>
      <w:r>
        <w:rPr>
          <w:rFonts w:ascii="Arial" w:cs="Arial" w:eastAsia="Arial" w:hAnsi="Arial"/>
          <w:sz w:val="15"/>
          <w:szCs w:val="15"/>
          <w:color w:val="auto"/>
        </w:rPr>
        <w:t xml:space="preserve">Gorbalenya, A. E., Baker, S. C., Baric, R. S., de Groot, R. J., Drosten, C., Gulyaeva, A. A., … Ziebuhr, J. (2020). The species Severe acute respira-tory syndrome-related coronavirus: classifying 2019-nCoV and naming it SARS-CoV-2. Nature Microbiology, 5, 536–544. </w:t>
      </w:r>
      <w:hyperlink r:id="rId52">
        <w:r>
          <w:rPr>
            <w:rFonts w:ascii="Arial" w:cs="Arial" w:eastAsia="Arial" w:hAnsi="Arial"/>
            <w:sz w:val="15"/>
            <w:szCs w:val="15"/>
            <w:color w:val="auto"/>
          </w:rPr>
          <w:t>https://doi.org/10.</w:t>
        </w:r>
      </w:hyperlink>
      <w:r>
        <w:rPr>
          <w:rFonts w:ascii="Arial" w:cs="Arial" w:eastAsia="Arial" w:hAnsi="Arial"/>
          <w:sz w:val="15"/>
          <w:szCs w:val="15"/>
          <w:color w:val="auto"/>
        </w:rPr>
        <w:t xml:space="preserve"> </w:t>
      </w:r>
      <w:hyperlink r:id="rId52">
        <w:r>
          <w:rPr>
            <w:rFonts w:ascii="Arial" w:cs="Arial" w:eastAsia="Arial" w:hAnsi="Arial"/>
            <w:sz w:val="15"/>
            <w:szCs w:val="15"/>
            <w:color w:val="auto"/>
          </w:rPr>
          <w:t>1038/s41564-020-0695-z</w:t>
        </w:r>
      </w:hyperlink>
    </w:p>
    <w:p>
      <w:pPr>
        <w:spacing w:after="0" w:line="11" w:lineRule="exact"/>
        <w:rPr>
          <w:sz w:val="20"/>
          <w:szCs w:val="20"/>
          <w:color w:val="auto"/>
        </w:rPr>
      </w:pPr>
    </w:p>
    <w:p>
      <w:pPr>
        <w:jc w:val="both"/>
        <w:ind w:left="260" w:hanging="259"/>
        <w:spacing w:after="0" w:line="290" w:lineRule="auto"/>
        <w:rPr>
          <w:rFonts w:ascii="Arial" w:cs="Arial" w:eastAsia="Arial" w:hAnsi="Arial"/>
          <w:sz w:val="15"/>
          <w:szCs w:val="15"/>
          <w:color w:val="auto"/>
        </w:rPr>
      </w:pPr>
      <w:r>
        <w:rPr>
          <w:rFonts w:ascii="Arial" w:cs="Arial" w:eastAsia="Arial" w:hAnsi="Arial"/>
          <w:sz w:val="15"/>
          <w:szCs w:val="15"/>
          <w:color w:val="auto"/>
        </w:rPr>
        <w:t xml:space="preserve">Hilgenfeld, R. (2014). From SARS to MERS: Crystallographic studies on coronaviral proteases enable antiviral drug design. The FEBS Journal, 281, 4085–4096. </w:t>
      </w:r>
      <w:hyperlink r:id="rId53">
        <w:r>
          <w:rPr>
            <w:rFonts w:ascii="Arial" w:cs="Arial" w:eastAsia="Arial" w:hAnsi="Arial"/>
            <w:sz w:val="15"/>
            <w:szCs w:val="15"/>
            <w:color w:val="auto"/>
          </w:rPr>
          <w:t>https://doi.org/10.1111/febs.12936</w:t>
        </w:r>
      </w:hyperlink>
    </w:p>
    <w:p>
      <w:pPr>
        <w:spacing w:after="0" w:line="5" w:lineRule="exact"/>
        <w:rPr>
          <w:sz w:val="20"/>
          <w:szCs w:val="20"/>
          <w:color w:val="auto"/>
        </w:rPr>
      </w:pPr>
    </w:p>
    <w:p>
      <w:pPr>
        <w:jc w:val="both"/>
        <w:ind w:left="260" w:hanging="259"/>
        <w:spacing w:after="0" w:line="289" w:lineRule="auto"/>
        <w:rPr>
          <w:rFonts w:ascii="Arial" w:cs="Arial" w:eastAsia="Arial" w:hAnsi="Arial"/>
          <w:sz w:val="15"/>
          <w:szCs w:val="15"/>
          <w:color w:val="auto"/>
        </w:rPr>
      </w:pPr>
      <w:r>
        <w:rPr>
          <w:rFonts w:ascii="Arial" w:cs="Arial" w:eastAsia="Arial" w:hAnsi="Arial"/>
          <w:sz w:val="15"/>
          <w:szCs w:val="15"/>
          <w:color w:val="auto"/>
        </w:rPr>
        <w:t>Karamese,</w:t>
      </w:r>
      <w:r>
        <w:rPr>
          <w:sz w:val="20"/>
          <w:szCs w:val="20"/>
          <w:color w:val="auto"/>
        </w:rPr>
        <w:t xml:space="preserve"> </w:t>
      </w:r>
      <w:r>
        <w:rPr>
          <w:rFonts w:ascii="Arial" w:cs="Arial" w:eastAsia="Arial" w:hAnsi="Arial"/>
          <w:sz w:val="15"/>
          <w:szCs w:val="15"/>
          <w:color w:val="auto"/>
        </w:rPr>
        <w:t xml:space="preserve">M., Aydogdu, S., Karamese, S. A., Altoparlak, U., &amp; Gundogdu, C. (2015). Preventive effects of a major component of green tea, epigallocathechin-3-gallate, on hepatitis-B virus DNA repli-cation. Asian Pacific Journal of Cancer Prevention, 16, 4199–4202. </w:t>
      </w:r>
      <w:hyperlink r:id="rId54">
        <w:r>
          <w:rPr>
            <w:rFonts w:ascii="Arial" w:cs="Arial" w:eastAsia="Arial" w:hAnsi="Arial"/>
            <w:sz w:val="15"/>
            <w:szCs w:val="15"/>
            <w:color w:val="auto"/>
          </w:rPr>
          <w:t>https://doi.org/10.7314/apjcp.2015.16.10.4199</w:t>
        </w:r>
      </w:hyperlink>
    </w:p>
    <w:p>
      <w:pPr>
        <w:spacing w:after="0" w:line="11" w:lineRule="exact"/>
        <w:rPr>
          <w:sz w:val="20"/>
          <w:szCs w:val="20"/>
          <w:color w:val="auto"/>
        </w:rPr>
      </w:pPr>
    </w:p>
    <w:p>
      <w:pPr>
        <w:jc w:val="both"/>
        <w:ind w:left="260" w:hanging="259"/>
        <w:spacing w:after="0" w:line="289" w:lineRule="auto"/>
        <w:rPr>
          <w:rFonts w:ascii="Arial" w:cs="Arial" w:eastAsia="Arial" w:hAnsi="Arial"/>
          <w:sz w:val="15"/>
          <w:szCs w:val="15"/>
          <w:color w:val="auto"/>
        </w:rPr>
      </w:pPr>
      <w:r>
        <w:rPr>
          <w:rFonts w:ascii="Arial" w:cs="Arial" w:eastAsia="Arial" w:hAnsi="Arial"/>
          <w:sz w:val="15"/>
          <w:szCs w:val="15"/>
          <w:color w:val="auto"/>
        </w:rPr>
        <w:t xml:space="preserve">Kesharwani, A., Polachira, S. K., Nair, R., Agarwal, A., Mishra, N. N., &amp; Gupta, S. K. (2017). Anti-HSV-2 activity of Terminalia chebula Retz extract and its constituents, chebulagic and chebulinic acids. BMC Complementary and Alternative Medicine, 17, 110. </w:t>
      </w:r>
      <w:hyperlink r:id="rId55">
        <w:r>
          <w:rPr>
            <w:rFonts w:ascii="Arial" w:cs="Arial" w:eastAsia="Arial" w:hAnsi="Arial"/>
            <w:sz w:val="15"/>
            <w:szCs w:val="15"/>
            <w:color w:val="auto"/>
          </w:rPr>
          <w:t>https://doi.org/10.</w:t>
        </w:r>
      </w:hyperlink>
      <w:r>
        <w:rPr>
          <w:rFonts w:ascii="Arial" w:cs="Arial" w:eastAsia="Arial" w:hAnsi="Arial"/>
          <w:sz w:val="15"/>
          <w:szCs w:val="15"/>
          <w:color w:val="auto"/>
        </w:rPr>
        <w:t xml:space="preserve"> </w:t>
      </w:r>
      <w:hyperlink r:id="rId55">
        <w:r>
          <w:rPr>
            <w:rFonts w:ascii="Arial" w:cs="Arial" w:eastAsia="Arial" w:hAnsi="Arial"/>
            <w:sz w:val="15"/>
            <w:szCs w:val="15"/>
            <w:color w:val="auto"/>
          </w:rPr>
          <w:t>1186/s12906-017-1620-8</w:t>
        </w:r>
      </w:hyperlink>
    </w:p>
    <w:p>
      <w:pPr>
        <w:spacing w:after="0" w:line="9" w:lineRule="exact"/>
        <w:rPr>
          <w:sz w:val="20"/>
          <w:szCs w:val="20"/>
          <w:color w:val="auto"/>
        </w:rPr>
      </w:pPr>
    </w:p>
    <w:p>
      <w:pPr>
        <w:jc w:val="both"/>
        <w:ind w:left="260" w:hanging="259"/>
        <w:spacing w:after="0" w:line="291" w:lineRule="auto"/>
        <w:rPr>
          <w:rFonts w:ascii="Arial" w:cs="Arial" w:eastAsia="Arial" w:hAnsi="Arial"/>
          <w:sz w:val="15"/>
          <w:szCs w:val="15"/>
          <w:color w:val="auto"/>
        </w:rPr>
      </w:pPr>
      <w:r>
        <w:rPr>
          <w:rFonts w:ascii="Arial" w:cs="Arial" w:eastAsia="Arial" w:hAnsi="Arial"/>
          <w:sz w:val="15"/>
          <w:szCs w:val="15"/>
          <w:color w:val="auto"/>
        </w:rPr>
        <w:t xml:space="preserve">Lee, D., Boo, K. H., Woo, J. K., Duan, F., Lee, K. H., Kwon, T. K., … Lee, D. S. (2011). Anti-bacterial and anti-viral activities of extracts from Terminalia chebula barks. Journal of Applied Biological Chemistry, 54, 295–298. </w:t>
      </w:r>
      <w:hyperlink r:id="rId56">
        <w:r>
          <w:rPr>
            <w:rFonts w:ascii="Arial" w:cs="Arial" w:eastAsia="Arial" w:hAnsi="Arial"/>
            <w:sz w:val="15"/>
            <w:szCs w:val="15"/>
            <w:color w:val="auto"/>
          </w:rPr>
          <w:t>https://doi.org/10.3839/jksabc.2011.046</w:t>
        </w:r>
      </w:hyperlink>
    </w:p>
    <w:p>
      <w:pPr>
        <w:spacing w:after="0" w:line="5" w:lineRule="exact"/>
        <w:rPr>
          <w:sz w:val="20"/>
          <w:szCs w:val="20"/>
          <w:color w:val="auto"/>
        </w:rPr>
      </w:pPr>
    </w:p>
    <w:p>
      <w:pPr>
        <w:jc w:val="both"/>
        <w:ind w:left="260"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Lee, Y. H., Jang, Y. H., Kim, Y. S., Kim, J., &amp; Seong, B. L. (2018). Evaluation of green tea extract as a safe personal hygiene against viral infections. Journal of Biological Engineering, 12, 1. </w:t>
      </w:r>
      <w:hyperlink r:id="rId57">
        <w:r>
          <w:rPr>
            <w:rFonts w:ascii="Arial" w:cs="Arial" w:eastAsia="Arial" w:hAnsi="Arial"/>
            <w:sz w:val="15"/>
            <w:szCs w:val="15"/>
            <w:color w:val="auto"/>
          </w:rPr>
          <w:t>https://doi.org/10.1186/</w:t>
        </w:r>
      </w:hyperlink>
      <w:r>
        <w:rPr>
          <w:rFonts w:ascii="Arial" w:cs="Arial" w:eastAsia="Arial" w:hAnsi="Arial"/>
          <w:sz w:val="15"/>
          <w:szCs w:val="15"/>
          <w:color w:val="auto"/>
        </w:rPr>
        <w:t xml:space="preserve"> </w:t>
      </w:r>
      <w:hyperlink r:id="rId57">
        <w:r>
          <w:rPr>
            <w:rFonts w:ascii="Arial" w:cs="Arial" w:eastAsia="Arial" w:hAnsi="Arial"/>
            <w:sz w:val="15"/>
            <w:szCs w:val="15"/>
            <w:color w:val="auto"/>
          </w:rPr>
          <w:t>s13036-017-0092-1</w:t>
        </w:r>
      </w:hyperlink>
    </w:p>
    <w:p>
      <w:pPr>
        <w:spacing w:after="0" w:line="10" w:lineRule="exact"/>
        <w:rPr>
          <w:sz w:val="20"/>
          <w:szCs w:val="20"/>
          <w:color w:val="auto"/>
        </w:rPr>
      </w:pPr>
    </w:p>
    <w:p>
      <w:pPr>
        <w:jc w:val="both"/>
        <w:ind w:left="260" w:hanging="259"/>
        <w:spacing w:after="0" w:line="289" w:lineRule="auto"/>
        <w:rPr>
          <w:rFonts w:ascii="Arial" w:cs="Arial" w:eastAsia="Arial" w:hAnsi="Arial"/>
          <w:sz w:val="15"/>
          <w:szCs w:val="15"/>
          <w:color w:val="auto"/>
        </w:rPr>
      </w:pPr>
      <w:r>
        <w:rPr>
          <w:rFonts w:ascii="Arial" w:cs="Arial" w:eastAsia="Arial" w:hAnsi="Arial"/>
          <w:sz w:val="15"/>
          <w:szCs w:val="15"/>
          <w:color w:val="auto"/>
        </w:rPr>
        <w:t xml:space="preserve">Li, P., Du, R., Wang, Y., Hou, X., Wang, L., Zhao, X., … Cui, Q. (2020). Identi-fication of Chebulinic acid and Chebulagic acid as novel influenza viral neuraminidase inhibitors. Frontiers in Microbiology, 11, 182. </w:t>
      </w:r>
      <w:hyperlink r:id="rId58">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58">
        <w:r>
          <w:rPr>
            <w:rFonts w:ascii="Arial" w:cs="Arial" w:eastAsia="Arial" w:hAnsi="Arial"/>
            <w:sz w:val="15"/>
            <w:szCs w:val="15"/>
            <w:color w:val="auto"/>
          </w:rPr>
          <w:t>doi.org/10.3389/fmicb.2020.00182</w:t>
        </w:r>
      </w:hyperlink>
    </w:p>
    <w:p>
      <w:pPr>
        <w:spacing w:after="0" w:line="12" w:lineRule="exact"/>
        <w:rPr>
          <w:sz w:val="20"/>
          <w:szCs w:val="20"/>
          <w:color w:val="auto"/>
        </w:rPr>
      </w:pPr>
    </w:p>
    <w:p>
      <w:pPr>
        <w:jc w:val="both"/>
        <w:ind w:left="260" w:hanging="259"/>
        <w:spacing w:after="0" w:line="354" w:lineRule="auto"/>
        <w:rPr>
          <w:rFonts w:ascii="Arial" w:cs="Arial" w:eastAsia="Arial" w:hAnsi="Arial"/>
          <w:sz w:val="13"/>
          <w:szCs w:val="13"/>
          <w:color w:val="auto"/>
        </w:rPr>
      </w:pPr>
      <w:r>
        <w:rPr>
          <w:rFonts w:ascii="Arial" w:cs="Arial" w:eastAsia="Arial" w:hAnsi="Arial"/>
          <w:sz w:val="13"/>
          <w:szCs w:val="13"/>
          <w:color w:val="auto"/>
        </w:rPr>
        <w:t xml:space="preserve">Liu, K., Chen, Y., Lin, R., &amp; Han, K. (2020). Clinical features of COVID-19 in elderly patients: A comparison with young and middle-aged patients. The Journal of Infection, 80, e14–e18. </w:t>
      </w:r>
      <w:hyperlink r:id="rId59">
        <w:r>
          <w:rPr>
            <w:rFonts w:ascii="Arial" w:cs="Arial" w:eastAsia="Arial" w:hAnsi="Arial"/>
            <w:sz w:val="13"/>
            <w:szCs w:val="13"/>
            <w:color w:val="auto"/>
          </w:rPr>
          <w:t>https://doi.org/10.1016/j.jinf.2020.03.005</w:t>
        </w:r>
      </w:hyperlink>
    </w:p>
    <w:p>
      <w:pPr>
        <w:spacing w:after="0" w:line="20" w:lineRule="exact"/>
        <w:rPr>
          <w:sz w:val="20"/>
          <w:szCs w:val="20"/>
          <w:color w:val="auto"/>
        </w:rPr>
      </w:pPr>
      <w:r>
        <w:rPr>
          <w:sz w:val="20"/>
          <w:szCs w:val="20"/>
          <w:color w:val="auto"/>
        </w:rPr>
        <w:br w:type="column"/>
      </w:r>
    </w:p>
    <w:p>
      <w:pPr>
        <w:spacing w:after="0" w:line="288" w:lineRule="exact"/>
        <w:rPr>
          <w:sz w:val="20"/>
          <w:szCs w:val="20"/>
          <w:color w:val="auto"/>
        </w:rPr>
      </w:pPr>
    </w:p>
    <w:p>
      <w:pPr>
        <w:jc w:val="both"/>
        <w:ind w:hanging="259"/>
        <w:spacing w:after="0" w:line="313" w:lineRule="auto"/>
        <w:rPr>
          <w:rFonts w:ascii="Arial" w:cs="Arial" w:eastAsia="Arial" w:hAnsi="Arial"/>
          <w:sz w:val="14"/>
          <w:szCs w:val="14"/>
          <w:color w:val="auto"/>
        </w:rPr>
      </w:pPr>
      <w:r>
        <w:rPr>
          <w:rFonts w:ascii="Arial" w:cs="Arial" w:eastAsia="Arial" w:hAnsi="Arial"/>
          <w:sz w:val="14"/>
          <w:szCs w:val="14"/>
          <w:color w:val="auto"/>
        </w:rPr>
        <w:t xml:space="preserve">Mahmood, M. S., Mártinez, J. L., Aslam, A., Rafique, A., Vinet, R., Laurido, C., … Ali, S. (2016). Antiviral effects of green tea (Camellia sinensis) against pathogenic viruses in human and animals (a mini-review). African Journal of Traditional, Complementary, and Alternative Medicines, 13(2), 176–184. </w:t>
      </w:r>
      <w:hyperlink r:id="rId60">
        <w:r>
          <w:rPr>
            <w:rFonts w:ascii="Arial" w:cs="Arial" w:eastAsia="Arial" w:hAnsi="Arial"/>
            <w:sz w:val="14"/>
            <w:szCs w:val="14"/>
            <w:color w:val="auto"/>
          </w:rPr>
          <w:t>https://doi.org/10.4314/ajtcam.v13i2.21</w:t>
        </w:r>
      </w:hyperlink>
    </w:p>
    <w:p>
      <w:pPr>
        <w:jc w:val="both"/>
        <w:ind w:hanging="259"/>
        <w:spacing w:after="0" w:line="286" w:lineRule="auto"/>
        <w:rPr>
          <w:rFonts w:ascii="Arial" w:cs="Arial" w:eastAsia="Arial" w:hAnsi="Arial"/>
          <w:sz w:val="15"/>
          <w:szCs w:val="15"/>
          <w:color w:val="auto"/>
        </w:rPr>
      </w:pPr>
      <w:r>
        <w:rPr>
          <w:rFonts w:ascii="Arial" w:cs="Arial" w:eastAsia="Arial" w:hAnsi="Arial"/>
          <w:sz w:val="15"/>
          <w:szCs w:val="15"/>
          <w:color w:val="auto"/>
        </w:rPr>
        <w:t xml:space="preserve">Newman, D. J., &amp; Cragg, G. M. (2007). Natural products as sources of new drugs over the last 25 years. Journal of Natural Products, 70, 461–477. </w:t>
      </w:r>
      <w:hyperlink r:id="rId61">
        <w:r>
          <w:rPr>
            <w:rFonts w:ascii="Arial" w:cs="Arial" w:eastAsia="Arial" w:hAnsi="Arial"/>
            <w:sz w:val="15"/>
            <w:szCs w:val="15"/>
            <w:color w:val="auto"/>
          </w:rPr>
          <w:t>https://doi.org/10.1021/np068054v</w:t>
        </w:r>
      </w:hyperlink>
    </w:p>
    <w:p>
      <w:pPr>
        <w:spacing w:after="0" w:line="14" w:lineRule="exact"/>
        <w:rPr>
          <w:sz w:val="20"/>
          <w:szCs w:val="20"/>
          <w:color w:val="auto"/>
        </w:rPr>
      </w:pPr>
    </w:p>
    <w:p>
      <w:pPr>
        <w:jc w:val="both"/>
        <w:ind w:hanging="259"/>
        <w:spacing w:after="0" w:line="286" w:lineRule="auto"/>
        <w:rPr>
          <w:rFonts w:ascii="Arial" w:cs="Arial" w:eastAsia="Arial" w:hAnsi="Arial"/>
          <w:sz w:val="15"/>
          <w:szCs w:val="15"/>
          <w:color w:val="auto"/>
        </w:rPr>
      </w:pPr>
      <w:r>
        <w:rPr>
          <w:rFonts w:ascii="Arial" w:cs="Arial" w:eastAsia="Arial" w:hAnsi="Arial"/>
          <w:sz w:val="15"/>
          <w:szCs w:val="15"/>
          <w:color w:val="auto"/>
        </w:rPr>
        <w:t xml:space="preserve">Raghavendhar, S., Tripati, P. K., Ray, P., &amp; Patel, A. K. (2019). Evaluation of medicinal herbs for anti-CHIKV activity. Virology, 533, 45–49. </w:t>
      </w:r>
      <w:hyperlink r:id="rId62">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62">
        <w:r>
          <w:rPr>
            <w:rFonts w:ascii="Arial" w:cs="Arial" w:eastAsia="Arial" w:hAnsi="Arial"/>
            <w:sz w:val="15"/>
            <w:szCs w:val="15"/>
            <w:color w:val="auto"/>
          </w:rPr>
          <w:t>doi.org/10.1016/j.virol.2019.04.007</w:t>
        </w:r>
      </w:hyperlink>
    </w:p>
    <w:p>
      <w:pPr>
        <w:spacing w:after="0" w:line="13" w:lineRule="exact"/>
        <w:rPr>
          <w:sz w:val="20"/>
          <w:szCs w:val="20"/>
          <w:color w:val="auto"/>
        </w:rPr>
      </w:pPr>
    </w:p>
    <w:p>
      <w:pPr>
        <w:jc w:val="both"/>
        <w:ind w:hanging="259"/>
        <w:spacing w:after="0" w:line="287" w:lineRule="auto"/>
        <w:rPr>
          <w:rFonts w:ascii="Arial" w:cs="Arial" w:eastAsia="Arial" w:hAnsi="Arial"/>
          <w:sz w:val="15"/>
          <w:szCs w:val="15"/>
          <w:color w:val="auto"/>
        </w:rPr>
      </w:pPr>
      <w:r>
        <w:rPr>
          <w:rFonts w:ascii="Arial" w:cs="Arial" w:eastAsia="Arial" w:hAnsi="Arial"/>
          <w:sz w:val="15"/>
          <w:szCs w:val="15"/>
          <w:color w:val="auto"/>
        </w:rPr>
        <w:t xml:space="preserve">Studier, F. W. (2005). Protein production by auto-induction in high density shaking cultures. Protein Expression and Purification, 41, 207–234. </w:t>
      </w:r>
      <w:hyperlink r:id="rId63">
        <w:r>
          <w:rPr>
            <w:rFonts w:ascii="Arial" w:cs="Arial" w:eastAsia="Arial" w:hAnsi="Arial"/>
            <w:sz w:val="15"/>
            <w:szCs w:val="15"/>
            <w:color w:val="auto"/>
          </w:rPr>
          <w:t>https://doi.org/10.1016/j.pep.2005.01.016</w:t>
        </w:r>
      </w:hyperlink>
    </w:p>
    <w:p>
      <w:pPr>
        <w:spacing w:after="0" w:line="12" w:lineRule="exact"/>
        <w:rPr>
          <w:sz w:val="20"/>
          <w:szCs w:val="20"/>
          <w:color w:val="auto"/>
        </w:rPr>
      </w:pPr>
    </w:p>
    <w:p>
      <w:pPr>
        <w:jc w:val="both"/>
        <w:ind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Varga, Z., Flammer, A. J., Steiger, P., Haberecker, M., Andermatt, R., Zinkernagel, A. S., … Moch, H. (2020). Endothelial cell infection and endotheliitis in COVID-19. The Lancet, 395, 1417–1418. </w:t>
      </w:r>
      <w:hyperlink r:id="rId64">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64">
        <w:r>
          <w:rPr>
            <w:rFonts w:ascii="Arial" w:cs="Arial" w:eastAsia="Arial" w:hAnsi="Arial"/>
            <w:sz w:val="15"/>
            <w:szCs w:val="15"/>
            <w:color w:val="auto"/>
          </w:rPr>
          <w:t>org/10.1016/S0140-6736(20)30937-5</w:t>
        </w:r>
      </w:hyperlink>
    </w:p>
    <w:p>
      <w:pPr>
        <w:spacing w:after="0" w:line="12" w:lineRule="exact"/>
        <w:rPr>
          <w:sz w:val="20"/>
          <w:szCs w:val="20"/>
          <w:color w:val="auto"/>
        </w:rPr>
      </w:pPr>
    </w:p>
    <w:p>
      <w:pPr>
        <w:jc w:val="both"/>
        <w:ind w:hanging="259"/>
        <w:spacing w:after="0" w:line="290" w:lineRule="auto"/>
        <w:rPr>
          <w:rFonts w:ascii="Arial" w:cs="Arial" w:eastAsia="Arial" w:hAnsi="Arial"/>
          <w:sz w:val="15"/>
          <w:szCs w:val="15"/>
          <w:color w:val="auto"/>
        </w:rPr>
      </w:pPr>
      <w:r>
        <w:rPr>
          <w:rFonts w:ascii="Arial" w:cs="Arial" w:eastAsia="Arial" w:hAnsi="Arial"/>
          <w:sz w:val="15"/>
          <w:szCs w:val="15"/>
          <w:color w:val="auto"/>
        </w:rPr>
        <w:t xml:space="preserve">Xu, L., Liu, J., Lu, M., Yang, D., &amp; Zheng, X. (2020). Liver injury during highly pathogenic human coronavirus infections. Liver International, 40, 998–1004. </w:t>
      </w:r>
      <w:hyperlink r:id="rId65">
        <w:r>
          <w:rPr>
            <w:rFonts w:ascii="Arial" w:cs="Arial" w:eastAsia="Arial" w:hAnsi="Arial"/>
            <w:sz w:val="15"/>
            <w:szCs w:val="15"/>
            <w:color w:val="auto"/>
          </w:rPr>
          <w:t>https://doi.org/10.1111/liv.14435</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-176530</wp:posOffset>
            </wp:positionH>
            <wp:positionV relativeFrom="paragraph">
              <wp:posOffset>461010</wp:posOffset>
            </wp:positionV>
            <wp:extent cx="3108325" cy="109220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6">
                      <a:extLst>
                        <a:ext uri="{28A0092B-C50C-407E-A947-70E740481C1C}"/>
                      </a:extLst>
                    </a:blip>
                    <a:srcRect/>
                    <a:stretch>
                      <a:fillRect/>
                    </a:stretch>
                  </pic:blipFill>
                  <pic:spPr bwMode="auto">
                    <a:xfrm>
                      <a:off x="0" y="0"/>
                      <a:ext cx="3108325" cy="10922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right="540"/>
        <w:spacing w:after="0" w:line="366" w:lineRule="auto"/>
        <w:rPr>
          <w:rFonts w:ascii="Arial" w:cs="Arial" w:eastAsia="Arial" w:hAnsi="Arial"/>
          <w:sz w:val="15"/>
          <w:szCs w:val="15"/>
          <w:color w:val="auto"/>
        </w:rPr>
      </w:pPr>
      <w:r>
        <w:rPr>
          <w:rFonts w:ascii="Arial" w:cs="Arial" w:eastAsia="Arial" w:hAnsi="Arial"/>
          <w:sz w:val="15"/>
          <w:szCs w:val="15"/>
          <w:color w:val="auto"/>
        </w:rPr>
        <w:t xml:space="preserve">How to cite this article: Upadhyay S, Tripathi PK, Singh M, Raghavendhar S, Bhardwaj M, Patel AK. Evaluation of medicinal herbs as a potential therapeutic option against SARS-CoV-2 targeting its main protease. Phytotherapy Research. 2020;1–9. </w:t>
      </w:r>
      <w:hyperlink r:id="rId67">
        <w:r>
          <w:rPr>
            <w:rFonts w:ascii="Arial" w:cs="Arial" w:eastAsia="Arial" w:hAnsi="Arial"/>
            <w:sz w:val="15"/>
            <w:szCs w:val="15"/>
            <w:u w:val="single" w:color="auto"/>
            <w:color w:val="002786"/>
          </w:rPr>
          <w:t>https://doi.org/10.1002/ptr.6802</w:t>
        </w:r>
      </w:hyperlink>
    </w:p>
    <w:sectPr>
      <w:pgSz w:w="11900" w:h="15647" w:orient="portrait"/>
      <w:cols w:equalWidth="0" w:num="2">
        <w:col w:w="4860" w:space="620"/>
        <w:col w:w="4600"/>
      </w:cols>
      <w:pgMar w:left="900" w:top="415" w:right="92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45"/>
    </w:lvl>
  </w:abstractNum>
  <w:abstractNum w:abstractNumId="1">
    <w:nsid w:val="66334873"/>
    <w:multiLevelType w:val="hybridMultilevel"/>
    <w:lvl w:ilvl="0">
      <w:lvlJc w:val="left"/>
      <w:lvlText w:val="(%1)"/>
      <w:numFmt w:val="upperLetter"/>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jpe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jpeg"/><Relationship Id="rId32" Type="http://schemas.openxmlformats.org/officeDocument/2006/relationships/image" Target="media/image22.jpeg"/><Relationship Id="rId33" Type="http://schemas.openxmlformats.org/officeDocument/2006/relationships/image" Target="media/image23.png"/><Relationship Id="rId34" Type="http://schemas.openxmlformats.org/officeDocument/2006/relationships/image" Target="media/image24.jpeg"/><Relationship Id="rId35" Type="http://schemas.openxmlformats.org/officeDocument/2006/relationships/image" Target="media/image25.png"/><Relationship Id="rId37" Type="http://schemas.openxmlformats.org/officeDocument/2006/relationships/image" Target="media/image26.png"/><Relationship Id="rId51" Type="http://schemas.openxmlformats.org/officeDocument/2006/relationships/image" Target="media/image27.png"/><Relationship Id="rId66" Type="http://schemas.openxmlformats.org/officeDocument/2006/relationships/image" Target="media/image28.png"/><Relationship Id="rId13" Type="http://schemas.openxmlformats.org/officeDocument/2006/relationships/hyperlink" Target="mailto:ashokpatel@bioschool.iitd.ac.in" TargetMode="External"/><Relationship Id="rId17" Type="http://schemas.openxmlformats.org/officeDocument/2006/relationships/hyperlink" Target="http://wileyonlinelibrary.com/journal/ptr" TargetMode="External"/><Relationship Id="rId25" Type="http://schemas.openxmlformats.org/officeDocument/2006/relationships/hyperlink" Target="http://wileyonlinelibrary.com" TargetMode="External"/><Relationship Id="rId36" Type="http://schemas.openxmlformats.org/officeDocument/2006/relationships/hyperlink" Target="https://orcid.org/0000-0001-6134-7794" TargetMode="External"/><Relationship Id="rId38" Type="http://schemas.openxmlformats.org/officeDocument/2006/relationships/hyperlink" Target="https://doi.org/10.1126/science.1085658" TargetMode="External"/><Relationship Id="rId39" Type="http://schemas.openxmlformats.org/officeDocument/2006/relationships/hyperlink" Target="https://doi.org/10.12688/f1000research.15642.1" TargetMode="External"/><Relationship Id="rId40" Type="http://schemas.openxmlformats.org/officeDocument/2006/relationships/hyperlink" Target="https://doi.org/10.1080/07315724.2006.10719518" TargetMode="External"/><Relationship Id="rId41" Type="http://schemas.openxmlformats.org/officeDocument/2006/relationships/hyperlink" Target="https://doi.org/10.1016/j.tplants.2020.04.009" TargetMode="External"/><Relationship Id="rId42" Type="http://schemas.openxmlformats.org/officeDocument/2006/relationships/hyperlink" Target="https://doi.org/10.1016/j.virol.2016.06.012" TargetMode="External"/><Relationship Id="rId43" Type="http://schemas.openxmlformats.org/officeDocument/2006/relationships/hyperlink" Target="https://doi.org/10.1016/j.foodchem.2006.07.009" TargetMode="External"/><Relationship Id="rId44" Type="http://schemas.openxmlformats.org/officeDocument/2006/relationships/hyperlink" Target="https://doi.org/10.1016/S0140-6736(20)30154-9" TargetMode="External"/><Relationship Id="rId45" Type="http://schemas.openxmlformats.org/officeDocument/2006/relationships/hyperlink" Target="https://doi.org/10.1093/ecam/neh081" TargetMode="External"/><Relationship Id="rId46" Type="http://schemas.openxmlformats.org/officeDocument/2006/relationships/hyperlink" Target="https://doi.org/10.1177/095632020201300403" TargetMode="External"/><Relationship Id="rId47" Type="http://schemas.openxmlformats.org/officeDocument/2006/relationships/hyperlink" Target="https://doi.org/10.1089/acm.2005.11.521" TargetMode="External"/><Relationship Id="rId48" Type="http://schemas.openxmlformats.org/officeDocument/2006/relationships/hyperlink" Target="https://doi.org/10.1089/acm.2005.11.639" TargetMode="External"/><Relationship Id="rId49" Type="http://schemas.openxmlformats.org/officeDocument/2006/relationships/hyperlink" Target="https://doi.org/10.1038/nm.4306" TargetMode="External"/><Relationship Id="rId50" Type="http://schemas.openxmlformats.org/officeDocument/2006/relationships/hyperlink" Target="https://doi.org/10.3791/899" TargetMode="External"/><Relationship Id="rId52" Type="http://schemas.openxmlformats.org/officeDocument/2006/relationships/hyperlink" Target="https://doi.org/10.1038/s41564-020-0695-z" TargetMode="External"/><Relationship Id="rId53" Type="http://schemas.openxmlformats.org/officeDocument/2006/relationships/hyperlink" Target="https://doi.org/10.1111/febs.12936" TargetMode="External"/><Relationship Id="rId54" Type="http://schemas.openxmlformats.org/officeDocument/2006/relationships/hyperlink" Target="https://doi.org/10.7314/apjcp.2015.16.10.4199" TargetMode="External"/><Relationship Id="rId55" Type="http://schemas.openxmlformats.org/officeDocument/2006/relationships/hyperlink" Target="https://doi.org/10.1186/s12906-017-1620-8" TargetMode="External"/><Relationship Id="rId56" Type="http://schemas.openxmlformats.org/officeDocument/2006/relationships/hyperlink" Target="https://doi.org/10.3839/jksabc.2011.046" TargetMode="External"/><Relationship Id="rId57" Type="http://schemas.openxmlformats.org/officeDocument/2006/relationships/hyperlink" Target="https://doi.org/10.1186/s13036-017-0092-1" TargetMode="External"/><Relationship Id="rId58" Type="http://schemas.openxmlformats.org/officeDocument/2006/relationships/hyperlink" Target="https://doi.org/10.3389/fmicb.2020.00182" TargetMode="External"/><Relationship Id="rId59" Type="http://schemas.openxmlformats.org/officeDocument/2006/relationships/hyperlink" Target="https://doi.org/10.1016/j.jinf.2020.03.005" TargetMode="External"/><Relationship Id="rId60" Type="http://schemas.openxmlformats.org/officeDocument/2006/relationships/hyperlink" Target="https://doi.org/10.4314/ajtcam.v13i2.21" TargetMode="External"/><Relationship Id="rId61" Type="http://schemas.openxmlformats.org/officeDocument/2006/relationships/hyperlink" Target="https://doi.org/10.1021/np068054v" TargetMode="External"/><Relationship Id="rId62" Type="http://schemas.openxmlformats.org/officeDocument/2006/relationships/hyperlink" Target="https://doi.org/10.1016/j.virol.2019.04.007" TargetMode="External"/><Relationship Id="rId63" Type="http://schemas.openxmlformats.org/officeDocument/2006/relationships/hyperlink" Target="https://doi.org/10.1016/j.pep.2005.01.016" TargetMode="External"/><Relationship Id="rId64" Type="http://schemas.openxmlformats.org/officeDocument/2006/relationships/hyperlink" Target="https://doi.org/10.1016/S0140-6736(20)30937-5" TargetMode="External"/><Relationship Id="rId65" Type="http://schemas.openxmlformats.org/officeDocument/2006/relationships/hyperlink" Target="https://doi.org/10.1111/liv.14435" TargetMode="External"/><Relationship Id="rId67" Type="http://schemas.openxmlformats.org/officeDocument/2006/relationships/hyperlink" Target="https://doi.org/10.1002/ptr.680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2020-09-15T04:03:23Z</dcterms:created>
  <dcterms:modified xsi:type="dcterms:W3CDTF">2020-09-15T04:03:23Z</dcterms:modified>
</cp:coreProperties>
</file>