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562610</wp:posOffset>
            </wp:positionH>
            <wp:positionV relativeFrom="page">
              <wp:posOffset>127000</wp:posOffset>
            </wp:positionV>
            <wp:extent cx="6908800"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08800" cy="571500"/>
                    </a:xfrm>
                    <a:prstGeom prst="rect">
                      <a:avLst/>
                    </a:prstGeom>
                    <a:noFill/>
                  </pic:spPr>
                </pic:pic>
              </a:graphicData>
            </a:graphic>
          </wp:anchor>
        </w:drawing>
        <w:t xml:space="preserve">Received: 8 December 2019  </w:t>
      </w:r>
      <w:r>
        <w:rPr>
          <w:sz w:val="1"/>
          <w:szCs w:val="1"/>
          <w:color w:val="auto"/>
        </w:rPr>
        <w:drawing>
          <wp:inline distT="0" distB="0" distL="0" distR="0">
            <wp:extent cx="18415" cy="17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8415" cy="170815"/>
                    </a:xfrm>
                    <a:prstGeom prst="rect">
                      <a:avLst/>
                    </a:prstGeom>
                    <a:noFill/>
                    <a:ln>
                      <a:noFill/>
                    </a:ln>
                  </pic:spPr>
                </pic:pic>
              </a:graphicData>
            </a:graphic>
          </wp:inline>
        </w:drawing>
      </w:r>
      <w:r>
        <w:rPr>
          <w:rFonts w:ascii="Arial" w:cs="Arial" w:eastAsia="Arial" w:hAnsi="Arial"/>
          <w:sz w:val="14"/>
          <w:szCs w:val="14"/>
          <w:color w:val="auto"/>
        </w:rPr>
        <w:t xml:space="preserve">  Revised: 11 June 2020  </w:t>
      </w:r>
      <w:r>
        <w:rPr>
          <w:sz w:val="1"/>
          <w:szCs w:val="1"/>
          <w:color w:val="auto"/>
        </w:rPr>
        <w:drawing>
          <wp:inline distT="0" distB="0" distL="0" distR="0">
            <wp:extent cx="19050" cy="17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Accepted: 13 June 2020</w:t>
      </w:r>
    </w:p>
    <w:p>
      <w:pPr>
        <w:spacing w:after="0" w:line="33" w:lineRule="exact"/>
        <w:rPr>
          <w:sz w:val="24"/>
          <w:szCs w:val="24"/>
          <w:color w:val="auto"/>
        </w:rPr>
      </w:pPr>
    </w:p>
    <w:p>
      <w:pPr>
        <w:ind w:left="20"/>
        <w:spacing w:after="0"/>
        <w:rPr>
          <w:sz w:val="20"/>
          <w:szCs w:val="20"/>
          <w:color w:val="auto"/>
        </w:rPr>
      </w:pPr>
      <w:r>
        <w:rPr>
          <w:rFonts w:ascii="Arial" w:cs="Arial" w:eastAsia="Arial" w:hAnsi="Arial"/>
          <w:sz w:val="14"/>
          <w:szCs w:val="14"/>
          <w:color w:val="auto"/>
        </w:rPr>
        <w:t>DOI: 10.1002/rra.3674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5722620</wp:posOffset>
            </wp:positionH>
            <wp:positionV relativeFrom="paragraph">
              <wp:posOffset>151130</wp:posOffset>
            </wp:positionV>
            <wp:extent cx="687705" cy="143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313" w:lineRule="exact"/>
        <w:rPr>
          <w:sz w:val="24"/>
          <w:szCs w:val="24"/>
          <w:color w:val="auto"/>
        </w:rPr>
      </w:pPr>
    </w:p>
    <w:p>
      <w:pPr>
        <w:ind w:left="20"/>
        <w:spacing w:after="0"/>
        <w:rPr>
          <w:sz w:val="20"/>
          <w:szCs w:val="20"/>
          <w:color w:val="auto"/>
        </w:rPr>
      </w:pPr>
      <w:r>
        <w:rPr>
          <w:rFonts w:ascii="Arial" w:cs="Arial" w:eastAsia="Arial" w:hAnsi="Arial"/>
          <w:sz w:val="18"/>
          <w:szCs w:val="18"/>
          <w:color w:val="auto"/>
        </w:rPr>
        <w:t>RESEARCH ARTICLE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38100</wp:posOffset>
                </wp:positionV>
                <wp:extent cx="14103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10335" cy="4763"/>
                        </a:xfrm>
                        <a:prstGeom prst="line">
                          <a:avLst/>
                        </a:prstGeom>
                        <a:solidFill>
                          <a:srgbClr val="FFFFFF"/>
                        </a:solidFill>
                        <a:ln w="2494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3pt" to="111.8pt,3pt" o:allowincell="f" strokecolor="#000000" strokeweight="1.963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38100</wp:posOffset>
                </wp:positionV>
                <wp:extent cx="12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pt" to="1.25pt,3pt" o:allowincell="f" strokecolor="#000000" strokeweight="0.9639pt"/>
            </w:pict>
          </mc:Fallback>
        </mc:AlternateContent>
      </w:r>
    </w:p>
    <w:p>
      <w:pPr>
        <w:spacing w:after="0" w:line="200" w:lineRule="exact"/>
        <w:rPr>
          <w:sz w:val="24"/>
          <w:szCs w:val="24"/>
          <w:color w:val="auto"/>
        </w:rPr>
      </w:pPr>
    </w:p>
    <w:p>
      <w:pPr>
        <w:spacing w:after="0" w:line="350" w:lineRule="exact"/>
        <w:rPr>
          <w:sz w:val="24"/>
          <w:szCs w:val="24"/>
          <w:color w:val="auto"/>
        </w:rPr>
      </w:pPr>
    </w:p>
    <w:p>
      <w:pPr>
        <w:ind w:left="20" w:right="980"/>
        <w:spacing w:after="0" w:line="275" w:lineRule="auto"/>
        <w:rPr>
          <w:sz w:val="20"/>
          <w:szCs w:val="20"/>
          <w:color w:val="auto"/>
        </w:rPr>
      </w:pPr>
      <w:r>
        <w:rPr>
          <w:rFonts w:ascii="Arial" w:cs="Arial" w:eastAsia="Arial" w:hAnsi="Arial"/>
          <w:sz w:val="35"/>
          <w:szCs w:val="35"/>
          <w:color w:val="auto"/>
        </w:rPr>
        <w:t>Invasive macrophytes induce context-specific effects on oxygen, pH, and temperature in a hydropeaking reservoir</w:t>
      </w:r>
    </w:p>
    <w:p>
      <w:pPr>
        <w:spacing w:after="0" w:line="400" w:lineRule="exact"/>
        <w:rPr>
          <w:sz w:val="24"/>
          <w:szCs w:val="24"/>
          <w:color w:val="auto"/>
        </w:rPr>
      </w:pPr>
    </w:p>
    <w:tbl>
      <w:tblPr>
        <w:tblLayout w:type="fixed"/>
        <w:tblInd w:w="20" w:type="dxa"/>
        <w:tblCellMar>
          <w:top w:w="0" w:type="dxa"/>
          <w:left w:w="0" w:type="dxa"/>
          <w:bottom w:w="0" w:type="dxa"/>
          <w:right w:w="0" w:type="dxa"/>
        </w:tblCellMar>
      </w:tblPr>
      <w:tr>
        <w:trPr>
          <w:trHeight w:val="357"/>
        </w:trPr>
        <w:tc>
          <w:tcPr>
            <w:tcW w:w="2200" w:type="dxa"/>
            <w:vAlign w:val="bottom"/>
          </w:tcPr>
          <w:p>
            <w:pPr>
              <w:spacing w:after="0"/>
              <w:rPr>
                <w:sz w:val="20"/>
                <w:szCs w:val="20"/>
                <w:color w:val="auto"/>
              </w:rPr>
            </w:pPr>
            <w:r>
              <w:rPr>
                <w:rFonts w:ascii="Arial" w:cs="Arial" w:eastAsia="Arial" w:hAnsi="Arial"/>
                <w:sz w:val="24"/>
                <w:szCs w:val="24"/>
                <w:color w:val="auto"/>
              </w:rPr>
              <w:t>Thomas P. Moore</w:t>
            </w:r>
            <w:r>
              <w:rPr>
                <w:rFonts w:ascii="Arial" w:cs="Arial" w:eastAsia="Arial" w:hAnsi="Arial"/>
                <w:sz w:val="31"/>
                <w:szCs w:val="31"/>
                <w:color w:val="auto"/>
                <w:vertAlign w:val="superscript"/>
              </w:rPr>
              <w:t>1</w:t>
            </w:r>
          </w:p>
        </w:tc>
        <w:tc>
          <w:tcPr>
            <w:tcW w:w="2940" w:type="dxa"/>
            <w:vAlign w:val="bottom"/>
          </w:tcPr>
          <w:p>
            <w:pPr>
              <w:ind w:left="240"/>
              <w:spacing w:after="0"/>
              <w:rPr>
                <w:sz w:val="20"/>
                <w:szCs w:val="20"/>
                <w:color w:val="auto"/>
              </w:rPr>
            </w:pPr>
            <w:r>
              <w:rPr>
                <w:rFonts w:ascii="Arial" w:cs="Arial" w:eastAsia="Arial" w:hAnsi="Arial"/>
                <w:sz w:val="24"/>
                <w:szCs w:val="24"/>
                <w:color w:val="auto"/>
              </w:rPr>
              <w:t>|  Susan J. Clearwater</w:t>
            </w:r>
            <w:r>
              <w:rPr>
                <w:rFonts w:ascii="Arial" w:cs="Arial" w:eastAsia="Arial" w:hAnsi="Arial"/>
                <w:sz w:val="31"/>
                <w:szCs w:val="31"/>
                <w:color w:val="auto"/>
                <w:vertAlign w:val="superscript"/>
              </w:rPr>
              <w:t>2</w:t>
            </w:r>
          </w:p>
        </w:tc>
        <w:tc>
          <w:tcPr>
            <w:tcW w:w="2340" w:type="dxa"/>
            <w:vAlign w:val="bottom"/>
          </w:tcPr>
          <w:p>
            <w:pPr>
              <w:ind w:left="240"/>
              <w:spacing w:after="0"/>
              <w:rPr>
                <w:sz w:val="20"/>
                <w:szCs w:val="20"/>
                <w:color w:val="auto"/>
              </w:rPr>
            </w:pPr>
            <w:r>
              <w:rPr>
                <w:rFonts w:ascii="Arial" w:cs="Arial" w:eastAsia="Arial" w:hAnsi="Arial"/>
                <w:sz w:val="24"/>
                <w:szCs w:val="24"/>
                <w:color w:val="auto"/>
              </w:rPr>
              <w:t>|  Ian C. Duggan</w:t>
            </w:r>
            <w:r>
              <w:rPr>
                <w:rFonts w:ascii="Arial" w:cs="Arial" w:eastAsia="Arial" w:hAnsi="Arial"/>
                <w:sz w:val="31"/>
                <w:szCs w:val="31"/>
                <w:color w:val="auto"/>
                <w:vertAlign w:val="superscript"/>
              </w:rPr>
              <w:t>1</w:t>
            </w:r>
          </w:p>
        </w:tc>
        <w:tc>
          <w:tcPr>
            <w:tcW w:w="2220" w:type="dxa"/>
            <w:vAlign w:val="bottom"/>
          </w:tcPr>
          <w:p>
            <w:pPr>
              <w:ind w:left="240"/>
              <w:spacing w:after="0"/>
              <w:rPr>
                <w:sz w:val="20"/>
                <w:szCs w:val="20"/>
                <w:color w:val="auto"/>
              </w:rPr>
            </w:pPr>
            <w:r>
              <w:rPr>
                <w:rFonts w:ascii="Arial" w:cs="Arial" w:eastAsia="Arial" w:hAnsi="Arial"/>
                <w:sz w:val="24"/>
                <w:szCs w:val="24"/>
                <w:color w:val="auto"/>
              </w:rPr>
              <w:t>|  Kevin J. Collier</w:t>
            </w:r>
            <w:r>
              <w:rPr>
                <w:rFonts w:ascii="Arial" w:cs="Arial" w:eastAsia="Arial" w:hAnsi="Arial"/>
                <w:sz w:val="31"/>
                <w:szCs w:val="31"/>
                <w:color w:val="auto"/>
                <w:vertAlign w:val="superscript"/>
              </w:rPr>
              <w:t>1</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1287780</wp:posOffset>
            </wp:positionH>
            <wp:positionV relativeFrom="paragraph">
              <wp:posOffset>-193675</wp:posOffset>
            </wp:positionV>
            <wp:extent cx="133350" cy="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3150870</wp:posOffset>
            </wp:positionH>
            <wp:positionV relativeFrom="paragraph">
              <wp:posOffset>-193675</wp:posOffset>
            </wp:positionV>
            <wp:extent cx="133350" cy="133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4641215</wp:posOffset>
            </wp:positionH>
            <wp:positionV relativeFrom="paragraph">
              <wp:posOffset>-193675</wp:posOffset>
            </wp:positionV>
            <wp:extent cx="133350" cy="133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6189980</wp:posOffset>
            </wp:positionH>
            <wp:positionV relativeFrom="paragraph">
              <wp:posOffset>-193675</wp:posOffset>
            </wp:positionV>
            <wp:extent cx="133350" cy="133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ectPr>
          <w:pgSz w:w="11900" w:h="15647" w:orient="portrait"/>
          <w:cols w:equalWidth="0" w:num="1">
            <w:col w:w="10100"/>
          </w:cols>
          <w:pgMar w:left="880" w:top="530" w:right="926" w:bottom="0" w:gutter="0" w:footer="0" w:header="0"/>
        </w:sectPr>
      </w:pPr>
    </w:p>
    <w:p>
      <w:pPr>
        <w:spacing w:after="0" w:line="200" w:lineRule="exact"/>
        <w:rPr>
          <w:sz w:val="24"/>
          <w:szCs w:val="24"/>
          <w:color w:val="auto"/>
        </w:rPr>
      </w:pPr>
    </w:p>
    <w:p>
      <w:pPr>
        <w:spacing w:after="0" w:line="232" w:lineRule="exact"/>
        <w:rPr>
          <w:sz w:val="24"/>
          <w:szCs w:val="24"/>
          <w:color w:val="auto"/>
        </w:rPr>
      </w:pPr>
    </w:p>
    <w:p>
      <w:pPr>
        <w:ind w:left="20"/>
        <w:spacing w:after="0" w:line="267" w:lineRule="auto"/>
        <w:rPr>
          <w:sz w:val="20"/>
          <w:szCs w:val="20"/>
          <w:color w:val="auto"/>
        </w:rPr>
      </w:pPr>
      <w:r>
        <w:rPr>
          <w:rFonts w:ascii="Arial" w:cs="Arial" w:eastAsia="Arial" w:hAnsi="Arial"/>
          <w:sz w:val="18"/>
          <w:szCs w:val="18"/>
          <w:color w:val="auto"/>
          <w:vertAlign w:val="superscript"/>
        </w:rPr>
        <w:t>1</w:t>
      </w:r>
      <w:r>
        <w:rPr>
          <w:rFonts w:ascii="Arial" w:cs="Arial" w:eastAsia="Arial" w:hAnsi="Arial"/>
          <w:sz w:val="14"/>
          <w:szCs w:val="14"/>
          <w:color w:val="auto"/>
        </w:rPr>
        <w:t>Environmental Research Institute, School of Science, The University of Waikato, Hamilton, New Zealand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1918335</wp:posOffset>
                </wp:positionH>
                <wp:positionV relativeFrom="paragraph">
                  <wp:posOffset>-349885</wp:posOffset>
                </wp:positionV>
                <wp:extent cx="0" cy="493903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39030"/>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05pt,-27.5499pt" to="151.05pt,361.35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1921510</wp:posOffset>
                </wp:positionH>
                <wp:positionV relativeFrom="paragraph">
                  <wp:posOffset>-343535</wp:posOffset>
                </wp:positionV>
                <wp:extent cx="0" cy="492633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2633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3pt,-27.0499pt" to="151.3pt,360.8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-343535</wp:posOffset>
                </wp:positionV>
                <wp:extent cx="0" cy="492633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2633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27.0499pt" to="150.75pt,360.85pt" o:allowincell="f" strokecolor="#000000" strokeweight="1pt"/>
            </w:pict>
          </mc:Fallback>
        </mc:AlternateContent>
      </w:r>
    </w:p>
    <w:p>
      <w:pPr>
        <w:spacing w:after="0" w:line="53" w:lineRule="exact"/>
        <w:rPr>
          <w:sz w:val="24"/>
          <w:szCs w:val="24"/>
          <w:color w:val="auto"/>
        </w:rPr>
      </w:pPr>
    </w:p>
    <w:p>
      <w:pPr>
        <w:ind w:left="20" w:right="340"/>
        <w:spacing w:after="0" w:line="243" w:lineRule="auto"/>
        <w:rPr>
          <w:sz w:val="20"/>
          <w:szCs w:val="20"/>
          <w:color w:val="auto"/>
        </w:rPr>
      </w:pPr>
      <w:r>
        <w:rPr>
          <w:rFonts w:ascii="Arial" w:cs="Arial" w:eastAsia="Arial" w:hAnsi="Arial"/>
          <w:sz w:val="18"/>
          <w:szCs w:val="18"/>
          <w:color w:val="auto"/>
          <w:vertAlign w:val="superscript"/>
        </w:rPr>
        <w:t>2</w:t>
      </w:r>
      <w:r>
        <w:rPr>
          <w:rFonts w:ascii="Arial" w:cs="Arial" w:eastAsia="Arial" w:hAnsi="Arial"/>
          <w:sz w:val="14"/>
          <w:szCs w:val="14"/>
          <w:color w:val="auto"/>
        </w:rPr>
        <w:t>Department of Conservation, Hamilton, New Zealand</w:t>
      </w:r>
    </w:p>
    <w:p>
      <w:pPr>
        <w:spacing w:after="0" w:line="237" w:lineRule="exact"/>
        <w:rPr>
          <w:sz w:val="24"/>
          <w:szCs w:val="24"/>
          <w:color w:val="auto"/>
        </w:rPr>
      </w:pPr>
    </w:p>
    <w:p>
      <w:pPr>
        <w:ind w:left="20"/>
        <w:spacing w:after="0"/>
        <w:rPr>
          <w:sz w:val="20"/>
          <w:szCs w:val="20"/>
          <w:color w:val="auto"/>
        </w:rPr>
      </w:pPr>
      <w:r>
        <w:rPr>
          <w:rFonts w:ascii="Arial" w:cs="Arial" w:eastAsia="Arial" w:hAnsi="Arial"/>
          <w:sz w:val="14"/>
          <w:szCs w:val="14"/>
          <w:color w:val="auto"/>
        </w:rPr>
        <w:t>Correspondence</w:t>
      </w:r>
    </w:p>
    <w:p>
      <w:pPr>
        <w:spacing w:after="0" w:line="47" w:lineRule="exact"/>
        <w:rPr>
          <w:sz w:val="24"/>
          <w:szCs w:val="24"/>
          <w:color w:val="auto"/>
        </w:rPr>
      </w:pPr>
    </w:p>
    <w:p>
      <w:pPr>
        <w:ind w:left="20" w:right="40"/>
        <w:spacing w:after="0" w:line="294" w:lineRule="auto"/>
        <w:rPr>
          <w:rFonts w:ascii="Arial" w:cs="Arial" w:eastAsia="Arial" w:hAnsi="Arial"/>
          <w:sz w:val="14"/>
          <w:szCs w:val="14"/>
          <w:color w:val="auto"/>
        </w:rPr>
      </w:pPr>
      <w:r>
        <w:rPr>
          <w:rFonts w:ascii="Arial" w:cs="Arial" w:eastAsia="Arial" w:hAnsi="Arial"/>
          <w:sz w:val="14"/>
          <w:szCs w:val="14"/>
          <w:color w:val="auto"/>
        </w:rPr>
        <w:t xml:space="preserve">Thomas P. Moore, Environmental Research Institute, School of Science, The University of Waikato, Hamilton, New Zealand. Email: </w:t>
      </w:r>
      <w:hyperlink r:id="rId16">
        <w:r>
          <w:rPr>
            <w:rFonts w:ascii="Arial" w:cs="Arial" w:eastAsia="Arial" w:hAnsi="Arial"/>
            <w:sz w:val="14"/>
            <w:szCs w:val="14"/>
            <w:color w:val="auto"/>
          </w:rPr>
          <w:t>tom.moore.tpm@gmail.com</w:t>
        </w:r>
      </w:hyperlink>
    </w:p>
    <w:p>
      <w:pPr>
        <w:spacing w:after="0" w:line="203" w:lineRule="exact"/>
        <w:rPr>
          <w:sz w:val="24"/>
          <w:szCs w:val="24"/>
          <w:color w:val="auto"/>
        </w:rPr>
      </w:pPr>
    </w:p>
    <w:p>
      <w:pPr>
        <w:ind w:left="20"/>
        <w:spacing w:after="0"/>
        <w:rPr>
          <w:sz w:val="20"/>
          <w:szCs w:val="20"/>
          <w:color w:val="auto"/>
        </w:rPr>
      </w:pPr>
      <w:r>
        <w:rPr>
          <w:rFonts w:ascii="Arial" w:cs="Arial" w:eastAsia="Arial" w:hAnsi="Arial"/>
          <w:sz w:val="14"/>
          <w:szCs w:val="14"/>
          <w:color w:val="auto"/>
        </w:rPr>
        <w:t>Funding information</w:t>
      </w:r>
    </w:p>
    <w:p>
      <w:pPr>
        <w:spacing w:after="0" w:line="39" w:lineRule="exact"/>
        <w:rPr>
          <w:sz w:val="24"/>
          <w:szCs w:val="24"/>
          <w:color w:val="auto"/>
        </w:rPr>
      </w:pPr>
    </w:p>
    <w:p>
      <w:pPr>
        <w:ind w:left="20"/>
        <w:spacing w:after="0"/>
        <w:rPr>
          <w:sz w:val="20"/>
          <w:szCs w:val="20"/>
          <w:color w:val="auto"/>
        </w:rPr>
      </w:pPr>
      <w:r>
        <w:rPr>
          <w:rFonts w:ascii="Arial" w:cs="Arial" w:eastAsia="Arial" w:hAnsi="Arial"/>
          <w:sz w:val="14"/>
          <w:szCs w:val="14"/>
          <w:color w:val="auto"/>
        </w:rPr>
        <w:t>New Zealand Biological Heritage National</w:t>
      </w:r>
    </w:p>
    <w:p>
      <w:pPr>
        <w:spacing w:after="0" w:line="48" w:lineRule="exact"/>
        <w:rPr>
          <w:sz w:val="24"/>
          <w:szCs w:val="24"/>
          <w:color w:val="auto"/>
        </w:rPr>
      </w:pPr>
    </w:p>
    <w:p>
      <w:pPr>
        <w:ind w:left="20" w:right="60"/>
        <w:spacing w:after="0" w:line="292" w:lineRule="auto"/>
        <w:rPr>
          <w:sz w:val="20"/>
          <w:szCs w:val="20"/>
          <w:color w:val="auto"/>
        </w:rPr>
      </w:pPr>
      <w:r>
        <w:rPr>
          <w:rFonts w:ascii="Arial" w:cs="Arial" w:eastAsia="Arial" w:hAnsi="Arial"/>
          <w:sz w:val="14"/>
          <w:szCs w:val="14"/>
          <w:color w:val="auto"/>
        </w:rPr>
        <w:t>Science Challange, Grant/Award Number: C09X1501; Ministry of Business, Innovation and Employment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23" w:lineRule="exact"/>
        <w:rPr>
          <w:sz w:val="24"/>
          <w:szCs w:val="24"/>
          <w:color w:val="auto"/>
        </w:rPr>
      </w:pPr>
    </w:p>
    <w:p>
      <w:pPr>
        <w:spacing w:after="0"/>
        <w:rPr>
          <w:sz w:val="20"/>
          <w:szCs w:val="20"/>
          <w:color w:val="auto"/>
        </w:rPr>
      </w:pPr>
      <w:r>
        <w:rPr>
          <w:rFonts w:ascii="Arial" w:cs="Arial" w:eastAsia="Arial" w:hAnsi="Arial"/>
          <w:sz w:val="20"/>
          <w:szCs w:val="20"/>
          <w:color w:val="auto"/>
        </w:rPr>
        <w:t>Abstract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-97155</wp:posOffset>
            </wp:positionH>
            <wp:positionV relativeFrom="paragraph">
              <wp:posOffset>-198755</wp:posOffset>
            </wp:positionV>
            <wp:extent cx="4425950" cy="49523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4425950" cy="4952365"/>
                    </a:xfrm>
                    <a:prstGeom prst="rect">
                      <a:avLst/>
                    </a:prstGeom>
                    <a:noFill/>
                  </pic:spPr>
                </pic:pic>
              </a:graphicData>
            </a:graphic>
          </wp:anchor>
        </w:drawing>
      </w:r>
    </w:p>
    <w:p>
      <w:pPr>
        <w:spacing w:after="0" w:line="80" w:lineRule="exact"/>
        <w:rPr>
          <w:sz w:val="24"/>
          <w:szCs w:val="24"/>
          <w:color w:val="auto"/>
        </w:rPr>
      </w:pPr>
    </w:p>
    <w:p>
      <w:pPr>
        <w:jc w:val="both"/>
        <w:ind w:right="140"/>
        <w:spacing w:after="0" w:line="368" w:lineRule="auto"/>
        <w:rPr>
          <w:sz w:val="20"/>
          <w:szCs w:val="20"/>
          <w:color w:val="auto"/>
        </w:rPr>
      </w:pPr>
      <w:r>
        <w:rPr>
          <w:rFonts w:ascii="Arial" w:cs="Arial" w:eastAsia="Arial" w:hAnsi="Arial"/>
          <w:sz w:val="17"/>
          <w:szCs w:val="17"/>
          <w:color w:val="auto"/>
        </w:rPr>
        <w:t>Dense macrophyte beds are known to produce extreme diurnal oxygen and tempera-ture conditions in shallow lakes. However their influences in managed hydropeaking reservoirs has received limited attention. We measured dissolved oxygen, pH and</w:t>
      </w:r>
    </w:p>
    <w:p>
      <w:pPr>
        <w:spacing w:after="0" w:line="1" w:lineRule="exact"/>
        <w:rPr>
          <w:sz w:val="24"/>
          <w:szCs w:val="24"/>
          <w:color w:val="auto"/>
        </w:rPr>
      </w:pPr>
    </w:p>
    <w:p>
      <w:pPr>
        <w:jc w:val="both"/>
        <w:ind w:right="140"/>
        <w:spacing w:after="0" w:line="368" w:lineRule="auto"/>
        <w:rPr>
          <w:sz w:val="20"/>
          <w:szCs w:val="20"/>
          <w:color w:val="auto"/>
        </w:rPr>
      </w:pPr>
      <w:r>
        <w:rPr>
          <w:rFonts w:ascii="Arial" w:cs="Arial" w:eastAsia="Arial" w:hAnsi="Arial"/>
          <w:sz w:val="17"/>
          <w:szCs w:val="17"/>
          <w:color w:val="auto"/>
        </w:rPr>
        <w:t>water temperature in the Lake Karapiro hydroreservoir, northern New Zealand, across a gradient of proportional water-column height occupied by the invasive mac-rophytes Egeria densa and Ceratophyllum demersum, which dominated in the upper-riverine (variable water inflow) and lower-lacustrine (variable water level) sections, respectively. Hypoxia and anoxia events that occurred inside invasive macrophyte beds during their summer peak biomass accumulation period were more pronounced for C. demersum than for E. densa, and within the bottom 20% of the water column. In contrast, pH and temperature changed little in relation to proportional macrophyte height. Macrophyte species differences in the production of hypoxia and anoxia events increased when site-specific hydropeaking management covariates (depth, inflows, water level) were accounted for. This association with hydropeaking likely resulted from contrasting hydrodynamics in the lower-lacustrine and upper-riverine lake sections, where oxygen can decrease with higher water levels and lower water inflow rates, respectively. During the course of our study, some macrophyte beds were treated with herbicide, enabling us to document prolonged and sustained hyp-oxic/anoxic conditions near the bottom following spraying. These results underscore the adverse effects of invasive macrophytes on water physicochemical attributes that sustain aquatic biota, and highlight the context-dependent nature of these effects moderated by reservoir management for hydropeaking and macrophyte control.</w:t>
      </w:r>
    </w:p>
    <w:p>
      <w:pPr>
        <w:spacing w:after="0" w:line="214" w:lineRule="exact"/>
        <w:rPr>
          <w:sz w:val="24"/>
          <w:szCs w:val="24"/>
          <w:color w:val="auto"/>
        </w:rPr>
      </w:pPr>
    </w:p>
    <w:p>
      <w:pPr>
        <w:spacing w:after="0"/>
        <w:rPr>
          <w:sz w:val="20"/>
          <w:szCs w:val="20"/>
          <w:color w:val="auto"/>
        </w:rPr>
      </w:pPr>
      <w:r>
        <w:rPr>
          <w:rFonts w:ascii="Arial" w:cs="Arial" w:eastAsia="Arial" w:hAnsi="Arial"/>
          <w:sz w:val="14"/>
          <w:szCs w:val="14"/>
          <w:color w:val="auto"/>
        </w:rPr>
        <w:t>KEYWORDS</w:t>
      </w:r>
    </w:p>
    <w:p>
      <w:pPr>
        <w:spacing w:after="0" w:line="100" w:lineRule="exact"/>
        <w:rPr>
          <w:sz w:val="24"/>
          <w:szCs w:val="24"/>
          <w:color w:val="auto"/>
        </w:rPr>
      </w:pPr>
    </w:p>
    <w:p>
      <w:pPr>
        <w:spacing w:after="0"/>
        <w:rPr>
          <w:sz w:val="20"/>
          <w:szCs w:val="20"/>
          <w:color w:val="auto"/>
        </w:rPr>
      </w:pPr>
      <w:r>
        <w:rPr>
          <w:rFonts w:ascii="Arial" w:cs="Arial" w:eastAsia="Arial" w:hAnsi="Arial"/>
          <w:sz w:val="16"/>
          <w:szCs w:val="16"/>
          <w:color w:val="auto"/>
        </w:rPr>
        <w:t>anoxia, aquatic plants, herbicide, hypoxia, lake management, littoral zone</w:t>
      </w:r>
    </w:p>
    <w:p>
      <w:pPr>
        <w:spacing w:after="0" w:line="200" w:lineRule="exact"/>
        <w:rPr>
          <w:sz w:val="24"/>
          <w:szCs w:val="24"/>
          <w:color w:val="auto"/>
        </w:rPr>
      </w:pPr>
    </w:p>
    <w:p>
      <w:pPr>
        <w:sectPr>
          <w:pgSz w:w="11900" w:h="15647" w:orient="portrait"/>
          <w:cols w:equalWidth="0" w:num="2">
            <w:col w:w="2820" w:space="480"/>
            <w:col w:w="6800"/>
          </w:cols>
          <w:pgMar w:left="880" w:top="530" w:right="926" w:bottom="0" w:gutter="0" w:footer="0" w:header="0"/>
          <w:type w:val="continuous"/>
        </w:sectPr>
      </w:pPr>
    </w:p>
    <w:p>
      <w:pPr>
        <w:spacing w:after="0" w:line="200" w:lineRule="exact"/>
        <w:rPr>
          <w:sz w:val="24"/>
          <w:szCs w:val="24"/>
          <w:color w:val="auto"/>
        </w:rPr>
      </w:pPr>
    </w:p>
    <w:p>
      <w:pPr>
        <w:spacing w:after="0" w:line="341" w:lineRule="exact"/>
        <w:rPr>
          <w:sz w:val="24"/>
          <w:szCs w:val="24"/>
          <w:color w:val="auto"/>
        </w:rPr>
      </w:pPr>
    </w:p>
    <w:p>
      <w:pPr>
        <w:ind w:left="20"/>
        <w:spacing w:after="0"/>
        <w:tabs>
          <w:tab w:leader="none" w:pos="340" w:val="left"/>
          <w:tab w:leader="none" w:pos="62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INTRODUCTION</w:t>
      </w:r>
    </w:p>
    <w:p>
      <w:pPr>
        <w:spacing w:after="0" w:line="336" w:lineRule="exact"/>
        <w:rPr>
          <w:sz w:val="24"/>
          <w:szCs w:val="24"/>
          <w:color w:val="auto"/>
        </w:rPr>
      </w:pPr>
    </w:p>
    <w:p>
      <w:pPr>
        <w:jc w:val="both"/>
        <w:ind w:left="20"/>
        <w:spacing w:after="0" w:line="337" w:lineRule="auto"/>
        <w:rPr>
          <w:sz w:val="20"/>
          <w:szCs w:val="20"/>
          <w:color w:val="auto"/>
        </w:rPr>
      </w:pPr>
      <w:r>
        <w:rPr>
          <w:rFonts w:ascii="Arial" w:cs="Arial" w:eastAsia="Arial" w:hAnsi="Arial"/>
          <w:sz w:val="16"/>
          <w:szCs w:val="16"/>
          <w:color w:val="auto"/>
        </w:rPr>
        <w:t>Invasive macrophytes readily establish in human-modified environ-ments such as hydrogeneration reservoirs (Havel, Lee, &amp; Vander Zanden, 2005; Johnson, Olden, &amp; Vander Zanden, 2008), where daily water level fluctuations from reservoir management (i.e., hydropeaking) play a critical role in their proliferation in littoral zones (Shivers, Golladay, Waters, Wilde, &amp; Covich, 2018; Zhao, Jiang,</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70" w:lineRule="exact"/>
        <w:rPr>
          <w:sz w:val="24"/>
          <w:szCs w:val="24"/>
          <w:color w:val="auto"/>
        </w:rPr>
      </w:pPr>
    </w:p>
    <w:p>
      <w:pPr>
        <w:jc w:val="both"/>
        <w:spacing w:after="0" w:line="362" w:lineRule="auto"/>
        <w:rPr>
          <w:sz w:val="20"/>
          <w:szCs w:val="20"/>
          <w:color w:val="auto"/>
        </w:rPr>
      </w:pPr>
      <w:r>
        <w:rPr>
          <w:rFonts w:ascii="Arial" w:cs="Arial" w:eastAsia="Arial" w:hAnsi="Arial"/>
          <w:sz w:val="15"/>
          <w:szCs w:val="15"/>
          <w:color w:val="auto"/>
        </w:rPr>
        <w:t>Cai, &amp; An, 2012). These beds can accumulate massive biomass over summer in temperate regions (Madsen, Chambers, James, Koch, &amp; Westlake, 2001; Zohary &amp; Ostrovsky, 2011), resulting in reduced native vegetation diversity (Andersen, Kragh, &amp; Sand-Jensen, 2017; Parveen, Asaeda, &amp; Rashid, 2017), changes in community composition of other trophic levels such as benthic invertebrates (Kelly &amp; Hawes, 2005; Kovalenko &amp; Dibble, 2010), and loss of ecosystem func-tions and services (Bunn, Davies, Kellaway, &amp; Prosser, 1998;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2766060</wp:posOffset>
            </wp:positionH>
            <wp:positionV relativeFrom="paragraph">
              <wp:posOffset>48895</wp:posOffset>
            </wp:positionV>
            <wp:extent cx="31115" cy="1524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31115" cy="152400"/>
                    </a:xfrm>
                    <a:prstGeom prst="rect">
                      <a:avLst/>
                    </a:prstGeom>
                    <a:noFill/>
                  </pic:spPr>
                </pic:pic>
              </a:graphicData>
            </a:graphic>
          </wp:anchor>
        </w:drawing>
      </w:r>
    </w:p>
    <w:p>
      <w:pPr>
        <w:spacing w:after="0" w:line="57" w:lineRule="exact"/>
        <w:rPr>
          <w:sz w:val="24"/>
          <w:szCs w:val="24"/>
          <w:color w:val="auto"/>
        </w:rPr>
      </w:pPr>
    </w:p>
    <w:p>
      <w:pPr>
        <w:sectPr>
          <w:pgSz w:w="11900" w:h="15647" w:orient="portrait"/>
          <w:cols w:equalWidth="0" w:num="2">
            <w:col w:w="4880" w:space="360"/>
            <w:col w:w="4860"/>
          </w:cols>
          <w:pgMar w:left="880" w:top="530" w:right="926" w:bottom="0" w:gutter="0" w:footer="0" w:header="0"/>
          <w:type w:val="continuous"/>
        </w:sectPr>
      </w:pPr>
    </w:p>
    <w:tbl>
      <w:tblPr>
        <w:tblLayout w:type="fixed"/>
        <w:tblInd w:w="0" w:type="dxa"/>
        <w:tblCellMar>
          <w:top w:w="0" w:type="dxa"/>
          <w:left w:w="0" w:type="dxa"/>
          <w:bottom w:w="0" w:type="dxa"/>
          <w:right w:w="0" w:type="dxa"/>
        </w:tblCellMar>
      </w:tblPr>
      <w:tr>
        <w:trPr>
          <w:trHeight w:val="220"/>
        </w:trPr>
        <w:tc>
          <w:tcPr>
            <w:tcW w:w="270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River Res Applic. 2020;1–13.</w:t>
            </w:r>
          </w:p>
        </w:tc>
        <w:tc>
          <w:tcPr>
            <w:tcW w:w="3960" w:type="dxa"/>
            <w:vAlign w:val="bottom"/>
            <w:tcBorders>
              <w:top w:val="single" w:sz="8" w:color="auto"/>
            </w:tcBorders>
          </w:tcPr>
          <w:p>
            <w:pPr>
              <w:ind w:left="960"/>
              <w:spacing w:after="0"/>
              <w:rPr>
                <w:rFonts w:ascii="Arial" w:cs="Arial" w:eastAsia="Arial" w:hAnsi="Arial"/>
                <w:sz w:val="14"/>
                <w:szCs w:val="14"/>
                <w:color w:val="auto"/>
              </w:rPr>
            </w:pPr>
            <w:hyperlink r:id="rId19">
              <w:r>
                <w:rPr>
                  <w:rFonts w:ascii="Arial" w:cs="Arial" w:eastAsia="Arial" w:hAnsi="Arial"/>
                  <w:sz w:val="14"/>
                  <w:szCs w:val="14"/>
                  <w:color w:val="auto"/>
                </w:rPr>
                <w:t>wileyonlinelibrary.com/journal/rra</w:t>
              </w:r>
            </w:hyperlink>
          </w:p>
        </w:tc>
        <w:tc>
          <w:tcPr>
            <w:tcW w:w="2980" w:type="dxa"/>
            <w:vAlign w:val="bottom"/>
            <w:tcBorders>
              <w:top w:val="single" w:sz="8" w:color="auto"/>
              <w:right w:val="single" w:sz="8" w:color="auto"/>
            </w:tcBorders>
          </w:tcPr>
          <w:p>
            <w:pPr>
              <w:ind w:left="920"/>
              <w:spacing w:after="0"/>
              <w:rPr>
                <w:sz w:val="20"/>
                <w:szCs w:val="20"/>
                <w:color w:val="auto"/>
              </w:rPr>
            </w:pPr>
            <w:r>
              <w:rPr>
                <w:rFonts w:ascii="Arial" w:cs="Arial" w:eastAsia="Arial" w:hAnsi="Arial"/>
                <w:sz w:val="14"/>
                <w:szCs w:val="14"/>
                <w:color w:val="auto"/>
              </w:rPr>
              <w:t>© 2020 John Wiley &amp; Sons Ltd</w:t>
            </w:r>
          </w:p>
        </w:tc>
        <w:tc>
          <w:tcPr>
            <w:tcW w:w="460" w:type="dxa"/>
            <w:vAlign w:val="bottom"/>
            <w:tcBorders>
              <w:top w:val="single" w:sz="8" w:color="auto"/>
            </w:tcBorders>
          </w:tcPr>
          <w:p>
            <w:pPr>
              <w:jc w:val="right"/>
              <w:spacing w:after="0"/>
              <w:rPr>
                <w:sz w:val="20"/>
                <w:szCs w:val="20"/>
                <w:color w:val="auto"/>
              </w:rPr>
            </w:pPr>
            <w:r>
              <w:rPr>
                <w:rFonts w:ascii="Arial" w:cs="Arial" w:eastAsia="Arial" w:hAnsi="Arial"/>
                <w:sz w:val="14"/>
                <w:szCs w:val="14"/>
                <w:color w:val="auto"/>
              </w:rPr>
              <w:t>1</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6403975</wp:posOffset>
                </wp:positionH>
                <wp:positionV relativeFrom="paragraph">
                  <wp:posOffset>-129540</wp:posOffset>
                </wp:positionV>
                <wp:extent cx="12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25pt,-10.1999pt" to="505.25pt,-10.1999pt" o:allowincell="f" strokecolor="#000000" strokeweight="0.5102pt"/>
            </w:pict>
          </mc:Fallback>
        </mc:AlternateContent>
      </w:r>
    </w:p>
    <w:p>
      <w:pPr>
        <w:sectPr>
          <w:pgSz w:w="11900" w:h="15647" w:orient="portrait"/>
          <w:cols w:equalWidth="0" w:num="1">
            <w:col w:w="10100"/>
          </w:cols>
          <w:pgMar w:left="880" w:top="530" w:right="926" w:bottom="0" w:gutter="0" w:footer="0" w:header="0"/>
          <w:type w:val="continuous"/>
        </w:sectPr>
      </w:pPr>
    </w:p>
    <w:bookmarkStart w:id="1" w:name="page2"/>
    <w:bookmarkEnd w:id="1"/>
    <w:p>
      <w:pPr>
        <w:spacing w:after="0"/>
        <w:tabs>
          <w:tab w:leader="none" w:pos="429" w:val="left"/>
        </w:tabs>
        <w:rPr>
          <w:sz w:val="20"/>
          <w:szCs w:val="20"/>
          <w:color w:val="auto"/>
        </w:rPr>
      </w:pPr>
      <w:r>
        <w:rPr>
          <w:rFonts w:ascii="Arial" w:cs="Arial" w:eastAsia="Arial" w:hAnsi="Arial"/>
          <w:sz w:val="14"/>
          <w:szCs w:val="14"/>
          <w:color w:val="auto"/>
        </w:rPr>
        <w:t>2</w:t>
      </w:r>
      <w:r>
        <w:rPr>
          <w:sz w:val="20"/>
          <w:szCs w:val="20"/>
          <w:color w:val="auto"/>
        </w:rPr>
        <w:tab/>
      </w:r>
      <w:r>
        <w:rPr>
          <w:sz w:val="1"/>
          <w:szCs w:val="1"/>
          <w:color w:val="auto"/>
        </w:rPr>
        <w:drawing>
          <wp:inline distT="0" distB="0" distL="0" distR="0">
            <wp:extent cx="19050" cy="170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MOORE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39941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941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w:r>
    </w:p>
    <w:p>
      <w:pPr>
        <w:sectPr>
          <w:pgSz w:w="11900" w:h="15647" w:orient="portrait"/>
          <w:cols w:equalWidth="0" w:num="1">
            <w:col w:w="10100"/>
          </w:cols>
          <w:pgMar w:left="920" w:top="415" w:right="886" w:bottom="268" w:gutter="0" w:footer="0" w:header="0"/>
        </w:sectPr>
      </w:pPr>
    </w:p>
    <w:p>
      <w:pPr>
        <w:spacing w:after="0" w:line="31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Villamagna &amp; Murphy, 2010). Consequently, invasive macrophytes commonly represent ‘foundation species’ (Ramus, Silliman, Thomsen, &amp; Long, 2017; Wood &amp; Freeman, 2017) and have been referred to as ‘ecosystem engineers’ due to their dominance in abundance and influ-ence on lentic ecosystems (Thomaz, Mormul, &amp; Michelan, 2014; Yarrow et al., 2009). A primary mechanism of impact by invasive mac-rophytes is the production of adverse physicochemical conditions above the sediment–water interface, which have been recorded inside dense beds in shallow lakes (Andersen et al., 2017; Bunch, Allen, &amp; Gwinn, 2010; Vilas, Marti, Adams, Oldham, &amp; Hipsey, 2017). How-ever, examination of the relationship between invasive macrophytes and adverse physicochemical conditions in the context of a hydro-peaking reservoir has received limited attention.</w:t>
      </w:r>
    </w:p>
    <w:p>
      <w:pPr>
        <w:spacing w:after="0" w:line="7"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Studies of water physicochemical changes in shallow lake and slow-flowing river ecosystems report that dense macrophyte beds promote extreme diurnal variability in dissolved oxygen (i.e., anoxia-supersaturation), which can occur throughout the water column or be more starkly pronounced in bottom waters compared to surface waters (Andersen et al., 2017; Bunch et al., 2010; Caraco &amp; Cole, 2002; Ribaudo et al., 2018; Vilas et al., 2017). These extreme diurnal cycles can be associated with changes in pH (Andersen et al., 2017; Ribaudo et al., 2018) and are driven by high volumetric rates of daytime photosynthesis and nocturnal respiration (Christensen, Sand-Jensen, &amp; Staehr, 2013; Martinsen, Andersen, Kragh, &amp; Sand-Jensen, 2017). Furthermore, invasive macrophytes can facilitate temperature stratification when they reach a threshold of percentage cover in the water column. For example, Vilas et al. (2017) recorded a 10 C maximum difference between the water surface and lake bottom during the daytime inside Potamogeton crispus beds occu-pying at least 50% of the water depth. Extreme diel changes in physi-cochemical conditions present a challenge for the survival of sessile and mobile animals (e.g., unionid mussels), and are expected to drive selection towards species tolerant of high temperature and/or hyp-oxia (Andersen et al., 2017).</w:t>
      </w:r>
    </w:p>
    <w:p>
      <w:pPr>
        <w:spacing w:after="0" w:line="18"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The strength of invasive macrophyte impacts is dependent on their density and the consequent rate of hydrological exchange (Andersen et al., 2017; Vilas et al., 2017). Such impacts can be particu-larly pronounced at the end of summer when macrophyte senescence results in mass decomposition of organic matter that may consume large quantities of oxygen for prolonged periods (Godshalk &amp; Wetzel, 1978). Although processes operating in shallow lakes may also occur in littoral zones of deep lakes, water level variations due to hydropeaking may further mediate the influence of invasive macro-phytes on physicochemical parameters. This is especially so given that dams can create conditions suitable for the proliferation of aquatic plants, but the nature of these conditions varies due to hydropeaking demand and the rate of water level change in inflows (Zhao et al., 2012).</w:t>
      </w:r>
    </w:p>
    <w:p>
      <w:pPr>
        <w:spacing w:after="0" w:line="12" w:lineRule="exact"/>
        <w:rPr>
          <w:sz w:val="20"/>
          <w:szCs w:val="20"/>
          <w:color w:val="auto"/>
        </w:rPr>
      </w:pPr>
    </w:p>
    <w:p>
      <w:pPr>
        <w:jc w:val="both"/>
        <w:ind w:firstLine="300"/>
        <w:spacing w:after="0" w:line="363" w:lineRule="auto"/>
        <w:rPr>
          <w:sz w:val="20"/>
          <w:szCs w:val="20"/>
          <w:color w:val="auto"/>
        </w:rPr>
      </w:pPr>
      <w:r>
        <w:rPr>
          <w:rFonts w:ascii="Arial" w:cs="Arial" w:eastAsia="Arial" w:hAnsi="Arial"/>
          <w:sz w:val="15"/>
          <w:szCs w:val="15"/>
          <w:color w:val="auto"/>
        </w:rPr>
        <w:t>With an increasing number of dams being constructed for hydro-power generation globally (Zarfl, Lumsdon, Berlekamp, Tydecks, &amp; Tockner, 2014), and the associated spread of invasive species (Johnson et al., 2008), there is a need to understand the role invasive macrophyte species have on ecologically-relevant physicochemical</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ind w:left="5"/>
        <w:spacing w:after="0" w:line="361" w:lineRule="auto"/>
        <w:rPr>
          <w:sz w:val="20"/>
          <w:szCs w:val="20"/>
          <w:color w:val="auto"/>
        </w:rPr>
      </w:pPr>
      <w:r>
        <w:rPr>
          <w:rFonts w:ascii="Arial" w:cs="Arial" w:eastAsia="Arial" w:hAnsi="Arial"/>
          <w:sz w:val="15"/>
          <w:szCs w:val="15"/>
          <w:color w:val="auto"/>
        </w:rPr>
        <w:t>conditions during their peak biomass accumulation period in hydro-peaking reservoirs. Accordingly, a field study was conducted across a gradient of invasive proportional macrophyte height during the austral summer in the most downstream of a series of hydropeaking reser-voirs on New Zealand's longest river, the Waikato River. Two invasive macrophyte species, Egeria densa and Ceratophyllum demersum, domi-nated the upper-riverine and lower-lacustrine sections of this hydroreservoir, respectively, enabling a comparison between species where water inflow or water level were expected to generate context-specific effects on macrophyte-mediated physicochemical parameters. The following hypotheses were tested: (1) the magnitude of summer daytime physicochemical conditions will vary spatially in relation to a gradient of invasive macrophyte proportion (i.e., the height of macrophyte canopy expressed as a proportion of the water column depth) and water column-benthic processes, and; (2) hydro-peaking effects on physicochemical conditions produced by different macrophyte species in contrasting lake sections will be moderated by site hydrology (i.e., riverine vs. lacustrine locations). During the course of our study, some macrophyte beds were treated with herbicide, enabling us to examine treatment effects on physicochemical condi-tions, notably the diurnal magnitude and duration of bottom-water hypoxia conditions as the macrophytes decayed.</w:t>
      </w:r>
    </w:p>
    <w:p>
      <w:pPr>
        <w:spacing w:after="0" w:line="200" w:lineRule="exact"/>
        <w:rPr>
          <w:sz w:val="20"/>
          <w:szCs w:val="20"/>
          <w:color w:val="auto"/>
        </w:rPr>
      </w:pPr>
    </w:p>
    <w:p>
      <w:pPr>
        <w:spacing w:after="0" w:line="291" w:lineRule="exact"/>
        <w:rPr>
          <w:sz w:val="20"/>
          <w:szCs w:val="20"/>
          <w:color w:val="auto"/>
        </w:rPr>
      </w:pPr>
    </w:p>
    <w:p>
      <w:pPr>
        <w:ind w:left="5" w:right="1240" w:hanging="5"/>
        <w:spacing w:after="0" w:line="537" w:lineRule="auto"/>
        <w:tabs>
          <w:tab w:leader="none" w:pos="353" w:val="left"/>
        </w:tabs>
        <w:numPr>
          <w:ilvl w:val="0"/>
          <w:numId w:val="1"/>
        </w:numPr>
        <w:rPr>
          <w:rFonts w:ascii="Arial" w:cs="Arial" w:eastAsia="Arial" w:hAnsi="Arial"/>
          <w:sz w:val="20"/>
          <w:szCs w:val="20"/>
          <w:color w:val="auto"/>
        </w:rPr>
      </w:pPr>
      <w:r>
        <w:rPr>
          <w:rFonts w:ascii="Arial" w:cs="Arial" w:eastAsia="Arial" w:hAnsi="Arial"/>
          <w:sz w:val="20"/>
          <w:szCs w:val="20"/>
          <w:color w:val="auto"/>
        </w:rPr>
        <w:t>| MATERIALS AND METHODS 2.1 | Study site</w:t>
      </w:r>
    </w:p>
    <w:p>
      <w:pPr>
        <w:spacing w:after="0" w:line="30" w:lineRule="exact"/>
        <w:rPr>
          <w:sz w:val="20"/>
          <w:szCs w:val="20"/>
          <w:color w:val="auto"/>
        </w:rPr>
      </w:pPr>
    </w:p>
    <w:p>
      <w:pPr>
        <w:jc w:val="both"/>
        <w:ind w:left="5"/>
        <w:spacing w:after="0" w:line="296" w:lineRule="auto"/>
        <w:rPr>
          <w:sz w:val="20"/>
          <w:szCs w:val="20"/>
          <w:color w:val="auto"/>
        </w:rPr>
      </w:pPr>
      <w:r>
        <w:rPr>
          <w:rFonts w:ascii="Arial" w:cs="Arial" w:eastAsia="Arial" w:hAnsi="Arial"/>
          <w:sz w:val="16"/>
          <w:szCs w:val="16"/>
          <w:color w:val="auto"/>
        </w:rPr>
        <w:t>Karapiro (37 55</w:t>
      </w:r>
      <w:r>
        <w:rPr>
          <w:rFonts w:ascii="Arial" w:cs="Arial" w:eastAsia="Arial" w:hAnsi="Arial"/>
          <w:sz w:val="22"/>
          <w:szCs w:val="22"/>
          <w:color w:val="auto"/>
          <w:vertAlign w:val="superscript"/>
        </w:rPr>
        <w:t>0</w:t>
      </w:r>
      <w:r>
        <w:rPr>
          <w:rFonts w:ascii="Arial" w:cs="Arial" w:eastAsia="Arial" w:hAnsi="Arial"/>
          <w:sz w:val="16"/>
          <w:szCs w:val="16"/>
          <w:color w:val="auto"/>
        </w:rPr>
        <w:t xml:space="preserve"> 42.82</w:t>
      </w:r>
      <w:r>
        <w:rPr>
          <w:rFonts w:ascii="Arial" w:cs="Arial" w:eastAsia="Arial" w:hAnsi="Arial"/>
          <w:sz w:val="22"/>
          <w:szCs w:val="22"/>
          <w:color w:val="auto"/>
          <w:vertAlign w:val="superscript"/>
        </w:rPr>
        <w:t>00</w:t>
      </w:r>
      <w:r>
        <w:rPr>
          <w:rFonts w:ascii="Arial" w:cs="Arial" w:eastAsia="Arial" w:hAnsi="Arial"/>
          <w:sz w:val="16"/>
          <w:szCs w:val="16"/>
          <w:color w:val="auto"/>
        </w:rPr>
        <w:t xml:space="preserve"> S, 175 32</w:t>
      </w:r>
      <w:r>
        <w:rPr>
          <w:rFonts w:ascii="Arial" w:cs="Arial" w:eastAsia="Arial" w:hAnsi="Arial"/>
          <w:sz w:val="22"/>
          <w:szCs w:val="22"/>
          <w:color w:val="auto"/>
          <w:vertAlign w:val="superscript"/>
        </w:rPr>
        <w:t>0</w:t>
      </w:r>
      <w:r>
        <w:rPr>
          <w:rFonts w:ascii="Arial" w:cs="Arial" w:eastAsia="Arial" w:hAnsi="Arial"/>
          <w:sz w:val="16"/>
          <w:szCs w:val="16"/>
          <w:color w:val="auto"/>
        </w:rPr>
        <w:t xml:space="preserve"> 40.3</w:t>
      </w:r>
      <w:r>
        <w:rPr>
          <w:rFonts w:ascii="Arial" w:cs="Arial" w:eastAsia="Arial" w:hAnsi="Arial"/>
          <w:sz w:val="22"/>
          <w:szCs w:val="22"/>
          <w:color w:val="auto"/>
          <w:vertAlign w:val="superscript"/>
        </w:rPr>
        <w:t>00</w:t>
      </w:r>
      <w:r>
        <w:rPr>
          <w:rFonts w:ascii="Arial" w:cs="Arial" w:eastAsia="Arial" w:hAnsi="Arial"/>
          <w:sz w:val="16"/>
          <w:szCs w:val="16"/>
          <w:color w:val="auto"/>
        </w:rPr>
        <w:t xml:space="preserve"> E) is a large, deep (5.4 km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surface area; 11 m mean and 30.5 m maximum depths; Lowe &amp; Green, 1987) eutrophic (Livingston, Biggs, &amp; Gifford, 1986) hydro-peaking reservoir on the Waikato River. It had a mean water inflow during the study of 262 m</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s</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(minimum = 208, maximum 320 m</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s</w:t>
      </w:r>
      <w:r>
        <w:rPr>
          <w:rFonts w:ascii="Arial" w:cs="Arial" w:eastAsia="Arial" w:hAnsi="Arial"/>
          <w:sz w:val="21"/>
          <w:szCs w:val="21"/>
          <w:color w:val="auto"/>
          <w:vertAlign w:val="superscript"/>
        </w:rPr>
        <w:t>−1</w:t>
      </w:r>
      <w:r>
        <w:rPr>
          <w:rFonts w:ascii="Arial" w:cs="Arial" w:eastAsia="Arial" w:hAnsi="Arial"/>
          <w:sz w:val="16"/>
          <w:szCs w:val="16"/>
          <w:color w:val="auto"/>
        </w:rPr>
        <w:t>) equating to residence times of 3.3, 2.6, and 2.2 days, respectively, assuming full water column mixing and a lake water vol-ume of 60 × 10</w:t>
      </w:r>
      <w:r>
        <w:rPr>
          <w:rFonts w:ascii="Arial" w:cs="Arial" w:eastAsia="Arial" w:hAnsi="Arial"/>
          <w:sz w:val="21"/>
          <w:szCs w:val="21"/>
          <w:color w:val="auto"/>
          <w:vertAlign w:val="superscript"/>
        </w:rPr>
        <w:t>6</w:t>
      </w:r>
      <w:r>
        <w:rPr>
          <w:rFonts w:ascii="Arial" w:cs="Arial" w:eastAsia="Arial" w:hAnsi="Arial"/>
          <w:sz w:val="16"/>
          <w:szCs w:val="16"/>
          <w:color w:val="auto"/>
        </w:rPr>
        <w:t xml:space="preserve"> m</w:t>
      </w:r>
      <w:r>
        <w:rPr>
          <w:rFonts w:ascii="Arial" w:cs="Arial" w:eastAsia="Arial" w:hAnsi="Arial"/>
          <w:sz w:val="21"/>
          <w:szCs w:val="21"/>
          <w:color w:val="auto"/>
          <w:vertAlign w:val="superscript"/>
        </w:rPr>
        <w:t>3</w:t>
      </w:r>
      <w:r>
        <w:rPr>
          <w:rFonts w:ascii="Arial" w:cs="Arial" w:eastAsia="Arial" w:hAnsi="Arial"/>
          <w:sz w:val="16"/>
          <w:szCs w:val="16"/>
          <w:color w:val="auto"/>
        </w:rPr>
        <w:t>; Gibbs et al., 2015). The upper section of Karapiro is riverine, with highly variable flows controlled by discharge from the upstream Arapuni hydropower station (i.e., mean discharge 271 m</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s</w:t>
      </w:r>
      <w:r>
        <w:rPr>
          <w:rFonts w:ascii="Arial" w:cs="Arial" w:eastAsia="Arial" w:hAnsi="Arial"/>
          <w:sz w:val="21"/>
          <w:szCs w:val="21"/>
          <w:color w:val="auto"/>
          <w:vertAlign w:val="superscript"/>
        </w:rPr>
        <w:t>−1</w:t>
      </w:r>
      <w:r>
        <w:rPr>
          <w:rFonts w:ascii="Arial" w:cs="Arial" w:eastAsia="Arial" w:hAnsi="Arial"/>
          <w:sz w:val="16"/>
          <w:szCs w:val="16"/>
          <w:color w:val="auto"/>
        </w:rPr>
        <w:t>, range 0.1–668 m</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s</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in 2018). In contrast, the lower section closer to the dam is more lacustrine, with a diurnally variable water level related to hydropeaking operations at Karapiro dam (mean daily water level range of 1.2 m in 2018).</w:t>
      </w:r>
    </w:p>
    <w:p>
      <w:pPr>
        <w:spacing w:after="0" w:line="45" w:lineRule="exact"/>
        <w:rPr>
          <w:sz w:val="20"/>
          <w:szCs w:val="20"/>
          <w:color w:val="auto"/>
        </w:rPr>
      </w:pPr>
    </w:p>
    <w:p>
      <w:pPr>
        <w:jc w:val="both"/>
        <w:ind w:left="5" w:firstLine="299"/>
        <w:spacing w:after="0" w:line="362" w:lineRule="auto"/>
        <w:rPr>
          <w:sz w:val="20"/>
          <w:szCs w:val="20"/>
          <w:color w:val="auto"/>
        </w:rPr>
      </w:pPr>
      <w:r>
        <w:rPr>
          <w:rFonts w:ascii="Arial" w:cs="Arial" w:eastAsia="Arial" w:hAnsi="Arial"/>
          <w:sz w:val="15"/>
          <w:szCs w:val="15"/>
          <w:color w:val="auto"/>
        </w:rPr>
        <w:t>Two invasive macrophyte species are abundant in Karapiro: C. demersum and E. densa (Clayton, Wells, &amp; Taumoepeau, 2006; McCarter, de Winton, Clayton, Wells, &amp; Tanner, 1993; Schwarz, Wells, &amp; Clayton, 1999). Ceratophyllum demersum dominates the lower-lacustrine section and is present in almost all shallow littoral areas to 5 m depth (Hofstra &amp; de Winton, 2016), where it forms extensive monospecific beds. These beds develop dense subsurface canopies that displace and exclude native and other non-native vege-tation beneath (Coffey &amp; Clayton, 1988). The resulting recreational, cultural, and environmental threats to hydrogeneration in the lower-lacustrine section has led to annual C. demersum control using the</w:t>
      </w:r>
    </w:p>
    <w:p>
      <w:pPr>
        <w:sectPr>
          <w:pgSz w:w="11900" w:h="15647" w:orient="portrait"/>
          <w:cols w:equalWidth="0" w:num="2">
            <w:col w:w="4860" w:space="375"/>
            <w:col w:w="4865"/>
          </w:cols>
          <w:pgMar w:left="920" w:top="415" w:right="886" w:bottom="268"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MOORE </w:t>
            </w:r>
            <w:r>
              <w:rPr>
                <w:rFonts w:ascii="Arial" w:cs="Arial" w:eastAsia="Arial" w:hAnsi="Arial"/>
                <w:sz w:val="9"/>
                <w:szCs w:val="9"/>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3</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-33655</wp:posOffset>
                </wp:positionV>
                <wp:extent cx="120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499pt" to="0.25pt,-2.6499pt" o:allowincell="f" strokecolor="#000000" strokeweight="0.4535pt"/>
            </w:pict>
          </mc:Fallback>
        </mc:AlternateContent>
        <w:drawing>
          <wp:anchor simplePos="0" relativeHeight="251657728" behindDoc="1" locked="0" layoutInCell="0" allowOverlap="1">
            <wp:simplePos x="0" y="0"/>
            <wp:positionH relativeFrom="column">
              <wp:posOffset>5316220</wp:posOffset>
            </wp:positionH>
            <wp:positionV relativeFrom="paragraph">
              <wp:posOffset>-142875</wp:posOffset>
            </wp:positionV>
            <wp:extent cx="687705" cy="1435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080"/>
          </w:cols>
          <w:pgMar w:left="900" w:top="415" w:right="926" w:bottom="325" w:gutter="0" w:footer="0" w:header="0"/>
        </w:sectPr>
      </w:pPr>
    </w:p>
    <w:p>
      <w:pPr>
        <w:spacing w:after="0" w:line="308" w:lineRule="exact"/>
        <w:rPr>
          <w:sz w:val="20"/>
          <w:szCs w:val="20"/>
          <w:color w:val="auto"/>
        </w:rPr>
      </w:pPr>
    </w:p>
    <w:p>
      <w:pPr>
        <w:jc w:val="both"/>
        <w:spacing w:after="0" w:line="325" w:lineRule="auto"/>
        <w:rPr>
          <w:sz w:val="20"/>
          <w:szCs w:val="20"/>
          <w:color w:val="auto"/>
        </w:rPr>
      </w:pPr>
      <w:r>
        <w:rPr>
          <w:rFonts w:ascii="Arial" w:cs="Arial" w:eastAsia="Arial" w:hAnsi="Arial"/>
          <w:sz w:val="16"/>
          <w:szCs w:val="16"/>
          <w:color w:val="auto"/>
        </w:rPr>
        <w:t>herbicide diquat (Hofstra &amp; de Winton, 2016). In the upper-riverine section, E. densa dominates littoral zones forming large, dense and monospecific beds that are rooted to the bottom and can withstand faster flows (Clayton, Matheson, &amp; Smith, 2009). Although both E. densa and C. demersum are found throughout the year, rapid growth occurs in spring: e.g., 2–10% day</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and 2–8% day</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of dry biomass, respectively (Eller et al., 2015). Rapid summer growth leads to peak accumulation of biomass in autumn when both species often reach the water surface (Hofstra &amp; de Winton, 2016).</w:t>
      </w:r>
    </w:p>
    <w:p>
      <w:pPr>
        <w:spacing w:after="0" w:line="200" w:lineRule="exact"/>
        <w:rPr>
          <w:sz w:val="20"/>
          <w:szCs w:val="20"/>
          <w:color w:val="auto"/>
        </w:rPr>
      </w:pPr>
    </w:p>
    <w:p>
      <w:pPr>
        <w:spacing w:after="0" w:line="290"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2.2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Measurement of physicochemical parameters</w:t>
      </w:r>
    </w:p>
    <w:p>
      <w:pPr>
        <w:spacing w:after="0" w:line="339" w:lineRule="exact"/>
        <w:rPr>
          <w:sz w:val="20"/>
          <w:szCs w:val="20"/>
          <w:color w:val="auto"/>
        </w:rPr>
      </w:pPr>
    </w:p>
    <w:p>
      <w:pPr>
        <w:jc w:val="both"/>
        <w:spacing w:after="0" w:line="339" w:lineRule="auto"/>
        <w:rPr>
          <w:sz w:val="20"/>
          <w:szCs w:val="20"/>
          <w:color w:val="auto"/>
        </w:rPr>
      </w:pPr>
      <w:r>
        <w:rPr>
          <w:rFonts w:ascii="Arial" w:cs="Arial" w:eastAsia="Arial" w:hAnsi="Arial"/>
          <w:sz w:val="15"/>
          <w:szCs w:val="15"/>
          <w:color w:val="auto"/>
        </w:rPr>
        <w:t>To understand differences in daytime physicochemical parameters in the water column (i.e., pH, temperature ( C), dissolved oxygen satura-tion % (hereafter oxygen), and specific conductivity (</w:t>
      </w:r>
      <w:r>
        <w:rPr>
          <w:rFonts w:ascii="Arial" w:cs="Arial" w:eastAsia="Arial" w:hAnsi="Arial"/>
          <w:sz w:val="15"/>
          <w:szCs w:val="15"/>
          <w:color w:val="auto"/>
        </w:rPr>
        <w:t>μ</w:t>
      </w:r>
      <w:r>
        <w:rPr>
          <w:rFonts w:ascii="Arial" w:cs="Arial" w:eastAsia="Arial" w:hAnsi="Arial"/>
          <w:sz w:val="15"/>
          <w:szCs w:val="15"/>
          <w:color w:val="auto"/>
        </w:rPr>
        <w:t>S cm</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at 25 C) associated with growth of macrophyte beds over the peak accumula-tion period, field data were collected at four sites in each of the lacus-trine (C. demersum) and riverine (E. densa) sections between</w:t>
      </w:r>
    </w:p>
    <w:p>
      <w:pPr>
        <w:spacing w:after="0" w:line="1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20 November and 7 December 2018 (C. demersum only) and January 22–30, 2019 (both species) following an initial echo-sound survey and aquatic vegetation mapping (Helminen, Linnansaari, Bruce, Dolson-Edge, &amp; Curry, 2019; for site locations see Figure 1). At each site, vertical profiles of water-column physicochemical parameters were measured at four points designated in terms of macrophyte proportion (range 0–1) as: ‘macrophyte-free’ (A; x¯ ± SD; 0.1 ± 0.3 proportional macrophyte height), ‘light’ (B; 0.3 ± 0.2), ‘dense-edge’ (C; 0.6 ± 0.3), and ‘dense-bed’ (D; 0.7 ± 0.3) (see Figure 2b for further explanation). Pro-files at these four points were taken across three transects (5–10 m in length depending on depth) located 10 m apart, running perpendicular to the shore on each sampling occasion (Figure 2a).</w:t>
      </w:r>
    </w:p>
    <w:p>
      <w:pPr>
        <w:spacing w:after="0" w:line="6" w:lineRule="exact"/>
        <w:rPr>
          <w:sz w:val="20"/>
          <w:szCs w:val="20"/>
          <w:color w:val="auto"/>
        </w:rPr>
      </w:pPr>
    </w:p>
    <w:p>
      <w:pPr>
        <w:jc w:val="both"/>
        <w:ind w:firstLine="301"/>
        <w:spacing w:after="0" w:line="363" w:lineRule="auto"/>
        <w:rPr>
          <w:sz w:val="20"/>
          <w:szCs w:val="20"/>
          <w:color w:val="auto"/>
        </w:rPr>
      </w:pPr>
      <w:r>
        <w:rPr>
          <w:rFonts w:ascii="Arial" w:cs="Arial" w:eastAsia="Arial" w:hAnsi="Arial"/>
          <w:sz w:val="15"/>
          <w:szCs w:val="15"/>
          <w:color w:val="auto"/>
        </w:rPr>
        <w:t>A total of 144 physicochemical water-column profiles was col-lected to create a spatial dataset spanning a gradient of invasive mac-rophyte canopy height (i.e., 0–1.7 m for C. demersum in November; 0–4.2 m for C. demersum and 0–2.1 m for E. densa in January). From a boat anchored at two points to prevent movement, physicochemical parameters were measured with a sonde (650 MDS, YSI Incorporated, Yellow Springs, Ohio, United States). Measurement points started at the water surface (referred to as ‘0 m’, but equivalent to the depth required to submerge sonde probes: i.e., 0.05 m) and then every 0.5 m towards and including the lake bottom (Figure 2b). Invasive macro-phyte height was measured by lowering the sonde to the subsurface canopy (viewed using a bathyscope) then subtracting the calibrated depth reading from total depth. After each vertical profile, the time (09:30–16:00 hr), GPS location (easting, northing to 3–5 m), and water depth (1–4.2 m) were recorded.</w:t>
      </w:r>
    </w:p>
    <w:p>
      <w:pPr>
        <w:spacing w:after="0" w:line="248" w:lineRule="exact"/>
        <w:rPr>
          <w:sz w:val="20"/>
          <w:szCs w:val="20"/>
          <w:color w:val="auto"/>
        </w:rPr>
      </w:pPr>
    </w:p>
    <w:p>
      <w:pPr>
        <w:jc w:val="both"/>
        <w:ind w:firstLine="301"/>
        <w:spacing w:after="0" w:line="361" w:lineRule="auto"/>
        <w:rPr>
          <w:sz w:val="20"/>
          <w:szCs w:val="20"/>
          <w:color w:val="auto"/>
        </w:rPr>
      </w:pPr>
      <w:r>
        <w:rPr>
          <w:rFonts w:ascii="Arial" w:cs="Arial" w:eastAsia="Arial" w:hAnsi="Arial"/>
          <w:sz w:val="15"/>
          <w:szCs w:val="15"/>
          <w:color w:val="auto"/>
        </w:rPr>
        <w:t>To examine diurnal variation in physicochemical parameters asso-ciated with C. demersum, the sonde was deployed at the lake bottom</w:t>
      </w:r>
    </w:p>
    <w:p>
      <w:pPr>
        <w:jc w:val="both"/>
        <w:spacing w:after="0" w:line="267" w:lineRule="auto"/>
        <w:rPr>
          <w:sz w:val="20"/>
          <w:szCs w:val="20"/>
          <w:color w:val="auto"/>
        </w:rPr>
      </w:pPr>
      <w:r>
        <w:rPr>
          <w:rFonts w:ascii="Arial" w:cs="Arial" w:eastAsia="Arial" w:hAnsi="Arial"/>
          <w:sz w:val="16"/>
          <w:szCs w:val="16"/>
          <w:color w:val="auto"/>
        </w:rPr>
        <w:t>inside a bed previously used for vertical water profiles (37 56</w:t>
      </w:r>
      <w:r>
        <w:rPr>
          <w:rFonts w:ascii="Arial" w:cs="Arial" w:eastAsia="Arial" w:hAnsi="Arial"/>
          <w:sz w:val="22"/>
          <w:szCs w:val="22"/>
          <w:color w:val="auto"/>
          <w:vertAlign w:val="superscript"/>
        </w:rPr>
        <w:t>0</w:t>
      </w:r>
      <w:r>
        <w:rPr>
          <w:rFonts w:ascii="Arial" w:cs="Arial" w:eastAsia="Arial" w:hAnsi="Arial"/>
          <w:sz w:val="16"/>
          <w:szCs w:val="16"/>
          <w:color w:val="auto"/>
        </w:rPr>
        <w:t xml:space="preserve"> 41.2</w:t>
      </w:r>
      <w:r>
        <w:rPr>
          <w:rFonts w:ascii="Arial" w:cs="Arial" w:eastAsia="Arial" w:hAnsi="Arial"/>
          <w:sz w:val="22"/>
          <w:szCs w:val="22"/>
          <w:color w:val="auto"/>
          <w:vertAlign w:val="superscript"/>
        </w:rPr>
        <w:t>00</w:t>
      </w:r>
      <w:r>
        <w:rPr>
          <w:rFonts w:ascii="Arial" w:cs="Arial" w:eastAsia="Arial" w:hAnsi="Arial"/>
          <w:sz w:val="16"/>
          <w:szCs w:val="16"/>
          <w:color w:val="auto"/>
        </w:rPr>
        <w:t xml:space="preserve"> S, 175 34</w:t>
      </w:r>
      <w:r>
        <w:rPr>
          <w:rFonts w:ascii="Arial" w:cs="Arial" w:eastAsia="Arial" w:hAnsi="Arial"/>
          <w:sz w:val="22"/>
          <w:szCs w:val="22"/>
          <w:color w:val="auto"/>
          <w:vertAlign w:val="superscript"/>
        </w:rPr>
        <w:t>0</w:t>
      </w:r>
      <w:r>
        <w:rPr>
          <w:rFonts w:ascii="Arial" w:cs="Arial" w:eastAsia="Arial" w:hAnsi="Arial"/>
          <w:sz w:val="16"/>
          <w:szCs w:val="16"/>
          <w:color w:val="auto"/>
        </w:rPr>
        <w:t xml:space="preserve"> 50.4</w:t>
      </w:r>
      <w:r>
        <w:rPr>
          <w:rFonts w:ascii="Arial" w:cs="Arial" w:eastAsia="Arial" w:hAnsi="Arial"/>
          <w:sz w:val="22"/>
          <w:szCs w:val="22"/>
          <w:color w:val="auto"/>
          <w:vertAlign w:val="superscript"/>
        </w:rPr>
        <w:t>00</w:t>
      </w:r>
      <w:r>
        <w:rPr>
          <w:rFonts w:ascii="Arial" w:cs="Arial" w:eastAsia="Arial" w:hAnsi="Arial"/>
          <w:sz w:val="16"/>
          <w:szCs w:val="16"/>
          <w:color w:val="auto"/>
        </w:rPr>
        <w:t xml:space="preserve"> E). During the first deployment (12–19 February), herbicide was unexpectedly applied (as indicated by a spike in specific conductivity (increasing from 234 to 305 </w:t>
      </w:r>
      <w:r>
        <w:rPr>
          <w:rFonts w:ascii="Arial" w:cs="Arial" w:eastAsia="Arial" w:hAnsi="Arial"/>
          <w:sz w:val="16"/>
          <w:szCs w:val="16"/>
          <w:color w:val="auto"/>
        </w:rPr>
        <w:t>μ</w:t>
      </w:r>
      <w:r>
        <w:rPr>
          <w:rFonts w:ascii="Arial" w:cs="Arial" w:eastAsia="Arial" w:hAnsi="Arial"/>
          <w:sz w:val="16"/>
          <w:szCs w:val="16"/>
          <w:color w:val="auto"/>
        </w:rPr>
        <w:t>S cm</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at 25 C) across the site as part of annual C. demersum macrophyte</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control, enabling comparison of short-term physicochemical changes before and after herbicide application (Figure 2c). The sonde was redeployed at the same site on 26 February for a further 7 days to assess longer-term changes in physicochemical parame-ters. All these sonde measurements were collected on the bottom every 10 min.</w:t>
      </w:r>
    </w:p>
    <w:p>
      <w:pPr>
        <w:spacing w:after="0" w:line="200" w:lineRule="exact"/>
        <w:rPr>
          <w:sz w:val="20"/>
          <w:szCs w:val="20"/>
          <w:color w:val="auto"/>
        </w:rPr>
      </w:pPr>
    </w:p>
    <w:p>
      <w:pPr>
        <w:spacing w:after="0" w:line="284"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2.3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Data preparation</w:t>
      </w:r>
    </w:p>
    <w:p>
      <w:pPr>
        <w:spacing w:after="0" w:line="339" w:lineRule="exact"/>
        <w:rPr>
          <w:sz w:val="20"/>
          <w:szCs w:val="20"/>
          <w:color w:val="auto"/>
        </w:rPr>
      </w:pPr>
    </w:p>
    <w:p>
      <w:pPr>
        <w:jc w:val="both"/>
        <w:spacing w:after="0" w:line="328" w:lineRule="auto"/>
        <w:rPr>
          <w:sz w:val="20"/>
          <w:szCs w:val="20"/>
          <w:color w:val="auto"/>
        </w:rPr>
      </w:pPr>
      <w:r>
        <w:rPr>
          <w:rFonts w:ascii="Arial" w:cs="Arial" w:eastAsia="Arial" w:hAnsi="Arial"/>
          <w:sz w:val="16"/>
          <w:szCs w:val="16"/>
          <w:color w:val="auto"/>
        </w:rPr>
        <w:t xml:space="preserve">For analysis of the spatial dataset (within the water column across lake sections), sonde measurements were classified as collected from inside or outside macrophyte beds if sonde depth was ≤ or &gt; macrophyte height, respectively (Figure 2b). Specific conductivity (range 158–284 </w:t>
      </w:r>
      <w:r>
        <w:rPr>
          <w:rFonts w:ascii="Arial" w:cs="Arial" w:eastAsia="Arial" w:hAnsi="Arial"/>
          <w:sz w:val="16"/>
          <w:szCs w:val="16"/>
          <w:color w:val="auto"/>
        </w:rPr>
        <w:t>μ</w:t>
      </w:r>
      <w:r>
        <w:rPr>
          <w:rFonts w:ascii="Arial" w:cs="Arial" w:eastAsia="Arial" w:hAnsi="Arial"/>
          <w:sz w:val="16"/>
          <w:szCs w:val="16"/>
          <w:color w:val="auto"/>
        </w:rPr>
        <w:t>S cm</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at 25 C) showed no patterns in relation to macrophyte abundance so was not included in the spatial analysis, but it was used in the herbicide impact analysis to detect time of herbicide application and changes associated with C. demersum decomposition. For the latter analysis, data collected from the first hour of the seven-day sonde deployments before and after herbi-cide application were excluded to remove variation related to sonde installation.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349885</wp:posOffset>
            </wp:positionV>
            <wp:extent cx="3069590" cy="38893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3069590" cy="3889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right="260"/>
        <w:spacing w:after="0" w:line="309" w:lineRule="auto"/>
        <w:rPr>
          <w:sz w:val="20"/>
          <w:szCs w:val="20"/>
          <w:color w:val="auto"/>
        </w:rPr>
      </w:pPr>
      <w:r>
        <w:rPr>
          <w:rFonts w:ascii="Arial" w:cs="Arial" w:eastAsia="Arial" w:hAnsi="Arial"/>
          <w:sz w:val="15"/>
          <w:szCs w:val="15"/>
          <w:color w:val="auto"/>
        </w:rPr>
        <w:t>F I G U R E 1 Study site locations in Ceratophyllum demersum and Egeria densa in the lower-lacustrine and upper-riverine sections of</w:t>
      </w:r>
    </w:p>
    <w:p>
      <w:pPr>
        <w:spacing w:after="0" w:line="1" w:lineRule="exact"/>
        <w:rPr>
          <w:sz w:val="20"/>
          <w:szCs w:val="20"/>
          <w:color w:val="auto"/>
        </w:rPr>
      </w:pPr>
    </w:p>
    <w:p>
      <w:pPr>
        <w:ind w:right="60"/>
        <w:spacing w:after="0" w:line="281" w:lineRule="auto"/>
        <w:rPr>
          <w:rFonts w:ascii="Arial" w:cs="Arial" w:eastAsia="Arial" w:hAnsi="Arial"/>
          <w:sz w:val="16"/>
          <w:szCs w:val="16"/>
          <w:color w:val="auto"/>
        </w:rPr>
      </w:pPr>
      <w:r>
        <w:rPr>
          <w:rFonts w:ascii="Arial" w:cs="Arial" w:eastAsia="Arial" w:hAnsi="Arial"/>
          <w:sz w:val="16"/>
          <w:szCs w:val="16"/>
          <w:color w:val="auto"/>
        </w:rPr>
        <w:t xml:space="preserve">Karapiro, respectively. Enlarged area is located in the Waikato region, North Island, New Zealand (black box on country outline) [Color figure can be viewed at </w:t>
      </w:r>
      <w:hyperlink r:id="rId24">
        <w:r>
          <w:rPr>
            <w:rFonts w:ascii="Arial" w:cs="Arial" w:eastAsia="Arial" w:hAnsi="Arial"/>
            <w:sz w:val="16"/>
            <w:szCs w:val="16"/>
            <w:color w:val="auto"/>
          </w:rPr>
          <w:t>wileyonlinelibrary.com]</w:t>
        </w:r>
      </w:hyperlink>
    </w:p>
    <w:p>
      <w:pPr>
        <w:sectPr>
          <w:pgSz w:w="11900" w:h="15647" w:orient="portrait"/>
          <w:cols w:equalWidth="0" w:num="2">
            <w:col w:w="4860" w:space="360"/>
            <w:col w:w="4860"/>
          </w:cols>
          <w:pgMar w:left="900" w:top="415" w:right="926" w:bottom="325" w:gutter="0" w:footer="0" w:header="0"/>
          <w:type w:val="continuous"/>
        </w:sectPr>
      </w:pPr>
    </w:p>
    <w:bookmarkStart w:id="3" w:name="page4"/>
    <w:bookmarkEnd w:id="3"/>
    <w:p>
      <w:pPr>
        <w:spacing w:after="0"/>
        <w:tabs>
          <w:tab w:leader="none" w:pos="429" w:val="left"/>
        </w:tabs>
        <w:rPr>
          <w:sz w:val="20"/>
          <w:szCs w:val="20"/>
          <w:color w:val="auto"/>
        </w:rPr>
      </w:pPr>
      <w:r>
        <w:rPr>
          <w:rFonts w:ascii="Arial" w:cs="Arial" w:eastAsia="Arial" w:hAnsi="Arial"/>
          <w:sz w:val="14"/>
          <w:szCs w:val="14"/>
          <w:color w:val="auto"/>
        </w:rPr>
        <w:t>4</w:t>
      </w:r>
      <w:r>
        <w:rPr>
          <w:sz w:val="20"/>
          <w:szCs w:val="20"/>
          <w:color w:val="auto"/>
        </w:rPr>
        <w:tab/>
      </w:r>
      <w:r>
        <w:rPr>
          <w:sz w:val="1"/>
          <w:szCs w:val="1"/>
          <w:color w:val="auto"/>
        </w:rPr>
        <w:drawing>
          <wp:inline distT="0" distB="0" distL="0" distR="0">
            <wp:extent cx="19050" cy="170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MOORE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-36830</wp:posOffset>
            </wp:positionV>
            <wp:extent cx="6413500" cy="25996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6413500" cy="2599690"/>
                    </a:xfrm>
                    <a:prstGeom prst="rect">
                      <a:avLst/>
                    </a:prstGeom>
                    <a:noFill/>
                  </pic:spPr>
                </pic:pic>
              </a:graphicData>
            </a:graphic>
          </wp:anchor>
        </w:drawing>
      </w:r>
    </w:p>
    <w:p>
      <w:pPr>
        <w:sectPr>
          <w:pgSz w:w="11900" w:h="15647" w:orient="portrait"/>
          <w:cols w:equalWidth="0" w:num="1">
            <w:col w:w="10100"/>
          </w:cols>
          <w:pgMar w:left="920" w:top="415" w:right="886" w:bottom="5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right="20"/>
        <w:spacing w:after="0" w:line="307" w:lineRule="auto"/>
        <w:rPr>
          <w:sz w:val="20"/>
          <w:szCs w:val="20"/>
          <w:color w:val="auto"/>
        </w:rPr>
      </w:pPr>
      <w:r>
        <w:rPr>
          <w:rFonts w:ascii="Arial" w:cs="Arial" w:eastAsia="Arial" w:hAnsi="Arial"/>
          <w:sz w:val="15"/>
          <w:szCs w:val="15"/>
          <w:color w:val="auto"/>
        </w:rPr>
        <w:t>F I G U R E 2 Study design showing: (a) number of transects (red) perpendicular to the shoreline and location of vertical profiles (A)–(D) at four sites for each sampling occasion (Ceratophyllum demersum-lacustrine November; C. demersum-lacustrine January; and Egeria densa -riverine January);</w:t>
      </w:r>
    </w:p>
    <w:p>
      <w:pPr>
        <w:spacing w:after="0" w:line="1" w:lineRule="exact"/>
        <w:rPr>
          <w:sz w:val="20"/>
          <w:szCs w:val="20"/>
          <w:color w:val="auto"/>
        </w:rPr>
      </w:pPr>
    </w:p>
    <w:p>
      <w:pPr>
        <w:ind w:right="140" w:firstLine="10"/>
        <w:spacing w:after="0" w:line="309" w:lineRule="auto"/>
        <w:tabs>
          <w:tab w:leader="none" w:pos="209" w:val="left"/>
        </w:tabs>
        <w:numPr>
          <w:ilvl w:val="0"/>
          <w:numId w:val="2"/>
        </w:numPr>
        <w:rPr>
          <w:rFonts w:ascii="Arial" w:cs="Arial" w:eastAsia="Arial" w:hAnsi="Arial"/>
          <w:sz w:val="15"/>
          <w:szCs w:val="15"/>
          <w:color w:val="auto"/>
        </w:rPr>
      </w:pPr>
      <w:r>
        <w:rPr>
          <w:rFonts w:ascii="Arial" w:cs="Arial" w:eastAsia="Arial" w:hAnsi="Arial"/>
          <w:sz w:val="15"/>
          <w:szCs w:val="15"/>
          <w:color w:val="auto"/>
        </w:rPr>
        <w:t xml:space="preserve">measurement points (every 0.5 m from water surface including lake bottom) in macrophyte-free (A—blue) and macrophyte (B, C, D—black) vertical profiles, with inside/outside macrophyte bed (green dashed line) labelled; and (c) herbicide-impact measurement by 7-day deployment of a sonde in a C. demersum bed (dashed green line) and two-day periods selected for analysis [Color figure can be viewed at </w:t>
      </w:r>
      <w:hyperlink r:id="rId24">
        <w:r>
          <w:rPr>
            <w:rFonts w:ascii="Arial" w:cs="Arial" w:eastAsia="Arial" w:hAnsi="Arial"/>
            <w:sz w:val="15"/>
            <w:szCs w:val="15"/>
            <w:color w:val="auto"/>
          </w:rPr>
          <w:t>wileyonlinelibrary.com]</w:t>
        </w:r>
      </w:hyperlink>
    </w:p>
    <w:p>
      <w:pPr>
        <w:sectPr>
          <w:pgSz w:w="11900" w:h="15647" w:orient="portrait"/>
          <w:cols w:equalWidth="0" w:num="1">
            <w:col w:w="10100"/>
          </w:cols>
          <w:pgMar w:left="920" w:top="415" w:right="886" w:bottom="51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firstLine="300"/>
        <w:spacing w:after="0" w:line="335" w:lineRule="auto"/>
        <w:rPr>
          <w:sz w:val="20"/>
          <w:szCs w:val="20"/>
          <w:color w:val="auto"/>
        </w:rPr>
      </w:pPr>
      <w:r>
        <w:rPr>
          <w:rFonts w:ascii="Arial" w:cs="Arial" w:eastAsia="Arial" w:hAnsi="Arial"/>
          <w:sz w:val="16"/>
          <w:szCs w:val="16"/>
          <w:color w:val="auto"/>
        </w:rPr>
        <w:t>To account for variability in physicochemical parameters related to macrophyte metabolism or Karapiro water level and water inflow fluctuations during the 6.5 hr required to collect the spatial data, the following covarying factors were included in data analyses:</w:t>
      </w:r>
    </w:p>
    <w:p>
      <w:pPr>
        <w:spacing w:after="0" w:line="12" w:lineRule="exact"/>
        <w:rPr>
          <w:sz w:val="20"/>
          <w:szCs w:val="20"/>
          <w:color w:val="auto"/>
        </w:rPr>
      </w:pPr>
    </w:p>
    <w:p>
      <w:pPr>
        <w:jc w:val="both"/>
        <w:ind w:firstLine="10"/>
        <w:spacing w:after="0" w:line="338" w:lineRule="auto"/>
        <w:tabs>
          <w:tab w:leader="none" w:pos="234" w:val="left"/>
        </w:tabs>
        <w:numPr>
          <w:ilvl w:val="0"/>
          <w:numId w:val="3"/>
        </w:numPr>
        <w:rPr>
          <w:rFonts w:ascii="Arial" w:cs="Arial" w:eastAsia="Arial" w:hAnsi="Arial"/>
          <w:sz w:val="16"/>
          <w:szCs w:val="16"/>
          <w:color w:val="auto"/>
        </w:rPr>
      </w:pPr>
      <w:r>
        <w:rPr>
          <w:rFonts w:ascii="Arial" w:cs="Arial" w:eastAsia="Arial" w:hAnsi="Arial"/>
          <w:sz w:val="16"/>
          <w:szCs w:val="16"/>
          <w:color w:val="auto"/>
        </w:rPr>
        <w:t>measurement time expressed as minutes past midnight on each day; and (b) half-hourly data on water level at the Karapiro dam and water inflow (January 2018–May 2019) from the Arapuni dam located directly upstream (data acquired from Mercury New Zealand Limited). The time of measurement was rounded to the nearest half-hour to align with the supplied water level and water inflow data. Karapiro water level and water inflow were significantly inversely correlated (r = −.69, p &lt; .001).</w:t>
      </w:r>
    </w:p>
    <w:p>
      <w:pPr>
        <w:spacing w:after="0" w:line="4" w:lineRule="exact"/>
        <w:rPr>
          <w:rFonts w:ascii="Arial" w:cs="Arial" w:eastAsia="Arial" w:hAnsi="Arial"/>
          <w:sz w:val="16"/>
          <w:szCs w:val="16"/>
          <w:color w:val="auto"/>
        </w:rPr>
      </w:pPr>
    </w:p>
    <w:p>
      <w:pPr>
        <w:jc w:val="both"/>
        <w:ind w:firstLine="300"/>
        <w:spacing w:after="0" w:line="338" w:lineRule="auto"/>
        <w:rPr>
          <w:rFonts w:ascii="Arial" w:cs="Arial" w:eastAsia="Arial" w:hAnsi="Arial"/>
          <w:sz w:val="16"/>
          <w:szCs w:val="16"/>
          <w:color w:val="auto"/>
        </w:rPr>
      </w:pPr>
      <w:r>
        <w:rPr>
          <w:rFonts w:ascii="Arial" w:cs="Arial" w:eastAsia="Arial" w:hAnsi="Arial"/>
          <w:sz w:val="16"/>
          <w:szCs w:val="16"/>
          <w:color w:val="auto"/>
        </w:rPr>
        <w:t>Data collected from the ‘surface’ (i.e., sonde probe depth of 0.05 m) and ‘bottom’ (i.e., sonde probe 0.05 m from the lake bed) in the spatial dataset (Figure 2b) were used to examine the strengths of relationships between potential covarying factors and physicochemi-cal parameters, which differed most at these extremes. Linear regres-sion was used to model each relationship, with the physicochemical parameter and potential covarying factor as the response and predic-tor variables, respectively. All relationships followed linear models (including measurement time) over the 7.5-hr period of daylight that measurements were collected (Table S1).</w:t>
      </w:r>
    </w:p>
    <w:p>
      <w:pPr>
        <w:spacing w:after="0" w:line="10" w:lineRule="exact"/>
        <w:rPr>
          <w:rFonts w:ascii="Arial" w:cs="Arial" w:eastAsia="Arial" w:hAnsi="Arial"/>
          <w:sz w:val="16"/>
          <w:szCs w:val="16"/>
          <w:color w:val="auto"/>
        </w:rPr>
      </w:pPr>
    </w:p>
    <w:p>
      <w:pPr>
        <w:jc w:val="both"/>
        <w:ind w:firstLine="300"/>
        <w:spacing w:after="0" w:line="362" w:lineRule="auto"/>
        <w:rPr>
          <w:rFonts w:ascii="Arial" w:cs="Arial" w:eastAsia="Arial" w:hAnsi="Arial"/>
          <w:sz w:val="16"/>
          <w:szCs w:val="16"/>
          <w:color w:val="auto"/>
        </w:rPr>
      </w:pPr>
      <w:r>
        <w:rPr>
          <w:rFonts w:ascii="Arial" w:cs="Arial" w:eastAsia="Arial" w:hAnsi="Arial"/>
          <w:sz w:val="15"/>
          <w:szCs w:val="15"/>
          <w:color w:val="auto"/>
        </w:rPr>
        <w:t>To remove the influence of the covarying factors of measurement time, and associated temporal variations in water depth induced by changes in Karapiro water level and water inflow, detrending (see below and Supporting Information for details) was performed prior to examining the relationship between proportional macrophyte height and measured pH, temperature or oxygen. Karapiro water level and water inflow were both detrended as different relationships with physicochemical parameters were shown for C. demersum 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right="20"/>
        <w:spacing w:after="0" w:line="327" w:lineRule="auto"/>
        <w:rPr>
          <w:sz w:val="20"/>
          <w:szCs w:val="20"/>
          <w:color w:val="auto"/>
        </w:rPr>
      </w:pPr>
      <w:r>
        <w:rPr>
          <w:rFonts w:ascii="Arial" w:cs="Arial" w:eastAsia="Arial" w:hAnsi="Arial"/>
          <w:sz w:val="16"/>
          <w:szCs w:val="16"/>
          <w:color w:val="auto"/>
        </w:rPr>
        <w:t>E. densa sites. To detrend a physicochemical parameter, a correction was applied as follows:</w:t>
      </w:r>
    </w:p>
    <w:p>
      <w:pPr>
        <w:spacing w:after="0" w:line="232" w:lineRule="exact"/>
        <w:rPr>
          <w:sz w:val="20"/>
          <w:szCs w:val="20"/>
          <w:color w:val="auto"/>
        </w:rPr>
      </w:pPr>
    </w:p>
    <w:p>
      <w:pPr>
        <w:ind w:left="1620"/>
        <w:spacing w:after="0"/>
        <w:rPr>
          <w:sz w:val="20"/>
          <w:szCs w:val="20"/>
          <w:color w:val="auto"/>
        </w:rPr>
      </w:pPr>
      <w:r>
        <w:rPr>
          <w:rFonts w:ascii="Arial" w:cs="Arial" w:eastAsia="Arial" w:hAnsi="Arial"/>
          <w:sz w:val="16"/>
          <w:szCs w:val="16"/>
          <w:color w:val="auto"/>
        </w:rPr>
        <w:t>x:detrended = x + ð x−y^Þ</w:t>
      </w:r>
    </w:p>
    <w:p>
      <w:pPr>
        <w:spacing w:after="0" w:line="382"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where x is the raw physicochemical parameter and y the covarying factor. This was based on methods shown by Weisberg (2005), where a correction (difference between the mean physicochemical variable value (x) and fitted covarying factor value (y^)) was applied to the raw physicochemical parameter. For oxygen, resulting detrended values &lt;0 were recoded to 0 (e.g., anoxic conditions measured in the after-noon could be adjusted to a negative value when accounting for the positive effect of measurement time).</w:t>
      </w:r>
    </w:p>
    <w:p>
      <w:pPr>
        <w:spacing w:after="0" w:line="200" w:lineRule="exact"/>
        <w:rPr>
          <w:sz w:val="20"/>
          <w:szCs w:val="20"/>
          <w:color w:val="auto"/>
        </w:rPr>
      </w:pPr>
    </w:p>
    <w:p>
      <w:pPr>
        <w:spacing w:after="0" w:line="284"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2.4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Statistical analyses</w:t>
      </w:r>
    </w:p>
    <w:p>
      <w:pPr>
        <w:spacing w:after="0" w:line="337" w:lineRule="exact"/>
        <w:rPr>
          <w:sz w:val="20"/>
          <w:szCs w:val="20"/>
          <w:color w:val="auto"/>
        </w:rPr>
      </w:pPr>
    </w:p>
    <w:p>
      <w:pPr>
        <w:jc w:val="both"/>
        <w:spacing w:after="0" w:line="390" w:lineRule="auto"/>
        <w:rPr>
          <w:sz w:val="20"/>
          <w:szCs w:val="20"/>
          <w:color w:val="auto"/>
        </w:rPr>
      </w:pPr>
      <w:r>
        <w:rPr>
          <w:rFonts w:ascii="Arial" w:cs="Arial" w:eastAsia="Arial" w:hAnsi="Arial"/>
          <w:sz w:val="14"/>
          <w:szCs w:val="14"/>
          <w:color w:val="auto"/>
        </w:rPr>
        <w:t>All data analyses presented were conducted using the R statistical soft-ware program v3.5.2 (R Core Team, 2019) and presented in ‘ggplot2’ v3.1.0 (Wickham, 2016). The relationship between raw physicochemical parameters and covarying factors collected across the three sampling occasions was explored using Principal Component Analysis (PCA) performed in the ‘Vegan’ community ecology package v2.5-4 (Oksanen, 2015). Prior to performing the PCA, raw physicochemical parameters and covarying factors were centred and scaled (subtracted from sample means and divided by their standard deviate) to standardize measurements on different scales (Sergeant, Starkey, Bartz, Wilson, &amp; Mueter, 2016). Statistical significance and coefficients of determination of physicochemical parameters and covarying factors were tested with per-mutation tests (999) using the ‘envfit’ function in ‘Vegan’ (Oksanen, 2015).</w:t>
      </w:r>
    </w:p>
    <w:p>
      <w:pPr>
        <w:sectPr>
          <w:pgSz w:w="11900" w:h="15647" w:orient="portrait"/>
          <w:cols w:equalWidth="0" w:num="2">
            <w:col w:w="4860" w:space="380"/>
            <w:col w:w="4860"/>
          </w:cols>
          <w:pgMar w:left="920" w:top="415" w:right="886" w:bottom="510" w:gutter="0" w:footer="0" w:header="0"/>
          <w:type w:val="continuous"/>
        </w:sectPr>
      </w:pPr>
    </w:p>
    <w:bookmarkStart w:id="4" w:name="page5"/>
    <w:bookmarkEnd w:id="4"/>
    <w:p>
      <w:pPr>
        <w:spacing w:after="0"/>
        <w:rPr>
          <w:sz w:val="20"/>
          <w:szCs w:val="20"/>
          <w:color w:val="auto"/>
        </w:rPr>
      </w:pPr>
      <w:r>
        <w:rPr>
          <w:rFonts w:ascii="Arial" w:cs="Arial" w:eastAsia="Arial" w:hAnsi="Arial"/>
          <w:sz w:val="14"/>
          <w:szCs w:val="14"/>
          <w:color w:val="auto"/>
        </w:rPr>
        <w:t xml:space="preserve">MOORE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284" w:gutter="0" w:footer="0" w:header="0"/>
        </w:sectPr>
      </w:pPr>
    </w:p>
    <w:p>
      <w:pPr>
        <w:spacing w:after="0" w:line="317" w:lineRule="exact"/>
        <w:rPr>
          <w:sz w:val="20"/>
          <w:szCs w:val="20"/>
          <w:color w:val="auto"/>
        </w:rPr>
      </w:pPr>
    </w:p>
    <w:p>
      <w:pPr>
        <w:jc w:val="both"/>
        <w:ind w:firstLine="300"/>
        <w:spacing w:after="0" w:line="361" w:lineRule="auto"/>
        <w:rPr>
          <w:sz w:val="20"/>
          <w:szCs w:val="20"/>
          <w:color w:val="auto"/>
        </w:rPr>
      </w:pPr>
      <w:r>
        <w:rPr>
          <w:rFonts w:ascii="Arial" w:cs="Arial" w:eastAsia="Arial" w:hAnsi="Arial"/>
          <w:sz w:val="15"/>
          <w:szCs w:val="15"/>
          <w:color w:val="auto"/>
        </w:rPr>
        <w:t>To examine changes with depth, mean values of raw physico-chemical parameters in a vertical profile were binned into five groups of equal size based on proportional depth, and displayed as boxplots. Comparisons of proportional macrophyte height, Karapiro water level and water inflow, and physicochemical parameters between sampling occasions, sites, and vertical profiles were tested using ANOVA or t tests if parametric assumptions were met, or if not, their nonpara-metric equivalents were used (Kruskal–Wallis or Wilcoxon signed-rank tests). To account for multiple pairwise comparisons, Bonferroni corrections were applied for all tests with multiple groups. Propor-tional data were arcsine transformed prior to analysis (Zar, 1999).</w:t>
      </w:r>
    </w:p>
    <w:p>
      <w:pPr>
        <w:spacing w:after="0" w:line="6" w:lineRule="exact"/>
        <w:rPr>
          <w:sz w:val="20"/>
          <w:szCs w:val="20"/>
          <w:color w:val="auto"/>
        </w:rPr>
      </w:pPr>
    </w:p>
    <w:p>
      <w:pPr>
        <w:jc w:val="both"/>
        <w:ind w:firstLine="300"/>
        <w:spacing w:after="0" w:line="361" w:lineRule="auto"/>
        <w:rPr>
          <w:sz w:val="20"/>
          <w:szCs w:val="20"/>
          <w:color w:val="auto"/>
        </w:rPr>
      </w:pPr>
      <w:r>
        <w:rPr>
          <w:rFonts w:ascii="Arial" w:cs="Arial" w:eastAsia="Arial" w:hAnsi="Arial"/>
          <w:sz w:val="15"/>
          <w:szCs w:val="15"/>
          <w:color w:val="auto"/>
        </w:rPr>
        <w:t>Relationships between detrended physicochemical parameters of temperature, pH, and oxygen (transect mean of vertical profiles) were visualized in a ternary plot (scaled from 0 to 100) using ‘ggtern’ v3.1.0 (Hamilton &amp; Ferry, 2018). To test the relationship between propor-tional macrophyte height and detrended physicochemical parameters at the lake bottom and water surface for each sampling occasion, lin-ear quantile regressions were performed using the 10th, 50th, and 90th quantiles (‘quantreg’ v5.38; Koenker et al., 2019). Each quantile regression slope was tested for significance from zero with xy-pair bootstrap standard errors (Koenker, 2019; Parzen, Wei, &amp; Ying, 1994). Quantile regression was chosen since relationships were hetero-scedastic, with triangular patterns displayed in physicochemical parameters across the macrophyte proportion gradient. The 10th and 90th percentiles represent the upper and lower boundaries of these relationships and thereby can determine potential high and low limits in the data (Anderson &amp; Jetz, 2005).</w:t>
      </w:r>
    </w:p>
    <w:p>
      <w:pPr>
        <w:spacing w:after="0" w:line="9" w:lineRule="exact"/>
        <w:rPr>
          <w:sz w:val="20"/>
          <w:szCs w:val="20"/>
          <w:color w:val="auto"/>
        </w:rPr>
      </w:pPr>
    </w:p>
    <w:p>
      <w:pPr>
        <w:jc w:val="both"/>
        <w:ind w:firstLine="300"/>
        <w:spacing w:after="0" w:line="362" w:lineRule="auto"/>
        <w:rPr>
          <w:sz w:val="20"/>
          <w:szCs w:val="20"/>
          <w:color w:val="auto"/>
        </w:rPr>
      </w:pPr>
      <w:r>
        <w:rPr>
          <w:rFonts w:ascii="Arial" w:cs="Arial" w:eastAsia="Arial" w:hAnsi="Arial"/>
          <w:sz w:val="15"/>
          <w:szCs w:val="15"/>
          <w:color w:val="auto"/>
        </w:rPr>
        <w:t>To examine the impact of herbicide application on diurnal variation of physicochemical parameters inside a C. demersum bed, two-day periods (starting at 09:00 hr; 288 measurements) were selected before (13–15 February), after (17–19 February), and 10-days after (27 February–1 March) herbicide application (17 February; Figure 2c). For each period, the coefficient of variation, and 10th, 50th, and 90th percentiles were calculated, with differences between periods in median value and variability tested using Wilcoxon Signed-rank and Levene's tests, respectively. As the herbicide-impact study was seren-dipitous, Bayesian structural models on the time-series data were applied to understand the effect of herbicide application compared to a modelled control (i.e., ‘counterfactual’; if no herbicide impact had occurred) using the ‘CausalImpact’ package (Brodersen, Gallusser, Koehler, Remy, &amp; Scott, 2015). This impact analysis generated the mod-elled control based on the ‘before’ two-day period for specific conduc-tivity, pH, and oxygen (log +1) using covarying factors identified in the PCA (i.e., temperature, depth, measurement time, and Karapiro water level and water inflow) to compare with the ‘after’ two-day periods.</w:t>
      </w:r>
    </w:p>
    <w:p>
      <w:pPr>
        <w:spacing w:after="0" w:line="200" w:lineRule="exact"/>
        <w:rPr>
          <w:sz w:val="20"/>
          <w:szCs w:val="20"/>
          <w:color w:val="auto"/>
        </w:rPr>
      </w:pPr>
    </w:p>
    <w:p>
      <w:pPr>
        <w:spacing w:after="0" w:line="268" w:lineRule="exact"/>
        <w:rPr>
          <w:sz w:val="20"/>
          <w:szCs w:val="20"/>
          <w:color w:val="auto"/>
        </w:rPr>
      </w:pPr>
    </w:p>
    <w:p>
      <w:pPr>
        <w:spacing w:after="0"/>
        <w:tabs>
          <w:tab w:leader="none" w:pos="320" w:val="left"/>
          <w:tab w:leader="none" w:pos="600" w:val="left"/>
        </w:tabs>
        <w:rPr>
          <w:sz w:val="20"/>
          <w:szCs w:val="20"/>
          <w:color w:val="auto"/>
        </w:rPr>
      </w:pPr>
      <w:r>
        <w:rPr>
          <w:rFonts w:ascii="Arial" w:cs="Arial" w:eastAsia="Arial" w:hAnsi="Arial"/>
          <w:sz w:val="20"/>
          <w:szCs w:val="20"/>
          <w:color w:val="auto"/>
        </w:rPr>
        <w:t>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RESULTS</w:t>
      </w:r>
    </w:p>
    <w:p>
      <w:pPr>
        <w:spacing w:after="0" w:line="287"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Sampling site characteristics</w:t>
      </w:r>
    </w:p>
    <w:p>
      <w:pPr>
        <w:spacing w:after="0" w:line="336" w:lineRule="exact"/>
        <w:rPr>
          <w:sz w:val="20"/>
          <w:szCs w:val="20"/>
          <w:color w:val="auto"/>
        </w:rPr>
      </w:pPr>
    </w:p>
    <w:p>
      <w:pPr>
        <w:jc w:val="both"/>
        <w:spacing w:after="0" w:line="329" w:lineRule="auto"/>
        <w:rPr>
          <w:sz w:val="20"/>
          <w:szCs w:val="20"/>
          <w:color w:val="auto"/>
        </w:rPr>
      </w:pPr>
      <w:r>
        <w:rPr>
          <w:rFonts w:ascii="Arial" w:cs="Arial" w:eastAsia="Arial" w:hAnsi="Arial"/>
          <w:sz w:val="16"/>
          <w:szCs w:val="16"/>
          <w:color w:val="auto"/>
        </w:rPr>
        <w:t>Water level in the lower-lacustrine section was significantly higher on average in January than November (mean ± SD of vertical profile</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measurement points: 52.8 ± 0.1 and 52.6 ± 0.1 m above sea level, respectively; Wilcoxon signed-rank test, p &lt; .001), with significant dif-ferences between sampling sites (November, Kruskal–Wallis,</w:t>
      </w:r>
    </w:p>
    <w:p>
      <w:pPr>
        <w:spacing w:after="0" w:line="3" w:lineRule="exact"/>
        <w:rPr>
          <w:sz w:val="20"/>
          <w:szCs w:val="20"/>
          <w:color w:val="auto"/>
        </w:rPr>
      </w:pPr>
    </w:p>
    <w:p>
      <w:pPr>
        <w:ind w:left="200" w:hanging="199"/>
        <w:spacing w:after="0"/>
        <w:tabs>
          <w:tab w:leader="none" w:pos="200" w:val="left"/>
        </w:tabs>
        <w:numPr>
          <w:ilvl w:val="0"/>
          <w:numId w:val="4"/>
        </w:numPr>
        <w:rPr>
          <w:rFonts w:ascii="Arial" w:cs="Arial" w:eastAsia="Arial" w:hAnsi="Arial"/>
          <w:sz w:val="16"/>
          <w:szCs w:val="16"/>
          <w:color w:val="auto"/>
        </w:rPr>
      </w:pPr>
      <w:r>
        <w:rPr>
          <w:rFonts w:ascii="Arial" w:cs="Arial" w:eastAsia="Arial" w:hAnsi="Arial"/>
          <w:sz w:val="16"/>
          <w:szCs w:val="16"/>
          <w:color w:val="auto"/>
        </w:rPr>
        <w:t>= 32.46, p &lt; .001; January, Kruskal–Wallis, H = 44.15, p &lt; .001).</w:t>
      </w:r>
    </w:p>
    <w:p>
      <w:pPr>
        <w:spacing w:after="0" w:line="50" w:lineRule="exact"/>
        <w:rPr>
          <w:rFonts w:ascii="Arial" w:cs="Arial" w:eastAsia="Arial" w:hAnsi="Arial"/>
          <w:sz w:val="16"/>
          <w:szCs w:val="16"/>
          <w:color w:val="auto"/>
        </w:rPr>
      </w:pPr>
    </w:p>
    <w:p>
      <w:pPr>
        <w:jc w:val="both"/>
        <w:spacing w:after="0" w:line="275" w:lineRule="auto"/>
        <w:rPr>
          <w:rFonts w:ascii="Arial" w:cs="Arial" w:eastAsia="Arial" w:hAnsi="Arial"/>
          <w:sz w:val="16"/>
          <w:szCs w:val="16"/>
          <w:color w:val="auto"/>
        </w:rPr>
      </w:pPr>
      <w:r>
        <w:rPr>
          <w:rFonts w:ascii="Arial" w:cs="Arial" w:eastAsia="Arial" w:hAnsi="Arial"/>
          <w:sz w:val="16"/>
          <w:szCs w:val="16"/>
          <w:color w:val="auto"/>
        </w:rPr>
        <w:t>Water inflow in the upper-riverine section varied by 100 m</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s</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on average between sampling days (overall mean 269.9 ± 42.9 m</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s</w:t>
      </w:r>
      <w:r>
        <w:rPr>
          <w:rFonts w:ascii="Arial" w:cs="Arial" w:eastAsia="Arial" w:hAnsi="Arial"/>
          <w:sz w:val="21"/>
          <w:szCs w:val="21"/>
          <w:color w:val="auto"/>
          <w:vertAlign w:val="superscript"/>
        </w:rPr>
        <w:t>−1</w:t>
      </w:r>
      <w:r>
        <w:rPr>
          <w:rFonts w:ascii="Arial" w:cs="Arial" w:eastAsia="Arial" w:hAnsi="Arial"/>
          <w:sz w:val="16"/>
          <w:szCs w:val="16"/>
          <w:color w:val="auto"/>
        </w:rPr>
        <w:t>; Kruskal–Wallis, H = 39.09, p &lt; .001).</w:t>
      </w:r>
    </w:p>
    <w:p>
      <w:pPr>
        <w:spacing w:after="0" w:line="42" w:lineRule="exact"/>
        <w:rPr>
          <w:rFonts w:ascii="Arial" w:cs="Arial" w:eastAsia="Arial" w:hAnsi="Arial"/>
          <w:sz w:val="16"/>
          <w:szCs w:val="16"/>
          <w:color w:val="auto"/>
        </w:rPr>
      </w:pPr>
    </w:p>
    <w:p>
      <w:pPr>
        <w:jc w:val="both"/>
        <w:ind w:firstLine="299"/>
        <w:spacing w:after="0" w:line="337" w:lineRule="auto"/>
        <w:rPr>
          <w:rFonts w:ascii="Arial" w:cs="Arial" w:eastAsia="Arial" w:hAnsi="Arial"/>
          <w:sz w:val="16"/>
          <w:szCs w:val="16"/>
          <w:color w:val="auto"/>
        </w:rPr>
      </w:pPr>
      <w:r>
        <w:rPr>
          <w:rFonts w:ascii="Arial" w:cs="Arial" w:eastAsia="Arial" w:hAnsi="Arial"/>
          <w:sz w:val="16"/>
          <w:szCs w:val="16"/>
          <w:color w:val="auto"/>
        </w:rPr>
        <w:t>Across sampling occasions, macrophyte-free profile locations were 0.6–0.8 m shallower than locations with macrophytes (transect means 1.2 ± 0.5 and 1.9 ± 0.9 m, respectively; Wilcoxon signed-rank test, p = .016; Table 1). Vertical profile data were collected in signifi-cantly deeper water for C. demersum than E. densa sites in January (site means 1.9 ± 0.7 and 1.1 ± 0.2 m, respectively; Table 1) (Wilcoxon signed-rank test; p = .029).</w:t>
      </w:r>
    </w:p>
    <w:p>
      <w:pPr>
        <w:spacing w:after="0" w:line="11" w:lineRule="exact"/>
        <w:rPr>
          <w:rFonts w:ascii="Arial" w:cs="Arial" w:eastAsia="Arial" w:hAnsi="Arial"/>
          <w:sz w:val="16"/>
          <w:szCs w:val="16"/>
          <w:color w:val="auto"/>
        </w:rPr>
      </w:pPr>
    </w:p>
    <w:p>
      <w:pPr>
        <w:jc w:val="both"/>
        <w:ind w:firstLine="299"/>
        <w:spacing w:after="0" w:line="361" w:lineRule="auto"/>
        <w:rPr>
          <w:rFonts w:ascii="Arial" w:cs="Arial" w:eastAsia="Arial" w:hAnsi="Arial"/>
          <w:sz w:val="16"/>
          <w:szCs w:val="16"/>
          <w:color w:val="auto"/>
        </w:rPr>
      </w:pPr>
      <w:r>
        <w:rPr>
          <w:rFonts w:ascii="Arial" w:cs="Arial" w:eastAsia="Arial" w:hAnsi="Arial"/>
          <w:sz w:val="15"/>
          <w:szCs w:val="15"/>
          <w:color w:val="auto"/>
        </w:rPr>
        <w:t>Ceratophyllum demersum occupied 58% and 64% of the water col-umn on average in November and January, respectively, reaching mean heights of 1.3 and 1.4 m (Table 1). However, the proportion of water column occupied by C. demersum was not significantly different between sampling occasions (site mean arcsine transformed; Wilcoxon signed-rank test, p = .91). Across C. demersum transects (e.g., profile A versus profile C or D), vertical profile height was signifi-cantly different (Kruskal–Wallis, transect means, H = 24.2, p &lt; .001), although A-B and C-D profiles showed nonsignificant pairwise differ-ences (Wilcoxon signed-rank tests Bonferroni corrected, p = .59 and</w:t>
      </w:r>
    </w:p>
    <w:p>
      <w:pPr>
        <w:spacing w:after="0" w:line="5"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p = .39, respectively). In January, E. densa occupied a significantly higher proportion of the water column than C. demersum (by 20%; site mean arcsine transformed; t test, p = .013; Table 1). As with</w:t>
      </w:r>
    </w:p>
    <w:p>
      <w:pPr>
        <w:spacing w:after="0" w:line="12" w:lineRule="exact"/>
        <w:rPr>
          <w:sz w:val="20"/>
          <w:szCs w:val="20"/>
          <w:color w:val="auto"/>
        </w:rPr>
      </w:pPr>
    </w:p>
    <w:p>
      <w:pPr>
        <w:spacing w:after="0"/>
        <w:rPr>
          <w:sz w:val="20"/>
          <w:szCs w:val="20"/>
          <w:color w:val="auto"/>
        </w:rPr>
      </w:pPr>
      <w:r>
        <w:rPr>
          <w:rFonts w:ascii="Arial" w:cs="Arial" w:eastAsia="Arial" w:hAnsi="Arial"/>
          <w:sz w:val="15"/>
          <w:szCs w:val="15"/>
          <w:color w:val="auto"/>
        </w:rPr>
        <w:t>C. demersum, E. densa height (mean 1.1 m; Table 1) was significantly</w:t>
      </w:r>
    </w:p>
    <w:p>
      <w:pPr>
        <w:spacing w:after="0" w:line="87"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different across vertical profiles (ANOVA on transect means, F = 13.72, p = .003) except between A-B and C-D profiles (t tests Bonferroni corrected, p = .063 and p = .68, respectively).</w:t>
      </w:r>
    </w:p>
    <w:p>
      <w:pPr>
        <w:spacing w:after="0" w:line="200" w:lineRule="exact"/>
        <w:rPr>
          <w:sz w:val="20"/>
          <w:szCs w:val="20"/>
          <w:color w:val="auto"/>
        </w:rPr>
      </w:pPr>
    </w:p>
    <w:p>
      <w:pPr>
        <w:spacing w:after="0" w:line="283"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3.2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Temporal and spatial patterns</w:t>
      </w:r>
    </w:p>
    <w:p>
      <w:pPr>
        <w:spacing w:after="0" w:line="336"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The PCA explained 36% and 22% of the variation in the spatial dataset across the first and second principal components, which were associated with distinctly different environmental gradients (all vec-tors p &lt; .001). PC1 was positively associated with temperature and water level, and negatively with pH and water inflow, whereas PC2 was positively associated with oxygen and negatively with measured depth (Figure 3). The measurement time vector appeared on the diag-onal in relation to axes 1 and 2. Ceratophyllum demersum sampling occasions spread out temporally across the PC1 axis. Within sampling profile locations, macrophyte species spread out spatially across the PC2 axis, with macrophyte-free profiles (A) at the top and dense-bed profiles (D) at the bottom (Figure 3).</w:t>
      </w:r>
    </w:p>
    <w:p>
      <w:pPr>
        <w:spacing w:after="0" w:line="5" w:lineRule="exact"/>
        <w:rPr>
          <w:sz w:val="20"/>
          <w:szCs w:val="20"/>
          <w:color w:val="auto"/>
        </w:rPr>
      </w:pPr>
    </w:p>
    <w:p>
      <w:pPr>
        <w:jc w:val="both"/>
        <w:ind w:firstLine="299"/>
        <w:spacing w:after="0" w:line="337" w:lineRule="auto"/>
        <w:rPr>
          <w:sz w:val="20"/>
          <w:szCs w:val="20"/>
          <w:color w:val="auto"/>
        </w:rPr>
      </w:pPr>
      <w:r>
        <w:rPr>
          <w:rFonts w:ascii="Arial" w:cs="Arial" w:eastAsia="Arial" w:hAnsi="Arial"/>
          <w:sz w:val="16"/>
          <w:szCs w:val="16"/>
          <w:color w:val="auto"/>
        </w:rPr>
        <w:t>In macrophyte-free profiles (A), oxygen (range 140–141%) and pH (range 7.6–7.7) were not significantly different on average (tran-sect mean; t test; p = .6 and p = .6) between sampling occasions for C. demersum, but water temperature was significantly warmer by 4.0 C from November to January (t test on transect mean, p &lt; .001; Table 1). Similarly, in vertical profiles with C. demersum (B-D; see</w:t>
      </w:r>
    </w:p>
    <w:p>
      <w:pPr>
        <w:sectPr>
          <w:pgSz w:w="11900" w:h="15647" w:orient="portrait"/>
          <w:cols w:equalWidth="0" w:num="2">
            <w:col w:w="4860" w:space="360"/>
            <w:col w:w="4860"/>
          </w:cols>
          <w:pgMar w:left="900" w:top="415" w:right="926" w:bottom="284" w:gutter="0" w:footer="0" w:header="0"/>
          <w:type w:val="continuous"/>
        </w:sectPr>
      </w:pPr>
    </w:p>
    <w:bookmarkStart w:id="5" w:name="page6"/>
    <w:bookmarkEnd w:id="5"/>
    <w:p>
      <w:pPr>
        <w:spacing w:after="0"/>
        <w:rPr>
          <w:sz w:val="20"/>
          <w:szCs w:val="20"/>
          <w:color w:val="auto"/>
        </w:rPr>
      </w:pPr>
      <w:r>
        <w:rPr>
          <w:rFonts w:ascii="Arial" w:cs="Arial" w:eastAsia="Arial" w:hAnsi="Arial"/>
          <w:sz w:val="14"/>
          <w:szCs w:val="14"/>
          <w:color w:val="auto"/>
        </w:rPr>
        <mc:AlternateContent>
          <mc:Choice Requires="wps">
            <w:drawing>
              <wp:anchor simplePos="0" relativeHeight="251657728" behindDoc="1" locked="0" layoutInCell="0" allowOverlap="1">
                <wp:simplePos x="0" y="0"/>
                <wp:positionH relativeFrom="page">
                  <wp:posOffset>589915</wp:posOffset>
                </wp:positionH>
                <wp:positionV relativeFrom="page">
                  <wp:posOffset>425450</wp:posOffset>
                </wp:positionV>
                <wp:extent cx="3937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45pt,33.5pt" to="77.45pt,33.5pt" o:allowincell="f" strokecolor="#000000" strokeweight="1.4535pt">
                <w10:wrap anchorx="page" anchory="page"/>
              </v:line>
            </w:pict>
          </mc:Fallback>
        </mc:AlternateContent>
        <mc:AlternateContent>
          <mc:Choice Requires="wps">
            <w:drawing>
              <wp:anchor simplePos="0" relativeHeight="251657728" behindDoc="1" locked="0" layoutInCell="0" allowOverlap="1">
                <wp:simplePos x="0" y="0"/>
                <wp:positionH relativeFrom="page">
                  <wp:posOffset>583565</wp:posOffset>
                </wp:positionH>
                <wp:positionV relativeFrom="page">
                  <wp:posOffset>425450</wp:posOffset>
                </wp:positionV>
                <wp:extent cx="127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5.95pt,33.5pt" to="46.95pt,33.5pt" o:allowincell="f" strokecolor="#000000" strokeweight="0.4535pt">
                <w10:wrap anchorx="page" anchory="page"/>
              </v:line>
            </w:pict>
          </mc:Fallback>
        </mc:AlternateContent>
        <mc:AlternateContent>
          <mc:Choice Requires="wps">
            <w:drawing>
              <wp:anchor simplePos="0" relativeHeight="251657728" behindDoc="1" locked="0" layoutInCell="0" allowOverlap="1">
                <wp:simplePos x="0" y="0"/>
                <wp:positionH relativeFrom="page">
                  <wp:posOffset>878840</wp:posOffset>
                </wp:positionH>
                <wp:positionV relativeFrom="page">
                  <wp:posOffset>263525</wp:posOffset>
                </wp:positionV>
                <wp:extent cx="0" cy="17081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0815"/>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9.2pt,20.75pt" to="69.2pt,34.2pt" o:allowincell="f" strokecolor="#000000" strokeweight="0.5102pt">
                <w10:wrap anchorx="page" anchory="page"/>
              </v:line>
            </w:pict>
          </mc:Fallback>
        </mc:AlternateContent>
        <mc:AlternateContent>
          <mc:Choice Requires="wps">
            <w:drawing>
              <wp:anchor simplePos="0" relativeHeight="251657728" behindDoc="1" locked="0" layoutInCell="0" allowOverlap="1">
                <wp:simplePos x="0" y="0"/>
                <wp:positionH relativeFrom="page">
                  <wp:posOffset>875665</wp:posOffset>
                </wp:positionH>
                <wp:positionV relativeFrom="page">
                  <wp:posOffset>269875</wp:posOffset>
                </wp:positionV>
                <wp:extent cx="0" cy="16446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4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8.95pt,21.25pt" to="68.95pt,34.2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882650</wp:posOffset>
                </wp:positionH>
                <wp:positionV relativeFrom="page">
                  <wp:posOffset>269875</wp:posOffset>
                </wp:positionV>
                <wp:extent cx="0" cy="16446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44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9.5pt,21.25pt" to="69.5pt,34.2pt" o:allowincell="f" strokecolor="#000000" strokeweight="1pt">
                <w10:wrap anchorx="page" anchory="page"/>
              </v:line>
            </w:pict>
          </mc:Fallback>
        </mc:AlternateContent>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2440305</wp:posOffset>
                </wp:positionH>
                <wp:positionV relativeFrom="paragraph">
                  <wp:posOffset>251460</wp:posOffset>
                </wp:positionV>
                <wp:extent cx="254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15pt,19.8pt" to="194.15pt,19.8pt" o:allowincell="f" strokecolor="#CCCCCC" strokeweight="1pt"/>
            </w:pict>
          </mc:Fallback>
        </mc:AlternateContent>
        <w:drawing>
          <wp:anchor simplePos="0" relativeHeight="251657728" behindDoc="1" locked="0" layoutInCell="0" allowOverlap="1">
            <wp:simplePos x="0" y="0"/>
            <wp:positionH relativeFrom="column">
              <wp:posOffset>400050</wp:posOffset>
            </wp:positionH>
            <wp:positionV relativeFrom="paragraph">
              <wp:posOffset>-69850</wp:posOffset>
            </wp:positionV>
            <wp:extent cx="687705" cy="1435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358" w:lineRule="exact"/>
        <w:rPr>
          <w:sz w:val="20"/>
          <w:szCs w:val="20"/>
          <w:color w:val="auto"/>
        </w:rPr>
      </w:pPr>
    </w:p>
    <w:tbl>
      <w:tblPr>
        <w:tblLayout w:type="fixed"/>
        <w:tblInd w:w="600" w:type="dxa"/>
        <w:tblCellMar>
          <w:top w:w="0" w:type="dxa"/>
          <w:left w:w="0" w:type="dxa"/>
          <w:bottom w:w="0" w:type="dxa"/>
          <w:right w:w="0" w:type="dxa"/>
        </w:tblCellMar>
      </w:tblPr>
      <w:tr>
        <w:trPr>
          <w:trHeight w:val="148"/>
        </w:trPr>
        <w:tc>
          <w:tcPr>
            <w:tcW w:w="480" w:type="dxa"/>
            <w:vAlign w:val="bottom"/>
            <w:textDirection w:val="btLr"/>
          </w:tcPr>
          <w:p>
            <w:pPr>
              <w:ind w:left="117"/>
              <w:spacing w:after="0"/>
              <w:rPr>
                <w:sz w:val="20"/>
                <w:szCs w:val="20"/>
                <w:color w:val="auto"/>
              </w:rPr>
            </w:pPr>
            <w:r>
              <w:rPr>
                <w:rFonts w:ascii="Arial" w:cs="Arial" w:eastAsia="Arial" w:hAnsi="Arial"/>
                <w:sz w:val="3"/>
                <w:szCs w:val="3"/>
                <w:color w:val="auto"/>
                <w:w w:val="88"/>
              </w:rPr>
              <w:t>andJanuary</w:t>
            </w:r>
          </w:p>
        </w:tc>
        <w:tc>
          <w:tcPr>
            <w:tcW w:w="380" w:type="dxa"/>
            <w:vAlign w:val="bottom"/>
            <w:tcBorders>
              <w:right w:val="single" w:sz="8" w:color="CCCCCC"/>
            </w:tcBorders>
            <w:shd w:val="clear" w:color="auto" w:fill="CCCCCC"/>
          </w:tcPr>
          <w:p>
            <w:pPr>
              <w:spacing w:after="0"/>
              <w:rPr>
                <w:sz w:val="12"/>
                <w:szCs w:val="12"/>
                <w:color w:val="auto"/>
              </w:rPr>
            </w:pPr>
          </w:p>
        </w:tc>
        <w:tc>
          <w:tcPr>
            <w:tcW w:w="300" w:type="dxa"/>
            <w:vAlign w:val="bottom"/>
            <w:textDirection w:val="btLr"/>
            <w:shd w:val="clear" w:color="auto" w:fill="CCCCCC"/>
          </w:tcPr>
          <w:p>
            <w:pPr>
              <w:ind w:left="151"/>
              <w:spacing w:after="0"/>
              <w:rPr>
                <w:sz w:val="20"/>
                <w:szCs w:val="20"/>
                <w:color w:val="auto"/>
              </w:rPr>
            </w:pPr>
            <w:r>
              <w:rPr>
                <w:rFonts w:ascii="Arial" w:cs="Arial" w:eastAsia="Arial" w:hAnsi="Arial"/>
                <w:sz w:val="6"/>
                <w:szCs w:val="6"/>
                <w:color w:val="auto"/>
                <w:w w:val="80"/>
              </w:rPr>
              <w:t>Temp(</w:t>
            </w:r>
          </w:p>
        </w:tc>
        <w:tc>
          <w:tcPr>
            <w:tcW w:w="240" w:type="dxa"/>
            <w:vAlign w:val="bottom"/>
            <w:textDirection w:val="btLr"/>
          </w:tcPr>
          <w:p>
            <w:pPr>
              <w:ind w:left="134"/>
              <w:spacing w:after="0"/>
              <w:rPr>
                <w:sz w:val="20"/>
                <w:szCs w:val="20"/>
                <w:color w:val="auto"/>
              </w:rPr>
            </w:pPr>
            <w:r>
              <w:rPr>
                <w:rFonts w:ascii="Arial" w:cs="Arial" w:eastAsia="Arial" w:hAnsi="Arial"/>
                <w:sz w:val="7"/>
                <w:szCs w:val="7"/>
                <w:color w:val="auto"/>
                <w:w w:val="79"/>
              </w:rPr>
              <w:t>2519.</w:t>
            </w:r>
          </w:p>
        </w:tc>
        <w:tc>
          <w:tcPr>
            <w:tcW w:w="200" w:type="dxa"/>
            <w:vAlign w:val="bottom"/>
            <w:textDirection w:val="btLr"/>
          </w:tcPr>
          <w:p>
            <w:pPr>
              <w:ind w:left="69"/>
              <w:spacing w:after="0"/>
              <w:rPr>
                <w:sz w:val="20"/>
                <w:szCs w:val="20"/>
                <w:color w:val="auto"/>
              </w:rPr>
            </w:pPr>
            <w:r>
              <w:rPr>
                <w:rFonts w:ascii="Arial" w:cs="Arial" w:eastAsia="Arial" w:hAnsi="Arial"/>
                <w:sz w:val="10"/>
                <w:szCs w:val="10"/>
                <w:color w:val="auto"/>
                <w:w w:val="71"/>
              </w:rPr>
              <w:t>0.48</w:t>
            </w:r>
          </w:p>
        </w:tc>
        <w:tc>
          <w:tcPr>
            <w:tcW w:w="260" w:type="dxa"/>
            <w:vAlign w:val="bottom"/>
            <w:textDirection w:val="btLr"/>
          </w:tcPr>
          <w:p>
            <w:pPr>
              <w:ind w:left="79"/>
              <w:spacing w:after="0"/>
              <w:rPr>
                <w:sz w:val="20"/>
                <w:szCs w:val="20"/>
                <w:color w:val="auto"/>
              </w:rPr>
            </w:pPr>
            <w:r>
              <w:rPr>
                <w:rFonts w:ascii="Arial" w:cs="Arial" w:eastAsia="Arial" w:hAnsi="Arial"/>
                <w:sz w:val="10"/>
                <w:szCs w:val="10"/>
                <w:color w:val="auto"/>
                <w:w w:val="71"/>
              </w:rPr>
              <w:t>2.49</w:t>
            </w:r>
          </w:p>
        </w:tc>
        <w:tc>
          <w:tcPr>
            <w:tcW w:w="240" w:type="dxa"/>
            <w:vAlign w:val="bottom"/>
            <w:textDirection w:val="btLr"/>
            <w:shd w:val="clear" w:color="auto" w:fill="E6E6E6"/>
          </w:tcPr>
          <w:p>
            <w:pPr>
              <w:ind w:left="134"/>
              <w:spacing w:after="0"/>
              <w:rPr>
                <w:sz w:val="20"/>
                <w:szCs w:val="20"/>
                <w:color w:val="auto"/>
              </w:rPr>
            </w:pPr>
            <w:r>
              <w:rPr>
                <w:rFonts w:ascii="Arial" w:cs="Arial" w:eastAsia="Arial" w:hAnsi="Arial"/>
                <w:sz w:val="7"/>
                <w:szCs w:val="7"/>
                <w:color w:val="auto"/>
                <w:w w:val="79"/>
              </w:rPr>
              <w:t>22.81</w:t>
            </w:r>
          </w:p>
        </w:tc>
        <w:tc>
          <w:tcPr>
            <w:tcW w:w="200" w:type="dxa"/>
            <w:vAlign w:val="bottom"/>
            <w:textDirection w:val="btLr"/>
            <w:shd w:val="clear" w:color="auto" w:fill="E6E6E6"/>
          </w:tcPr>
          <w:p>
            <w:pPr>
              <w:ind w:left="69"/>
              <w:spacing w:after="0"/>
              <w:rPr>
                <w:sz w:val="20"/>
                <w:szCs w:val="20"/>
                <w:color w:val="auto"/>
              </w:rPr>
            </w:pPr>
            <w:r>
              <w:rPr>
                <w:rFonts w:ascii="Arial" w:cs="Arial" w:eastAsia="Arial" w:hAnsi="Arial"/>
                <w:sz w:val="10"/>
                <w:szCs w:val="10"/>
                <w:color w:val="auto"/>
                <w:w w:val="71"/>
              </w:rPr>
              <w:t>0.53</w:t>
            </w:r>
          </w:p>
        </w:tc>
        <w:tc>
          <w:tcPr>
            <w:tcW w:w="260" w:type="dxa"/>
            <w:vAlign w:val="bottom"/>
            <w:textDirection w:val="btLr"/>
            <w:shd w:val="clear" w:color="auto" w:fill="E6E6E6"/>
          </w:tcPr>
          <w:p>
            <w:pPr>
              <w:ind w:left="80"/>
              <w:spacing w:after="0"/>
              <w:rPr>
                <w:sz w:val="20"/>
                <w:szCs w:val="20"/>
                <w:color w:val="auto"/>
              </w:rPr>
            </w:pPr>
            <w:r>
              <w:rPr>
                <w:rFonts w:ascii="Arial" w:cs="Arial" w:eastAsia="Arial" w:hAnsi="Arial"/>
                <w:sz w:val="10"/>
                <w:szCs w:val="10"/>
                <w:color w:val="auto"/>
                <w:w w:val="71"/>
              </w:rPr>
              <w:t>352.</w:t>
            </w:r>
          </w:p>
        </w:tc>
        <w:tc>
          <w:tcPr>
            <w:tcW w:w="240" w:type="dxa"/>
            <w:vAlign w:val="bottom"/>
            <w:textDirection w:val="btLr"/>
          </w:tcPr>
          <w:p>
            <w:pPr>
              <w:ind w:left="134"/>
              <w:spacing w:after="0"/>
              <w:rPr>
                <w:sz w:val="20"/>
                <w:szCs w:val="20"/>
                <w:color w:val="auto"/>
              </w:rPr>
            </w:pPr>
            <w:r>
              <w:rPr>
                <w:rFonts w:ascii="Arial" w:cs="Arial" w:eastAsia="Arial" w:hAnsi="Arial"/>
                <w:sz w:val="7"/>
                <w:szCs w:val="7"/>
                <w:color w:val="auto"/>
                <w:w w:val="79"/>
              </w:rPr>
              <w:t>22.50</w:t>
            </w:r>
          </w:p>
        </w:tc>
        <w:tc>
          <w:tcPr>
            <w:tcW w:w="200" w:type="dxa"/>
            <w:vAlign w:val="bottom"/>
            <w:textDirection w:val="btLr"/>
          </w:tcPr>
          <w:p>
            <w:pPr>
              <w:ind w:left="70"/>
              <w:spacing w:after="0"/>
              <w:rPr>
                <w:sz w:val="20"/>
                <w:szCs w:val="20"/>
                <w:color w:val="auto"/>
              </w:rPr>
            </w:pPr>
            <w:r>
              <w:rPr>
                <w:rFonts w:ascii="Arial" w:cs="Arial" w:eastAsia="Arial" w:hAnsi="Arial"/>
                <w:sz w:val="10"/>
                <w:szCs w:val="10"/>
                <w:color w:val="auto"/>
                <w:w w:val="71"/>
              </w:rPr>
              <w:t>350.</w:t>
            </w:r>
          </w:p>
        </w:tc>
        <w:tc>
          <w:tcPr>
            <w:tcW w:w="280" w:type="dxa"/>
            <w:vAlign w:val="bottom"/>
            <w:tcBorders>
              <w:right w:val="single" w:sz="8" w:color="CCCCCC"/>
            </w:tcBorders>
            <w:textDirection w:val="btLr"/>
          </w:tcPr>
          <w:p>
            <w:pPr>
              <w:ind w:left="79"/>
              <w:spacing w:after="0"/>
              <w:rPr>
                <w:sz w:val="20"/>
                <w:szCs w:val="20"/>
                <w:color w:val="auto"/>
              </w:rPr>
            </w:pPr>
            <w:r>
              <w:rPr>
                <w:rFonts w:ascii="Arial" w:cs="Arial" w:eastAsia="Arial" w:hAnsi="Arial"/>
                <w:sz w:val="10"/>
                <w:szCs w:val="10"/>
                <w:color w:val="auto"/>
                <w:w w:val="71"/>
              </w:rPr>
              <w:t>551.</w:t>
            </w: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9"/>
        </w:trPr>
        <w:tc>
          <w:tcPr>
            <w:tcW w:w="480" w:type="dxa"/>
            <w:vAlign w:val="bottom"/>
          </w:tcPr>
          <w:p>
            <w:pPr>
              <w:spacing w:after="0"/>
              <w:rPr>
                <w:sz w:val="12"/>
                <w:szCs w:val="12"/>
                <w:color w:val="auto"/>
              </w:rPr>
            </w:pPr>
          </w:p>
        </w:tc>
        <w:tc>
          <w:tcPr>
            <w:tcW w:w="380" w:type="dxa"/>
            <w:vAlign w:val="bottom"/>
            <w:tcBorders>
              <w:right w:val="single" w:sz="8" w:color="auto"/>
            </w:tcBorders>
            <w:shd w:val="clear" w:color="auto" w:fill="CCCCCC"/>
          </w:tcPr>
          <w:p>
            <w:pPr>
              <w:spacing w:after="0"/>
              <w:rPr>
                <w:sz w:val="12"/>
                <w:szCs w:val="12"/>
                <w:color w:val="auto"/>
              </w:rPr>
            </w:pPr>
          </w:p>
        </w:tc>
        <w:tc>
          <w:tcPr>
            <w:tcW w:w="300" w:type="dxa"/>
            <w:vAlign w:val="bottom"/>
            <w:textDirection w:val="btLr"/>
            <w:shd w:val="clear" w:color="auto" w:fill="CCCCCC"/>
          </w:tcPr>
          <w:p>
            <w:pPr>
              <w:ind w:left="52"/>
              <w:spacing w:after="0"/>
              <w:rPr>
                <w:sz w:val="20"/>
                <w:szCs w:val="20"/>
                <w:color w:val="auto"/>
              </w:rPr>
            </w:pPr>
            <w:r>
              <w:rPr>
                <w:rFonts w:ascii="Arial" w:cs="Arial" w:eastAsia="Arial" w:hAnsi="Arial"/>
                <w:sz w:val="15"/>
                <w:szCs w:val="15"/>
                <w:color w:val="auto"/>
                <w:w w:val="88"/>
              </w:rPr>
              <w:t>C)</w:t>
            </w: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40" w:type="dxa"/>
            <w:vAlign w:val="bottom"/>
            <w:shd w:val="clear" w:color="auto" w:fill="E6E6E6"/>
          </w:tcPr>
          <w:p>
            <w:pPr>
              <w:spacing w:after="0"/>
              <w:rPr>
                <w:sz w:val="12"/>
                <w:szCs w:val="12"/>
                <w:color w:val="auto"/>
              </w:rPr>
            </w:pPr>
          </w:p>
        </w:tc>
        <w:tc>
          <w:tcPr>
            <w:tcW w:w="200" w:type="dxa"/>
            <w:vAlign w:val="bottom"/>
            <w:shd w:val="clear" w:color="auto" w:fill="E6E6E6"/>
          </w:tcPr>
          <w:p>
            <w:pPr>
              <w:spacing w:after="0"/>
              <w:rPr>
                <w:sz w:val="12"/>
                <w:szCs w:val="12"/>
                <w:color w:val="auto"/>
              </w:rPr>
            </w:pPr>
          </w:p>
        </w:tc>
        <w:tc>
          <w:tcPr>
            <w:tcW w:w="260" w:type="dxa"/>
            <w:vAlign w:val="bottom"/>
            <w:shd w:val="clear" w:color="auto" w:fill="E6E6E6"/>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tcBorders>
              <w:right w:val="single" w:sz="8" w:color="CCCCCC"/>
            </w:tcBorders>
          </w:tcPr>
          <w:p>
            <w:pPr>
              <w:spacing w:after="0"/>
              <w:rPr>
                <w:sz w:val="12"/>
                <w:szCs w:val="12"/>
                <w:color w:val="auto"/>
              </w:rPr>
            </w:pP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2"/>
        </w:trPr>
        <w:tc>
          <w:tcPr>
            <w:tcW w:w="480" w:type="dxa"/>
            <w:vAlign w:val="bottom"/>
          </w:tcPr>
          <w:p>
            <w:pPr>
              <w:spacing w:after="0"/>
              <w:rPr>
                <w:sz w:val="5"/>
                <w:szCs w:val="5"/>
                <w:color w:val="auto"/>
              </w:rPr>
            </w:pPr>
          </w:p>
        </w:tc>
        <w:tc>
          <w:tcPr>
            <w:tcW w:w="380" w:type="dxa"/>
            <w:vAlign w:val="bottom"/>
            <w:tcBorders>
              <w:right w:val="single" w:sz="8" w:color="auto"/>
            </w:tcBorders>
            <w:shd w:val="clear" w:color="auto" w:fill="CCCCCC"/>
          </w:tcPr>
          <w:p>
            <w:pPr>
              <w:spacing w:after="0"/>
              <w:rPr>
                <w:sz w:val="5"/>
                <w:szCs w:val="5"/>
                <w:color w:val="auto"/>
              </w:rPr>
            </w:pPr>
          </w:p>
        </w:tc>
        <w:tc>
          <w:tcPr>
            <w:tcW w:w="300" w:type="dxa"/>
            <w:vAlign w:val="bottom"/>
            <w:shd w:val="clear" w:color="auto" w:fill="CCCCCC"/>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40" w:type="dxa"/>
            <w:vAlign w:val="bottom"/>
            <w:shd w:val="clear" w:color="auto" w:fill="E6E6E6"/>
          </w:tcPr>
          <w:p>
            <w:pPr>
              <w:spacing w:after="0"/>
              <w:rPr>
                <w:sz w:val="5"/>
                <w:szCs w:val="5"/>
                <w:color w:val="auto"/>
              </w:rPr>
            </w:pPr>
          </w:p>
        </w:tc>
        <w:tc>
          <w:tcPr>
            <w:tcW w:w="200" w:type="dxa"/>
            <w:vAlign w:val="bottom"/>
            <w:shd w:val="clear" w:color="auto" w:fill="E6E6E6"/>
          </w:tcPr>
          <w:p>
            <w:pPr>
              <w:spacing w:after="0"/>
              <w:rPr>
                <w:sz w:val="5"/>
                <w:szCs w:val="5"/>
                <w:color w:val="auto"/>
              </w:rPr>
            </w:pPr>
          </w:p>
        </w:tc>
        <w:tc>
          <w:tcPr>
            <w:tcW w:w="260" w:type="dxa"/>
            <w:vAlign w:val="bottom"/>
            <w:shd w:val="clear" w:color="auto" w:fill="E6E6E6"/>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Borders>
              <w:right w:val="single" w:sz="8" w:color="CCCCCC"/>
            </w:tcBorders>
          </w:tcPr>
          <w:p>
            <w:pPr>
              <w:spacing w:after="0"/>
              <w:rPr>
                <w:sz w:val="5"/>
                <w:szCs w:val="5"/>
                <w:color w:val="auto"/>
              </w:rPr>
            </w:pP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88"/>
        </w:trPr>
        <w:tc>
          <w:tcPr>
            <w:tcW w:w="480" w:type="dxa"/>
            <w:vAlign w:val="bottom"/>
            <w:vMerge w:val="restart"/>
            <w:textDirection w:val="btLr"/>
          </w:tcPr>
          <w:p>
            <w:pPr>
              <w:spacing w:after="0"/>
              <w:rPr>
                <w:sz w:val="20"/>
                <w:szCs w:val="20"/>
                <w:color w:val="auto"/>
              </w:rPr>
            </w:pPr>
            <w:r>
              <w:rPr>
                <w:rFonts w:ascii="Arial" w:cs="Arial" w:eastAsia="Arial" w:hAnsi="Arial"/>
                <w:sz w:val="16"/>
                <w:szCs w:val="16"/>
                <w:color w:val="auto"/>
                <w:w w:val="95"/>
              </w:rPr>
              <w:t>demersum (November 2018</w:t>
            </w: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textDirection w:val="btLr"/>
            <w:shd w:val="clear" w:color="auto" w:fill="CCCCCC"/>
          </w:tcPr>
          <w:p>
            <w:pPr>
              <w:ind w:left="52"/>
              <w:spacing w:after="0"/>
              <w:rPr>
                <w:sz w:val="20"/>
                <w:szCs w:val="20"/>
                <w:color w:val="auto"/>
              </w:rPr>
            </w:pPr>
            <w:r>
              <w:rPr>
                <w:rFonts w:ascii="Arial" w:cs="Arial" w:eastAsia="Arial" w:hAnsi="Arial"/>
                <w:sz w:val="15"/>
                <w:szCs w:val="15"/>
                <w:color w:val="auto"/>
              </w:rPr>
              <w:t>pH</w:t>
            </w:r>
          </w:p>
        </w:tc>
        <w:tc>
          <w:tcPr>
            <w:tcW w:w="240" w:type="dxa"/>
            <w:vAlign w:val="bottom"/>
            <w:vMerge w:val="restart"/>
            <w:textDirection w:val="btLr"/>
          </w:tcPr>
          <w:p>
            <w:pPr>
              <w:ind w:left="50"/>
              <w:spacing w:after="0"/>
              <w:rPr>
                <w:sz w:val="20"/>
                <w:szCs w:val="20"/>
                <w:color w:val="auto"/>
              </w:rPr>
            </w:pPr>
            <w:r>
              <w:rPr>
                <w:rFonts w:ascii="Arial" w:cs="Arial" w:eastAsia="Arial" w:hAnsi="Arial"/>
                <w:sz w:val="15"/>
                <w:szCs w:val="15"/>
                <w:color w:val="auto"/>
              </w:rPr>
              <w:t>5695124.7.</w:t>
            </w:r>
          </w:p>
        </w:tc>
        <w:tc>
          <w:tcPr>
            <w:tcW w:w="200" w:type="dxa"/>
            <w:vAlign w:val="bottom"/>
            <w:vMerge w:val="restart"/>
            <w:textDirection w:val="btLr"/>
          </w:tcPr>
          <w:p>
            <w:pPr>
              <w:ind w:left="20"/>
              <w:spacing w:after="0"/>
              <w:rPr>
                <w:sz w:val="20"/>
                <w:szCs w:val="20"/>
                <w:color w:val="auto"/>
              </w:rPr>
            </w:pPr>
            <w:r>
              <w:rPr>
                <w:rFonts w:ascii="Arial" w:cs="Arial" w:eastAsia="Arial" w:hAnsi="Arial"/>
                <w:sz w:val="15"/>
                <w:szCs w:val="15"/>
                <w:color w:val="auto"/>
              </w:rPr>
              <w:t>0.394240.</w:t>
            </w:r>
          </w:p>
        </w:tc>
        <w:tc>
          <w:tcPr>
            <w:tcW w:w="260" w:type="dxa"/>
            <w:vAlign w:val="bottom"/>
            <w:vMerge w:val="restart"/>
            <w:textDirection w:val="btLr"/>
          </w:tcPr>
          <w:p>
            <w:pPr>
              <w:ind w:left="30"/>
              <w:spacing w:after="0"/>
              <w:rPr>
                <w:sz w:val="20"/>
                <w:szCs w:val="20"/>
                <w:color w:val="auto"/>
              </w:rPr>
            </w:pPr>
            <w:r>
              <w:rPr>
                <w:rFonts w:ascii="Arial" w:cs="Arial" w:eastAsia="Arial" w:hAnsi="Arial"/>
                <w:sz w:val="15"/>
                <w:szCs w:val="15"/>
                <w:color w:val="auto"/>
              </w:rPr>
              <w:t>32.         5.2035</w:t>
            </w:r>
          </w:p>
        </w:tc>
        <w:tc>
          <w:tcPr>
            <w:tcW w:w="240" w:type="dxa"/>
            <w:vAlign w:val="bottom"/>
            <w:textDirection w:val="btLr"/>
            <w:shd w:val="clear" w:color="auto" w:fill="E6E6E6"/>
          </w:tcPr>
          <w:p>
            <w:pPr>
              <w:ind w:left="50"/>
              <w:spacing w:after="0"/>
              <w:rPr>
                <w:sz w:val="20"/>
                <w:szCs w:val="20"/>
                <w:color w:val="auto"/>
              </w:rPr>
            </w:pPr>
            <w:r>
              <w:rPr>
                <w:rFonts w:ascii="Arial" w:cs="Arial" w:eastAsia="Arial" w:hAnsi="Arial"/>
                <w:sz w:val="15"/>
                <w:szCs w:val="15"/>
                <w:color w:val="auto"/>
                <w:w w:val="95"/>
              </w:rPr>
              <w:t>7.15</w:t>
            </w:r>
          </w:p>
        </w:tc>
        <w:tc>
          <w:tcPr>
            <w:tcW w:w="200" w:type="dxa"/>
            <w:vAlign w:val="bottom"/>
            <w:textDirection w:val="btLr"/>
            <w:shd w:val="clear" w:color="auto" w:fill="E6E6E6"/>
          </w:tcPr>
          <w:p>
            <w:pPr>
              <w:ind w:left="20"/>
              <w:spacing w:after="0"/>
              <w:rPr>
                <w:sz w:val="20"/>
                <w:szCs w:val="20"/>
                <w:color w:val="auto"/>
              </w:rPr>
            </w:pPr>
            <w:r>
              <w:rPr>
                <w:rFonts w:ascii="Arial" w:cs="Arial" w:eastAsia="Arial" w:hAnsi="Arial"/>
                <w:sz w:val="15"/>
                <w:szCs w:val="15"/>
                <w:color w:val="auto"/>
                <w:w w:val="95"/>
              </w:rPr>
              <w:t>0.38</w:t>
            </w:r>
          </w:p>
        </w:tc>
        <w:tc>
          <w:tcPr>
            <w:tcW w:w="260" w:type="dxa"/>
            <w:vAlign w:val="bottom"/>
            <w:textDirection w:val="btLr"/>
            <w:shd w:val="clear" w:color="auto" w:fill="E6E6E6"/>
          </w:tcPr>
          <w:p>
            <w:pPr>
              <w:ind w:left="31"/>
              <w:spacing w:after="0"/>
              <w:rPr>
                <w:sz w:val="20"/>
                <w:szCs w:val="20"/>
                <w:color w:val="auto"/>
              </w:rPr>
            </w:pPr>
            <w:r>
              <w:rPr>
                <w:rFonts w:ascii="Arial" w:cs="Arial" w:eastAsia="Arial" w:hAnsi="Arial"/>
                <w:sz w:val="15"/>
                <w:szCs w:val="15"/>
                <w:color w:val="auto"/>
                <w:w w:val="95"/>
              </w:rPr>
              <w:t>305.</w:t>
            </w:r>
          </w:p>
        </w:tc>
        <w:tc>
          <w:tcPr>
            <w:tcW w:w="240" w:type="dxa"/>
            <w:vAlign w:val="bottom"/>
            <w:vMerge w:val="restart"/>
            <w:textDirection w:val="btLr"/>
          </w:tcPr>
          <w:p>
            <w:pPr>
              <w:ind w:left="50"/>
              <w:spacing w:after="0"/>
              <w:rPr>
                <w:sz w:val="20"/>
                <w:szCs w:val="20"/>
                <w:color w:val="auto"/>
              </w:rPr>
            </w:pPr>
            <w:r>
              <w:rPr>
                <w:rFonts w:ascii="Arial" w:cs="Arial" w:eastAsia="Arial" w:hAnsi="Arial"/>
                <w:sz w:val="15"/>
                <w:szCs w:val="15"/>
                <w:color w:val="auto"/>
              </w:rPr>
              <w:t>112.        6.7984</w:t>
            </w:r>
          </w:p>
        </w:tc>
        <w:tc>
          <w:tcPr>
            <w:tcW w:w="200" w:type="dxa"/>
            <w:vAlign w:val="bottom"/>
            <w:vMerge w:val="restart"/>
            <w:textDirection w:val="btLr"/>
          </w:tcPr>
          <w:p>
            <w:pPr>
              <w:ind w:left="20"/>
              <w:spacing w:after="0"/>
              <w:rPr>
                <w:sz w:val="20"/>
                <w:szCs w:val="20"/>
                <w:color w:val="auto"/>
              </w:rPr>
            </w:pPr>
            <w:r>
              <w:rPr>
                <w:rFonts w:ascii="Arial" w:cs="Arial" w:eastAsia="Arial" w:hAnsi="Arial"/>
                <w:sz w:val="15"/>
                <w:szCs w:val="15"/>
                <w:color w:val="auto"/>
              </w:rPr>
              <w:t>4143.0.70</w:t>
            </w:r>
          </w:p>
        </w:tc>
        <w:tc>
          <w:tcPr>
            <w:tcW w:w="280" w:type="dxa"/>
            <w:vAlign w:val="bottom"/>
            <w:tcBorders>
              <w:right w:val="single" w:sz="8" w:color="CCCCCC"/>
            </w:tcBorders>
            <w:vMerge w:val="restart"/>
            <w:textDirection w:val="btLr"/>
          </w:tcPr>
          <w:p>
            <w:pPr>
              <w:ind w:left="30"/>
              <w:spacing w:after="0"/>
              <w:rPr>
                <w:sz w:val="20"/>
                <w:szCs w:val="20"/>
                <w:color w:val="auto"/>
              </w:rPr>
            </w:pPr>
            <w:r>
              <w:rPr>
                <w:rFonts w:ascii="Arial" w:cs="Arial" w:eastAsia="Arial" w:hAnsi="Arial"/>
                <w:sz w:val="15"/>
                <w:szCs w:val="15"/>
                <w:color w:val="auto"/>
              </w:rPr>
              <w:t>027338.6.</w:t>
            </w: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99"/>
        </w:trPr>
        <w:tc>
          <w:tcPr>
            <w:tcW w:w="480" w:type="dxa"/>
            <w:vAlign w:val="bottom"/>
            <w:vMerge w:val="continue"/>
          </w:tcPr>
          <w:p>
            <w:pPr>
              <w:spacing w:after="0"/>
              <w:rPr>
                <w:sz w:val="24"/>
                <w:szCs w:val="24"/>
                <w:color w:val="auto"/>
              </w:rPr>
            </w:pP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textDirection w:val="btLr"/>
          </w:tcPr>
          <w:p>
            <w:pPr>
              <w:ind w:left="52"/>
              <w:spacing w:after="0"/>
              <w:rPr>
                <w:sz w:val="20"/>
                <w:szCs w:val="20"/>
                <w:color w:val="auto"/>
              </w:rPr>
            </w:pPr>
            <w:r>
              <w:rPr>
                <w:rFonts w:ascii="Arial" w:cs="Arial" w:eastAsia="Arial" w:hAnsi="Arial"/>
                <w:sz w:val="15"/>
                <w:szCs w:val="15"/>
                <w:color w:val="auto"/>
                <w:w w:val="93"/>
              </w:rPr>
              <w:t>Oxygen (%)</w:t>
            </w:r>
          </w:p>
        </w:tc>
        <w:tc>
          <w:tcPr>
            <w:tcW w:w="24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240" w:type="dxa"/>
            <w:vAlign w:val="bottom"/>
            <w:textDirection w:val="btLr"/>
          </w:tcPr>
          <w:p>
            <w:pPr>
              <w:ind w:left="50"/>
              <w:spacing w:after="0"/>
              <w:rPr>
                <w:sz w:val="20"/>
                <w:szCs w:val="20"/>
                <w:color w:val="auto"/>
              </w:rPr>
            </w:pPr>
            <w:r>
              <w:rPr>
                <w:rFonts w:ascii="Arial" w:cs="Arial" w:eastAsia="Arial" w:hAnsi="Arial"/>
                <w:sz w:val="15"/>
                <w:szCs w:val="15"/>
                <w:color w:val="auto"/>
              </w:rPr>
              <w:t>111.79</w:t>
            </w:r>
          </w:p>
        </w:tc>
        <w:tc>
          <w:tcPr>
            <w:tcW w:w="200" w:type="dxa"/>
            <w:vAlign w:val="bottom"/>
            <w:textDirection w:val="btLr"/>
          </w:tcPr>
          <w:p>
            <w:pPr>
              <w:ind w:left="20"/>
              <w:spacing w:after="0"/>
              <w:rPr>
                <w:sz w:val="20"/>
                <w:szCs w:val="20"/>
                <w:color w:val="auto"/>
              </w:rPr>
            </w:pPr>
            <w:r>
              <w:rPr>
                <w:rFonts w:ascii="Arial" w:cs="Arial" w:eastAsia="Arial" w:hAnsi="Arial"/>
                <w:sz w:val="15"/>
                <w:szCs w:val="15"/>
                <w:color w:val="auto"/>
              </w:rPr>
              <w:t>43.95</w:t>
            </w:r>
          </w:p>
        </w:tc>
        <w:tc>
          <w:tcPr>
            <w:tcW w:w="260" w:type="dxa"/>
            <w:vAlign w:val="bottom"/>
            <w:textDirection w:val="btLr"/>
          </w:tcPr>
          <w:p>
            <w:pPr>
              <w:ind w:left="31"/>
              <w:spacing w:after="0"/>
              <w:rPr>
                <w:sz w:val="20"/>
                <w:szCs w:val="20"/>
                <w:color w:val="auto"/>
              </w:rPr>
            </w:pPr>
            <w:r>
              <w:rPr>
                <w:rFonts w:ascii="Arial" w:cs="Arial" w:eastAsia="Arial" w:hAnsi="Arial"/>
                <w:sz w:val="15"/>
                <w:szCs w:val="15"/>
                <w:color w:val="auto"/>
              </w:rPr>
              <w:t>5138.</w:t>
            </w:r>
          </w:p>
        </w:tc>
        <w:tc>
          <w:tcPr>
            <w:tcW w:w="24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80" w:type="dxa"/>
            <w:vAlign w:val="bottom"/>
            <w:tcBorders>
              <w:right w:val="single" w:sz="8" w:color="CCCCCC"/>
            </w:tcBorders>
            <w:vMerge w:val="continue"/>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480" w:type="dxa"/>
            <w:vAlign w:val="bottom"/>
            <w:vMerge w:val="continue"/>
          </w:tcPr>
          <w:p>
            <w:pPr>
              <w:spacing w:after="0"/>
              <w:rPr>
                <w:sz w:val="21"/>
                <w:szCs w:val="21"/>
                <w:color w:val="auto"/>
              </w:rPr>
            </w:pPr>
          </w:p>
        </w:tc>
        <w:tc>
          <w:tcPr>
            <w:tcW w:w="380" w:type="dxa"/>
            <w:vAlign w:val="bottom"/>
            <w:tcBorders>
              <w:right w:val="single" w:sz="8" w:color="auto"/>
            </w:tcBorders>
            <w:shd w:val="clear" w:color="auto" w:fill="CCCCCC"/>
          </w:tcPr>
          <w:p>
            <w:pPr>
              <w:spacing w:after="0"/>
              <w:rPr>
                <w:sz w:val="21"/>
                <w:szCs w:val="21"/>
                <w:color w:val="auto"/>
              </w:rPr>
            </w:pPr>
          </w:p>
        </w:tc>
        <w:tc>
          <w:tcPr>
            <w:tcW w:w="300" w:type="dxa"/>
            <w:vAlign w:val="bottom"/>
            <w:shd w:val="clear" w:color="auto" w:fill="CCCCCC"/>
          </w:tcPr>
          <w:p>
            <w:pPr>
              <w:spacing w:after="0"/>
              <w:rPr>
                <w:sz w:val="21"/>
                <w:szCs w:val="21"/>
                <w:color w:val="auto"/>
              </w:rPr>
            </w:pPr>
          </w:p>
        </w:tc>
        <w:tc>
          <w:tcPr>
            <w:tcW w:w="240" w:type="dxa"/>
            <w:vAlign w:val="bottom"/>
            <w:vMerge w:val="continue"/>
          </w:tcPr>
          <w:p>
            <w:pPr>
              <w:spacing w:after="0"/>
              <w:rPr>
                <w:sz w:val="21"/>
                <w:szCs w:val="21"/>
                <w:color w:val="auto"/>
              </w:rPr>
            </w:pPr>
          </w:p>
        </w:tc>
        <w:tc>
          <w:tcPr>
            <w:tcW w:w="200" w:type="dxa"/>
            <w:vAlign w:val="bottom"/>
            <w:vMerge w:val="continue"/>
          </w:tcPr>
          <w:p>
            <w:pPr>
              <w:spacing w:after="0"/>
              <w:rPr>
                <w:sz w:val="21"/>
                <w:szCs w:val="21"/>
                <w:color w:val="auto"/>
              </w:rPr>
            </w:pPr>
          </w:p>
        </w:tc>
        <w:tc>
          <w:tcPr>
            <w:tcW w:w="260" w:type="dxa"/>
            <w:vAlign w:val="bottom"/>
            <w:vMerge w:val="continue"/>
          </w:tcPr>
          <w:p>
            <w:pPr>
              <w:spacing w:after="0"/>
              <w:rPr>
                <w:sz w:val="21"/>
                <w:szCs w:val="21"/>
                <w:color w:val="auto"/>
              </w:rPr>
            </w:pPr>
          </w:p>
        </w:tc>
        <w:tc>
          <w:tcPr>
            <w:tcW w:w="240" w:type="dxa"/>
            <w:vAlign w:val="bottom"/>
            <w:shd w:val="clear" w:color="auto" w:fill="E6E6E6"/>
          </w:tcPr>
          <w:p>
            <w:pPr>
              <w:spacing w:after="0"/>
              <w:rPr>
                <w:sz w:val="21"/>
                <w:szCs w:val="21"/>
                <w:color w:val="auto"/>
              </w:rPr>
            </w:pPr>
          </w:p>
        </w:tc>
        <w:tc>
          <w:tcPr>
            <w:tcW w:w="200" w:type="dxa"/>
            <w:vAlign w:val="bottom"/>
            <w:shd w:val="clear" w:color="auto" w:fill="E6E6E6"/>
          </w:tcPr>
          <w:p>
            <w:pPr>
              <w:spacing w:after="0"/>
              <w:rPr>
                <w:sz w:val="21"/>
                <w:szCs w:val="21"/>
                <w:color w:val="auto"/>
              </w:rPr>
            </w:pPr>
          </w:p>
        </w:tc>
        <w:tc>
          <w:tcPr>
            <w:tcW w:w="260" w:type="dxa"/>
            <w:vAlign w:val="bottom"/>
            <w:shd w:val="clear" w:color="auto" w:fill="E6E6E6"/>
          </w:tcPr>
          <w:p>
            <w:pPr>
              <w:spacing w:after="0"/>
              <w:rPr>
                <w:sz w:val="21"/>
                <w:szCs w:val="21"/>
                <w:color w:val="auto"/>
              </w:rPr>
            </w:pPr>
          </w:p>
        </w:tc>
        <w:tc>
          <w:tcPr>
            <w:tcW w:w="240" w:type="dxa"/>
            <w:vAlign w:val="bottom"/>
            <w:vMerge w:val="continue"/>
          </w:tcPr>
          <w:p>
            <w:pPr>
              <w:spacing w:after="0"/>
              <w:rPr>
                <w:sz w:val="21"/>
                <w:szCs w:val="21"/>
                <w:color w:val="auto"/>
              </w:rPr>
            </w:pPr>
          </w:p>
        </w:tc>
        <w:tc>
          <w:tcPr>
            <w:tcW w:w="200" w:type="dxa"/>
            <w:vAlign w:val="bottom"/>
            <w:vMerge w:val="continue"/>
          </w:tcPr>
          <w:p>
            <w:pPr>
              <w:spacing w:after="0"/>
              <w:rPr>
                <w:sz w:val="21"/>
                <w:szCs w:val="21"/>
                <w:color w:val="auto"/>
              </w:rPr>
            </w:pPr>
          </w:p>
        </w:tc>
        <w:tc>
          <w:tcPr>
            <w:tcW w:w="280" w:type="dxa"/>
            <w:vAlign w:val="bottom"/>
            <w:tcBorders>
              <w:right w:val="single" w:sz="8" w:color="CCCCCC"/>
            </w:tcBorders>
            <w:vMerge w:val="continue"/>
          </w:tcPr>
          <w:p>
            <w:pPr>
              <w:spacing w:after="0"/>
              <w:rPr>
                <w:sz w:val="21"/>
                <w:szCs w:val="21"/>
                <w:color w:val="auto"/>
              </w:rPr>
            </w:pPr>
          </w:p>
        </w:tc>
        <w:tc>
          <w:tcPr>
            <w:tcW w:w="4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23"/>
        </w:trPr>
        <w:tc>
          <w:tcPr>
            <w:tcW w:w="480" w:type="dxa"/>
            <w:vAlign w:val="bottom"/>
            <w:textDirection w:val="btLr"/>
          </w:tcPr>
          <w:p>
            <w:pPr>
              <w:spacing w:after="0"/>
              <w:rPr>
                <w:sz w:val="20"/>
                <w:szCs w:val="20"/>
                <w:color w:val="auto"/>
              </w:rPr>
            </w:pPr>
            <w:r>
              <w:rPr>
                <w:rFonts w:ascii="Arial" w:cs="Arial" w:eastAsia="Arial" w:hAnsi="Arial"/>
                <w:sz w:val="16"/>
                <w:szCs w:val="16"/>
                <w:color w:val="auto"/>
                <w:w w:val="97"/>
              </w:rPr>
              <w:t>for C.</w:t>
            </w: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textDirection w:val="btLr"/>
            <w:shd w:val="clear" w:color="auto" w:fill="CCCCCC"/>
          </w:tcPr>
          <w:p>
            <w:pPr>
              <w:ind w:left="55"/>
              <w:spacing w:after="0"/>
              <w:rPr>
                <w:sz w:val="20"/>
                <w:szCs w:val="20"/>
                <w:color w:val="auto"/>
              </w:rPr>
            </w:pPr>
            <w:r>
              <w:rPr>
                <w:rFonts w:ascii="Arial" w:cs="Arial" w:eastAsia="Arial" w:hAnsi="Arial"/>
                <w:sz w:val="15"/>
                <w:szCs w:val="15"/>
                <w:color w:val="auto"/>
                <w:w w:val="96"/>
              </w:rPr>
              <w:t>–(01)</w:t>
            </w: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shd w:val="clear" w:color="auto" w:fill="E6E6E6"/>
          </w:tcPr>
          <w:p>
            <w:pPr>
              <w:spacing w:after="0"/>
              <w:rPr>
                <w:sz w:val="24"/>
                <w:szCs w:val="24"/>
                <w:color w:val="auto"/>
              </w:rPr>
            </w:pP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16"/>
        </w:trPr>
        <w:tc>
          <w:tcPr>
            <w:tcW w:w="480" w:type="dxa"/>
            <w:vAlign w:val="bottom"/>
            <w:textDirection w:val="btLr"/>
          </w:tcPr>
          <w:p>
            <w:pPr>
              <w:spacing w:after="0"/>
              <w:rPr>
                <w:sz w:val="20"/>
                <w:szCs w:val="20"/>
                <w:color w:val="auto"/>
              </w:rPr>
            </w:pPr>
            <w:r>
              <w:rPr>
                <w:rFonts w:ascii="Arial" w:cs="Arial" w:eastAsia="Arial" w:hAnsi="Arial"/>
                <w:sz w:val="16"/>
                <w:szCs w:val="16"/>
                <w:color w:val="auto"/>
                <w:w w:val="98"/>
              </w:rPr>
              <w:t>and temperature</w:t>
            </w:r>
          </w:p>
        </w:tc>
        <w:tc>
          <w:tcPr>
            <w:tcW w:w="380" w:type="dxa"/>
            <w:vAlign w:val="bottom"/>
            <w:tcBorders>
              <w:right w:val="single" w:sz="8" w:color="auto"/>
            </w:tcBorders>
            <w:vMerge w:val="restart"/>
            <w:textDirection w:val="btLr"/>
            <w:shd w:val="clear" w:color="auto" w:fill="CCCCCC"/>
          </w:tcPr>
          <w:p>
            <w:pPr>
              <w:ind w:left="294"/>
              <w:spacing w:after="0"/>
              <w:rPr>
                <w:sz w:val="20"/>
                <w:szCs w:val="20"/>
                <w:color w:val="auto"/>
              </w:rPr>
            </w:pPr>
            <w:r>
              <w:rPr>
                <w:rFonts w:ascii="Arial" w:cs="Arial" w:eastAsia="Arial" w:hAnsi="Arial"/>
                <w:sz w:val="4"/>
                <w:szCs w:val="4"/>
                <w:color w:val="auto"/>
                <w:w w:val="80"/>
              </w:rPr>
              <w:t>nProfiles()Macrophyte-free(A)Macrophyte(B-D)Sampling</w:t>
            </w:r>
          </w:p>
        </w:tc>
        <w:tc>
          <w:tcPr>
            <w:tcW w:w="300" w:type="dxa"/>
            <w:vAlign w:val="bottom"/>
            <w:textDirection w:val="btLr"/>
            <w:shd w:val="clear" w:color="auto" w:fill="CCCCCC"/>
          </w:tcPr>
          <w:p>
            <w:pPr>
              <w:ind w:left="52"/>
              <w:spacing w:after="0"/>
              <w:rPr>
                <w:sz w:val="20"/>
                <w:szCs w:val="20"/>
                <w:color w:val="auto"/>
              </w:rPr>
            </w:pPr>
            <w:r>
              <w:rPr>
                <w:rFonts w:ascii="Arial" w:cs="Arial" w:eastAsia="Arial" w:hAnsi="Arial"/>
                <w:sz w:val="15"/>
                <w:szCs w:val="15"/>
                <w:color w:val="auto"/>
              </w:rPr>
              <w:t>(m)    Proportion</w:t>
            </w:r>
          </w:p>
        </w:tc>
        <w:tc>
          <w:tcPr>
            <w:tcW w:w="240" w:type="dxa"/>
            <w:vAlign w:val="bottom"/>
            <w:textDirection w:val="btLr"/>
          </w:tcPr>
          <w:p>
            <w:pPr>
              <w:ind w:left="50"/>
              <w:spacing w:after="0"/>
              <w:rPr>
                <w:sz w:val="20"/>
                <w:szCs w:val="20"/>
                <w:color w:val="auto"/>
              </w:rPr>
            </w:pPr>
            <w:r>
              <w:rPr>
                <w:rFonts w:ascii="Arial" w:cs="Arial" w:eastAsia="Arial" w:hAnsi="Arial"/>
                <w:sz w:val="15"/>
                <w:szCs w:val="15"/>
                <w:color w:val="auto"/>
                <w:w w:val="95"/>
              </w:rPr>
              <w:t>580.</w:t>
            </w:r>
          </w:p>
        </w:tc>
        <w:tc>
          <w:tcPr>
            <w:tcW w:w="200" w:type="dxa"/>
            <w:vAlign w:val="bottom"/>
            <w:textDirection w:val="btLr"/>
          </w:tcPr>
          <w:p>
            <w:pPr>
              <w:ind w:left="20"/>
              <w:spacing w:after="0"/>
              <w:rPr>
                <w:sz w:val="20"/>
                <w:szCs w:val="20"/>
                <w:color w:val="auto"/>
              </w:rPr>
            </w:pPr>
            <w:r>
              <w:rPr>
                <w:rFonts w:ascii="Arial" w:cs="Arial" w:eastAsia="Arial" w:hAnsi="Arial"/>
                <w:sz w:val="15"/>
                <w:szCs w:val="15"/>
                <w:color w:val="auto"/>
                <w:w w:val="95"/>
              </w:rPr>
              <w:t>300.</w:t>
            </w:r>
          </w:p>
        </w:tc>
        <w:tc>
          <w:tcPr>
            <w:tcW w:w="260" w:type="dxa"/>
            <w:vAlign w:val="bottom"/>
            <w:textDirection w:val="btLr"/>
          </w:tcPr>
          <w:p>
            <w:pPr>
              <w:ind w:left="30"/>
              <w:spacing w:after="0"/>
              <w:rPr>
                <w:sz w:val="20"/>
                <w:szCs w:val="20"/>
                <w:color w:val="auto"/>
              </w:rPr>
            </w:pPr>
            <w:r>
              <w:rPr>
                <w:rFonts w:ascii="Arial" w:cs="Arial" w:eastAsia="Arial" w:hAnsi="Arial"/>
                <w:sz w:val="15"/>
                <w:szCs w:val="15"/>
                <w:color w:val="auto"/>
              </w:rPr>
              <w:t>51.92</w:t>
            </w:r>
          </w:p>
        </w:tc>
        <w:tc>
          <w:tcPr>
            <w:tcW w:w="240" w:type="dxa"/>
            <w:vAlign w:val="bottom"/>
            <w:textDirection w:val="btLr"/>
            <w:shd w:val="clear" w:color="auto" w:fill="E6E6E6"/>
          </w:tcPr>
          <w:p>
            <w:pPr>
              <w:ind w:left="50"/>
              <w:spacing w:after="0"/>
              <w:rPr>
                <w:sz w:val="20"/>
                <w:szCs w:val="20"/>
                <w:color w:val="auto"/>
              </w:rPr>
            </w:pPr>
            <w:r>
              <w:rPr>
                <w:rFonts w:ascii="Arial" w:cs="Arial" w:eastAsia="Arial" w:hAnsi="Arial"/>
                <w:sz w:val="15"/>
                <w:szCs w:val="15"/>
                <w:color w:val="auto"/>
                <w:w w:val="95"/>
              </w:rPr>
              <w:t>0.64</w:t>
            </w:r>
          </w:p>
        </w:tc>
        <w:tc>
          <w:tcPr>
            <w:tcW w:w="200" w:type="dxa"/>
            <w:vAlign w:val="bottom"/>
            <w:textDirection w:val="btLr"/>
            <w:shd w:val="clear" w:color="auto" w:fill="E6E6E6"/>
          </w:tcPr>
          <w:p>
            <w:pPr>
              <w:ind w:left="20"/>
              <w:spacing w:after="0"/>
              <w:rPr>
                <w:sz w:val="20"/>
                <w:szCs w:val="20"/>
                <w:color w:val="auto"/>
              </w:rPr>
            </w:pPr>
            <w:r>
              <w:rPr>
                <w:rFonts w:ascii="Arial" w:cs="Arial" w:eastAsia="Arial" w:hAnsi="Arial"/>
                <w:sz w:val="15"/>
                <w:szCs w:val="15"/>
                <w:color w:val="auto"/>
                <w:w w:val="95"/>
              </w:rPr>
              <w:t>0.30</w:t>
            </w:r>
          </w:p>
        </w:tc>
        <w:tc>
          <w:tcPr>
            <w:tcW w:w="260" w:type="dxa"/>
            <w:vAlign w:val="bottom"/>
            <w:textDirection w:val="btLr"/>
            <w:shd w:val="clear" w:color="auto" w:fill="E6E6E6"/>
          </w:tcPr>
          <w:p>
            <w:pPr>
              <w:ind w:left="31"/>
              <w:spacing w:after="0"/>
              <w:rPr>
                <w:sz w:val="20"/>
                <w:szCs w:val="20"/>
                <w:color w:val="auto"/>
              </w:rPr>
            </w:pPr>
            <w:r>
              <w:rPr>
                <w:rFonts w:ascii="Arial" w:cs="Arial" w:eastAsia="Arial" w:hAnsi="Arial"/>
                <w:sz w:val="15"/>
                <w:szCs w:val="15"/>
                <w:color w:val="auto"/>
              </w:rPr>
              <w:t>6446.</w:t>
            </w:r>
          </w:p>
        </w:tc>
        <w:tc>
          <w:tcPr>
            <w:tcW w:w="240" w:type="dxa"/>
            <w:vAlign w:val="bottom"/>
            <w:textDirection w:val="btLr"/>
          </w:tcPr>
          <w:p>
            <w:pPr>
              <w:ind w:left="50"/>
              <w:spacing w:after="0"/>
              <w:rPr>
                <w:sz w:val="20"/>
                <w:szCs w:val="20"/>
                <w:color w:val="auto"/>
              </w:rPr>
            </w:pPr>
            <w:r>
              <w:rPr>
                <w:rFonts w:ascii="Arial" w:cs="Arial" w:eastAsia="Arial" w:hAnsi="Arial"/>
                <w:sz w:val="15"/>
                <w:szCs w:val="15"/>
                <w:color w:val="auto"/>
                <w:w w:val="95"/>
              </w:rPr>
              <w:t>0.84</w:t>
            </w:r>
          </w:p>
        </w:tc>
        <w:tc>
          <w:tcPr>
            <w:tcW w:w="200" w:type="dxa"/>
            <w:vAlign w:val="bottom"/>
            <w:textDirection w:val="btLr"/>
          </w:tcPr>
          <w:p>
            <w:pPr>
              <w:ind w:left="20"/>
              <w:spacing w:after="0"/>
              <w:rPr>
                <w:sz w:val="20"/>
                <w:szCs w:val="20"/>
                <w:color w:val="auto"/>
              </w:rPr>
            </w:pPr>
            <w:r>
              <w:rPr>
                <w:rFonts w:ascii="Arial" w:cs="Arial" w:eastAsia="Arial" w:hAnsi="Arial"/>
                <w:sz w:val="15"/>
                <w:szCs w:val="15"/>
                <w:color w:val="auto"/>
                <w:w w:val="95"/>
              </w:rPr>
              <w:t>0.29</w:t>
            </w:r>
          </w:p>
        </w:tc>
        <w:tc>
          <w:tcPr>
            <w:tcW w:w="280" w:type="dxa"/>
            <w:vAlign w:val="bottom"/>
            <w:tcBorders>
              <w:right w:val="single" w:sz="8" w:color="CCCCCC"/>
            </w:tcBorders>
            <w:textDirection w:val="btLr"/>
          </w:tcPr>
          <w:p>
            <w:pPr>
              <w:ind w:left="30"/>
              <w:spacing w:after="0"/>
              <w:rPr>
                <w:sz w:val="20"/>
                <w:szCs w:val="20"/>
                <w:color w:val="auto"/>
              </w:rPr>
            </w:pPr>
            <w:r>
              <w:rPr>
                <w:rFonts w:ascii="Arial" w:cs="Arial" w:eastAsia="Arial" w:hAnsi="Arial"/>
                <w:sz w:val="15"/>
                <w:szCs w:val="15"/>
                <w:color w:val="auto"/>
              </w:rPr>
              <w:t>3734.</w:t>
            </w:r>
          </w:p>
        </w:tc>
        <w:tc>
          <w:tcPr>
            <w:tcW w:w="440" w:type="dxa"/>
            <w:vAlign w:val="bottom"/>
            <w:textDirection w:val="btLr"/>
          </w:tcPr>
          <w:p>
            <w:pPr>
              <w:ind w:left="268"/>
              <w:spacing w:after="0"/>
              <w:rPr>
                <w:sz w:val="20"/>
                <w:szCs w:val="20"/>
                <w:color w:val="auto"/>
              </w:rPr>
            </w:pPr>
            <w:r>
              <w:rPr>
                <w:rFonts w:ascii="Arial" w:cs="Arial" w:eastAsia="Arial" w:hAnsi="Arial"/>
                <w:sz w:val="15"/>
                <w:szCs w:val="15"/>
                <w:color w:val="auto"/>
                <w:w w:val="99"/>
              </w:rPr>
              <w:t>macrophyte.</w:t>
            </w:r>
          </w:p>
        </w:tc>
        <w:tc>
          <w:tcPr>
            <w:tcW w:w="0" w:type="dxa"/>
            <w:vAlign w:val="bottom"/>
          </w:tcPr>
          <w:p>
            <w:pPr>
              <w:spacing w:after="0"/>
              <w:rPr>
                <w:sz w:val="1"/>
                <w:szCs w:val="1"/>
                <w:color w:val="auto"/>
              </w:rPr>
            </w:pPr>
          </w:p>
        </w:tc>
      </w:tr>
      <w:tr>
        <w:trPr>
          <w:trHeight w:val="28"/>
        </w:trPr>
        <w:tc>
          <w:tcPr>
            <w:tcW w:w="480" w:type="dxa"/>
            <w:vAlign w:val="bottom"/>
            <w:textDirection w:val="btLr"/>
          </w:tcPr>
          <w:p>
            <w:pPr>
              <w:ind w:left="360"/>
              <w:spacing w:after="0"/>
              <w:rPr>
                <w:sz w:val="20"/>
                <w:szCs w:val="20"/>
                <w:color w:val="auto"/>
              </w:rPr>
            </w:pPr>
            <w:r>
              <w:rPr>
                <w:rFonts w:ascii="Arial" w:cs="Arial" w:eastAsia="Arial" w:hAnsi="Arial"/>
                <w:sz w:val="1"/>
                <w:szCs w:val="1"/>
                <w:color w:val="auto"/>
                <w:w w:val="1"/>
              </w:rPr>
              <w:t>Summarystatisticsofwaterdepth,macrophyteheight,proportionofthewatercolumnoccupied,measuredoxygen,pH,TABLE12019)andE.densa(January2019)sitesinmacrophyte-freeandmacrophyte-occupiedverticalprofiles(seeFigure2)</w:t>
            </w:r>
          </w:p>
        </w:tc>
        <w:tc>
          <w:tcPr>
            <w:tcW w:w="380" w:type="dxa"/>
            <w:vAlign w:val="bottom"/>
            <w:tcBorders>
              <w:right w:val="single" w:sz="8" w:color="auto"/>
            </w:tcBorders>
            <w:vMerge w:val="continue"/>
            <w:shd w:val="clear" w:color="auto" w:fill="CCCCCC"/>
          </w:tcPr>
          <w:p>
            <w:pPr>
              <w:spacing w:after="0"/>
              <w:rPr>
                <w:sz w:val="2"/>
                <w:szCs w:val="2"/>
                <w:color w:val="auto"/>
              </w:rPr>
            </w:pPr>
          </w:p>
        </w:tc>
        <w:tc>
          <w:tcPr>
            <w:tcW w:w="300" w:type="dxa"/>
            <w:vAlign w:val="bottom"/>
            <w:textDirection w:val="btLr"/>
            <w:shd w:val="clear" w:color="auto" w:fill="CCCCCC"/>
          </w:tcPr>
          <w:p>
            <w:pPr>
              <w:ind w:left="208"/>
              <w:spacing w:after="0"/>
              <w:rPr>
                <w:sz w:val="20"/>
                <w:szCs w:val="20"/>
                <w:color w:val="auto"/>
              </w:rPr>
            </w:pPr>
            <w:r>
              <w:rPr>
                <w:rFonts w:ascii="Arial" w:cs="Arial" w:eastAsia="Arial" w:hAnsi="Arial"/>
                <w:sz w:val="1"/>
                <w:szCs w:val="1"/>
                <w:color w:val="auto"/>
                <w:w w:val="9"/>
              </w:rPr>
              <w:t>occasionMFMDepth(m)Oxygen(%)pHTemp(</w:t>
            </w:r>
          </w:p>
        </w:tc>
        <w:tc>
          <w:tcPr>
            <w:tcW w:w="240" w:type="dxa"/>
            <w:vAlign w:val="bottom"/>
            <w:textDirection w:val="btLr"/>
          </w:tcPr>
          <w:p>
            <w:pPr>
              <w:ind w:left="203"/>
              <w:spacing w:after="0"/>
              <w:rPr>
                <w:sz w:val="20"/>
                <w:szCs w:val="20"/>
                <w:color w:val="auto"/>
              </w:rPr>
            </w:pPr>
            <w:r>
              <w:rPr>
                <w:rFonts w:ascii="Arial" w:cs="Arial" w:eastAsia="Arial" w:hAnsi="Arial"/>
                <w:sz w:val="1"/>
                <w:szCs w:val="1"/>
                <w:color w:val="auto"/>
                <w:w w:val="6"/>
              </w:rPr>
              <w:t>3210C.demersumNovember20181236x¯1.140.7.19.2.1.49734327</w:t>
            </w:r>
          </w:p>
        </w:tc>
        <w:tc>
          <w:tcPr>
            <w:tcW w:w="200" w:type="dxa"/>
            <w:vAlign w:val="bottom"/>
            <w:textDirection w:val="btLr"/>
          </w:tcPr>
          <w:p>
            <w:pPr>
              <w:ind w:left="173"/>
              <w:spacing w:after="0"/>
              <w:rPr>
                <w:sz w:val="20"/>
                <w:szCs w:val="20"/>
                <w:color w:val="auto"/>
              </w:rPr>
            </w:pPr>
            <w:r>
              <w:rPr>
                <w:rFonts w:ascii="Arial" w:cs="Arial" w:eastAsia="Arial" w:hAnsi="Arial"/>
                <w:sz w:val="1"/>
                <w:szCs w:val="1"/>
                <w:color w:val="auto"/>
                <w:w w:val="14"/>
              </w:rPr>
              <w:t>0890553334SD0.13.0.0.0.1.25</w:t>
            </w:r>
          </w:p>
        </w:tc>
        <w:tc>
          <w:tcPr>
            <w:tcW w:w="260" w:type="dxa"/>
            <w:vAlign w:val="bottom"/>
            <w:textDirection w:val="btLr"/>
          </w:tcPr>
          <w:p>
            <w:pPr>
              <w:ind w:left="183"/>
              <w:spacing w:after="0"/>
              <w:rPr>
                <w:sz w:val="20"/>
                <w:szCs w:val="20"/>
                <w:color w:val="auto"/>
              </w:rPr>
            </w:pPr>
            <w:r>
              <w:rPr>
                <w:rFonts w:ascii="Arial" w:cs="Arial" w:eastAsia="Arial" w:hAnsi="Arial"/>
                <w:sz w:val="1"/>
                <w:szCs w:val="1"/>
                <w:color w:val="auto"/>
                <w:w w:val="13"/>
              </w:rPr>
              <w:t>81.699380285006CV20.9.4.2.42.</w:t>
            </w:r>
          </w:p>
        </w:tc>
        <w:tc>
          <w:tcPr>
            <w:tcW w:w="240" w:type="dxa"/>
            <w:vAlign w:val="bottom"/>
            <w:textDirection w:val="btLr"/>
            <w:shd w:val="clear" w:color="auto" w:fill="E6E6E6"/>
          </w:tcPr>
          <w:p>
            <w:pPr>
              <w:ind w:left="203"/>
              <w:spacing w:after="0"/>
              <w:rPr>
                <w:sz w:val="20"/>
                <w:szCs w:val="20"/>
                <w:color w:val="auto"/>
              </w:rPr>
            </w:pPr>
            <w:r>
              <w:rPr>
                <w:rFonts w:ascii="Arial" w:cs="Arial" w:eastAsia="Arial" w:hAnsi="Arial"/>
                <w:sz w:val="1"/>
                <w:szCs w:val="1"/>
                <w:color w:val="auto"/>
                <w:w w:val="16"/>
              </w:rPr>
              <w:t>C.demersumJanuary20199</w:t>
            </w:r>
          </w:p>
        </w:tc>
        <w:tc>
          <w:tcPr>
            <w:tcW w:w="200" w:type="dxa"/>
            <w:vAlign w:val="bottom"/>
            <w:textDirection w:val="btLr"/>
            <w:shd w:val="clear" w:color="auto" w:fill="E6E6E6"/>
          </w:tcPr>
          <w:p>
            <w:pPr>
              <w:ind w:left="173"/>
              <w:spacing w:after="0"/>
              <w:rPr>
                <w:sz w:val="20"/>
                <w:szCs w:val="20"/>
                <w:color w:val="auto"/>
              </w:rPr>
            </w:pPr>
            <w:r>
              <w:rPr>
                <w:rFonts w:ascii="Arial" w:cs="Arial" w:eastAsia="Arial" w:hAnsi="Arial"/>
                <w:sz w:val="1"/>
                <w:szCs w:val="1"/>
                <w:color w:val="auto"/>
                <w:w w:val="14"/>
              </w:rPr>
              <w:t>SD0.8.0.0.0.1.472536479714</w:t>
            </w:r>
          </w:p>
        </w:tc>
        <w:tc>
          <w:tcPr>
            <w:tcW w:w="260" w:type="dxa"/>
            <w:vAlign w:val="bottom"/>
            <w:textDirection w:val="btLr"/>
            <w:shd w:val="clear" w:color="auto" w:fill="E6E6E6"/>
          </w:tcPr>
          <w:p>
            <w:pPr>
              <w:ind w:left="184"/>
              <w:spacing w:after="0"/>
              <w:rPr>
                <w:sz w:val="20"/>
                <w:szCs w:val="20"/>
                <w:color w:val="auto"/>
              </w:rPr>
            </w:pPr>
            <w:r>
              <w:rPr>
                <w:rFonts w:ascii="Arial" w:cs="Arial" w:eastAsia="Arial" w:hAnsi="Arial"/>
                <w:sz w:val="1"/>
                <w:szCs w:val="1"/>
                <w:color w:val="auto"/>
                <w:w w:val="13"/>
              </w:rPr>
              <w:t>758273990828CV29.5.4.1.47.79.</w:t>
            </w:r>
          </w:p>
        </w:tc>
        <w:tc>
          <w:tcPr>
            <w:tcW w:w="240" w:type="dxa"/>
            <w:vAlign w:val="bottom"/>
            <w:textDirection w:val="btLr"/>
          </w:tcPr>
          <w:p>
            <w:pPr>
              <w:ind w:left="204"/>
              <w:spacing w:after="0"/>
              <w:rPr>
                <w:sz w:val="20"/>
                <w:szCs w:val="20"/>
                <w:color w:val="auto"/>
              </w:rPr>
            </w:pPr>
            <w:r>
              <w:rPr>
                <w:rFonts w:ascii="Arial" w:cs="Arial" w:eastAsia="Arial" w:hAnsi="Arial"/>
                <w:sz w:val="1"/>
                <w:szCs w:val="1"/>
                <w:color w:val="auto"/>
                <w:w w:val="7"/>
              </w:rPr>
              <w:t>1.1.092450820263E.densaJanuary20191236x¯0.125.6.22.</w:t>
            </w:r>
          </w:p>
        </w:tc>
        <w:tc>
          <w:tcPr>
            <w:tcW w:w="200" w:type="dxa"/>
            <w:vAlign w:val="bottom"/>
            <w:textDirection w:val="btLr"/>
          </w:tcPr>
          <w:p>
            <w:pPr>
              <w:ind w:left="173"/>
              <w:spacing w:after="0"/>
              <w:rPr>
                <w:sz w:val="20"/>
                <w:szCs w:val="20"/>
                <w:color w:val="auto"/>
              </w:rPr>
            </w:pPr>
            <w:r>
              <w:rPr>
                <w:rFonts w:ascii="Arial" w:cs="Arial" w:eastAsia="Arial" w:hAnsi="Arial"/>
                <w:sz w:val="1"/>
                <w:szCs w:val="1"/>
                <w:color w:val="auto"/>
                <w:w w:val="14"/>
              </w:rPr>
              <w:t>14.0.0.0.0.574125206112SD0.</w:t>
            </w:r>
          </w:p>
        </w:tc>
        <w:tc>
          <w:tcPr>
            <w:tcW w:w="280" w:type="dxa"/>
            <w:vAlign w:val="bottom"/>
            <w:tcBorders>
              <w:right w:val="single" w:sz="8" w:color="CCCCCC"/>
            </w:tcBorders>
            <w:textDirection w:val="btLr"/>
          </w:tcPr>
          <w:p>
            <w:pPr>
              <w:ind w:left="183"/>
              <w:spacing w:after="0"/>
              <w:rPr>
                <w:sz w:val="20"/>
                <w:szCs w:val="20"/>
                <w:color w:val="auto"/>
              </w:rPr>
            </w:pPr>
            <w:r>
              <w:rPr>
                <w:rFonts w:ascii="Arial" w:cs="Arial" w:eastAsia="Arial" w:hAnsi="Arial"/>
                <w:sz w:val="1"/>
                <w:szCs w:val="1"/>
                <w:color w:val="auto"/>
                <w:w w:val="12"/>
              </w:rPr>
              <w:t>34CV18.11.2.1.33.52.1912916851</w:t>
            </w:r>
          </w:p>
        </w:tc>
        <w:tc>
          <w:tcPr>
            <w:tcW w:w="440" w:type="dxa"/>
            <w:vAlign w:val="bottom"/>
            <w:textDirection w:val="btLr"/>
          </w:tcPr>
          <w:p>
            <w:pPr>
              <w:ind w:left="384"/>
              <w:spacing w:after="0"/>
              <w:rPr>
                <w:sz w:val="20"/>
                <w:szCs w:val="20"/>
                <w:color w:val="auto"/>
              </w:rPr>
            </w:pPr>
            <w:r>
              <w:rPr>
                <w:rFonts w:ascii="Arial" w:cs="Arial" w:eastAsia="Arial" w:hAnsi="Arial"/>
                <w:sz w:val="1"/>
                <w:szCs w:val="1"/>
                <w:color w:val="auto"/>
                <w:w w:val="5"/>
              </w:rPr>
              <w:t>Note:CV,coefficientofvariation;M-F,macrophytefree;M,macrophyte;n,number.a</w:t>
            </w:r>
          </w:p>
        </w:tc>
        <w:tc>
          <w:tcPr>
            <w:tcW w:w="0" w:type="dxa"/>
            <w:vAlign w:val="bottom"/>
          </w:tcPr>
          <w:p>
            <w:pPr>
              <w:spacing w:after="0" w:line="20" w:lineRule="exact"/>
              <w:rPr>
                <w:sz w:val="1"/>
                <w:szCs w:val="1"/>
                <w:color w:val="auto"/>
              </w:rPr>
            </w:pPr>
          </w:p>
        </w:tc>
      </w:tr>
      <w:tr>
        <w:trPr>
          <w:trHeight w:val="448"/>
        </w:trPr>
        <w:tc>
          <w:tcPr>
            <w:tcW w:w="480" w:type="dxa"/>
            <w:vAlign w:val="bottom"/>
          </w:tcPr>
          <w:p>
            <w:pPr>
              <w:spacing w:after="0"/>
              <w:rPr>
                <w:sz w:val="24"/>
                <w:szCs w:val="24"/>
                <w:color w:val="auto"/>
              </w:rPr>
            </w:pP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textDirection w:val="btLr"/>
            <w:shd w:val="clear" w:color="auto" w:fill="CCCCCC"/>
          </w:tcPr>
          <w:p>
            <w:pPr>
              <w:ind w:left="52"/>
              <w:spacing w:after="0"/>
              <w:rPr>
                <w:sz w:val="20"/>
                <w:szCs w:val="20"/>
                <w:color w:val="auto"/>
              </w:rPr>
            </w:pPr>
            <w:r>
              <w:rPr>
                <w:rFonts w:ascii="Arial" w:cs="Arial" w:eastAsia="Arial" w:hAnsi="Arial"/>
                <w:sz w:val="15"/>
                <w:szCs w:val="15"/>
                <w:color w:val="auto"/>
              </w:rPr>
              <w:t>Height</w:t>
            </w: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extDirection w:val="btLr"/>
            <w:shd w:val="clear" w:color="auto" w:fill="E6E6E6"/>
          </w:tcPr>
          <w:p>
            <w:pPr>
              <w:ind w:left="50"/>
              <w:spacing w:after="0"/>
              <w:rPr>
                <w:sz w:val="20"/>
                <w:szCs w:val="20"/>
                <w:color w:val="auto"/>
              </w:rPr>
            </w:pPr>
            <w:r>
              <w:rPr>
                <w:rFonts w:ascii="Arial" w:cs="Arial" w:eastAsia="Arial" w:hAnsi="Arial"/>
                <w:sz w:val="15"/>
                <w:szCs w:val="15"/>
                <w:color w:val="auto"/>
              </w:rPr>
              <w:t>1.44</w:t>
            </w: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vMerge w:val="restart"/>
            <w:textDirection w:val="btLr"/>
          </w:tcPr>
          <w:p>
            <w:pPr>
              <w:ind w:left="268"/>
              <w:spacing w:after="0"/>
              <w:rPr>
                <w:sz w:val="20"/>
                <w:szCs w:val="20"/>
                <w:color w:val="auto"/>
              </w:rPr>
            </w:pPr>
            <w:r>
              <w:rPr>
                <w:rFonts w:ascii="Arial" w:cs="Arial" w:eastAsia="Arial" w:hAnsi="Arial"/>
                <w:sz w:val="15"/>
                <w:szCs w:val="15"/>
                <w:color w:val="auto"/>
                <w:w w:val="99"/>
              </w:rPr>
              <w:t>contain</w:t>
            </w:r>
          </w:p>
        </w:tc>
        <w:tc>
          <w:tcPr>
            <w:tcW w:w="0" w:type="dxa"/>
            <w:vAlign w:val="bottom"/>
          </w:tcPr>
          <w:p>
            <w:pPr>
              <w:spacing w:after="0"/>
              <w:rPr>
                <w:sz w:val="1"/>
                <w:szCs w:val="1"/>
                <w:color w:val="auto"/>
              </w:rPr>
            </w:pPr>
          </w:p>
        </w:tc>
      </w:tr>
      <w:tr>
        <w:trPr>
          <w:trHeight w:val="47"/>
        </w:trPr>
        <w:tc>
          <w:tcPr>
            <w:tcW w:w="480" w:type="dxa"/>
            <w:vAlign w:val="bottom"/>
          </w:tcPr>
          <w:p>
            <w:pPr>
              <w:spacing w:after="0"/>
              <w:rPr>
                <w:sz w:val="4"/>
                <w:szCs w:val="4"/>
                <w:color w:val="auto"/>
              </w:rPr>
            </w:pPr>
          </w:p>
        </w:tc>
        <w:tc>
          <w:tcPr>
            <w:tcW w:w="380" w:type="dxa"/>
            <w:vAlign w:val="bottom"/>
            <w:tcBorders>
              <w:right w:val="single" w:sz="8" w:color="auto"/>
            </w:tcBorders>
            <w:shd w:val="clear" w:color="auto" w:fill="CCCCCC"/>
          </w:tcPr>
          <w:p>
            <w:pPr>
              <w:spacing w:after="0"/>
              <w:rPr>
                <w:sz w:val="4"/>
                <w:szCs w:val="4"/>
                <w:color w:val="auto"/>
              </w:rPr>
            </w:pPr>
          </w:p>
        </w:tc>
        <w:tc>
          <w:tcPr>
            <w:tcW w:w="3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Borders>
              <w:right w:val="single" w:sz="8" w:color="CCCCCC"/>
            </w:tcBorders>
          </w:tcPr>
          <w:p>
            <w:pPr>
              <w:spacing w:after="0"/>
              <w:rPr>
                <w:sz w:val="4"/>
                <w:szCs w:val="4"/>
                <w:color w:val="auto"/>
              </w:rPr>
            </w:pPr>
          </w:p>
        </w:tc>
        <w:tc>
          <w:tcPr>
            <w:tcW w:w="4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954"/>
        </w:trPr>
        <w:tc>
          <w:tcPr>
            <w:tcW w:w="480" w:type="dxa"/>
            <w:vAlign w:val="bottom"/>
          </w:tcPr>
          <w:p>
            <w:pPr>
              <w:spacing w:after="0"/>
              <w:rPr>
                <w:sz w:val="24"/>
                <w:szCs w:val="24"/>
                <w:color w:val="auto"/>
              </w:rPr>
            </w:pPr>
          </w:p>
        </w:tc>
        <w:tc>
          <w:tcPr>
            <w:tcW w:w="380" w:type="dxa"/>
            <w:vAlign w:val="bottom"/>
            <w:tcBorders>
              <w:bottom w:val="single" w:sz="8" w:color="CCCCCC"/>
              <w:right w:val="single" w:sz="8" w:color="auto"/>
            </w:tcBorders>
            <w:shd w:val="clear" w:color="auto" w:fill="CCCCCC"/>
          </w:tcPr>
          <w:p>
            <w:pPr>
              <w:spacing w:after="0"/>
              <w:rPr>
                <w:sz w:val="24"/>
                <w:szCs w:val="24"/>
                <w:color w:val="auto"/>
              </w:rPr>
            </w:pPr>
          </w:p>
        </w:tc>
        <w:tc>
          <w:tcPr>
            <w:tcW w:w="300" w:type="dxa"/>
            <w:vAlign w:val="bottom"/>
            <w:tcBorders>
              <w:bottom w:val="single" w:sz="8" w:color="CCCCCC"/>
            </w:tcBorders>
            <w:textDirection w:val="btLr"/>
          </w:tcPr>
          <w:p>
            <w:pPr>
              <w:ind w:left="52"/>
              <w:spacing w:after="0"/>
              <w:rPr>
                <w:sz w:val="20"/>
                <w:szCs w:val="20"/>
                <w:color w:val="auto"/>
              </w:rPr>
            </w:pPr>
            <w:r>
              <w:rPr>
                <w:rFonts w:ascii="Arial" w:cs="Arial" w:eastAsia="Arial" w:hAnsi="Arial"/>
                <w:sz w:val="15"/>
                <w:szCs w:val="15"/>
                <w:color w:val="auto"/>
                <w:w w:val="95"/>
              </w:rPr>
              <w:t>Depth (m)</w:t>
            </w: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cBorders>
              <w:bottom w:val="single" w:sz="8" w:color="E6E6E6"/>
            </w:tcBorders>
            <w:textDirection w:val="btLr"/>
          </w:tcPr>
          <w:p>
            <w:pPr>
              <w:ind w:left="50"/>
              <w:spacing w:after="0"/>
              <w:rPr>
                <w:sz w:val="20"/>
                <w:szCs w:val="20"/>
                <w:color w:val="auto"/>
              </w:rPr>
            </w:pPr>
            <w:r>
              <w:rPr>
                <w:rFonts w:ascii="Arial" w:cs="Arial" w:eastAsia="Arial" w:hAnsi="Arial"/>
                <w:sz w:val="15"/>
                <w:szCs w:val="15"/>
                <w:color w:val="auto"/>
              </w:rPr>
              <w:t>2.06</w:t>
            </w:r>
          </w:p>
        </w:tc>
        <w:tc>
          <w:tcPr>
            <w:tcW w:w="200" w:type="dxa"/>
            <w:vAlign w:val="bottom"/>
            <w:tcBorders>
              <w:bottom w:val="single" w:sz="8" w:color="E6E6E6"/>
            </w:tcBorders>
          </w:tcPr>
          <w:p>
            <w:pPr>
              <w:spacing w:after="0"/>
              <w:rPr>
                <w:sz w:val="24"/>
                <w:szCs w:val="24"/>
                <w:color w:val="auto"/>
              </w:rPr>
            </w:pPr>
          </w:p>
        </w:tc>
        <w:tc>
          <w:tcPr>
            <w:tcW w:w="260" w:type="dxa"/>
            <w:vAlign w:val="bottom"/>
            <w:tcBorders>
              <w:bottom w:val="single" w:sz="8" w:color="E6E6E6"/>
            </w:tcBorders>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vMerge w:val="restart"/>
            <w:textDirection w:val="btLr"/>
          </w:tcPr>
          <w:p>
            <w:pPr>
              <w:ind w:left="268"/>
              <w:spacing w:after="0"/>
              <w:rPr>
                <w:sz w:val="20"/>
                <w:szCs w:val="20"/>
                <w:color w:val="auto"/>
              </w:rPr>
            </w:pPr>
            <w:r>
              <w:rPr>
                <w:rFonts w:ascii="Arial" w:cs="Arial" w:eastAsia="Arial" w:hAnsi="Arial"/>
                <w:sz w:val="15"/>
                <w:szCs w:val="15"/>
                <w:color w:val="auto"/>
              </w:rPr>
              <w:t>vegetation-free to</w:t>
            </w:r>
          </w:p>
        </w:tc>
        <w:tc>
          <w:tcPr>
            <w:tcW w:w="0" w:type="dxa"/>
            <w:vAlign w:val="bottom"/>
          </w:tcPr>
          <w:p>
            <w:pPr>
              <w:spacing w:after="0"/>
              <w:rPr>
                <w:sz w:val="1"/>
                <w:szCs w:val="1"/>
                <w:color w:val="auto"/>
              </w:rPr>
            </w:pPr>
          </w:p>
        </w:tc>
      </w:tr>
      <w:tr>
        <w:trPr>
          <w:trHeight w:val="287"/>
        </w:trPr>
        <w:tc>
          <w:tcPr>
            <w:tcW w:w="480" w:type="dxa"/>
            <w:vAlign w:val="bottom"/>
          </w:tcPr>
          <w:p>
            <w:pPr>
              <w:spacing w:after="0"/>
              <w:rPr>
                <w:sz w:val="24"/>
                <w:szCs w:val="24"/>
                <w:color w:val="auto"/>
              </w:rPr>
            </w:pPr>
          </w:p>
        </w:tc>
        <w:tc>
          <w:tcPr>
            <w:tcW w:w="380" w:type="dxa"/>
            <w:vAlign w:val="bottom"/>
            <w:tcBorders>
              <w:right w:val="single" w:sz="8" w:color="CCCCCC"/>
            </w:tcBorders>
            <w:shd w:val="clear" w:color="auto" w:fill="CCCCCC"/>
          </w:tcPr>
          <w:p>
            <w:pPr>
              <w:spacing w:after="0"/>
              <w:rPr>
                <w:sz w:val="24"/>
                <w:szCs w:val="24"/>
                <w:color w:val="auto"/>
              </w:rPr>
            </w:pPr>
          </w:p>
        </w:tc>
        <w:tc>
          <w:tcPr>
            <w:tcW w:w="300" w:type="dxa"/>
            <w:vAlign w:val="bottom"/>
            <w:shd w:val="clear" w:color="auto" w:fill="CCCCCC"/>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shd w:val="clear" w:color="auto" w:fill="E6E6E6"/>
          </w:tcPr>
          <w:p>
            <w:pPr>
              <w:spacing w:after="0"/>
              <w:rPr>
                <w:sz w:val="24"/>
                <w:szCs w:val="24"/>
                <w:color w:val="auto"/>
              </w:rPr>
            </w:pP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1"/>
        </w:trPr>
        <w:tc>
          <w:tcPr>
            <w:tcW w:w="480" w:type="dxa"/>
            <w:vAlign w:val="bottom"/>
          </w:tcPr>
          <w:p>
            <w:pPr>
              <w:spacing w:after="0" w:line="20" w:lineRule="exact"/>
              <w:rPr>
                <w:sz w:val="1"/>
                <w:szCs w:val="1"/>
                <w:color w:val="auto"/>
              </w:rPr>
            </w:pPr>
          </w:p>
        </w:tc>
        <w:tc>
          <w:tcPr>
            <w:tcW w:w="380" w:type="dxa"/>
            <w:vAlign w:val="bottom"/>
            <w:tcBorders>
              <w:top w:val="single" w:sz="8" w:color="CCCCCC"/>
              <w:right w:val="single" w:sz="8" w:color="auto"/>
            </w:tcBorders>
            <w:shd w:val="clear" w:color="auto" w:fill="CCCCCC"/>
          </w:tcPr>
          <w:p>
            <w:pPr>
              <w:spacing w:after="0" w:line="20" w:lineRule="exact"/>
              <w:rPr>
                <w:sz w:val="1"/>
                <w:szCs w:val="1"/>
                <w:color w:val="auto"/>
              </w:rPr>
            </w:pPr>
          </w:p>
        </w:tc>
        <w:tc>
          <w:tcPr>
            <w:tcW w:w="300" w:type="dxa"/>
            <w:vAlign w:val="bottom"/>
            <w:tcBorders>
              <w:top w:val="single" w:sz="8" w:color="CCCCCC"/>
            </w:tcBorders>
            <w:shd w:val="clear" w:color="auto" w:fill="CCCCCC"/>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40" w:type="dxa"/>
            <w:vAlign w:val="bottom"/>
            <w:tcBorders>
              <w:top w:val="single" w:sz="8" w:color="E6E6E6"/>
            </w:tcBorders>
            <w:textDirection w:val="btLr"/>
            <w:shd w:val="clear" w:color="auto" w:fill="E6E6E6"/>
          </w:tcPr>
          <w:p>
            <w:pPr>
              <w:ind w:left="203"/>
              <w:spacing w:after="0"/>
              <w:rPr>
                <w:sz w:val="20"/>
                <w:szCs w:val="20"/>
                <w:color w:val="auto"/>
              </w:rPr>
            </w:pPr>
            <w:r>
              <w:rPr>
                <w:rFonts w:ascii="Arial" w:cs="Arial" w:eastAsia="Arial" w:hAnsi="Arial"/>
                <w:sz w:val="1"/>
                <w:szCs w:val="1"/>
                <w:color w:val="auto"/>
                <w:w w:val="77"/>
              </w:rPr>
              <w:t>23.49</w:t>
            </w:r>
          </w:p>
        </w:tc>
        <w:tc>
          <w:tcPr>
            <w:tcW w:w="200" w:type="dxa"/>
            <w:vAlign w:val="bottom"/>
            <w:tcBorders>
              <w:top w:val="single" w:sz="8" w:color="E6E6E6"/>
            </w:tcBorders>
            <w:shd w:val="clear" w:color="auto" w:fill="E6E6E6"/>
          </w:tcPr>
          <w:p>
            <w:pPr>
              <w:spacing w:after="0" w:line="20" w:lineRule="exact"/>
              <w:rPr>
                <w:sz w:val="1"/>
                <w:szCs w:val="1"/>
                <w:color w:val="auto"/>
              </w:rPr>
            </w:pPr>
          </w:p>
        </w:tc>
        <w:tc>
          <w:tcPr>
            <w:tcW w:w="260" w:type="dxa"/>
            <w:vAlign w:val="bottom"/>
            <w:tcBorders>
              <w:top w:val="single" w:sz="8" w:color="E6E6E6"/>
            </w:tcBorders>
            <w:shd w:val="clear" w:color="auto" w:fill="E6E6E6"/>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Borders>
              <w:right w:val="single" w:sz="8" w:color="CCCCCC"/>
            </w:tcBorders>
          </w:tcPr>
          <w:p>
            <w:pPr>
              <w:spacing w:after="0" w:line="20" w:lineRule="exact"/>
              <w:rPr>
                <w:sz w:val="1"/>
                <w:szCs w:val="1"/>
                <w:color w:val="auto"/>
              </w:rPr>
            </w:pPr>
          </w:p>
        </w:tc>
        <w:tc>
          <w:tcPr>
            <w:tcW w:w="440" w:type="dxa"/>
            <w:vAlign w:val="bottom"/>
            <w:textDirection w:val="btLr"/>
          </w:tcPr>
          <w:p>
            <w:pPr>
              <w:ind w:left="429"/>
              <w:spacing w:after="0"/>
              <w:rPr>
                <w:sz w:val="20"/>
                <w:szCs w:val="20"/>
                <w:color w:val="auto"/>
              </w:rPr>
            </w:pPr>
            <w:r>
              <w:rPr>
                <w:rFonts w:ascii="Arial" w:cs="Arial" w:eastAsia="Arial" w:hAnsi="Arial"/>
                <w:sz w:val="1"/>
                <w:szCs w:val="1"/>
                <w:color w:val="auto"/>
                <w:w w:val="43"/>
              </w:rPr>
              <w:t>previously</w:t>
            </w:r>
          </w:p>
        </w:tc>
        <w:tc>
          <w:tcPr>
            <w:tcW w:w="0" w:type="dxa"/>
            <w:vAlign w:val="bottom"/>
          </w:tcPr>
          <w:p>
            <w:pPr>
              <w:spacing w:after="0" w:line="20" w:lineRule="exact"/>
              <w:rPr>
                <w:sz w:val="1"/>
                <w:szCs w:val="1"/>
                <w:color w:val="auto"/>
              </w:rPr>
            </w:pPr>
          </w:p>
        </w:tc>
      </w:tr>
      <w:tr>
        <w:trPr>
          <w:trHeight w:val="139"/>
        </w:trPr>
        <w:tc>
          <w:tcPr>
            <w:tcW w:w="480" w:type="dxa"/>
            <w:vAlign w:val="bottom"/>
          </w:tcPr>
          <w:p>
            <w:pPr>
              <w:spacing w:after="0"/>
              <w:rPr>
                <w:sz w:val="12"/>
                <w:szCs w:val="12"/>
                <w:color w:val="auto"/>
              </w:rPr>
            </w:pPr>
          </w:p>
        </w:tc>
        <w:tc>
          <w:tcPr>
            <w:tcW w:w="380" w:type="dxa"/>
            <w:vAlign w:val="bottom"/>
            <w:tcBorders>
              <w:right w:val="single" w:sz="8" w:color="auto"/>
            </w:tcBorders>
            <w:shd w:val="clear" w:color="auto" w:fill="CCCCCC"/>
          </w:tcPr>
          <w:p>
            <w:pPr>
              <w:spacing w:after="0"/>
              <w:rPr>
                <w:sz w:val="12"/>
                <w:szCs w:val="12"/>
                <w:color w:val="auto"/>
              </w:rPr>
            </w:pPr>
          </w:p>
        </w:tc>
        <w:tc>
          <w:tcPr>
            <w:tcW w:w="300" w:type="dxa"/>
            <w:vAlign w:val="bottom"/>
            <w:textDirection w:val="btLr"/>
            <w:shd w:val="clear" w:color="auto" w:fill="CCCCCC"/>
          </w:tcPr>
          <w:p>
            <w:pPr>
              <w:ind w:left="52"/>
              <w:spacing w:after="0"/>
              <w:rPr>
                <w:sz w:val="20"/>
                <w:szCs w:val="20"/>
                <w:color w:val="auto"/>
              </w:rPr>
            </w:pPr>
            <w:r>
              <w:rPr>
                <w:rFonts w:ascii="Arial" w:cs="Arial" w:eastAsia="Arial" w:hAnsi="Arial"/>
                <w:sz w:val="15"/>
                <w:szCs w:val="15"/>
                <w:color w:val="auto"/>
                <w:w w:val="88"/>
              </w:rPr>
              <w:t>C)</w:t>
            </w: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40" w:type="dxa"/>
            <w:vAlign w:val="bottom"/>
            <w:shd w:val="clear" w:color="auto" w:fill="E6E6E6"/>
          </w:tcPr>
          <w:p>
            <w:pPr>
              <w:spacing w:after="0"/>
              <w:rPr>
                <w:sz w:val="12"/>
                <w:szCs w:val="12"/>
                <w:color w:val="auto"/>
              </w:rPr>
            </w:pPr>
          </w:p>
        </w:tc>
        <w:tc>
          <w:tcPr>
            <w:tcW w:w="200" w:type="dxa"/>
            <w:vAlign w:val="bottom"/>
            <w:shd w:val="clear" w:color="auto" w:fill="E6E6E6"/>
          </w:tcPr>
          <w:p>
            <w:pPr>
              <w:spacing w:after="0"/>
              <w:rPr>
                <w:sz w:val="12"/>
                <w:szCs w:val="12"/>
                <w:color w:val="auto"/>
              </w:rPr>
            </w:pPr>
          </w:p>
        </w:tc>
        <w:tc>
          <w:tcPr>
            <w:tcW w:w="260" w:type="dxa"/>
            <w:vAlign w:val="bottom"/>
            <w:shd w:val="clear" w:color="auto" w:fill="E6E6E6"/>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tcBorders>
              <w:right w:val="single" w:sz="8" w:color="CCCCCC"/>
            </w:tcBorders>
          </w:tcPr>
          <w:p>
            <w:pPr>
              <w:spacing w:after="0"/>
              <w:rPr>
                <w:sz w:val="12"/>
                <w:szCs w:val="12"/>
                <w:color w:val="auto"/>
              </w:rPr>
            </w:pP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70"/>
        </w:trPr>
        <w:tc>
          <w:tcPr>
            <w:tcW w:w="480" w:type="dxa"/>
            <w:vAlign w:val="bottom"/>
          </w:tcPr>
          <w:p>
            <w:pPr>
              <w:spacing w:after="0"/>
              <w:rPr>
                <w:sz w:val="24"/>
                <w:szCs w:val="24"/>
                <w:color w:val="auto"/>
              </w:rPr>
            </w:pP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shd w:val="clear" w:color="auto" w:fill="CCCCCC"/>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extDirection w:val="btLr"/>
            <w:shd w:val="clear" w:color="auto" w:fill="E6E6E6"/>
          </w:tcPr>
          <w:p>
            <w:pPr>
              <w:ind w:left="50"/>
              <w:spacing w:after="0"/>
              <w:rPr>
                <w:sz w:val="20"/>
                <w:szCs w:val="20"/>
                <w:color w:val="auto"/>
              </w:rPr>
            </w:pPr>
            <w:r>
              <w:rPr>
                <w:rFonts w:ascii="Arial" w:cs="Arial" w:eastAsia="Arial" w:hAnsi="Arial"/>
                <w:sz w:val="15"/>
                <w:szCs w:val="15"/>
                <w:color w:val="auto"/>
              </w:rPr>
              <w:t>7.59</w:t>
            </w: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textDirection w:val="btLr"/>
          </w:tcPr>
          <w:p>
            <w:pPr>
              <w:ind w:left="268"/>
              <w:spacing w:after="0"/>
              <w:rPr>
                <w:sz w:val="20"/>
                <w:szCs w:val="20"/>
                <w:color w:val="auto"/>
              </w:rPr>
            </w:pPr>
            <w:r>
              <w:rPr>
                <w:rFonts w:ascii="Arial" w:cs="Arial" w:eastAsia="Arial" w:hAnsi="Arial"/>
                <w:sz w:val="15"/>
                <w:szCs w:val="15"/>
                <w:color w:val="auto"/>
              </w:rPr>
              <w:t>that were</w:t>
            </w:r>
          </w:p>
        </w:tc>
        <w:tc>
          <w:tcPr>
            <w:tcW w:w="0" w:type="dxa"/>
            <w:vAlign w:val="bottom"/>
          </w:tcPr>
          <w:p>
            <w:pPr>
              <w:spacing w:after="0"/>
              <w:rPr>
                <w:sz w:val="1"/>
                <w:szCs w:val="1"/>
                <w:color w:val="auto"/>
              </w:rPr>
            </w:pPr>
          </w:p>
        </w:tc>
      </w:tr>
      <w:tr>
        <w:trPr>
          <w:trHeight w:val="1082"/>
        </w:trPr>
        <w:tc>
          <w:tcPr>
            <w:tcW w:w="480" w:type="dxa"/>
            <w:vAlign w:val="bottom"/>
          </w:tcPr>
          <w:p>
            <w:pPr>
              <w:spacing w:after="0"/>
              <w:rPr>
                <w:sz w:val="24"/>
                <w:szCs w:val="24"/>
                <w:color w:val="auto"/>
              </w:rPr>
            </w:pP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shd w:val="clear" w:color="auto" w:fill="CCCCCC"/>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extDirection w:val="btLr"/>
            <w:shd w:val="clear" w:color="auto" w:fill="E6E6E6"/>
          </w:tcPr>
          <w:p>
            <w:pPr>
              <w:ind w:left="50"/>
              <w:spacing w:after="0"/>
              <w:rPr>
                <w:sz w:val="20"/>
                <w:szCs w:val="20"/>
                <w:color w:val="auto"/>
              </w:rPr>
            </w:pPr>
            <w:r>
              <w:rPr>
                <w:rFonts w:ascii="Arial" w:cs="Arial" w:eastAsia="Arial" w:hAnsi="Arial"/>
                <w:sz w:val="15"/>
                <w:szCs w:val="15"/>
                <w:color w:val="auto"/>
              </w:rPr>
              <w:t>141.87</w:t>
            </w: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textDirection w:val="btLr"/>
          </w:tcPr>
          <w:p>
            <w:pPr>
              <w:ind w:left="268"/>
              <w:spacing w:after="0"/>
              <w:rPr>
                <w:sz w:val="20"/>
                <w:szCs w:val="20"/>
                <w:color w:val="auto"/>
              </w:rPr>
            </w:pPr>
            <w:r>
              <w:rPr>
                <w:rFonts w:ascii="Arial" w:cs="Arial" w:eastAsia="Arial" w:hAnsi="Arial"/>
                <w:sz w:val="15"/>
                <w:szCs w:val="15"/>
                <w:color w:val="auto"/>
                <w:w w:val="99"/>
              </w:rPr>
              <w:t>profile locations</w:t>
            </w:r>
          </w:p>
        </w:tc>
        <w:tc>
          <w:tcPr>
            <w:tcW w:w="0" w:type="dxa"/>
            <w:vAlign w:val="bottom"/>
          </w:tcPr>
          <w:p>
            <w:pPr>
              <w:spacing w:after="0"/>
              <w:rPr>
                <w:sz w:val="1"/>
                <w:szCs w:val="1"/>
                <w:color w:val="auto"/>
              </w:rPr>
            </w:pPr>
          </w:p>
        </w:tc>
      </w:tr>
      <w:tr>
        <w:trPr>
          <w:trHeight w:val="1008"/>
        </w:trPr>
        <w:tc>
          <w:tcPr>
            <w:tcW w:w="480" w:type="dxa"/>
            <w:vAlign w:val="bottom"/>
          </w:tcPr>
          <w:p>
            <w:pPr>
              <w:spacing w:after="0"/>
              <w:rPr>
                <w:sz w:val="24"/>
                <w:szCs w:val="24"/>
                <w:color w:val="auto"/>
              </w:rPr>
            </w:pP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shd w:val="clear" w:color="auto" w:fill="CCCCCC"/>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textDirection w:val="btLr"/>
            <w:shd w:val="clear" w:color="auto" w:fill="E6E6E6"/>
          </w:tcPr>
          <w:p>
            <w:pPr>
              <w:ind w:left="50"/>
              <w:spacing w:after="0"/>
              <w:rPr>
                <w:sz w:val="20"/>
                <w:szCs w:val="20"/>
                <w:color w:val="auto"/>
              </w:rPr>
            </w:pPr>
            <w:r>
              <w:rPr>
                <w:rFonts w:ascii="Arial" w:cs="Arial" w:eastAsia="Arial" w:hAnsi="Arial"/>
                <w:sz w:val="15"/>
                <w:szCs w:val="15"/>
                <w:color w:val="auto"/>
              </w:rPr>
              <w:t>1.58</w:t>
            </w: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vMerge w:val="restart"/>
            <w:textDirection w:val="btLr"/>
          </w:tcPr>
          <w:p>
            <w:pPr>
              <w:ind w:left="268"/>
              <w:spacing w:after="0"/>
              <w:rPr>
                <w:sz w:val="20"/>
                <w:szCs w:val="20"/>
                <w:color w:val="auto"/>
              </w:rPr>
            </w:pPr>
            <w:r>
              <w:rPr>
                <w:rFonts w:ascii="Arial" w:cs="Arial" w:eastAsia="Arial" w:hAnsi="Arial"/>
                <w:sz w:val="15"/>
                <w:szCs w:val="15"/>
                <w:color w:val="auto"/>
              </w:rPr>
              <w:t>resulted in three</w:t>
            </w:r>
          </w:p>
        </w:tc>
        <w:tc>
          <w:tcPr>
            <w:tcW w:w="0" w:type="dxa"/>
            <w:vAlign w:val="bottom"/>
          </w:tcPr>
          <w:p>
            <w:pPr>
              <w:spacing w:after="0"/>
              <w:rPr>
                <w:sz w:val="1"/>
                <w:szCs w:val="1"/>
                <w:color w:val="auto"/>
              </w:rPr>
            </w:pPr>
          </w:p>
        </w:tc>
      </w:tr>
      <w:tr>
        <w:trPr>
          <w:trHeight w:val="101"/>
        </w:trPr>
        <w:tc>
          <w:tcPr>
            <w:tcW w:w="480" w:type="dxa"/>
            <w:vAlign w:val="bottom"/>
          </w:tcPr>
          <w:p>
            <w:pPr>
              <w:spacing w:after="0"/>
              <w:rPr>
                <w:sz w:val="8"/>
                <w:szCs w:val="8"/>
                <w:color w:val="auto"/>
              </w:rPr>
            </w:pPr>
          </w:p>
        </w:tc>
        <w:tc>
          <w:tcPr>
            <w:tcW w:w="380" w:type="dxa"/>
            <w:vAlign w:val="bottom"/>
            <w:tcBorders>
              <w:right w:val="single" w:sz="8" w:color="CCCCCC"/>
            </w:tcBorders>
            <w:shd w:val="clear" w:color="auto" w:fill="CCCCCC"/>
          </w:tcPr>
          <w:p>
            <w:pPr>
              <w:spacing w:after="0"/>
              <w:rPr>
                <w:sz w:val="8"/>
                <w:szCs w:val="8"/>
                <w:color w:val="auto"/>
              </w:rPr>
            </w:pPr>
          </w:p>
        </w:tc>
        <w:tc>
          <w:tcPr>
            <w:tcW w:w="300" w:type="dxa"/>
            <w:vAlign w:val="bottom"/>
            <w:shd w:val="clear" w:color="auto" w:fill="CCCCCC"/>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60" w:type="dxa"/>
            <w:vAlign w:val="bottom"/>
          </w:tcPr>
          <w:p>
            <w:pPr>
              <w:spacing w:after="0"/>
              <w:rPr>
                <w:sz w:val="8"/>
                <w:szCs w:val="8"/>
                <w:color w:val="auto"/>
              </w:rPr>
            </w:pPr>
          </w:p>
        </w:tc>
        <w:tc>
          <w:tcPr>
            <w:tcW w:w="240" w:type="dxa"/>
            <w:vAlign w:val="bottom"/>
            <w:shd w:val="clear" w:color="auto" w:fill="E6E6E6"/>
          </w:tcPr>
          <w:p>
            <w:pPr>
              <w:spacing w:after="0"/>
              <w:rPr>
                <w:sz w:val="8"/>
                <w:szCs w:val="8"/>
                <w:color w:val="auto"/>
              </w:rPr>
            </w:pPr>
          </w:p>
        </w:tc>
        <w:tc>
          <w:tcPr>
            <w:tcW w:w="200" w:type="dxa"/>
            <w:vAlign w:val="bottom"/>
            <w:shd w:val="clear" w:color="auto" w:fill="E6E6E6"/>
          </w:tcPr>
          <w:p>
            <w:pPr>
              <w:spacing w:after="0"/>
              <w:rPr>
                <w:sz w:val="8"/>
                <w:szCs w:val="8"/>
                <w:color w:val="auto"/>
              </w:rPr>
            </w:pPr>
          </w:p>
        </w:tc>
        <w:tc>
          <w:tcPr>
            <w:tcW w:w="260" w:type="dxa"/>
            <w:vAlign w:val="bottom"/>
            <w:shd w:val="clear" w:color="auto" w:fill="E6E6E6"/>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80" w:type="dxa"/>
            <w:vAlign w:val="bottom"/>
            <w:tcBorders>
              <w:right w:val="single" w:sz="8" w:color="CCCCCC"/>
            </w:tcBorders>
          </w:tcPr>
          <w:p>
            <w:pPr>
              <w:spacing w:after="0"/>
              <w:rPr>
                <w:sz w:val="8"/>
                <w:szCs w:val="8"/>
                <w:color w:val="auto"/>
              </w:rPr>
            </w:pPr>
          </w:p>
        </w:tc>
        <w:tc>
          <w:tcPr>
            <w:tcW w:w="4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6"/>
        </w:trPr>
        <w:tc>
          <w:tcPr>
            <w:tcW w:w="480" w:type="dxa"/>
            <w:vAlign w:val="bottom"/>
          </w:tcPr>
          <w:p>
            <w:pPr>
              <w:spacing w:after="0"/>
              <w:rPr>
                <w:sz w:val="18"/>
                <w:szCs w:val="18"/>
                <w:color w:val="auto"/>
              </w:rPr>
            </w:pPr>
          </w:p>
        </w:tc>
        <w:tc>
          <w:tcPr>
            <w:tcW w:w="380" w:type="dxa"/>
            <w:vAlign w:val="bottom"/>
            <w:tcBorders>
              <w:right w:val="single" w:sz="8" w:color="CCCCCC"/>
            </w:tcBorders>
            <w:shd w:val="clear" w:color="auto" w:fill="CCCCCC"/>
          </w:tcPr>
          <w:p>
            <w:pPr>
              <w:spacing w:after="0"/>
              <w:rPr>
                <w:sz w:val="18"/>
                <w:szCs w:val="18"/>
                <w:color w:val="auto"/>
              </w:rPr>
            </w:pPr>
          </w:p>
        </w:tc>
        <w:tc>
          <w:tcPr>
            <w:tcW w:w="300" w:type="dxa"/>
            <w:vAlign w:val="bottom"/>
            <w:shd w:val="clear" w:color="auto" w:fill="CCCCCC"/>
          </w:tcPr>
          <w:p>
            <w:pPr>
              <w:spacing w:after="0"/>
              <w:rPr>
                <w:sz w:val="18"/>
                <w:szCs w:val="18"/>
                <w:color w:val="auto"/>
              </w:rPr>
            </w:pPr>
          </w:p>
        </w:tc>
        <w:tc>
          <w:tcPr>
            <w:tcW w:w="2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40" w:type="dxa"/>
            <w:vAlign w:val="bottom"/>
            <w:vMerge w:val="restart"/>
            <w:textDirection w:val="btLr"/>
            <w:shd w:val="clear" w:color="auto" w:fill="E6E6E6"/>
          </w:tcPr>
          <w:p>
            <w:pPr>
              <w:ind w:left="134"/>
              <w:spacing w:after="0"/>
              <w:rPr>
                <w:sz w:val="20"/>
                <w:szCs w:val="20"/>
                <w:color w:val="auto"/>
              </w:rPr>
            </w:pPr>
            <w:r>
              <w:rPr>
                <w:rFonts w:ascii="Arial" w:cs="Arial" w:eastAsia="Arial" w:hAnsi="Arial"/>
                <w:sz w:val="7"/>
                <w:szCs w:val="7"/>
                <w:color w:val="auto"/>
                <w:w w:val="80"/>
              </w:rPr>
              <w:t>x¯</w:t>
            </w:r>
          </w:p>
        </w:tc>
        <w:tc>
          <w:tcPr>
            <w:tcW w:w="200" w:type="dxa"/>
            <w:vAlign w:val="bottom"/>
            <w:shd w:val="clear" w:color="auto" w:fill="E6E6E6"/>
          </w:tcPr>
          <w:p>
            <w:pPr>
              <w:spacing w:after="0"/>
              <w:rPr>
                <w:sz w:val="18"/>
                <w:szCs w:val="18"/>
                <w:color w:val="auto"/>
              </w:rPr>
            </w:pPr>
          </w:p>
        </w:tc>
        <w:tc>
          <w:tcPr>
            <w:tcW w:w="260" w:type="dxa"/>
            <w:vAlign w:val="bottom"/>
            <w:shd w:val="clear" w:color="auto" w:fill="E6E6E6"/>
          </w:tcPr>
          <w:p>
            <w:pPr>
              <w:spacing w:after="0"/>
              <w:rPr>
                <w:sz w:val="18"/>
                <w:szCs w:val="18"/>
                <w:color w:val="auto"/>
              </w:rPr>
            </w:pPr>
          </w:p>
        </w:tc>
        <w:tc>
          <w:tcPr>
            <w:tcW w:w="2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80" w:type="dxa"/>
            <w:vAlign w:val="bottom"/>
            <w:tcBorders>
              <w:right w:val="single" w:sz="8" w:color="CCCCCC"/>
            </w:tcBorders>
          </w:tcPr>
          <w:p>
            <w:pPr>
              <w:spacing w:after="0"/>
              <w:rPr>
                <w:sz w:val="18"/>
                <w:szCs w:val="18"/>
                <w:color w:val="auto"/>
              </w:rPr>
            </w:pPr>
          </w:p>
        </w:tc>
        <w:tc>
          <w:tcPr>
            <w:tcW w:w="440" w:type="dxa"/>
            <w:vAlign w:val="bottom"/>
            <w:vMerge w:val="restart"/>
            <w:textDirection w:val="btLr"/>
          </w:tcPr>
          <w:p>
            <w:pPr>
              <w:ind w:left="305"/>
              <w:spacing w:after="0" w:line="188" w:lineRule="auto"/>
              <w:rPr>
                <w:sz w:val="20"/>
                <w:szCs w:val="20"/>
                <w:color w:val="auto"/>
              </w:rPr>
            </w:pPr>
            <w:r>
              <w:rPr>
                <w:rFonts w:ascii="Arial" w:cs="Arial" w:eastAsia="Arial" w:hAnsi="Arial"/>
                <w:sz w:val="15"/>
                <w:szCs w:val="15"/>
                <w:color w:val="auto"/>
                <w:w w:val="93"/>
              </w:rPr>
              <w:t>January</w:t>
            </w:r>
          </w:p>
        </w:tc>
        <w:tc>
          <w:tcPr>
            <w:tcW w:w="0" w:type="dxa"/>
            <w:vAlign w:val="bottom"/>
          </w:tcPr>
          <w:p>
            <w:pPr>
              <w:spacing w:after="0"/>
              <w:rPr>
                <w:sz w:val="1"/>
                <w:szCs w:val="1"/>
                <w:color w:val="auto"/>
              </w:rPr>
            </w:pPr>
          </w:p>
        </w:tc>
      </w:tr>
      <w:tr>
        <w:trPr>
          <w:trHeight w:val="329"/>
        </w:trPr>
        <w:tc>
          <w:tcPr>
            <w:tcW w:w="480" w:type="dxa"/>
            <w:vAlign w:val="bottom"/>
          </w:tcPr>
          <w:p>
            <w:pPr>
              <w:spacing w:after="0"/>
              <w:rPr>
                <w:sz w:val="24"/>
                <w:szCs w:val="24"/>
                <w:color w:val="auto"/>
              </w:rPr>
            </w:pP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shd w:val="clear" w:color="auto" w:fill="CCCCCC"/>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vMerge w:val="continue"/>
            <w:shd w:val="clear" w:color="auto" w:fill="E6E6E6"/>
          </w:tcPr>
          <w:p>
            <w:pPr>
              <w:spacing w:after="0"/>
              <w:rPr>
                <w:sz w:val="24"/>
                <w:szCs w:val="24"/>
                <w:color w:val="auto"/>
              </w:rPr>
            </w:pP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77"/>
        </w:trPr>
        <w:tc>
          <w:tcPr>
            <w:tcW w:w="480" w:type="dxa"/>
            <w:vAlign w:val="bottom"/>
          </w:tcPr>
          <w:p>
            <w:pPr>
              <w:spacing w:after="0"/>
              <w:rPr>
                <w:sz w:val="15"/>
                <w:szCs w:val="15"/>
                <w:color w:val="auto"/>
              </w:rPr>
            </w:pPr>
          </w:p>
        </w:tc>
        <w:tc>
          <w:tcPr>
            <w:tcW w:w="380" w:type="dxa"/>
            <w:vAlign w:val="bottom"/>
            <w:tcBorders>
              <w:right w:val="single" w:sz="8" w:color="auto"/>
            </w:tcBorders>
            <w:shd w:val="clear" w:color="auto" w:fill="CCCCCC"/>
          </w:tcPr>
          <w:p>
            <w:pPr>
              <w:spacing w:after="0"/>
              <w:rPr>
                <w:sz w:val="15"/>
                <w:szCs w:val="15"/>
                <w:color w:val="auto"/>
              </w:rPr>
            </w:pPr>
          </w:p>
        </w:tc>
        <w:tc>
          <w:tcPr>
            <w:tcW w:w="300" w:type="dxa"/>
            <w:vAlign w:val="bottom"/>
            <w:shd w:val="clear" w:color="auto" w:fill="CCCCCC"/>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40" w:type="dxa"/>
            <w:vAlign w:val="bottom"/>
            <w:vMerge w:val="restart"/>
            <w:textDirection w:val="btLr"/>
            <w:shd w:val="clear" w:color="auto" w:fill="E6E6E6"/>
          </w:tcPr>
          <w:p>
            <w:pPr>
              <w:ind w:left="30"/>
              <w:spacing w:after="0"/>
              <w:rPr>
                <w:sz w:val="20"/>
                <w:szCs w:val="20"/>
                <w:color w:val="auto"/>
              </w:rPr>
            </w:pPr>
            <w:r>
              <w:rPr>
                <w:rFonts w:ascii="Arial" w:cs="Arial" w:eastAsia="Arial" w:hAnsi="Arial"/>
                <w:sz w:val="11"/>
                <w:szCs w:val="11"/>
                <w:color w:val="auto"/>
                <w:w w:val="97"/>
              </w:rPr>
              <w:t>a</w:t>
            </w:r>
          </w:p>
        </w:tc>
        <w:tc>
          <w:tcPr>
            <w:tcW w:w="200" w:type="dxa"/>
            <w:vAlign w:val="bottom"/>
            <w:shd w:val="clear" w:color="auto" w:fill="E6E6E6"/>
          </w:tcPr>
          <w:p>
            <w:pPr>
              <w:spacing w:after="0"/>
              <w:rPr>
                <w:sz w:val="15"/>
                <w:szCs w:val="15"/>
                <w:color w:val="auto"/>
              </w:rPr>
            </w:pPr>
          </w:p>
        </w:tc>
        <w:tc>
          <w:tcPr>
            <w:tcW w:w="260" w:type="dxa"/>
            <w:vAlign w:val="bottom"/>
            <w:shd w:val="clear" w:color="auto" w:fill="E6E6E6"/>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80" w:type="dxa"/>
            <w:vAlign w:val="bottom"/>
            <w:tcBorders>
              <w:right w:val="single" w:sz="8" w:color="CCCCCC"/>
            </w:tcBorders>
          </w:tcPr>
          <w:p>
            <w:pPr>
              <w:spacing w:after="0"/>
              <w:rPr>
                <w:sz w:val="15"/>
                <w:szCs w:val="15"/>
                <w:color w:val="auto"/>
              </w:rPr>
            </w:pPr>
          </w:p>
        </w:tc>
        <w:tc>
          <w:tcPr>
            <w:tcW w:w="440" w:type="dxa"/>
            <w:vAlign w:val="bottom"/>
            <w:textDirection w:val="btLr"/>
          </w:tcPr>
          <w:p>
            <w:pPr>
              <w:ind w:left="305"/>
              <w:spacing w:after="0" w:line="188" w:lineRule="auto"/>
              <w:rPr>
                <w:sz w:val="20"/>
                <w:szCs w:val="20"/>
                <w:color w:val="auto"/>
              </w:rPr>
            </w:pPr>
            <w:r>
              <w:rPr>
                <w:rFonts w:ascii="Arial" w:cs="Arial" w:eastAsia="Arial" w:hAnsi="Arial"/>
                <w:sz w:val="15"/>
                <w:szCs w:val="15"/>
                <w:color w:val="auto"/>
              </w:rPr>
              <w:t>to</w:t>
            </w:r>
          </w:p>
        </w:tc>
        <w:tc>
          <w:tcPr>
            <w:tcW w:w="0" w:type="dxa"/>
            <w:vAlign w:val="bottom"/>
          </w:tcPr>
          <w:p>
            <w:pPr>
              <w:spacing w:after="0"/>
              <w:rPr>
                <w:sz w:val="1"/>
                <w:szCs w:val="1"/>
                <w:color w:val="auto"/>
              </w:rPr>
            </w:pPr>
          </w:p>
        </w:tc>
      </w:tr>
      <w:tr>
        <w:trPr>
          <w:trHeight w:val="43"/>
        </w:trPr>
        <w:tc>
          <w:tcPr>
            <w:tcW w:w="480" w:type="dxa"/>
            <w:vAlign w:val="bottom"/>
          </w:tcPr>
          <w:p>
            <w:pPr>
              <w:spacing w:after="0"/>
              <w:rPr>
                <w:sz w:val="3"/>
                <w:szCs w:val="3"/>
                <w:color w:val="auto"/>
              </w:rPr>
            </w:pPr>
          </w:p>
        </w:tc>
        <w:tc>
          <w:tcPr>
            <w:tcW w:w="380" w:type="dxa"/>
            <w:vAlign w:val="bottom"/>
            <w:tcBorders>
              <w:right w:val="single" w:sz="8" w:color="auto"/>
            </w:tcBorders>
            <w:shd w:val="clear" w:color="auto" w:fill="CCCCCC"/>
          </w:tcPr>
          <w:p>
            <w:pPr>
              <w:spacing w:after="0"/>
              <w:rPr>
                <w:sz w:val="3"/>
                <w:szCs w:val="3"/>
                <w:color w:val="auto"/>
              </w:rPr>
            </w:pPr>
          </w:p>
        </w:tc>
        <w:tc>
          <w:tcPr>
            <w:tcW w:w="300" w:type="dxa"/>
            <w:vAlign w:val="bottom"/>
            <w:shd w:val="clear" w:color="auto" w:fill="CCCCCC"/>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60" w:type="dxa"/>
            <w:vAlign w:val="bottom"/>
          </w:tcPr>
          <w:p>
            <w:pPr>
              <w:spacing w:after="0"/>
              <w:rPr>
                <w:sz w:val="3"/>
                <w:szCs w:val="3"/>
                <w:color w:val="auto"/>
              </w:rPr>
            </w:pPr>
          </w:p>
        </w:tc>
        <w:tc>
          <w:tcPr>
            <w:tcW w:w="240" w:type="dxa"/>
            <w:vAlign w:val="bottom"/>
            <w:vMerge w:val="continue"/>
            <w:shd w:val="clear" w:color="auto" w:fill="E6E6E6"/>
          </w:tcPr>
          <w:p>
            <w:pPr>
              <w:spacing w:after="0"/>
              <w:rPr>
                <w:sz w:val="3"/>
                <w:szCs w:val="3"/>
                <w:color w:val="auto"/>
              </w:rPr>
            </w:pPr>
          </w:p>
        </w:tc>
        <w:tc>
          <w:tcPr>
            <w:tcW w:w="200" w:type="dxa"/>
            <w:vAlign w:val="bottom"/>
            <w:shd w:val="clear" w:color="auto" w:fill="E6E6E6"/>
          </w:tcPr>
          <w:p>
            <w:pPr>
              <w:spacing w:after="0"/>
              <w:rPr>
                <w:sz w:val="3"/>
                <w:szCs w:val="3"/>
                <w:color w:val="auto"/>
              </w:rPr>
            </w:pPr>
          </w:p>
        </w:tc>
        <w:tc>
          <w:tcPr>
            <w:tcW w:w="260" w:type="dxa"/>
            <w:vAlign w:val="bottom"/>
            <w:shd w:val="clear" w:color="auto" w:fill="E6E6E6"/>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Borders>
              <w:right w:val="single" w:sz="8" w:color="CCCCCC"/>
            </w:tcBorders>
          </w:tcPr>
          <w:p>
            <w:pPr>
              <w:spacing w:after="0"/>
              <w:rPr>
                <w:sz w:val="3"/>
                <w:szCs w:val="3"/>
                <w:color w:val="auto"/>
              </w:rPr>
            </w:pPr>
          </w:p>
        </w:tc>
        <w:tc>
          <w:tcPr>
            <w:tcW w:w="440" w:type="dxa"/>
            <w:vAlign w:val="bottom"/>
            <w:textDirection w:val="btLr"/>
          </w:tcPr>
          <w:p>
            <w:pPr>
              <w:ind w:left="429"/>
              <w:spacing w:after="0"/>
              <w:rPr>
                <w:sz w:val="20"/>
                <w:szCs w:val="20"/>
                <w:color w:val="auto"/>
              </w:rPr>
            </w:pPr>
            <w:r>
              <w:rPr>
                <w:rFonts w:ascii="Arial" w:cs="Arial" w:eastAsia="Arial" w:hAnsi="Arial"/>
                <w:sz w:val="1"/>
                <w:szCs w:val="1"/>
                <w:color w:val="auto"/>
                <w:w w:val="85"/>
              </w:rPr>
              <w:t>November</w:t>
            </w:r>
          </w:p>
        </w:tc>
        <w:tc>
          <w:tcPr>
            <w:tcW w:w="0" w:type="dxa"/>
            <w:vAlign w:val="bottom"/>
          </w:tcPr>
          <w:p>
            <w:pPr>
              <w:spacing w:after="0"/>
              <w:rPr>
                <w:sz w:val="1"/>
                <w:szCs w:val="1"/>
                <w:color w:val="auto"/>
              </w:rPr>
            </w:pPr>
          </w:p>
        </w:tc>
      </w:tr>
      <w:tr>
        <w:trPr>
          <w:trHeight w:val="172"/>
        </w:trPr>
        <w:tc>
          <w:tcPr>
            <w:tcW w:w="480" w:type="dxa"/>
            <w:vAlign w:val="bottom"/>
          </w:tcPr>
          <w:p>
            <w:pPr>
              <w:spacing w:after="0"/>
              <w:rPr>
                <w:sz w:val="14"/>
                <w:szCs w:val="14"/>
                <w:color w:val="auto"/>
              </w:rPr>
            </w:pPr>
          </w:p>
        </w:tc>
        <w:tc>
          <w:tcPr>
            <w:tcW w:w="380" w:type="dxa"/>
            <w:vAlign w:val="bottom"/>
            <w:tcBorders>
              <w:right w:val="single" w:sz="8" w:color="auto"/>
            </w:tcBorders>
            <w:shd w:val="clear" w:color="auto" w:fill="CCCCCC"/>
          </w:tcPr>
          <w:p>
            <w:pPr>
              <w:spacing w:after="0"/>
              <w:rPr>
                <w:sz w:val="14"/>
                <w:szCs w:val="14"/>
                <w:color w:val="auto"/>
              </w:rPr>
            </w:pPr>
          </w:p>
        </w:tc>
        <w:tc>
          <w:tcPr>
            <w:tcW w:w="300" w:type="dxa"/>
            <w:vAlign w:val="bottom"/>
            <w:shd w:val="clear" w:color="auto" w:fill="CCCCCC"/>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40" w:type="dxa"/>
            <w:vAlign w:val="bottom"/>
            <w:textDirection w:val="btLr"/>
            <w:shd w:val="clear" w:color="auto" w:fill="E6E6E6"/>
          </w:tcPr>
          <w:p>
            <w:pPr>
              <w:ind w:left="50"/>
              <w:spacing w:after="0"/>
              <w:rPr>
                <w:sz w:val="20"/>
                <w:szCs w:val="20"/>
                <w:color w:val="auto"/>
              </w:rPr>
            </w:pPr>
            <w:r>
              <w:rPr>
                <w:rFonts w:ascii="Arial" w:cs="Arial" w:eastAsia="Arial" w:hAnsi="Arial"/>
                <w:sz w:val="15"/>
                <w:szCs w:val="15"/>
                <w:color w:val="auto"/>
                <w:w w:val="95"/>
              </w:rPr>
              <w:t>39</w:t>
            </w:r>
          </w:p>
        </w:tc>
        <w:tc>
          <w:tcPr>
            <w:tcW w:w="200" w:type="dxa"/>
            <w:vAlign w:val="bottom"/>
            <w:shd w:val="clear" w:color="auto" w:fill="E6E6E6"/>
          </w:tcPr>
          <w:p>
            <w:pPr>
              <w:spacing w:after="0"/>
              <w:rPr>
                <w:sz w:val="14"/>
                <w:szCs w:val="14"/>
                <w:color w:val="auto"/>
              </w:rPr>
            </w:pPr>
          </w:p>
        </w:tc>
        <w:tc>
          <w:tcPr>
            <w:tcW w:w="260" w:type="dxa"/>
            <w:vAlign w:val="bottom"/>
            <w:shd w:val="clear" w:color="auto" w:fill="E6E6E6"/>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Borders>
              <w:right w:val="single" w:sz="8" w:color="CCCCCC"/>
            </w:tcBorders>
          </w:tcPr>
          <w:p>
            <w:pPr>
              <w:spacing w:after="0"/>
              <w:rPr>
                <w:sz w:val="14"/>
                <w:szCs w:val="14"/>
                <w:color w:val="auto"/>
              </w:rPr>
            </w:pPr>
          </w:p>
        </w:tc>
        <w:tc>
          <w:tcPr>
            <w:tcW w:w="4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72"/>
        </w:trPr>
        <w:tc>
          <w:tcPr>
            <w:tcW w:w="480" w:type="dxa"/>
            <w:vAlign w:val="bottom"/>
          </w:tcPr>
          <w:p>
            <w:pPr>
              <w:spacing w:after="0"/>
              <w:rPr>
                <w:sz w:val="24"/>
                <w:szCs w:val="24"/>
                <w:color w:val="auto"/>
              </w:rPr>
            </w:pPr>
          </w:p>
        </w:tc>
        <w:tc>
          <w:tcPr>
            <w:tcW w:w="380" w:type="dxa"/>
            <w:vAlign w:val="bottom"/>
            <w:tcBorders>
              <w:right w:val="single" w:sz="8" w:color="auto"/>
            </w:tcBorders>
            <w:shd w:val="clear" w:color="auto" w:fill="CCCCCC"/>
          </w:tcPr>
          <w:p>
            <w:pPr>
              <w:spacing w:after="0"/>
              <w:rPr>
                <w:sz w:val="24"/>
                <w:szCs w:val="24"/>
                <w:color w:val="auto"/>
              </w:rPr>
            </w:pPr>
          </w:p>
        </w:tc>
        <w:tc>
          <w:tcPr>
            <w:tcW w:w="300" w:type="dxa"/>
            <w:vAlign w:val="bottom"/>
            <w:shd w:val="clear" w:color="auto" w:fill="CCCCCC"/>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shd w:val="clear" w:color="auto" w:fill="E6E6E6"/>
          </w:tcPr>
          <w:p>
            <w:pPr>
              <w:spacing w:after="0"/>
              <w:rPr>
                <w:sz w:val="24"/>
                <w:szCs w:val="24"/>
                <w:color w:val="auto"/>
              </w:rPr>
            </w:pP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vMerge w:val="restart"/>
            <w:textDirection w:val="btLr"/>
          </w:tcPr>
          <w:p>
            <w:pPr>
              <w:ind w:left="305"/>
              <w:spacing w:after="0" w:line="188" w:lineRule="auto"/>
              <w:rPr>
                <w:sz w:val="20"/>
                <w:szCs w:val="20"/>
                <w:color w:val="auto"/>
              </w:rPr>
            </w:pPr>
            <w:r>
              <w:rPr>
                <w:rFonts w:ascii="Arial" w:cs="Arial" w:eastAsia="Arial" w:hAnsi="Arial"/>
                <w:sz w:val="15"/>
                <w:szCs w:val="15"/>
                <w:color w:val="auto"/>
                <w:w w:val="95"/>
              </w:rPr>
              <w:t>Encroachment of C. demersum from</w:t>
            </w:r>
          </w:p>
        </w:tc>
        <w:tc>
          <w:tcPr>
            <w:tcW w:w="0" w:type="dxa"/>
            <w:vAlign w:val="bottom"/>
          </w:tcPr>
          <w:p>
            <w:pPr>
              <w:spacing w:after="0"/>
              <w:rPr>
                <w:sz w:val="1"/>
                <w:szCs w:val="1"/>
                <w:color w:val="auto"/>
              </w:rPr>
            </w:pPr>
          </w:p>
        </w:tc>
      </w:tr>
      <w:tr>
        <w:trPr>
          <w:trHeight w:val="2292"/>
        </w:trPr>
        <w:tc>
          <w:tcPr>
            <w:tcW w:w="480" w:type="dxa"/>
            <w:vAlign w:val="bottom"/>
          </w:tcPr>
          <w:p>
            <w:pPr>
              <w:spacing w:after="0"/>
              <w:rPr>
                <w:sz w:val="24"/>
                <w:szCs w:val="24"/>
                <w:color w:val="auto"/>
              </w:rPr>
            </w:pPr>
          </w:p>
        </w:tc>
        <w:tc>
          <w:tcPr>
            <w:tcW w:w="380" w:type="dxa"/>
            <w:vAlign w:val="bottom"/>
            <w:tcBorders>
              <w:right w:val="single" w:sz="8" w:color="CCCCCC"/>
            </w:tcBorders>
            <w:shd w:val="clear" w:color="auto" w:fill="CCCCCC"/>
          </w:tcPr>
          <w:p>
            <w:pPr>
              <w:spacing w:after="0"/>
              <w:rPr>
                <w:sz w:val="24"/>
                <w:szCs w:val="24"/>
                <w:color w:val="auto"/>
              </w:rPr>
            </w:pPr>
          </w:p>
        </w:tc>
        <w:tc>
          <w:tcPr>
            <w:tcW w:w="300" w:type="dxa"/>
            <w:vAlign w:val="bottom"/>
            <w:shd w:val="clear" w:color="auto" w:fill="CCCCCC"/>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40" w:type="dxa"/>
            <w:vAlign w:val="bottom"/>
            <w:shd w:val="clear" w:color="auto" w:fill="E6E6E6"/>
          </w:tcPr>
          <w:p>
            <w:pPr>
              <w:spacing w:after="0"/>
              <w:rPr>
                <w:sz w:val="24"/>
                <w:szCs w:val="24"/>
                <w:color w:val="auto"/>
              </w:rPr>
            </w:pPr>
          </w:p>
        </w:tc>
        <w:tc>
          <w:tcPr>
            <w:tcW w:w="200" w:type="dxa"/>
            <w:vAlign w:val="bottom"/>
            <w:shd w:val="clear" w:color="auto" w:fill="E6E6E6"/>
          </w:tcPr>
          <w:p>
            <w:pPr>
              <w:spacing w:after="0"/>
              <w:rPr>
                <w:sz w:val="24"/>
                <w:szCs w:val="24"/>
                <w:color w:val="auto"/>
              </w:rPr>
            </w:pPr>
          </w:p>
        </w:tc>
        <w:tc>
          <w:tcPr>
            <w:tcW w:w="260" w:type="dxa"/>
            <w:vAlign w:val="bottom"/>
            <w:shd w:val="clear" w:color="auto" w:fill="E6E6E6"/>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Borders>
              <w:right w:val="single" w:sz="8" w:color="CCCCCC"/>
            </w:tcBorders>
          </w:tcPr>
          <w:p>
            <w:pPr>
              <w:spacing w:after="0"/>
              <w:rPr>
                <w:sz w:val="24"/>
                <w:szCs w:val="24"/>
                <w:color w:val="auto"/>
              </w:rPr>
            </w:pPr>
          </w:p>
        </w:tc>
        <w:tc>
          <w:tcPr>
            <w:tcW w:w="4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66"/>
        </w:trPr>
        <w:tc>
          <w:tcPr>
            <w:tcW w:w="480" w:type="dxa"/>
            <w:vAlign w:val="bottom"/>
          </w:tcPr>
          <w:p>
            <w:pPr>
              <w:spacing w:after="0"/>
              <w:rPr>
                <w:sz w:val="5"/>
                <w:szCs w:val="5"/>
                <w:color w:val="auto"/>
              </w:rPr>
            </w:pPr>
          </w:p>
        </w:tc>
        <w:tc>
          <w:tcPr>
            <w:tcW w:w="380" w:type="dxa"/>
            <w:vAlign w:val="bottom"/>
            <w:tcBorders>
              <w:right w:val="single" w:sz="8" w:color="CCCCCC"/>
            </w:tcBorders>
            <w:shd w:val="clear" w:color="auto" w:fill="CCCCCC"/>
          </w:tcPr>
          <w:p>
            <w:pPr>
              <w:spacing w:after="0"/>
              <w:rPr>
                <w:sz w:val="5"/>
                <w:szCs w:val="5"/>
                <w:color w:val="auto"/>
              </w:rPr>
            </w:pPr>
          </w:p>
        </w:tc>
        <w:tc>
          <w:tcPr>
            <w:tcW w:w="300" w:type="dxa"/>
            <w:vAlign w:val="bottom"/>
            <w:shd w:val="clear" w:color="auto" w:fill="CCCCCC"/>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60" w:type="dxa"/>
            <w:vAlign w:val="bottom"/>
          </w:tcPr>
          <w:p>
            <w:pPr>
              <w:spacing w:after="0"/>
              <w:rPr>
                <w:sz w:val="5"/>
                <w:szCs w:val="5"/>
                <w:color w:val="auto"/>
              </w:rPr>
            </w:pPr>
          </w:p>
        </w:tc>
        <w:tc>
          <w:tcPr>
            <w:tcW w:w="240" w:type="dxa"/>
            <w:vAlign w:val="bottom"/>
            <w:shd w:val="clear" w:color="auto" w:fill="E6E6E6"/>
          </w:tcPr>
          <w:p>
            <w:pPr>
              <w:spacing w:after="0"/>
              <w:rPr>
                <w:sz w:val="5"/>
                <w:szCs w:val="5"/>
                <w:color w:val="auto"/>
              </w:rPr>
            </w:pPr>
          </w:p>
        </w:tc>
        <w:tc>
          <w:tcPr>
            <w:tcW w:w="200" w:type="dxa"/>
            <w:vAlign w:val="bottom"/>
            <w:shd w:val="clear" w:color="auto" w:fill="E6E6E6"/>
          </w:tcPr>
          <w:p>
            <w:pPr>
              <w:spacing w:after="0"/>
              <w:rPr>
                <w:sz w:val="5"/>
                <w:szCs w:val="5"/>
                <w:color w:val="auto"/>
              </w:rPr>
            </w:pPr>
          </w:p>
        </w:tc>
        <w:tc>
          <w:tcPr>
            <w:tcW w:w="260" w:type="dxa"/>
            <w:vAlign w:val="bottom"/>
            <w:shd w:val="clear" w:color="auto" w:fill="E6E6E6"/>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Borders>
              <w:right w:val="single" w:sz="8" w:color="CCCCCC"/>
            </w:tcBorders>
          </w:tcPr>
          <w:p>
            <w:pPr>
              <w:spacing w:after="0"/>
              <w:rPr>
                <w:sz w:val="5"/>
                <w:szCs w:val="5"/>
                <w:color w:val="auto"/>
              </w:rPr>
            </w:pPr>
          </w:p>
        </w:tc>
        <w:tc>
          <w:tcPr>
            <w:tcW w:w="4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903605</wp:posOffset>
            </wp:positionH>
            <wp:positionV relativeFrom="paragraph">
              <wp:posOffset>-5537835</wp:posOffset>
            </wp:positionV>
            <wp:extent cx="222885" cy="6604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extLst>
                    </a:blip>
                    <a:srcRect/>
                    <a:stretch>
                      <a:fillRect/>
                    </a:stretch>
                  </pic:blipFill>
                  <pic:spPr bwMode="auto">
                    <a:xfrm>
                      <a:off x="0" y="0"/>
                      <a:ext cx="222885" cy="660400"/>
                    </a:xfrm>
                    <a:prstGeom prst="rect">
                      <a:avLst/>
                    </a:prstGeom>
                    <a:noFill/>
                  </pic:spPr>
                </pic:pic>
              </a:graphicData>
            </a:graphic>
          </wp:anchor>
        </w:drawing>
        <w:drawing>
          <wp:anchor simplePos="0" relativeHeight="251657728" behindDoc="1" locked="0" layoutInCell="0" allowOverlap="1">
            <wp:simplePos x="0" y="0"/>
            <wp:positionH relativeFrom="column">
              <wp:posOffset>903605</wp:posOffset>
            </wp:positionH>
            <wp:positionV relativeFrom="paragraph">
              <wp:posOffset>-7802880</wp:posOffset>
            </wp:positionV>
            <wp:extent cx="222885" cy="7232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extLst>
                    </a:blip>
                    <a:srcRect/>
                    <a:stretch>
                      <a:fillRect/>
                    </a:stretch>
                  </pic:blipFill>
                  <pic:spPr bwMode="auto">
                    <a:xfrm>
                      <a:off x="0" y="0"/>
                      <a:ext cx="222885" cy="723265"/>
                    </a:xfrm>
                    <a:prstGeom prst="rect">
                      <a:avLst/>
                    </a:prstGeom>
                    <a:noFill/>
                  </pic:spPr>
                </pic:pic>
              </a:graphicData>
            </a:graphic>
          </wp:anchor>
        </w:drawing>
        <w:drawing>
          <wp:anchor simplePos="0" relativeHeight="251657728" behindDoc="1" locked="0" layoutInCell="0" allowOverlap="1">
            <wp:simplePos x="0" y="0"/>
            <wp:positionH relativeFrom="column">
              <wp:posOffset>1544955</wp:posOffset>
            </wp:positionH>
            <wp:positionV relativeFrom="paragraph">
              <wp:posOffset>-5537835</wp:posOffset>
            </wp:positionV>
            <wp:extent cx="470535" cy="6604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extLst>
                    </a:blip>
                    <a:srcRect/>
                    <a:stretch>
                      <a:fillRect/>
                    </a:stretch>
                  </pic:blipFill>
                  <pic:spPr bwMode="auto">
                    <a:xfrm>
                      <a:off x="0" y="0"/>
                      <a:ext cx="470535" cy="660400"/>
                    </a:xfrm>
                    <a:prstGeom prst="rect">
                      <a:avLst/>
                    </a:prstGeom>
                    <a:noFill/>
                  </pic:spPr>
                </pic:pic>
              </a:graphicData>
            </a:graphic>
          </wp:anchor>
        </w:drawing>
        <w:drawing>
          <wp:anchor simplePos="0" relativeHeight="251657728" behindDoc="1" locked="0" layoutInCell="0" allowOverlap="1">
            <wp:simplePos x="0" y="0"/>
            <wp:positionH relativeFrom="column">
              <wp:posOffset>1544955</wp:posOffset>
            </wp:positionH>
            <wp:positionV relativeFrom="paragraph">
              <wp:posOffset>-7802880</wp:posOffset>
            </wp:positionV>
            <wp:extent cx="470535" cy="7232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extLst>
                    </a:blip>
                    <a:srcRect/>
                    <a:stretch>
                      <a:fillRect/>
                    </a:stretch>
                  </pic:blipFill>
                  <pic:spPr bwMode="auto">
                    <a:xfrm>
                      <a:off x="0" y="0"/>
                      <a:ext cx="470535" cy="7232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2440305</wp:posOffset>
                </wp:positionH>
                <wp:positionV relativeFrom="paragraph">
                  <wp:posOffset>-6350</wp:posOffset>
                </wp:positionV>
                <wp:extent cx="254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4763"/>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15pt,-0.4999pt" to="194.15pt,-0.4999pt" o:allowincell="f" strokecolor="#CCCCCC" strokeweight="1pt"/>
            </w:pict>
          </mc:Fallback>
        </mc:AlternateContent>
      </w:r>
    </w:p>
    <w:p>
      <w:pPr>
        <w:spacing w:after="0" w:line="20" w:lineRule="exact"/>
        <w:rPr>
          <w:sz w:val="20"/>
          <w:szCs w:val="20"/>
          <w:color w:val="auto"/>
        </w:rPr>
      </w:pPr>
      <w:r>
        <w:rPr>
          <w:sz w:val="20"/>
          <w:szCs w:val="20"/>
          <w:color w:val="auto"/>
        </w:rPr>
        <w:br w:type="column"/>
      </w:r>
    </w:p>
    <w:p>
      <w:pPr>
        <w:ind w:left="4040"/>
        <w:spacing w:after="0"/>
        <w:rPr>
          <w:sz w:val="20"/>
          <w:szCs w:val="20"/>
          <w:color w:val="auto"/>
        </w:rPr>
      </w:pPr>
      <w:r>
        <w:rPr>
          <w:rFonts w:ascii="Arial" w:cs="Arial" w:eastAsia="Arial" w:hAnsi="Arial"/>
          <w:sz w:val="14"/>
          <w:szCs w:val="14"/>
          <w:color w:val="auto"/>
        </w:rPr>
        <w:t xml:space="preserve">MOORE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-2213610</wp:posOffset>
            </wp:positionH>
            <wp:positionV relativeFrom="paragraph">
              <wp:posOffset>29845</wp:posOffset>
            </wp:positionV>
            <wp:extent cx="5325745" cy="3305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extLst>
                    </a:blip>
                    <a:srcRect/>
                    <a:stretch>
                      <a:fillRect/>
                    </a:stretch>
                  </pic:blipFill>
                  <pic:spPr bwMode="auto">
                    <a:xfrm>
                      <a:off x="0" y="0"/>
                      <a:ext cx="5325745" cy="3305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right="80"/>
        <w:spacing w:after="0" w:line="285" w:lineRule="auto"/>
        <w:rPr>
          <w:sz w:val="20"/>
          <w:szCs w:val="20"/>
          <w:color w:val="auto"/>
        </w:rPr>
      </w:pPr>
      <w:r>
        <w:rPr>
          <w:rFonts w:ascii="Arial" w:cs="Arial" w:eastAsia="Arial" w:hAnsi="Arial"/>
          <w:sz w:val="16"/>
          <w:szCs w:val="16"/>
          <w:color w:val="auto"/>
        </w:rPr>
        <w:t>F I G U R E 3 Principal component analysis of environmental parameters. Vertical profiles are labelled on ellipses indicating standard error with 95% confidence intervals. Overlaid environmental vectors were statistically significant at p &lt; .001</w:t>
      </w:r>
    </w:p>
    <w:p>
      <w:pPr>
        <w:spacing w:after="0" w:line="200" w:lineRule="exact"/>
        <w:rPr>
          <w:sz w:val="20"/>
          <w:szCs w:val="20"/>
          <w:color w:val="auto"/>
        </w:rPr>
      </w:pPr>
    </w:p>
    <w:p>
      <w:pPr>
        <w:spacing w:after="0" w:line="333" w:lineRule="exact"/>
        <w:rPr>
          <w:sz w:val="20"/>
          <w:szCs w:val="20"/>
          <w:color w:val="auto"/>
        </w:rPr>
      </w:pPr>
    </w:p>
    <w:p>
      <w:pPr>
        <w:jc w:val="both"/>
        <w:ind w:left="40"/>
        <w:spacing w:after="0" w:line="338" w:lineRule="auto"/>
        <w:rPr>
          <w:sz w:val="20"/>
          <w:szCs w:val="20"/>
          <w:color w:val="auto"/>
        </w:rPr>
      </w:pPr>
      <w:r>
        <w:rPr>
          <w:rFonts w:ascii="Arial" w:cs="Arial" w:eastAsia="Arial" w:hAnsi="Arial"/>
          <w:sz w:val="16"/>
          <w:szCs w:val="16"/>
          <w:color w:val="auto"/>
        </w:rPr>
        <w:t>Figure 2), oxygen was not significantly different between sampling occasions (t test, p = .23), but lower average values of pH (difference 0.4) and higher temperature (difference 3.5 C) were found in January (t test, p = .034 and p &lt; .001, respectively; Table 1). Comparison of macrophyte-free (A) and dense-bed (D) profiles indicated oxygen was significantly higher (by 15–30%) where C. demersum was absent (tran-sect mean of vertical profiles A and D; Wilcoxon signed-rank test, p &lt; .001; Table 1). Significantly higher pH (difference range 0.2– 0.4 units) and temperature (difference range 0.2–0.7 C) values were also found in macrophyte-free profiles at C. demersum sites, with a more pronounced difference observed in January (transect mean of vertical profiles A and D; Wilcoxon signed-rank test, p = .023 and p &lt; .001, respectively; Table 1).</w:t>
      </w:r>
    </w:p>
    <w:p>
      <w:pPr>
        <w:spacing w:after="0" w:line="12" w:lineRule="exact"/>
        <w:rPr>
          <w:sz w:val="20"/>
          <w:szCs w:val="20"/>
          <w:color w:val="auto"/>
        </w:rPr>
      </w:pPr>
    </w:p>
    <w:p>
      <w:pPr>
        <w:jc w:val="both"/>
        <w:ind w:left="40" w:firstLine="299"/>
        <w:spacing w:after="0" w:line="338" w:lineRule="auto"/>
        <w:rPr>
          <w:sz w:val="20"/>
          <w:szCs w:val="20"/>
          <w:color w:val="auto"/>
        </w:rPr>
      </w:pPr>
      <w:r>
        <w:rPr>
          <w:rFonts w:ascii="Arial" w:cs="Arial" w:eastAsia="Arial" w:hAnsi="Arial"/>
          <w:sz w:val="16"/>
          <w:szCs w:val="16"/>
          <w:color w:val="auto"/>
        </w:rPr>
        <w:t>Oxygen was the most variable physicochemical parameter at C. demersum sites, with higher coefficients of variation in macrophyte (range 32–39% CV) than macrophyte-free (range 6–10% CV) profiles, while temperature and pH were ≤5% CV (Table 1). Vertical profiles of oxygen (transect mean) showed depletion at 20% of the water depth from the lake bottom, with stronger depletion at higher C. demersum proportion (Figure 4). Temperature and pH showed no clear patterns with depth across profiles (see Figures S1 and S2). Comparison of macrophyte-free and dense-bed profiles within 20% of the lake bot-tom found oxygen was significantly lower in November but not in January (transect mean of vertical profiles A and D; t test, p = .01 and p = .37).</w:t>
      </w:r>
    </w:p>
    <w:p>
      <w:pPr>
        <w:spacing w:after="0" w:line="11" w:lineRule="exact"/>
        <w:rPr>
          <w:sz w:val="20"/>
          <w:szCs w:val="20"/>
          <w:color w:val="auto"/>
        </w:rPr>
      </w:pPr>
    </w:p>
    <w:p>
      <w:pPr>
        <w:jc w:val="both"/>
        <w:ind w:left="40" w:firstLine="299"/>
        <w:spacing w:after="0" w:line="364" w:lineRule="auto"/>
        <w:rPr>
          <w:sz w:val="20"/>
          <w:szCs w:val="20"/>
          <w:color w:val="auto"/>
        </w:rPr>
      </w:pPr>
      <w:r>
        <w:rPr>
          <w:rFonts w:ascii="Arial" w:cs="Arial" w:eastAsia="Arial" w:hAnsi="Arial"/>
          <w:sz w:val="15"/>
          <w:szCs w:val="15"/>
          <w:color w:val="auto"/>
        </w:rPr>
        <w:t>No significant differences in oxygen, pH or temperature were found within the E. densa sites between the macrophyte-free and dense-bed vertical profiles (transect mean of vertical profiles A and D;</w:t>
      </w:r>
    </w:p>
    <w:p>
      <w:pPr>
        <w:sectPr>
          <w:pgSz w:w="11900" w:h="15647" w:orient="portrait"/>
          <w:cols w:equalWidth="0" w:num="2">
            <w:col w:w="4480" w:space="720"/>
            <w:col w:w="4900"/>
          </w:cols>
          <w:pgMar w:left="920" w:top="448" w:right="886" w:bottom="267" w:gutter="0" w:footer="0" w:header="0"/>
        </w:sectPr>
      </w:pPr>
    </w:p>
    <w:bookmarkStart w:id="6" w:name="page7"/>
    <w:bookmarkEnd w:id="6"/>
    <w:p>
      <w:pPr>
        <w:spacing w:after="0"/>
        <w:rPr>
          <w:sz w:val="20"/>
          <w:szCs w:val="20"/>
          <w:color w:val="auto"/>
        </w:rPr>
      </w:pPr>
      <w:r>
        <w:rPr>
          <w:rFonts w:ascii="Arial" w:cs="Arial" w:eastAsia="Arial" w:hAnsi="Arial"/>
          <w:sz w:val="14"/>
          <w:szCs w:val="14"/>
          <w:color w:val="auto"/>
        </w:rPr>
        <w:t xml:space="preserve">MOORE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488315</wp:posOffset>
            </wp:positionH>
            <wp:positionV relativeFrom="paragraph">
              <wp:posOffset>203835</wp:posOffset>
            </wp:positionV>
            <wp:extent cx="5417820" cy="17678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extLst>
                    </a:blip>
                    <a:srcRect/>
                    <a:stretch>
                      <a:fillRect/>
                    </a:stretch>
                  </pic:blipFill>
                  <pic:spPr bwMode="auto">
                    <a:xfrm>
                      <a:off x="0" y="0"/>
                      <a:ext cx="5417820" cy="17678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2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right="200"/>
        <w:spacing w:after="0" w:line="285" w:lineRule="auto"/>
        <w:rPr>
          <w:sz w:val="20"/>
          <w:szCs w:val="20"/>
          <w:color w:val="auto"/>
        </w:rPr>
      </w:pPr>
      <w:r>
        <w:rPr>
          <w:rFonts w:ascii="Arial" w:cs="Arial" w:eastAsia="Arial" w:hAnsi="Arial"/>
          <w:sz w:val="16"/>
          <w:szCs w:val="16"/>
          <w:color w:val="auto"/>
        </w:rPr>
        <w:t>F I G U R E 4 Vertical profiles of measured oxygen values across vertical profiles for Ceratophyllum demersum in November (light grey long-dash), C. demersum in January (dark grey short-dash), and Egeria densa in January (black solid) with coloured solid lines linking mean values. A = macrophyte-free; B = light macrophyte; C = dense-edge; and D = dense-bed (see Figure 2). Depth proportion was split into five groups representing 20% intervals. Boxplots show median (black line inside boxplot); interquartile range (box); min/max (whiskers); and outliers (&gt;1.5 × interquartile range, black dots). Dotted grey line indicates boundary where oxygen depletion occurred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269875</wp:posOffset>
            </wp:positionV>
            <wp:extent cx="3077845" cy="223710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extLst>
                    </a:blip>
                    <a:srcRect/>
                    <a:stretch>
                      <a:fillRect/>
                    </a:stretch>
                  </pic:blipFill>
                  <pic:spPr bwMode="auto">
                    <a:xfrm>
                      <a:off x="0" y="0"/>
                      <a:ext cx="3077845" cy="2237105"/>
                    </a:xfrm>
                    <a:prstGeom prst="rect">
                      <a:avLst/>
                    </a:prstGeom>
                    <a:noFill/>
                  </pic:spPr>
                </pic:pic>
              </a:graphicData>
            </a:graphic>
          </wp:anchor>
        </w:drawing>
      </w:r>
    </w:p>
    <w:p>
      <w:pPr>
        <w:sectPr>
          <w:pgSz w:w="11900" w:h="15647" w:orient="portrait"/>
          <w:cols w:equalWidth="0" w:num="1">
            <w:col w:w="10080"/>
          </w:cols>
          <w:pgMar w:left="900" w:top="415" w:right="926" w:bottom="26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80"/>
        <w:spacing w:after="0" w:line="286" w:lineRule="auto"/>
        <w:rPr>
          <w:sz w:val="20"/>
          <w:szCs w:val="20"/>
          <w:color w:val="auto"/>
        </w:rPr>
      </w:pPr>
      <w:r>
        <w:rPr>
          <w:rFonts w:ascii="Arial" w:cs="Arial" w:eastAsia="Arial" w:hAnsi="Arial"/>
          <w:sz w:val="16"/>
          <w:szCs w:val="16"/>
          <w:color w:val="auto"/>
        </w:rPr>
        <w:t>F I G U R E 5 Ternary diagram showing relationships between detrended environmental variables in the water column of dissolved oxygen, pH, and temperature scaled from 0 to 100 (transect mean of vertical profiles). Circular points = Ceratophyllum demersum; triangular points = Egeria densa; hollow grey points = measurement collected outside the macrophyte bed; solid black points = measurement collected inside the macrophyte bed (see Figure 2). Vertical dotted black line separates the November (left) and January (right) sampling occasions</w:t>
      </w:r>
    </w:p>
    <w:p>
      <w:pPr>
        <w:spacing w:after="0" w:line="200" w:lineRule="exact"/>
        <w:rPr>
          <w:sz w:val="20"/>
          <w:szCs w:val="20"/>
          <w:color w:val="auto"/>
        </w:rPr>
      </w:pPr>
    </w:p>
    <w:p>
      <w:pPr>
        <w:spacing w:after="0" w:line="393"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Wilcoxon signed-rank test, p = .38, p = .17, p = .83; Table 1). Oxygen was the most variable physicochemical parameter in E. densa sites (temperature and pH ≤6% CV; Table 1). The CV values for dissolved oxygen were more variable than C. demersum sites in macrophyte-free profiles (6% and 12% CV, respectively), but similar in profiles con-taining macrophytes (32–39% CV; Table 1). On the E. densa sampling occasion, oxygen within 20% of the lake bottom was significantly lower on average (by 100% oxygen) in macrophyte profiles than macrophyte-free profiles (t test on transect mean, p = .01).</w:t>
      </w:r>
    </w:p>
    <w:p>
      <w:pPr>
        <w:spacing w:after="0" w:line="4" w:lineRule="exact"/>
        <w:rPr>
          <w:sz w:val="20"/>
          <w:szCs w:val="20"/>
          <w:color w:val="auto"/>
        </w:rPr>
      </w:pPr>
    </w:p>
    <w:p>
      <w:pPr>
        <w:jc w:val="both"/>
        <w:ind w:firstLine="300"/>
        <w:spacing w:after="0" w:line="329" w:lineRule="auto"/>
        <w:rPr>
          <w:sz w:val="20"/>
          <w:szCs w:val="20"/>
          <w:color w:val="auto"/>
        </w:rPr>
      </w:pPr>
      <w:r>
        <w:rPr>
          <w:rFonts w:ascii="Arial" w:cs="Arial" w:eastAsia="Arial" w:hAnsi="Arial"/>
          <w:sz w:val="16"/>
          <w:szCs w:val="16"/>
          <w:color w:val="auto"/>
        </w:rPr>
        <w:t>Comparison of upper-riverine and lower-lacustrine sections in January sampling occasions for macrophyte-free profiles found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7"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oxygen and pH were not significantly different on average (i.e., t test of transect means, p = .13 and p = .053, respectively), although tem-perature was 1.0 C cooler in E. densa sites (both macrophyte-free and macrophyte profiles) which received upstream water inflows (t test, p &lt; .001; Table 1). In vertical profiles with macrophytes (B-D; see Figure 2), average oxygen (range 112–113%), pH (range 6.8–7.2) and temperature (range 22.5–22.8 C) were not significantly different between C. demersum and E. densa in January (t test, p = .8, p = .15, p = .12, respectively; Table 1).</w:t>
      </w:r>
    </w:p>
    <w:p>
      <w:pPr>
        <w:spacing w:after="0" w:line="200" w:lineRule="exact"/>
        <w:rPr>
          <w:sz w:val="20"/>
          <w:szCs w:val="20"/>
          <w:color w:val="auto"/>
        </w:rPr>
      </w:pPr>
    </w:p>
    <w:p>
      <w:pPr>
        <w:spacing w:after="0" w:line="286"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3.3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Boundary effects of macrophytes</w:t>
      </w:r>
    </w:p>
    <w:p>
      <w:pPr>
        <w:spacing w:after="0" w:line="336"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Detrended physicochemical variables, scaled from 0 to 100, showed clear separation between November and January related to tempera-ture, and between the lake bottom and water surface associated with oxygen and pH (Figure 5). Opposing oxygen (increase) and pH (decrease) gradients were more pronounced in January, when rela-tively low oxygen was more frequently measured at the lake bottom (Figure 5). Comparing the invasive macrophyte species, detrended physicochemical variables displayed separation in water surface and lake bottom, whereby E. densa had relatively higher oxygen and C. demersum more frequently displayed low oxygen, respectively (Figure 5).</w:t>
      </w:r>
    </w:p>
    <w:p>
      <w:pPr>
        <w:spacing w:after="0" w:line="10" w:lineRule="exact"/>
        <w:rPr>
          <w:sz w:val="20"/>
          <w:szCs w:val="20"/>
          <w:color w:val="auto"/>
        </w:rPr>
      </w:pPr>
    </w:p>
    <w:p>
      <w:pPr>
        <w:jc w:val="both"/>
        <w:ind w:firstLine="299"/>
        <w:spacing w:after="0" w:line="362" w:lineRule="auto"/>
        <w:rPr>
          <w:sz w:val="20"/>
          <w:szCs w:val="20"/>
          <w:color w:val="auto"/>
        </w:rPr>
      </w:pPr>
      <w:r>
        <w:rPr>
          <w:rFonts w:ascii="Arial" w:cs="Arial" w:eastAsia="Arial" w:hAnsi="Arial"/>
          <w:sz w:val="15"/>
          <w:szCs w:val="15"/>
          <w:color w:val="auto"/>
        </w:rPr>
        <w:t>For C. demersum sampling occasions across a gradient of propor-tional macrophyte height, detrended oxygen at the water surface sig-nificantly increased in January at the 90th percentile while median oxygen declined at the lake bottom on both sampling occasions (qua-ntile regressions; Figure 6; Table S1). Lake surface detrended temper-ature only significantly increased at the 10th percentile in January, when declines in detrended lake bottom pH and temperature were found across nearly all percentiles with increased C. demersum cover-age. In November, a decline was only found in lake bottom detrended temperature at the 10th percentile in relation to proportion of C. demersum in the water column (Figure 6).</w:t>
      </w:r>
    </w:p>
    <w:p>
      <w:pPr>
        <w:sectPr>
          <w:pgSz w:w="11900" w:h="15647" w:orient="portrait"/>
          <w:cols w:equalWidth="0" w:num="2">
            <w:col w:w="4860" w:space="360"/>
            <w:col w:w="4860"/>
          </w:cols>
          <w:pgMar w:left="900" w:top="415" w:right="926" w:bottom="269"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83"/>
        </w:trPr>
        <w:tc>
          <w:tcPr>
            <w:tcW w:w="480" w:type="dxa"/>
            <w:vAlign w:val="bottom"/>
            <w:tcBorders>
              <w:right w:val="single" w:sz="8" w:color="auto"/>
            </w:tcBorders>
            <w:vMerge w:val="restart"/>
          </w:tcPr>
          <w:p>
            <w:pPr>
              <w:jc w:val="right"/>
              <w:ind w:right="330"/>
              <w:spacing w:after="0"/>
              <w:rPr>
                <w:sz w:val="20"/>
                <w:szCs w:val="20"/>
                <w:color w:val="auto"/>
              </w:rPr>
            </w:pPr>
            <w:r>
              <w:rPr>
                <w:rFonts w:ascii="Arial" w:cs="Arial" w:eastAsia="Arial" w:hAnsi="Arial"/>
                <w:sz w:val="14"/>
                <w:szCs w:val="14"/>
                <w:color w:val="auto"/>
                <w:w w:val="76"/>
              </w:rPr>
              <w:t>8</w:t>
            </w:r>
          </w:p>
        </w:tc>
        <w:tc>
          <w:tcPr>
            <w:tcW w:w="140" w:type="dxa"/>
            <w:vAlign w:val="bottom"/>
          </w:tcPr>
          <w:p>
            <w:pPr>
              <w:spacing w:after="0"/>
              <w:rPr>
                <w:sz w:val="7"/>
                <w:szCs w:val="7"/>
                <w:color w:val="auto"/>
              </w:rPr>
            </w:pPr>
          </w:p>
        </w:tc>
        <w:tc>
          <w:tcPr>
            <w:tcW w:w="1100" w:type="dxa"/>
            <w:vAlign w:val="bottom"/>
          </w:tcPr>
          <w:p>
            <w:pPr>
              <w:spacing w:after="0"/>
              <w:rPr>
                <w:sz w:val="7"/>
                <w:szCs w:val="7"/>
                <w:color w:val="auto"/>
              </w:rPr>
            </w:pPr>
          </w:p>
        </w:tc>
        <w:tc>
          <w:tcPr>
            <w:tcW w:w="8380" w:type="dxa"/>
            <w:vAlign w:val="bottom"/>
            <w:vMerge w:val="restart"/>
          </w:tcPr>
          <w:p>
            <w:pPr>
              <w:ind w:left="7520"/>
              <w:spacing w:after="0"/>
              <w:rPr>
                <w:sz w:val="20"/>
                <w:szCs w:val="20"/>
                <w:color w:val="auto"/>
              </w:rPr>
            </w:pPr>
            <w:r>
              <w:rPr>
                <w:rFonts w:ascii="Arial" w:cs="Arial" w:eastAsia="Arial" w:hAnsi="Arial"/>
                <w:sz w:val="14"/>
                <w:szCs w:val="14"/>
                <w:color w:val="auto"/>
                <w:w w:val="97"/>
              </w:rPr>
              <w:t xml:space="preserve">MOORE </w:t>
            </w:r>
            <w:r>
              <w:rPr>
                <w:rFonts w:ascii="Arial" w:cs="Arial" w:eastAsia="Arial" w:hAnsi="Arial"/>
                <w:sz w:val="9"/>
                <w:szCs w:val="9"/>
                <w:color w:val="auto"/>
                <w:w w:val="97"/>
              </w:rPr>
              <w:t>ET AL</w:t>
            </w:r>
            <w:r>
              <w:rPr>
                <w:rFonts w:ascii="Arial" w:cs="Arial" w:eastAsia="Arial" w:hAnsi="Arial"/>
                <w:sz w:val="14"/>
                <w:szCs w:val="14"/>
                <w:color w:val="auto"/>
                <w:w w:val="97"/>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auto"/>
            </w:tcBorders>
            <w:vMerge w:val="continue"/>
          </w:tcPr>
          <w:p>
            <w:pPr>
              <w:spacing w:after="0"/>
              <w:rPr>
                <w:sz w:val="9"/>
                <w:szCs w:val="9"/>
                <w:color w:val="auto"/>
              </w:rPr>
            </w:pPr>
          </w:p>
        </w:tc>
        <w:tc>
          <w:tcPr>
            <w:tcW w:w="14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100" w:type="dxa"/>
            <w:vAlign w:val="bottom"/>
          </w:tcPr>
          <w:p>
            <w:pPr>
              <w:spacing w:after="0"/>
              <w:rPr>
                <w:sz w:val="4"/>
                <w:szCs w:val="4"/>
                <w:color w:val="auto"/>
              </w:rPr>
            </w:pPr>
          </w:p>
        </w:tc>
        <w:tc>
          <w:tcPr>
            <w:tcW w:w="8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100" w:type="dxa"/>
            <w:vAlign w:val="bottom"/>
          </w:tcPr>
          <w:p>
            <w:pPr>
              <w:spacing w:after="0"/>
              <w:rPr>
                <w:sz w:val="3"/>
                <w:szCs w:val="3"/>
                <w:color w:val="auto"/>
              </w:rPr>
            </w:pPr>
          </w:p>
        </w:tc>
        <w:tc>
          <w:tcPr>
            <w:tcW w:w="8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-33655</wp:posOffset>
                </wp:positionV>
                <wp:extent cx="1206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99pt" to="0.95pt,-2.6499pt" o:allowincell="f" strokecolor="#000000" strokeweight="0.4535pt"/>
            </w:pict>
          </mc:Fallback>
        </mc:AlternateContent>
        <w:drawing>
          <wp:anchor simplePos="0" relativeHeight="251657728" behindDoc="1" locked="0" layoutInCell="0" allowOverlap="1">
            <wp:simplePos x="0" y="0"/>
            <wp:positionH relativeFrom="column">
              <wp:posOffset>400050</wp:posOffset>
            </wp:positionH>
            <wp:positionV relativeFrom="paragraph">
              <wp:posOffset>-142875</wp:posOffset>
            </wp:positionV>
            <wp:extent cx="687705" cy="1435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267" w:lineRule="exact"/>
        <w:rPr>
          <w:sz w:val="20"/>
          <w:szCs w:val="20"/>
          <w:color w:val="auto"/>
        </w:rPr>
      </w:pPr>
    </w:p>
    <w:p>
      <w:pPr>
        <w:ind w:left="7740"/>
        <w:spacing w:after="0"/>
        <w:tabs>
          <w:tab w:leader="none" w:pos="8780" w:val="left"/>
        </w:tabs>
        <w:rPr>
          <w:sz w:val="20"/>
          <w:szCs w:val="20"/>
          <w:color w:val="auto"/>
        </w:rPr>
      </w:pPr>
      <w:r>
        <w:rPr>
          <w:rFonts w:ascii="Arial" w:cs="Arial" w:eastAsia="Arial" w:hAnsi="Arial"/>
          <w:sz w:val="16"/>
          <w:szCs w:val="16"/>
          <w:color w:val="auto"/>
        </w:rPr>
        <w:t>F I G U R E 6</w:t>
      </w:r>
      <w:r>
        <w:rPr>
          <w:sz w:val="20"/>
          <w:szCs w:val="20"/>
          <w:color w:val="auto"/>
        </w:rPr>
        <w:tab/>
      </w:r>
      <w:r>
        <w:rPr>
          <w:rFonts w:ascii="Arial" w:cs="Arial" w:eastAsia="Arial" w:hAnsi="Arial"/>
          <w:sz w:val="15"/>
          <w:szCs w:val="15"/>
          <w:color w:val="auto"/>
        </w:rPr>
        <w:t>Relationship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-100965</wp:posOffset>
            </wp:positionV>
            <wp:extent cx="4696460" cy="666496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extLst>
                    </a:blip>
                    <a:srcRect/>
                    <a:stretch>
                      <a:fillRect/>
                    </a:stretch>
                  </pic:blipFill>
                  <pic:spPr bwMode="auto">
                    <a:xfrm>
                      <a:off x="0" y="0"/>
                      <a:ext cx="4696460" cy="6664960"/>
                    </a:xfrm>
                    <a:prstGeom prst="rect">
                      <a:avLst/>
                    </a:prstGeom>
                    <a:noFill/>
                  </pic:spPr>
                </pic:pic>
              </a:graphicData>
            </a:graphic>
          </wp:anchor>
        </w:drawing>
      </w:r>
    </w:p>
    <w:p>
      <w:pPr>
        <w:spacing w:after="0" w:line="1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between detrended</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environmental variables of</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oxygen (%), pH and temperature</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 C) with the proportion of</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macrophyte in the water column</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for November 2018</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(Ceratophyllum demersum) and</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January 2019 (C. demersum and</w:t>
      </w:r>
    </w:p>
    <w:p>
      <w:pPr>
        <w:spacing w:after="0" w:line="37"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Egeria densa). Hollow grey</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points = measurement collected</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outside the macrophyte bed;</w:t>
      </w:r>
    </w:p>
    <w:p>
      <w:pPr>
        <w:spacing w:after="0" w:line="44" w:lineRule="exact"/>
        <w:rPr>
          <w:sz w:val="20"/>
          <w:szCs w:val="20"/>
          <w:color w:val="auto"/>
        </w:rPr>
      </w:pPr>
    </w:p>
    <w:p>
      <w:pPr>
        <w:ind w:left="7740"/>
        <w:spacing w:after="0"/>
        <w:rPr>
          <w:sz w:val="20"/>
          <w:szCs w:val="20"/>
          <w:color w:val="auto"/>
        </w:rPr>
      </w:pPr>
      <w:r>
        <w:rPr>
          <w:rFonts w:ascii="Arial" w:cs="Arial" w:eastAsia="Arial" w:hAnsi="Arial"/>
          <w:sz w:val="15"/>
          <w:szCs w:val="15"/>
          <w:color w:val="auto"/>
        </w:rPr>
        <w:t>solid black points = measurement</w:t>
      </w:r>
    </w:p>
    <w:p>
      <w:pPr>
        <w:spacing w:after="0" w:line="39"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collected inside the macrophyte</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bed (see Figure 2). Quantile</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regression model fit displayed for</w:t>
      </w:r>
    </w:p>
    <w:p>
      <w:pPr>
        <w:spacing w:after="0" w:line="44" w:lineRule="exact"/>
        <w:rPr>
          <w:sz w:val="20"/>
          <w:szCs w:val="20"/>
          <w:color w:val="auto"/>
        </w:rPr>
      </w:pPr>
    </w:p>
    <w:p>
      <w:pPr>
        <w:ind w:left="7740"/>
        <w:spacing w:after="0"/>
        <w:rPr>
          <w:sz w:val="20"/>
          <w:szCs w:val="20"/>
          <w:color w:val="auto"/>
        </w:rPr>
      </w:pPr>
      <w:r>
        <w:rPr>
          <w:rFonts w:ascii="Arial" w:cs="Arial" w:eastAsia="Arial" w:hAnsi="Arial"/>
          <w:sz w:val="15"/>
          <w:szCs w:val="15"/>
          <w:color w:val="auto"/>
        </w:rPr>
        <w:t>the 10th, 50th (median), and 90th</w:t>
      </w:r>
    </w:p>
    <w:p>
      <w:pPr>
        <w:spacing w:after="0" w:line="39"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percentiles, with solid lines</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indicating statistical significance</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at p = .05; dotted lines are not</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statistically significant (see</w:t>
      </w:r>
    </w:p>
    <w:p>
      <w:pPr>
        <w:spacing w:after="0" w:line="36" w:lineRule="exact"/>
        <w:rPr>
          <w:sz w:val="20"/>
          <w:szCs w:val="20"/>
          <w:color w:val="auto"/>
        </w:rPr>
      </w:pPr>
    </w:p>
    <w:p>
      <w:pPr>
        <w:ind w:left="7740"/>
        <w:spacing w:after="0"/>
        <w:rPr>
          <w:sz w:val="20"/>
          <w:szCs w:val="20"/>
          <w:color w:val="auto"/>
        </w:rPr>
      </w:pPr>
      <w:r>
        <w:rPr>
          <w:rFonts w:ascii="Arial" w:cs="Arial" w:eastAsia="Arial" w:hAnsi="Arial"/>
          <w:sz w:val="16"/>
          <w:szCs w:val="16"/>
          <w:color w:val="auto"/>
        </w:rPr>
        <w:t>Table S2 for model coefficients)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5060" w:type="dxa"/>
            <w:vAlign w:val="bottom"/>
          </w:tcPr>
          <w:p>
            <w:pPr>
              <w:jc w:val="right"/>
              <w:ind w:right="120"/>
              <w:spacing w:after="0"/>
              <w:rPr>
                <w:sz w:val="20"/>
                <w:szCs w:val="20"/>
                <w:color w:val="auto"/>
              </w:rPr>
            </w:pPr>
            <w:r>
              <w:rPr>
                <w:rFonts w:ascii="Arial" w:cs="Arial" w:eastAsia="Arial" w:hAnsi="Arial"/>
                <w:sz w:val="16"/>
                <w:szCs w:val="16"/>
                <w:color w:val="auto"/>
              </w:rPr>
              <w:t>In January, both E. densa and C. demersum had at least a single</w:t>
            </w:r>
          </w:p>
        </w:tc>
        <w:tc>
          <w:tcPr>
            <w:tcW w:w="5040" w:type="dxa"/>
            <w:vAlign w:val="bottom"/>
            <w:gridSpan w:val="2"/>
          </w:tcPr>
          <w:p>
            <w:pPr>
              <w:ind w:left="180"/>
              <w:spacing w:after="0"/>
              <w:rPr>
                <w:sz w:val="20"/>
                <w:szCs w:val="20"/>
                <w:color w:val="auto"/>
              </w:rPr>
            </w:pPr>
            <w:r>
              <w:rPr>
                <w:rFonts w:ascii="Arial" w:cs="Arial" w:eastAsia="Arial" w:hAnsi="Arial"/>
                <w:sz w:val="16"/>
                <w:szCs w:val="16"/>
                <w:color w:val="auto"/>
              </w:rPr>
              <w:t>was associated with warmer temperatures. At the lake bottom,</w:t>
            </w:r>
          </w:p>
        </w:tc>
      </w:tr>
      <w:tr>
        <w:trPr>
          <w:trHeight w:val="260"/>
        </w:trPr>
        <w:tc>
          <w:tcPr>
            <w:tcW w:w="5060" w:type="dxa"/>
            <w:vAlign w:val="bottom"/>
          </w:tcPr>
          <w:p>
            <w:pPr>
              <w:jc w:val="right"/>
              <w:ind w:right="120"/>
              <w:spacing w:after="0"/>
              <w:rPr>
                <w:sz w:val="20"/>
                <w:szCs w:val="20"/>
                <w:color w:val="auto"/>
              </w:rPr>
            </w:pPr>
            <w:r>
              <w:rPr>
                <w:rFonts w:ascii="Arial" w:cs="Arial" w:eastAsia="Arial" w:hAnsi="Arial"/>
                <w:sz w:val="16"/>
                <w:szCs w:val="16"/>
                <w:color w:val="auto"/>
                <w:w w:val="98"/>
              </w:rPr>
              <w:t>percentile that represented: (a) increased detrended oxygen values at</w:t>
            </w:r>
          </w:p>
        </w:tc>
        <w:tc>
          <w:tcPr>
            <w:tcW w:w="5040" w:type="dxa"/>
            <w:vAlign w:val="bottom"/>
            <w:gridSpan w:val="2"/>
          </w:tcPr>
          <w:p>
            <w:pPr>
              <w:ind w:left="180"/>
              <w:spacing w:after="0"/>
              <w:rPr>
                <w:sz w:val="20"/>
                <w:szCs w:val="20"/>
                <w:color w:val="auto"/>
              </w:rPr>
            </w:pPr>
            <w:r>
              <w:rPr>
                <w:rFonts w:ascii="Arial" w:cs="Arial" w:eastAsia="Arial" w:hAnsi="Arial"/>
                <w:sz w:val="16"/>
                <w:szCs w:val="16"/>
                <w:color w:val="auto"/>
                <w:w w:val="95"/>
              </w:rPr>
              <w:t>median temperature decreased at C. demersum sites and increased for</w:t>
            </w:r>
          </w:p>
        </w:tc>
      </w:tr>
      <w:tr>
        <w:trPr>
          <w:trHeight w:val="261"/>
        </w:trPr>
        <w:tc>
          <w:tcPr>
            <w:tcW w:w="5060" w:type="dxa"/>
            <w:vAlign w:val="bottom"/>
          </w:tcPr>
          <w:p>
            <w:pPr>
              <w:jc w:val="right"/>
              <w:ind w:right="120"/>
              <w:spacing w:after="0"/>
              <w:rPr>
                <w:sz w:val="20"/>
                <w:szCs w:val="20"/>
                <w:color w:val="auto"/>
              </w:rPr>
            </w:pPr>
            <w:r>
              <w:rPr>
                <w:rFonts w:ascii="Arial" w:cs="Arial" w:eastAsia="Arial" w:hAnsi="Arial"/>
                <w:sz w:val="16"/>
                <w:szCs w:val="16"/>
                <w:color w:val="auto"/>
              </w:rPr>
              <w:t>the water surface (median, and 90th percentile and median, respec-</w:t>
            </w:r>
          </w:p>
        </w:tc>
        <w:tc>
          <w:tcPr>
            <w:tcW w:w="5040" w:type="dxa"/>
            <w:vAlign w:val="bottom"/>
            <w:gridSpan w:val="2"/>
          </w:tcPr>
          <w:p>
            <w:pPr>
              <w:ind w:left="180"/>
              <w:spacing w:after="0"/>
              <w:rPr>
                <w:sz w:val="20"/>
                <w:szCs w:val="20"/>
                <w:color w:val="auto"/>
              </w:rPr>
            </w:pPr>
            <w:r>
              <w:rPr>
                <w:rFonts w:ascii="Arial" w:cs="Arial" w:eastAsia="Arial" w:hAnsi="Arial"/>
                <w:sz w:val="16"/>
                <w:szCs w:val="16"/>
                <w:color w:val="auto"/>
              </w:rPr>
              <w:t>E. densa sites (Figure 6; Table S2).</w:t>
            </w:r>
          </w:p>
        </w:tc>
      </w:tr>
      <w:tr>
        <w:trPr>
          <w:trHeight w:val="260"/>
        </w:trPr>
        <w:tc>
          <w:tcPr>
            <w:tcW w:w="5060" w:type="dxa"/>
            <w:vAlign w:val="bottom"/>
          </w:tcPr>
          <w:p>
            <w:pPr>
              <w:jc w:val="right"/>
              <w:ind w:right="120"/>
              <w:spacing w:after="0"/>
              <w:rPr>
                <w:sz w:val="20"/>
                <w:szCs w:val="20"/>
                <w:color w:val="auto"/>
              </w:rPr>
            </w:pPr>
            <w:r>
              <w:rPr>
                <w:rFonts w:ascii="Arial" w:cs="Arial" w:eastAsia="Arial" w:hAnsi="Arial"/>
                <w:sz w:val="16"/>
                <w:szCs w:val="16"/>
                <w:color w:val="auto"/>
                <w:w w:val="98"/>
              </w:rPr>
              <w:t>tively), and (b) decreased values at the lake bottom (median and 10th</w:t>
            </w:r>
          </w:p>
        </w:tc>
        <w:tc>
          <w:tcPr>
            <w:tcW w:w="740" w:type="dxa"/>
            <w:vAlign w:val="bottom"/>
          </w:tcPr>
          <w:p>
            <w:pPr>
              <w:spacing w:after="0"/>
              <w:rPr>
                <w:sz w:val="22"/>
                <w:szCs w:val="22"/>
                <w:color w:val="auto"/>
              </w:rPr>
            </w:pPr>
          </w:p>
        </w:tc>
        <w:tc>
          <w:tcPr>
            <w:tcW w:w="4300" w:type="dxa"/>
            <w:vAlign w:val="bottom"/>
          </w:tcPr>
          <w:p>
            <w:pPr>
              <w:spacing w:after="0"/>
              <w:rPr>
                <w:sz w:val="22"/>
                <w:szCs w:val="22"/>
                <w:color w:val="auto"/>
              </w:rPr>
            </w:pPr>
          </w:p>
        </w:tc>
      </w:tr>
      <w:tr>
        <w:trPr>
          <w:trHeight w:val="260"/>
        </w:trPr>
        <w:tc>
          <w:tcPr>
            <w:tcW w:w="5060" w:type="dxa"/>
            <w:vAlign w:val="bottom"/>
          </w:tcPr>
          <w:p>
            <w:pPr>
              <w:jc w:val="right"/>
              <w:ind w:right="120"/>
              <w:spacing w:after="0"/>
              <w:rPr>
                <w:sz w:val="20"/>
                <w:szCs w:val="20"/>
                <w:color w:val="auto"/>
              </w:rPr>
            </w:pPr>
            <w:r>
              <w:rPr>
                <w:rFonts w:ascii="Arial" w:cs="Arial" w:eastAsia="Arial" w:hAnsi="Arial"/>
                <w:sz w:val="16"/>
                <w:szCs w:val="16"/>
                <w:color w:val="auto"/>
                <w:w w:val="99"/>
              </w:rPr>
              <w:t>percentile, respectively) related to the proportion of the water column</w:t>
            </w:r>
          </w:p>
        </w:tc>
        <w:tc>
          <w:tcPr>
            <w:tcW w:w="740" w:type="dxa"/>
            <w:vAlign w:val="bottom"/>
          </w:tcPr>
          <w:p>
            <w:pPr>
              <w:spacing w:after="0"/>
              <w:rPr>
                <w:sz w:val="22"/>
                <w:szCs w:val="22"/>
                <w:color w:val="auto"/>
              </w:rPr>
            </w:pPr>
          </w:p>
        </w:tc>
        <w:tc>
          <w:tcPr>
            <w:tcW w:w="4300" w:type="dxa"/>
            <w:vAlign w:val="bottom"/>
          </w:tcPr>
          <w:p>
            <w:pPr>
              <w:spacing w:after="0"/>
              <w:rPr>
                <w:sz w:val="22"/>
                <w:szCs w:val="22"/>
                <w:color w:val="auto"/>
              </w:rPr>
            </w:pPr>
          </w:p>
        </w:tc>
      </w:tr>
      <w:tr>
        <w:trPr>
          <w:trHeight w:val="268"/>
        </w:trPr>
        <w:tc>
          <w:tcPr>
            <w:tcW w:w="5060" w:type="dxa"/>
            <w:vAlign w:val="bottom"/>
          </w:tcPr>
          <w:p>
            <w:pPr>
              <w:jc w:val="right"/>
              <w:ind w:right="120"/>
              <w:spacing w:after="0"/>
              <w:rPr>
                <w:sz w:val="20"/>
                <w:szCs w:val="20"/>
                <w:color w:val="auto"/>
              </w:rPr>
            </w:pPr>
            <w:r>
              <w:rPr>
                <w:rFonts w:ascii="Arial" w:cs="Arial" w:eastAsia="Arial" w:hAnsi="Arial"/>
                <w:sz w:val="16"/>
                <w:szCs w:val="16"/>
                <w:color w:val="auto"/>
              </w:rPr>
              <w:t>occupied by macrophytes (Figure 5; Table S2). Detrended pH only</w:t>
            </w:r>
          </w:p>
        </w:tc>
        <w:tc>
          <w:tcPr>
            <w:tcW w:w="740" w:type="dxa"/>
            <w:vAlign w:val="bottom"/>
          </w:tcPr>
          <w:p>
            <w:pPr>
              <w:ind w:left="180"/>
              <w:spacing w:after="0"/>
              <w:rPr>
                <w:sz w:val="20"/>
                <w:szCs w:val="20"/>
                <w:color w:val="auto"/>
              </w:rPr>
            </w:pPr>
            <w:r>
              <w:rPr>
                <w:rFonts w:ascii="Arial" w:cs="Arial" w:eastAsia="Arial" w:hAnsi="Arial"/>
                <w:sz w:val="20"/>
                <w:szCs w:val="20"/>
                <w:color w:val="auto"/>
              </w:rPr>
              <w:t>3.4  |</w:t>
            </w:r>
          </w:p>
        </w:tc>
        <w:tc>
          <w:tcPr>
            <w:tcW w:w="4300" w:type="dxa"/>
            <w:vAlign w:val="bottom"/>
          </w:tcPr>
          <w:p>
            <w:pPr>
              <w:ind w:left="240"/>
              <w:spacing w:after="0"/>
              <w:rPr>
                <w:sz w:val="20"/>
                <w:szCs w:val="20"/>
                <w:color w:val="auto"/>
              </w:rPr>
            </w:pPr>
            <w:r>
              <w:rPr>
                <w:rFonts w:ascii="Arial" w:cs="Arial" w:eastAsia="Arial" w:hAnsi="Arial"/>
                <w:sz w:val="20"/>
                <w:szCs w:val="20"/>
                <w:color w:val="auto"/>
              </w:rPr>
              <w:t>Herbicide-induced macrophyte</w:t>
            </w:r>
          </w:p>
        </w:tc>
      </w:tr>
      <w:tr>
        <w:trPr>
          <w:trHeight w:val="261"/>
        </w:trPr>
        <w:tc>
          <w:tcPr>
            <w:tcW w:w="5060" w:type="dxa"/>
            <w:vAlign w:val="bottom"/>
          </w:tcPr>
          <w:p>
            <w:pPr>
              <w:jc w:val="right"/>
              <w:ind w:right="120"/>
              <w:spacing w:after="0"/>
              <w:rPr>
                <w:sz w:val="20"/>
                <w:szCs w:val="20"/>
                <w:color w:val="auto"/>
              </w:rPr>
            </w:pPr>
            <w:r>
              <w:rPr>
                <w:rFonts w:ascii="Arial" w:cs="Arial" w:eastAsia="Arial" w:hAnsi="Arial"/>
                <w:sz w:val="16"/>
                <w:szCs w:val="16"/>
                <w:color w:val="auto"/>
              </w:rPr>
              <w:t>increased at the water surface for E. densa (90th percentile), with</w:t>
            </w:r>
          </w:p>
        </w:tc>
        <w:tc>
          <w:tcPr>
            <w:tcW w:w="5040" w:type="dxa"/>
            <w:vAlign w:val="bottom"/>
            <w:gridSpan w:val="2"/>
          </w:tcPr>
          <w:p>
            <w:pPr>
              <w:ind w:left="180"/>
              <w:spacing w:after="0"/>
              <w:rPr>
                <w:sz w:val="20"/>
                <w:szCs w:val="20"/>
                <w:color w:val="auto"/>
              </w:rPr>
            </w:pPr>
            <w:r>
              <w:rPr>
                <w:rFonts w:ascii="Arial" w:cs="Arial" w:eastAsia="Arial" w:hAnsi="Arial"/>
                <w:sz w:val="20"/>
                <w:szCs w:val="20"/>
                <w:color w:val="auto"/>
              </w:rPr>
              <w:t>decomposition</w:t>
            </w:r>
          </w:p>
        </w:tc>
      </w:tr>
      <w:tr>
        <w:trPr>
          <w:trHeight w:val="252"/>
        </w:trPr>
        <w:tc>
          <w:tcPr>
            <w:tcW w:w="5060" w:type="dxa"/>
            <w:vAlign w:val="bottom"/>
          </w:tcPr>
          <w:p>
            <w:pPr>
              <w:jc w:val="right"/>
              <w:ind w:right="120"/>
              <w:spacing w:after="0"/>
              <w:rPr>
                <w:sz w:val="20"/>
                <w:szCs w:val="20"/>
                <w:color w:val="auto"/>
              </w:rPr>
            </w:pPr>
            <w:r>
              <w:rPr>
                <w:rFonts w:ascii="Arial" w:cs="Arial" w:eastAsia="Arial" w:hAnsi="Arial"/>
                <w:sz w:val="16"/>
                <w:szCs w:val="16"/>
                <w:color w:val="auto"/>
                <w:w w:val="96"/>
              </w:rPr>
              <w:t>decreased C. demersum and increased E. densa found at the lake bot-</w:t>
            </w:r>
          </w:p>
        </w:tc>
        <w:tc>
          <w:tcPr>
            <w:tcW w:w="740" w:type="dxa"/>
            <w:vAlign w:val="bottom"/>
          </w:tcPr>
          <w:p>
            <w:pPr>
              <w:spacing w:after="0"/>
              <w:rPr>
                <w:sz w:val="21"/>
                <w:szCs w:val="21"/>
                <w:color w:val="auto"/>
              </w:rPr>
            </w:pPr>
          </w:p>
        </w:tc>
        <w:tc>
          <w:tcPr>
            <w:tcW w:w="4300" w:type="dxa"/>
            <w:vAlign w:val="bottom"/>
          </w:tcPr>
          <w:p>
            <w:pPr>
              <w:spacing w:after="0"/>
              <w:rPr>
                <w:sz w:val="21"/>
                <w:szCs w:val="21"/>
                <w:color w:val="auto"/>
              </w:rPr>
            </w:pPr>
          </w:p>
        </w:tc>
      </w:tr>
      <w:tr>
        <w:trPr>
          <w:trHeight w:val="260"/>
        </w:trPr>
        <w:tc>
          <w:tcPr>
            <w:tcW w:w="5060" w:type="dxa"/>
            <w:vAlign w:val="bottom"/>
          </w:tcPr>
          <w:p>
            <w:pPr>
              <w:jc w:val="right"/>
              <w:ind w:right="120"/>
              <w:spacing w:after="0"/>
              <w:rPr>
                <w:sz w:val="20"/>
                <w:szCs w:val="20"/>
                <w:color w:val="auto"/>
              </w:rPr>
            </w:pPr>
            <w:r>
              <w:rPr>
                <w:rFonts w:ascii="Arial" w:cs="Arial" w:eastAsia="Arial" w:hAnsi="Arial"/>
                <w:sz w:val="16"/>
                <w:szCs w:val="16"/>
                <w:color w:val="auto"/>
              </w:rPr>
              <w:t>tom  for  the  median  (Figure  6).  Detrended  surface  temperature</w:t>
            </w:r>
          </w:p>
        </w:tc>
        <w:tc>
          <w:tcPr>
            <w:tcW w:w="5040" w:type="dxa"/>
            <w:vAlign w:val="bottom"/>
            <w:gridSpan w:val="2"/>
          </w:tcPr>
          <w:p>
            <w:pPr>
              <w:ind w:left="180"/>
              <w:spacing w:after="0"/>
              <w:rPr>
                <w:sz w:val="20"/>
                <w:szCs w:val="20"/>
                <w:color w:val="auto"/>
              </w:rPr>
            </w:pPr>
            <w:r>
              <w:rPr>
                <w:rFonts w:ascii="Arial" w:cs="Arial" w:eastAsia="Arial" w:hAnsi="Arial"/>
                <w:sz w:val="16"/>
                <w:szCs w:val="16"/>
                <w:color w:val="auto"/>
              </w:rPr>
              <w:t>Comparison of specific conductivity, oxygen, and pH 2 days before,</w:t>
            </w:r>
          </w:p>
        </w:tc>
      </w:tr>
      <w:tr>
        <w:trPr>
          <w:trHeight w:val="261"/>
        </w:trPr>
        <w:tc>
          <w:tcPr>
            <w:tcW w:w="5060" w:type="dxa"/>
            <w:vAlign w:val="bottom"/>
          </w:tcPr>
          <w:p>
            <w:pPr>
              <w:jc w:val="right"/>
              <w:ind w:right="120"/>
              <w:spacing w:after="0"/>
              <w:rPr>
                <w:sz w:val="20"/>
                <w:szCs w:val="20"/>
                <w:color w:val="auto"/>
              </w:rPr>
            </w:pPr>
            <w:r>
              <w:rPr>
                <w:rFonts w:ascii="Arial" w:cs="Arial" w:eastAsia="Arial" w:hAnsi="Arial"/>
                <w:sz w:val="16"/>
                <w:szCs w:val="16"/>
                <w:color w:val="auto"/>
              </w:rPr>
              <w:t>showed a similar pattern, whereby increased proportion of E. densa</w:t>
            </w:r>
          </w:p>
        </w:tc>
        <w:tc>
          <w:tcPr>
            <w:tcW w:w="740" w:type="dxa"/>
            <w:vAlign w:val="bottom"/>
          </w:tcPr>
          <w:p>
            <w:pPr>
              <w:ind w:left="180"/>
              <w:spacing w:after="0"/>
              <w:rPr>
                <w:sz w:val="20"/>
                <w:szCs w:val="20"/>
                <w:color w:val="auto"/>
              </w:rPr>
            </w:pPr>
            <w:r>
              <w:rPr>
                <w:rFonts w:ascii="Arial" w:cs="Arial" w:eastAsia="Arial" w:hAnsi="Arial"/>
                <w:sz w:val="16"/>
                <w:szCs w:val="16"/>
                <w:color w:val="auto"/>
              </w:rPr>
              <w:t>2 days</w:t>
            </w:r>
          </w:p>
        </w:tc>
        <w:tc>
          <w:tcPr>
            <w:tcW w:w="4300" w:type="dxa"/>
            <w:vAlign w:val="bottom"/>
          </w:tcPr>
          <w:p>
            <w:pPr>
              <w:spacing w:after="0"/>
              <w:rPr>
                <w:sz w:val="20"/>
                <w:szCs w:val="20"/>
                <w:color w:val="auto"/>
              </w:rPr>
            </w:pPr>
            <w:r>
              <w:rPr>
                <w:rFonts w:ascii="Arial" w:cs="Arial" w:eastAsia="Arial" w:hAnsi="Arial"/>
                <w:sz w:val="16"/>
                <w:szCs w:val="16"/>
                <w:color w:val="auto"/>
              </w:rPr>
              <w:t>after,  and  10 days  after  herbicide  application  indicated</w:t>
            </w:r>
          </w:p>
        </w:tc>
      </w:tr>
    </w:tbl>
    <w:p>
      <w:pPr>
        <w:sectPr>
          <w:pgSz w:w="11900" w:h="15647" w:orient="portrait"/>
          <w:cols w:equalWidth="0" w:num="1">
            <w:col w:w="10100"/>
          </w:cols>
          <w:pgMar w:left="920" w:top="415" w:right="886" w:bottom="355" w:gutter="0" w:footer="0" w:header="0"/>
        </w:sectPr>
      </w:pPr>
    </w:p>
    <w:bookmarkStart w:id="8" w:name="page9"/>
    <w:bookmarkEnd w:id="8"/>
    <w:p>
      <w:pPr>
        <w:spacing w:after="0" w:line="1" w:lineRule="exact"/>
        <w:rPr>
          <w:sz w:val="20"/>
          <w:szCs w:val="20"/>
          <w:color w:val="auto"/>
        </w:rPr>
      </w:pPr>
    </w:p>
    <w:tbl>
      <w:tblPr>
        <w:tblLayout w:type="fixed"/>
        <w:tblInd w:w="2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MOORE </w:t>
            </w:r>
            <w:r>
              <w:rPr>
                <w:rFonts w:ascii="Arial" w:cs="Arial" w:eastAsia="Arial" w:hAnsi="Arial"/>
                <w:sz w:val="9"/>
                <w:szCs w:val="9"/>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9</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-33655</wp:posOffset>
                </wp:positionV>
                <wp:extent cx="127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6499pt" to="1.25pt,-2.6499pt" o:allowincell="f" strokecolor="#000000" strokeweight="0.4535pt"/>
            </w:pict>
          </mc:Fallback>
        </mc:AlternateContent>
        <w:drawing>
          <wp:anchor simplePos="0" relativeHeight="251657728" behindDoc="1" locked="0" layoutInCell="0" allowOverlap="1">
            <wp:simplePos x="0" y="0"/>
            <wp:positionH relativeFrom="column">
              <wp:posOffset>5328920</wp:posOffset>
            </wp:positionH>
            <wp:positionV relativeFrom="paragraph">
              <wp:posOffset>-142875</wp:posOffset>
            </wp:positionV>
            <wp:extent cx="687705" cy="1435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256" w:lineRule="exact"/>
        <w:rPr>
          <w:sz w:val="20"/>
          <w:szCs w:val="20"/>
          <w:color w:val="auto"/>
        </w:rPr>
      </w:pPr>
    </w:p>
    <w:p>
      <w:pPr>
        <w:ind w:left="20"/>
        <w:spacing w:after="0"/>
        <w:tabs>
          <w:tab w:leader="none" w:pos="960" w:val="left"/>
        </w:tabs>
        <w:rPr>
          <w:sz w:val="20"/>
          <w:szCs w:val="20"/>
          <w:color w:val="auto"/>
        </w:rPr>
      </w:pPr>
      <w:r>
        <w:rPr>
          <w:rFonts w:ascii="Arial" w:cs="Arial" w:eastAsia="Arial" w:hAnsi="Arial"/>
          <w:sz w:val="16"/>
          <w:szCs w:val="16"/>
          <w:color w:val="auto"/>
        </w:rPr>
        <w:t>T A B L E 2</w:t>
      </w:r>
      <w:r>
        <w:rPr>
          <w:sz w:val="20"/>
          <w:szCs w:val="20"/>
          <w:color w:val="auto"/>
        </w:rPr>
        <w:tab/>
      </w:r>
      <w:r>
        <w:rPr>
          <w:rFonts w:ascii="Arial" w:cs="Arial" w:eastAsia="Arial" w:hAnsi="Arial"/>
          <w:sz w:val="15"/>
          <w:szCs w:val="15"/>
          <w:color w:val="auto"/>
        </w:rPr>
        <w:t>Summary statistics of selected 2-day periods before, immediately after, and 10-days after herbicide application</w:t>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351"/>
        </w:trPr>
        <w:tc>
          <w:tcPr>
            <w:tcW w:w="20" w:type="dxa"/>
            <w:vAlign w:val="bottom"/>
          </w:tcPr>
          <w:p>
            <w:pPr>
              <w:spacing w:after="0"/>
              <w:rPr>
                <w:sz w:val="24"/>
                <w:szCs w:val="24"/>
                <w:color w:val="auto"/>
              </w:rPr>
            </w:pPr>
          </w:p>
        </w:tc>
        <w:tc>
          <w:tcPr>
            <w:tcW w:w="2120" w:type="dxa"/>
            <w:vAlign w:val="bottom"/>
            <w:tcBorders>
              <w:bottom w:val="single" w:sz="8" w:color="CCCCCC"/>
            </w:tcBorders>
            <w:shd w:val="clear" w:color="auto" w:fill="CCCCCC"/>
          </w:tcPr>
          <w:p>
            <w:pPr>
              <w:spacing w:after="0"/>
              <w:rPr>
                <w:sz w:val="24"/>
                <w:szCs w:val="24"/>
                <w:color w:val="auto"/>
              </w:rPr>
            </w:pPr>
          </w:p>
        </w:tc>
        <w:tc>
          <w:tcPr>
            <w:tcW w:w="500" w:type="dxa"/>
            <w:vAlign w:val="bottom"/>
            <w:tcBorders>
              <w:bottom w:val="single" w:sz="8" w:color="CCCCCC"/>
            </w:tcBorders>
            <w:shd w:val="clear" w:color="auto" w:fill="CCCCCC"/>
          </w:tcPr>
          <w:p>
            <w:pPr>
              <w:spacing w:after="0"/>
              <w:rPr>
                <w:sz w:val="24"/>
                <w:szCs w:val="24"/>
                <w:color w:val="auto"/>
              </w:rPr>
            </w:pPr>
          </w:p>
        </w:tc>
        <w:tc>
          <w:tcPr>
            <w:tcW w:w="2560" w:type="dxa"/>
            <w:vAlign w:val="bottom"/>
            <w:tcBorders>
              <w:bottom w:val="single" w:sz="8" w:color="auto"/>
            </w:tcBorders>
            <w:gridSpan w:val="4"/>
            <w:shd w:val="clear" w:color="auto" w:fill="CCCCCC"/>
          </w:tcPr>
          <w:p>
            <w:pPr>
              <w:spacing w:after="0"/>
              <w:rPr>
                <w:sz w:val="20"/>
                <w:szCs w:val="20"/>
                <w:color w:val="auto"/>
              </w:rPr>
            </w:pPr>
            <w:r>
              <w:rPr>
                <w:rFonts w:ascii="Arial" w:cs="Arial" w:eastAsia="Arial" w:hAnsi="Arial"/>
                <w:sz w:val="15"/>
                <w:szCs w:val="15"/>
                <w:color w:val="auto"/>
              </w:rPr>
              <w:t>Specific conductivity (</w:t>
            </w:r>
            <w:r>
              <w:rPr>
                <w:rFonts w:ascii="Arial" w:cs="Arial" w:eastAsia="Arial" w:hAnsi="Arial"/>
                <w:sz w:val="15"/>
                <w:szCs w:val="15"/>
                <w:color w:val="auto"/>
              </w:rPr>
              <w:t>μ</w:t>
            </w:r>
            <w:r>
              <w:rPr>
                <w:rFonts w:ascii="Arial" w:cs="Arial" w:eastAsia="Arial" w:hAnsi="Arial"/>
                <w:sz w:val="15"/>
                <w:szCs w:val="15"/>
                <w:color w:val="auto"/>
              </w:rPr>
              <w:t>S/cm at 25 C)</w:t>
            </w:r>
          </w:p>
        </w:tc>
        <w:tc>
          <w:tcPr>
            <w:tcW w:w="260" w:type="dxa"/>
            <w:vAlign w:val="bottom"/>
            <w:tcBorders>
              <w:bottom w:val="single" w:sz="8" w:color="CCCCCC"/>
            </w:tcBorders>
            <w:shd w:val="clear" w:color="auto" w:fill="CCCCCC"/>
          </w:tcPr>
          <w:p>
            <w:pPr>
              <w:spacing w:after="0"/>
              <w:rPr>
                <w:sz w:val="24"/>
                <w:szCs w:val="24"/>
                <w:color w:val="auto"/>
              </w:rPr>
            </w:pPr>
          </w:p>
        </w:tc>
        <w:tc>
          <w:tcPr>
            <w:tcW w:w="1180" w:type="dxa"/>
            <w:vAlign w:val="bottom"/>
            <w:tcBorders>
              <w:bottom w:val="single" w:sz="8" w:color="auto"/>
            </w:tcBorders>
            <w:gridSpan w:val="2"/>
            <w:shd w:val="clear" w:color="auto" w:fill="CCCCCC"/>
          </w:tcPr>
          <w:p>
            <w:pPr>
              <w:spacing w:after="0"/>
              <w:rPr>
                <w:sz w:val="20"/>
                <w:szCs w:val="20"/>
                <w:color w:val="auto"/>
              </w:rPr>
            </w:pPr>
            <w:r>
              <w:rPr>
                <w:rFonts w:ascii="Arial" w:cs="Arial" w:eastAsia="Arial" w:hAnsi="Arial"/>
                <w:sz w:val="15"/>
                <w:szCs w:val="15"/>
                <w:color w:val="auto"/>
              </w:rPr>
              <w:t>Oxygen (%)</w:t>
            </w:r>
          </w:p>
        </w:tc>
        <w:tc>
          <w:tcPr>
            <w:tcW w:w="660" w:type="dxa"/>
            <w:vAlign w:val="bottom"/>
            <w:tcBorders>
              <w:bottom w:val="single" w:sz="8" w:color="auto"/>
            </w:tcBorders>
            <w:shd w:val="clear" w:color="auto" w:fill="CCCCCC"/>
          </w:tcPr>
          <w:p>
            <w:pPr>
              <w:spacing w:after="0"/>
              <w:rPr>
                <w:sz w:val="24"/>
                <w:szCs w:val="24"/>
                <w:color w:val="auto"/>
              </w:rPr>
            </w:pPr>
          </w:p>
        </w:tc>
        <w:tc>
          <w:tcPr>
            <w:tcW w:w="380" w:type="dxa"/>
            <w:vAlign w:val="bottom"/>
            <w:tcBorders>
              <w:bottom w:val="single" w:sz="8" w:color="auto"/>
            </w:tcBorders>
            <w:shd w:val="clear" w:color="auto" w:fill="CCCCCC"/>
          </w:tcPr>
          <w:p>
            <w:pPr>
              <w:spacing w:after="0"/>
              <w:rPr>
                <w:sz w:val="24"/>
                <w:szCs w:val="24"/>
                <w:color w:val="auto"/>
              </w:rPr>
            </w:pPr>
          </w:p>
        </w:tc>
        <w:tc>
          <w:tcPr>
            <w:tcW w:w="240" w:type="dxa"/>
            <w:vAlign w:val="bottom"/>
            <w:tcBorders>
              <w:bottom w:val="single" w:sz="8" w:color="CCCCCC"/>
            </w:tcBorders>
            <w:shd w:val="clear" w:color="auto" w:fill="CCCCCC"/>
          </w:tcPr>
          <w:p>
            <w:pPr>
              <w:spacing w:after="0"/>
              <w:rPr>
                <w:sz w:val="24"/>
                <w:szCs w:val="24"/>
                <w:color w:val="auto"/>
              </w:rPr>
            </w:pPr>
          </w:p>
        </w:tc>
        <w:tc>
          <w:tcPr>
            <w:tcW w:w="560" w:type="dxa"/>
            <w:vAlign w:val="bottom"/>
            <w:tcBorders>
              <w:bottom w:val="single" w:sz="8" w:color="auto"/>
            </w:tcBorders>
            <w:shd w:val="clear" w:color="auto" w:fill="CCCCCC"/>
          </w:tcPr>
          <w:p>
            <w:pPr>
              <w:spacing w:after="0"/>
              <w:rPr>
                <w:sz w:val="20"/>
                <w:szCs w:val="20"/>
                <w:color w:val="auto"/>
              </w:rPr>
            </w:pPr>
            <w:r>
              <w:rPr>
                <w:rFonts w:ascii="Arial" w:cs="Arial" w:eastAsia="Arial" w:hAnsi="Arial"/>
                <w:sz w:val="15"/>
                <w:szCs w:val="15"/>
                <w:color w:val="auto"/>
              </w:rPr>
              <w:t>pH</w:t>
            </w:r>
          </w:p>
        </w:tc>
        <w:tc>
          <w:tcPr>
            <w:tcW w:w="460" w:type="dxa"/>
            <w:vAlign w:val="bottom"/>
            <w:tcBorders>
              <w:bottom w:val="single" w:sz="8" w:color="auto"/>
            </w:tcBorders>
            <w:shd w:val="clear" w:color="auto" w:fill="CCCCCC"/>
          </w:tcPr>
          <w:p>
            <w:pPr>
              <w:spacing w:after="0"/>
              <w:rPr>
                <w:sz w:val="24"/>
                <w:szCs w:val="24"/>
                <w:color w:val="auto"/>
              </w:rPr>
            </w:pPr>
          </w:p>
        </w:tc>
        <w:tc>
          <w:tcPr>
            <w:tcW w:w="640" w:type="dxa"/>
            <w:vAlign w:val="bottom"/>
            <w:tcBorders>
              <w:bottom w:val="single" w:sz="8" w:color="auto"/>
            </w:tcBorders>
            <w:shd w:val="clear" w:color="auto" w:fill="CCCCCC"/>
          </w:tcPr>
          <w:p>
            <w:pPr>
              <w:spacing w:after="0"/>
              <w:rPr>
                <w:sz w:val="24"/>
                <w:szCs w:val="24"/>
                <w:color w:val="auto"/>
              </w:rPr>
            </w:pPr>
          </w:p>
        </w:tc>
        <w:tc>
          <w:tcPr>
            <w:tcW w:w="380" w:type="dxa"/>
            <w:vAlign w:val="bottom"/>
            <w:tcBorders>
              <w:bottom w:val="single" w:sz="8" w:color="auto"/>
            </w:tcBorders>
            <w:shd w:val="clear" w:color="auto" w:fill="CCCCCC"/>
          </w:tcPr>
          <w:p>
            <w:pPr>
              <w:spacing w:after="0"/>
              <w:rPr>
                <w:sz w:val="24"/>
                <w:szCs w:val="24"/>
                <w:color w:val="auto"/>
              </w:rPr>
            </w:pPr>
          </w:p>
        </w:tc>
        <w:tc>
          <w:tcPr>
            <w:tcW w:w="140" w:type="dxa"/>
            <w:vAlign w:val="bottom"/>
            <w:tcBorders>
              <w:bottom w:val="single" w:sz="8" w:color="CCCCCC"/>
            </w:tcBorders>
            <w:shd w:val="clear" w:color="auto" w:fill="CCCCCC"/>
          </w:tcPr>
          <w:p>
            <w:pPr>
              <w:spacing w:after="0"/>
              <w:rPr>
                <w:sz w:val="24"/>
                <w:szCs w:val="24"/>
                <w:color w:val="auto"/>
              </w:rPr>
            </w:pPr>
          </w:p>
        </w:tc>
      </w:tr>
      <w:tr>
        <w:trPr>
          <w:trHeight w:val="226"/>
        </w:trPr>
        <w:tc>
          <w:tcPr>
            <w:tcW w:w="20" w:type="dxa"/>
            <w:vAlign w:val="bottom"/>
          </w:tcPr>
          <w:p>
            <w:pPr>
              <w:spacing w:after="0"/>
              <w:rPr>
                <w:sz w:val="19"/>
                <w:szCs w:val="19"/>
                <w:color w:val="auto"/>
              </w:rPr>
            </w:pPr>
          </w:p>
        </w:tc>
        <w:tc>
          <w:tcPr>
            <w:tcW w:w="2120" w:type="dxa"/>
            <w:vAlign w:val="bottom"/>
            <w:shd w:val="clear" w:color="auto" w:fill="CCCCCC"/>
          </w:tcPr>
          <w:p>
            <w:pPr>
              <w:ind w:left="140"/>
              <w:spacing w:after="0"/>
              <w:rPr>
                <w:sz w:val="20"/>
                <w:szCs w:val="20"/>
                <w:color w:val="auto"/>
              </w:rPr>
            </w:pPr>
            <w:r>
              <w:rPr>
                <w:rFonts w:ascii="Arial" w:cs="Arial" w:eastAsia="Arial" w:hAnsi="Arial"/>
                <w:sz w:val="15"/>
                <w:szCs w:val="15"/>
                <w:color w:val="auto"/>
              </w:rPr>
              <w:t>2-Day period</w:t>
            </w:r>
          </w:p>
        </w:tc>
        <w:tc>
          <w:tcPr>
            <w:tcW w:w="500" w:type="dxa"/>
            <w:vAlign w:val="bottom"/>
            <w:shd w:val="clear" w:color="auto" w:fill="CCCCCC"/>
          </w:tcPr>
          <w:p>
            <w:pPr>
              <w:spacing w:after="0"/>
              <w:rPr>
                <w:sz w:val="19"/>
                <w:szCs w:val="19"/>
                <w:color w:val="auto"/>
              </w:rPr>
            </w:pPr>
          </w:p>
        </w:tc>
        <w:tc>
          <w:tcPr>
            <w:tcW w:w="660" w:type="dxa"/>
            <w:vAlign w:val="bottom"/>
            <w:shd w:val="clear" w:color="auto" w:fill="CCCCCC"/>
          </w:tcPr>
          <w:p>
            <w:pPr>
              <w:spacing w:after="0"/>
              <w:rPr>
                <w:sz w:val="20"/>
                <w:szCs w:val="20"/>
                <w:color w:val="auto"/>
              </w:rPr>
            </w:pPr>
            <w:r>
              <w:rPr>
                <w:rFonts w:ascii="Arial" w:cs="Arial" w:eastAsia="Arial" w:hAnsi="Arial"/>
                <w:sz w:val="15"/>
                <w:szCs w:val="15"/>
                <w:color w:val="auto"/>
              </w:rPr>
              <w:t>CV</w:t>
            </w:r>
          </w:p>
        </w:tc>
        <w:tc>
          <w:tcPr>
            <w:tcW w:w="580" w:type="dxa"/>
            <w:vAlign w:val="bottom"/>
            <w:shd w:val="clear" w:color="auto" w:fill="CCCCCC"/>
          </w:tcPr>
          <w:p>
            <w:pPr>
              <w:ind w:left="80"/>
              <w:spacing w:after="0"/>
              <w:rPr>
                <w:sz w:val="20"/>
                <w:szCs w:val="20"/>
                <w:color w:val="auto"/>
              </w:rPr>
            </w:pPr>
            <w:r>
              <w:rPr>
                <w:rFonts w:ascii="Arial" w:cs="Arial" w:eastAsia="Arial" w:hAnsi="Arial"/>
                <w:sz w:val="15"/>
                <w:szCs w:val="15"/>
                <w:color w:val="auto"/>
              </w:rPr>
              <w:t>10th</w:t>
            </w:r>
          </w:p>
        </w:tc>
        <w:tc>
          <w:tcPr>
            <w:tcW w:w="780" w:type="dxa"/>
            <w:vAlign w:val="bottom"/>
            <w:shd w:val="clear" w:color="auto" w:fill="CCCCCC"/>
          </w:tcPr>
          <w:p>
            <w:pPr>
              <w:ind w:left="200"/>
              <w:spacing w:after="0"/>
              <w:rPr>
                <w:sz w:val="20"/>
                <w:szCs w:val="20"/>
                <w:color w:val="auto"/>
              </w:rPr>
            </w:pPr>
            <w:r>
              <w:rPr>
                <w:rFonts w:ascii="Arial" w:cs="Arial" w:eastAsia="Arial" w:hAnsi="Arial"/>
                <w:sz w:val="15"/>
                <w:szCs w:val="15"/>
                <w:color w:val="auto"/>
              </w:rPr>
              <w:t>50th</w:t>
            </w:r>
          </w:p>
        </w:tc>
        <w:tc>
          <w:tcPr>
            <w:tcW w:w="540" w:type="dxa"/>
            <w:vAlign w:val="bottom"/>
            <w:shd w:val="clear" w:color="auto" w:fill="CCCCCC"/>
          </w:tcPr>
          <w:p>
            <w:pPr>
              <w:ind w:left="120"/>
              <w:spacing w:after="0"/>
              <w:rPr>
                <w:sz w:val="20"/>
                <w:szCs w:val="20"/>
                <w:color w:val="auto"/>
              </w:rPr>
            </w:pPr>
            <w:r>
              <w:rPr>
                <w:rFonts w:ascii="Arial" w:cs="Arial" w:eastAsia="Arial" w:hAnsi="Arial"/>
                <w:sz w:val="15"/>
                <w:szCs w:val="15"/>
                <w:color w:val="auto"/>
              </w:rPr>
              <w:t>90th</w:t>
            </w:r>
          </w:p>
        </w:tc>
        <w:tc>
          <w:tcPr>
            <w:tcW w:w="260" w:type="dxa"/>
            <w:vAlign w:val="bottom"/>
            <w:shd w:val="clear" w:color="auto" w:fill="CCCCCC"/>
          </w:tcPr>
          <w:p>
            <w:pPr>
              <w:spacing w:after="0"/>
              <w:rPr>
                <w:sz w:val="19"/>
                <w:szCs w:val="19"/>
                <w:color w:val="auto"/>
              </w:rPr>
            </w:pPr>
          </w:p>
        </w:tc>
        <w:tc>
          <w:tcPr>
            <w:tcW w:w="640" w:type="dxa"/>
            <w:vAlign w:val="bottom"/>
            <w:shd w:val="clear" w:color="auto" w:fill="CCCCCC"/>
          </w:tcPr>
          <w:p>
            <w:pPr>
              <w:spacing w:after="0"/>
              <w:rPr>
                <w:sz w:val="20"/>
                <w:szCs w:val="20"/>
                <w:color w:val="auto"/>
              </w:rPr>
            </w:pPr>
            <w:r>
              <w:rPr>
                <w:rFonts w:ascii="Arial" w:cs="Arial" w:eastAsia="Arial" w:hAnsi="Arial"/>
                <w:sz w:val="15"/>
                <w:szCs w:val="15"/>
                <w:color w:val="auto"/>
              </w:rPr>
              <w:t>CV</w:t>
            </w:r>
          </w:p>
        </w:tc>
        <w:tc>
          <w:tcPr>
            <w:tcW w:w="540" w:type="dxa"/>
            <w:vAlign w:val="bottom"/>
            <w:shd w:val="clear" w:color="auto" w:fill="CCCCCC"/>
          </w:tcPr>
          <w:p>
            <w:pPr>
              <w:ind w:left="100"/>
              <w:spacing w:after="0"/>
              <w:rPr>
                <w:sz w:val="20"/>
                <w:szCs w:val="20"/>
                <w:color w:val="auto"/>
              </w:rPr>
            </w:pPr>
            <w:r>
              <w:rPr>
                <w:rFonts w:ascii="Arial" w:cs="Arial" w:eastAsia="Arial" w:hAnsi="Arial"/>
                <w:sz w:val="15"/>
                <w:szCs w:val="15"/>
                <w:color w:val="auto"/>
              </w:rPr>
              <w:t>10th</w:t>
            </w:r>
          </w:p>
        </w:tc>
        <w:tc>
          <w:tcPr>
            <w:tcW w:w="660" w:type="dxa"/>
            <w:vAlign w:val="bottom"/>
            <w:shd w:val="clear" w:color="auto" w:fill="CCCCCC"/>
          </w:tcPr>
          <w:p>
            <w:pPr>
              <w:ind w:left="140"/>
              <w:spacing w:after="0"/>
              <w:rPr>
                <w:sz w:val="20"/>
                <w:szCs w:val="20"/>
                <w:color w:val="auto"/>
              </w:rPr>
            </w:pPr>
            <w:r>
              <w:rPr>
                <w:rFonts w:ascii="Arial" w:cs="Arial" w:eastAsia="Arial" w:hAnsi="Arial"/>
                <w:sz w:val="15"/>
                <w:szCs w:val="15"/>
                <w:color w:val="auto"/>
              </w:rPr>
              <w:t>50th</w:t>
            </w:r>
          </w:p>
        </w:tc>
        <w:tc>
          <w:tcPr>
            <w:tcW w:w="380" w:type="dxa"/>
            <w:vAlign w:val="bottom"/>
            <w:shd w:val="clear" w:color="auto" w:fill="CCCCCC"/>
          </w:tcPr>
          <w:p>
            <w:pPr>
              <w:ind w:left="40"/>
              <w:spacing w:after="0"/>
              <w:rPr>
                <w:sz w:val="20"/>
                <w:szCs w:val="20"/>
                <w:color w:val="auto"/>
              </w:rPr>
            </w:pPr>
            <w:r>
              <w:rPr>
                <w:rFonts w:ascii="Arial" w:cs="Arial" w:eastAsia="Arial" w:hAnsi="Arial"/>
                <w:sz w:val="15"/>
                <w:szCs w:val="15"/>
                <w:color w:val="auto"/>
              </w:rPr>
              <w:t>90th</w:t>
            </w:r>
          </w:p>
        </w:tc>
        <w:tc>
          <w:tcPr>
            <w:tcW w:w="240" w:type="dxa"/>
            <w:vAlign w:val="bottom"/>
            <w:shd w:val="clear" w:color="auto" w:fill="CCCCCC"/>
          </w:tcPr>
          <w:p>
            <w:pPr>
              <w:spacing w:after="0"/>
              <w:rPr>
                <w:sz w:val="19"/>
                <w:szCs w:val="19"/>
                <w:color w:val="auto"/>
              </w:rPr>
            </w:pPr>
          </w:p>
        </w:tc>
        <w:tc>
          <w:tcPr>
            <w:tcW w:w="560" w:type="dxa"/>
            <w:vAlign w:val="bottom"/>
            <w:shd w:val="clear" w:color="auto" w:fill="CCCCCC"/>
          </w:tcPr>
          <w:p>
            <w:pPr>
              <w:spacing w:after="0"/>
              <w:rPr>
                <w:sz w:val="20"/>
                <w:szCs w:val="20"/>
                <w:color w:val="auto"/>
              </w:rPr>
            </w:pPr>
            <w:r>
              <w:rPr>
                <w:rFonts w:ascii="Arial" w:cs="Arial" w:eastAsia="Arial" w:hAnsi="Arial"/>
                <w:sz w:val="15"/>
                <w:szCs w:val="15"/>
                <w:color w:val="auto"/>
              </w:rPr>
              <w:t>CV</w:t>
            </w:r>
          </w:p>
        </w:tc>
        <w:tc>
          <w:tcPr>
            <w:tcW w:w="460" w:type="dxa"/>
            <w:vAlign w:val="bottom"/>
            <w:shd w:val="clear" w:color="auto" w:fill="CCCCCC"/>
          </w:tcPr>
          <w:p>
            <w:pPr>
              <w:spacing w:after="0"/>
              <w:rPr>
                <w:sz w:val="20"/>
                <w:szCs w:val="20"/>
                <w:color w:val="auto"/>
              </w:rPr>
            </w:pPr>
            <w:r>
              <w:rPr>
                <w:rFonts w:ascii="Arial" w:cs="Arial" w:eastAsia="Arial" w:hAnsi="Arial"/>
                <w:sz w:val="15"/>
                <w:szCs w:val="15"/>
                <w:color w:val="auto"/>
              </w:rPr>
              <w:t>10th</w:t>
            </w:r>
          </w:p>
        </w:tc>
        <w:tc>
          <w:tcPr>
            <w:tcW w:w="640" w:type="dxa"/>
            <w:vAlign w:val="bottom"/>
            <w:shd w:val="clear" w:color="auto" w:fill="CCCCCC"/>
          </w:tcPr>
          <w:p>
            <w:pPr>
              <w:ind w:left="120"/>
              <w:spacing w:after="0"/>
              <w:rPr>
                <w:sz w:val="20"/>
                <w:szCs w:val="20"/>
                <w:color w:val="auto"/>
              </w:rPr>
            </w:pPr>
            <w:r>
              <w:rPr>
                <w:rFonts w:ascii="Arial" w:cs="Arial" w:eastAsia="Arial" w:hAnsi="Arial"/>
                <w:sz w:val="15"/>
                <w:szCs w:val="15"/>
                <w:color w:val="auto"/>
              </w:rPr>
              <w:t>50th</w:t>
            </w:r>
          </w:p>
        </w:tc>
        <w:tc>
          <w:tcPr>
            <w:tcW w:w="520" w:type="dxa"/>
            <w:vAlign w:val="bottom"/>
            <w:gridSpan w:val="2"/>
            <w:shd w:val="clear" w:color="auto" w:fill="CCCCCC"/>
          </w:tcPr>
          <w:p>
            <w:pPr>
              <w:ind w:left="60"/>
              <w:spacing w:after="0"/>
              <w:rPr>
                <w:sz w:val="20"/>
                <w:szCs w:val="20"/>
                <w:color w:val="auto"/>
              </w:rPr>
            </w:pPr>
            <w:r>
              <w:rPr>
                <w:rFonts w:ascii="Arial" w:cs="Arial" w:eastAsia="Arial" w:hAnsi="Arial"/>
                <w:sz w:val="15"/>
                <w:szCs w:val="15"/>
                <w:color w:val="auto"/>
              </w:rPr>
              <w:t>90th</w:t>
            </w:r>
          </w:p>
        </w:tc>
      </w:tr>
      <w:tr>
        <w:trPr>
          <w:trHeight w:val="74"/>
        </w:trPr>
        <w:tc>
          <w:tcPr>
            <w:tcW w:w="20" w:type="dxa"/>
            <w:vAlign w:val="bottom"/>
          </w:tcPr>
          <w:p>
            <w:pPr>
              <w:spacing w:after="0"/>
              <w:rPr>
                <w:sz w:val="6"/>
                <w:szCs w:val="6"/>
                <w:color w:val="auto"/>
              </w:rPr>
            </w:pPr>
          </w:p>
        </w:tc>
        <w:tc>
          <w:tcPr>
            <w:tcW w:w="2120" w:type="dxa"/>
            <w:vAlign w:val="bottom"/>
            <w:shd w:val="clear" w:color="auto" w:fill="CCCCCC"/>
          </w:tcPr>
          <w:p>
            <w:pPr>
              <w:spacing w:after="0"/>
              <w:rPr>
                <w:sz w:val="6"/>
                <w:szCs w:val="6"/>
                <w:color w:val="auto"/>
              </w:rPr>
            </w:pPr>
          </w:p>
        </w:tc>
        <w:tc>
          <w:tcPr>
            <w:tcW w:w="500" w:type="dxa"/>
            <w:vAlign w:val="bottom"/>
            <w:shd w:val="clear" w:color="auto" w:fill="CCCCCC"/>
          </w:tcPr>
          <w:p>
            <w:pPr>
              <w:spacing w:after="0"/>
              <w:rPr>
                <w:sz w:val="6"/>
                <w:szCs w:val="6"/>
                <w:color w:val="auto"/>
              </w:rPr>
            </w:pPr>
          </w:p>
        </w:tc>
        <w:tc>
          <w:tcPr>
            <w:tcW w:w="660" w:type="dxa"/>
            <w:vAlign w:val="bottom"/>
            <w:shd w:val="clear" w:color="auto" w:fill="CCCCCC"/>
          </w:tcPr>
          <w:p>
            <w:pPr>
              <w:spacing w:after="0"/>
              <w:rPr>
                <w:sz w:val="6"/>
                <w:szCs w:val="6"/>
                <w:color w:val="auto"/>
              </w:rPr>
            </w:pPr>
          </w:p>
        </w:tc>
        <w:tc>
          <w:tcPr>
            <w:tcW w:w="580" w:type="dxa"/>
            <w:vAlign w:val="bottom"/>
            <w:shd w:val="clear" w:color="auto" w:fill="CCCCCC"/>
          </w:tcPr>
          <w:p>
            <w:pPr>
              <w:spacing w:after="0"/>
              <w:rPr>
                <w:sz w:val="6"/>
                <w:szCs w:val="6"/>
                <w:color w:val="auto"/>
              </w:rPr>
            </w:pPr>
          </w:p>
        </w:tc>
        <w:tc>
          <w:tcPr>
            <w:tcW w:w="780" w:type="dxa"/>
            <w:vAlign w:val="bottom"/>
            <w:shd w:val="clear" w:color="auto" w:fill="CCCCCC"/>
          </w:tcPr>
          <w:p>
            <w:pPr>
              <w:spacing w:after="0"/>
              <w:rPr>
                <w:sz w:val="6"/>
                <w:szCs w:val="6"/>
                <w:color w:val="auto"/>
              </w:rPr>
            </w:pPr>
          </w:p>
        </w:tc>
        <w:tc>
          <w:tcPr>
            <w:tcW w:w="540" w:type="dxa"/>
            <w:vAlign w:val="bottom"/>
            <w:shd w:val="clear" w:color="auto" w:fill="CCCCCC"/>
          </w:tcPr>
          <w:p>
            <w:pPr>
              <w:spacing w:after="0"/>
              <w:rPr>
                <w:sz w:val="6"/>
                <w:szCs w:val="6"/>
                <w:color w:val="auto"/>
              </w:rPr>
            </w:pPr>
          </w:p>
        </w:tc>
        <w:tc>
          <w:tcPr>
            <w:tcW w:w="260" w:type="dxa"/>
            <w:vAlign w:val="bottom"/>
            <w:shd w:val="clear" w:color="auto" w:fill="CCCCCC"/>
          </w:tcPr>
          <w:p>
            <w:pPr>
              <w:spacing w:after="0"/>
              <w:rPr>
                <w:sz w:val="6"/>
                <w:szCs w:val="6"/>
                <w:color w:val="auto"/>
              </w:rPr>
            </w:pPr>
          </w:p>
        </w:tc>
        <w:tc>
          <w:tcPr>
            <w:tcW w:w="640" w:type="dxa"/>
            <w:vAlign w:val="bottom"/>
            <w:shd w:val="clear" w:color="auto" w:fill="CCCCCC"/>
          </w:tcPr>
          <w:p>
            <w:pPr>
              <w:spacing w:after="0"/>
              <w:rPr>
                <w:sz w:val="6"/>
                <w:szCs w:val="6"/>
                <w:color w:val="auto"/>
              </w:rPr>
            </w:pPr>
          </w:p>
        </w:tc>
        <w:tc>
          <w:tcPr>
            <w:tcW w:w="540" w:type="dxa"/>
            <w:vAlign w:val="bottom"/>
            <w:shd w:val="clear" w:color="auto" w:fill="CCCCCC"/>
          </w:tcPr>
          <w:p>
            <w:pPr>
              <w:spacing w:after="0"/>
              <w:rPr>
                <w:sz w:val="6"/>
                <w:szCs w:val="6"/>
                <w:color w:val="auto"/>
              </w:rPr>
            </w:pPr>
          </w:p>
        </w:tc>
        <w:tc>
          <w:tcPr>
            <w:tcW w:w="660" w:type="dxa"/>
            <w:vAlign w:val="bottom"/>
            <w:shd w:val="clear" w:color="auto" w:fill="CCCCCC"/>
          </w:tcPr>
          <w:p>
            <w:pPr>
              <w:spacing w:after="0"/>
              <w:rPr>
                <w:sz w:val="6"/>
                <w:szCs w:val="6"/>
                <w:color w:val="auto"/>
              </w:rPr>
            </w:pPr>
          </w:p>
        </w:tc>
        <w:tc>
          <w:tcPr>
            <w:tcW w:w="380" w:type="dxa"/>
            <w:vAlign w:val="bottom"/>
            <w:shd w:val="clear" w:color="auto" w:fill="CCCCCC"/>
          </w:tcPr>
          <w:p>
            <w:pPr>
              <w:spacing w:after="0"/>
              <w:rPr>
                <w:sz w:val="6"/>
                <w:szCs w:val="6"/>
                <w:color w:val="auto"/>
              </w:rPr>
            </w:pPr>
          </w:p>
        </w:tc>
        <w:tc>
          <w:tcPr>
            <w:tcW w:w="240" w:type="dxa"/>
            <w:vAlign w:val="bottom"/>
            <w:shd w:val="clear" w:color="auto" w:fill="CCCCCC"/>
          </w:tcPr>
          <w:p>
            <w:pPr>
              <w:spacing w:after="0"/>
              <w:rPr>
                <w:sz w:val="6"/>
                <w:szCs w:val="6"/>
                <w:color w:val="auto"/>
              </w:rPr>
            </w:pPr>
          </w:p>
        </w:tc>
        <w:tc>
          <w:tcPr>
            <w:tcW w:w="560" w:type="dxa"/>
            <w:vAlign w:val="bottom"/>
            <w:shd w:val="clear" w:color="auto" w:fill="CCCCCC"/>
          </w:tcPr>
          <w:p>
            <w:pPr>
              <w:spacing w:after="0"/>
              <w:rPr>
                <w:sz w:val="6"/>
                <w:szCs w:val="6"/>
                <w:color w:val="auto"/>
              </w:rPr>
            </w:pPr>
          </w:p>
        </w:tc>
        <w:tc>
          <w:tcPr>
            <w:tcW w:w="460" w:type="dxa"/>
            <w:vAlign w:val="bottom"/>
            <w:shd w:val="clear" w:color="auto" w:fill="CCCCCC"/>
          </w:tcPr>
          <w:p>
            <w:pPr>
              <w:spacing w:after="0"/>
              <w:rPr>
                <w:sz w:val="6"/>
                <w:szCs w:val="6"/>
                <w:color w:val="auto"/>
              </w:rPr>
            </w:pPr>
          </w:p>
        </w:tc>
        <w:tc>
          <w:tcPr>
            <w:tcW w:w="640" w:type="dxa"/>
            <w:vAlign w:val="bottom"/>
            <w:shd w:val="clear" w:color="auto" w:fill="CCCCCC"/>
          </w:tcPr>
          <w:p>
            <w:pPr>
              <w:spacing w:after="0"/>
              <w:rPr>
                <w:sz w:val="6"/>
                <w:szCs w:val="6"/>
                <w:color w:val="auto"/>
              </w:rPr>
            </w:pPr>
          </w:p>
        </w:tc>
        <w:tc>
          <w:tcPr>
            <w:tcW w:w="380" w:type="dxa"/>
            <w:vAlign w:val="bottom"/>
            <w:shd w:val="clear" w:color="auto" w:fill="CCCCCC"/>
          </w:tcPr>
          <w:p>
            <w:pPr>
              <w:spacing w:after="0"/>
              <w:rPr>
                <w:sz w:val="6"/>
                <w:szCs w:val="6"/>
                <w:color w:val="auto"/>
              </w:rPr>
            </w:pPr>
          </w:p>
        </w:tc>
        <w:tc>
          <w:tcPr>
            <w:tcW w:w="140" w:type="dxa"/>
            <w:vAlign w:val="bottom"/>
            <w:shd w:val="clear" w:color="auto" w:fill="CCCCCC"/>
          </w:tcPr>
          <w:p>
            <w:pPr>
              <w:spacing w:after="0"/>
              <w:rPr>
                <w:sz w:val="6"/>
                <w:szCs w:val="6"/>
                <w:color w:val="auto"/>
              </w:rPr>
            </w:pPr>
          </w:p>
        </w:tc>
      </w:tr>
      <w:tr>
        <w:trPr>
          <w:trHeight w:val="227"/>
        </w:trPr>
        <w:tc>
          <w:tcPr>
            <w:tcW w:w="20" w:type="dxa"/>
            <w:vAlign w:val="bottom"/>
          </w:tcPr>
          <w:p>
            <w:pPr>
              <w:spacing w:after="0"/>
              <w:rPr>
                <w:sz w:val="19"/>
                <w:szCs w:val="19"/>
                <w:color w:val="auto"/>
              </w:rPr>
            </w:pPr>
          </w:p>
        </w:tc>
        <w:tc>
          <w:tcPr>
            <w:tcW w:w="2120" w:type="dxa"/>
            <w:vAlign w:val="bottom"/>
          </w:tcPr>
          <w:p>
            <w:pPr>
              <w:ind w:left="140"/>
              <w:spacing w:after="0"/>
              <w:rPr>
                <w:sz w:val="20"/>
                <w:szCs w:val="20"/>
                <w:color w:val="auto"/>
              </w:rPr>
            </w:pPr>
            <w:r>
              <w:rPr>
                <w:rFonts w:ascii="Arial" w:cs="Arial" w:eastAsia="Arial" w:hAnsi="Arial"/>
                <w:sz w:val="15"/>
                <w:szCs w:val="15"/>
                <w:color w:val="auto"/>
              </w:rPr>
              <w:t>Pre-herbicide 13–15 Feb</w:t>
            </w:r>
          </w:p>
        </w:tc>
        <w:tc>
          <w:tcPr>
            <w:tcW w:w="500" w:type="dxa"/>
            <w:vAlign w:val="bottom"/>
          </w:tcPr>
          <w:p>
            <w:pPr>
              <w:spacing w:after="0"/>
              <w:rPr>
                <w:sz w:val="19"/>
                <w:szCs w:val="19"/>
                <w:color w:val="auto"/>
              </w:rPr>
            </w:pPr>
          </w:p>
        </w:tc>
        <w:tc>
          <w:tcPr>
            <w:tcW w:w="660" w:type="dxa"/>
            <w:vAlign w:val="bottom"/>
          </w:tcPr>
          <w:p>
            <w:pPr>
              <w:ind w:left="80"/>
              <w:spacing w:after="0"/>
              <w:rPr>
                <w:sz w:val="20"/>
                <w:szCs w:val="20"/>
                <w:color w:val="auto"/>
              </w:rPr>
            </w:pPr>
            <w:r>
              <w:rPr>
                <w:rFonts w:ascii="Arial" w:cs="Arial" w:eastAsia="Arial" w:hAnsi="Arial"/>
                <w:sz w:val="15"/>
                <w:szCs w:val="15"/>
                <w:color w:val="auto"/>
              </w:rPr>
              <w:t>4.86</w:t>
            </w:r>
          </w:p>
        </w:tc>
        <w:tc>
          <w:tcPr>
            <w:tcW w:w="580" w:type="dxa"/>
            <w:vAlign w:val="bottom"/>
          </w:tcPr>
          <w:p>
            <w:pPr>
              <w:ind w:left="80"/>
              <w:spacing w:after="0"/>
              <w:rPr>
                <w:sz w:val="20"/>
                <w:szCs w:val="20"/>
                <w:color w:val="auto"/>
              </w:rPr>
            </w:pPr>
            <w:r>
              <w:rPr>
                <w:rFonts w:ascii="Arial" w:cs="Arial" w:eastAsia="Arial" w:hAnsi="Arial"/>
                <w:sz w:val="15"/>
                <w:szCs w:val="15"/>
                <w:color w:val="auto"/>
              </w:rPr>
              <w:t>212</w:t>
            </w:r>
          </w:p>
        </w:tc>
        <w:tc>
          <w:tcPr>
            <w:tcW w:w="780" w:type="dxa"/>
            <w:vAlign w:val="bottom"/>
          </w:tcPr>
          <w:p>
            <w:pPr>
              <w:ind w:left="200"/>
              <w:spacing w:after="0"/>
              <w:rPr>
                <w:sz w:val="20"/>
                <w:szCs w:val="20"/>
                <w:color w:val="auto"/>
              </w:rPr>
            </w:pPr>
            <w:r>
              <w:rPr>
                <w:rFonts w:ascii="Arial" w:cs="Arial" w:eastAsia="Arial" w:hAnsi="Arial"/>
                <w:sz w:val="15"/>
                <w:szCs w:val="15"/>
                <w:color w:val="auto"/>
              </w:rPr>
              <w:t>221</w:t>
            </w:r>
          </w:p>
        </w:tc>
        <w:tc>
          <w:tcPr>
            <w:tcW w:w="540" w:type="dxa"/>
            <w:vAlign w:val="bottom"/>
          </w:tcPr>
          <w:p>
            <w:pPr>
              <w:ind w:left="120"/>
              <w:spacing w:after="0"/>
              <w:rPr>
                <w:sz w:val="20"/>
                <w:szCs w:val="20"/>
                <w:color w:val="auto"/>
              </w:rPr>
            </w:pPr>
            <w:r>
              <w:rPr>
                <w:rFonts w:ascii="Arial" w:cs="Arial" w:eastAsia="Arial" w:hAnsi="Arial"/>
                <w:sz w:val="15"/>
                <w:szCs w:val="15"/>
                <w:color w:val="auto"/>
              </w:rPr>
              <w:t>241</w:t>
            </w:r>
          </w:p>
        </w:tc>
        <w:tc>
          <w:tcPr>
            <w:tcW w:w="900" w:type="dxa"/>
            <w:vAlign w:val="bottom"/>
            <w:gridSpan w:val="2"/>
          </w:tcPr>
          <w:p>
            <w:pPr>
              <w:ind w:left="260"/>
              <w:spacing w:after="0"/>
              <w:rPr>
                <w:sz w:val="20"/>
                <w:szCs w:val="20"/>
                <w:color w:val="auto"/>
              </w:rPr>
            </w:pPr>
            <w:r>
              <w:rPr>
                <w:rFonts w:ascii="Arial" w:cs="Arial" w:eastAsia="Arial" w:hAnsi="Arial"/>
                <w:sz w:val="15"/>
                <w:szCs w:val="15"/>
                <w:color w:val="auto"/>
              </w:rPr>
              <w:t>100.69</w:t>
            </w:r>
          </w:p>
        </w:tc>
        <w:tc>
          <w:tcPr>
            <w:tcW w:w="540" w:type="dxa"/>
            <w:vAlign w:val="bottom"/>
          </w:tcPr>
          <w:p>
            <w:pPr>
              <w:ind w:left="100"/>
              <w:spacing w:after="0"/>
              <w:rPr>
                <w:sz w:val="20"/>
                <w:szCs w:val="20"/>
                <w:color w:val="auto"/>
              </w:rPr>
            </w:pPr>
            <w:r>
              <w:rPr>
                <w:rFonts w:ascii="Arial" w:cs="Arial" w:eastAsia="Arial" w:hAnsi="Arial"/>
                <w:sz w:val="15"/>
                <w:szCs w:val="15"/>
                <w:color w:val="auto"/>
              </w:rPr>
              <w:t>1.2</w:t>
            </w:r>
          </w:p>
        </w:tc>
        <w:tc>
          <w:tcPr>
            <w:tcW w:w="660" w:type="dxa"/>
            <w:vAlign w:val="bottom"/>
          </w:tcPr>
          <w:p>
            <w:pPr>
              <w:ind w:left="140"/>
              <w:spacing w:after="0"/>
              <w:rPr>
                <w:sz w:val="20"/>
                <w:szCs w:val="20"/>
                <w:color w:val="auto"/>
              </w:rPr>
            </w:pPr>
            <w:r>
              <w:rPr>
                <w:rFonts w:ascii="Arial" w:cs="Arial" w:eastAsia="Arial" w:hAnsi="Arial"/>
                <w:sz w:val="15"/>
                <w:szCs w:val="15"/>
                <w:color w:val="auto"/>
              </w:rPr>
              <w:t>19.2</w:t>
            </w:r>
          </w:p>
        </w:tc>
        <w:tc>
          <w:tcPr>
            <w:tcW w:w="380" w:type="dxa"/>
            <w:vAlign w:val="bottom"/>
          </w:tcPr>
          <w:p>
            <w:pPr>
              <w:ind w:left="40"/>
              <w:spacing w:after="0"/>
              <w:rPr>
                <w:sz w:val="20"/>
                <w:szCs w:val="20"/>
                <w:color w:val="auto"/>
              </w:rPr>
            </w:pPr>
            <w:r>
              <w:rPr>
                <w:rFonts w:ascii="Arial" w:cs="Arial" w:eastAsia="Arial" w:hAnsi="Arial"/>
                <w:sz w:val="15"/>
                <w:szCs w:val="15"/>
                <w:color w:val="auto"/>
              </w:rPr>
              <w:t>74.3</w:t>
            </w:r>
          </w:p>
        </w:tc>
        <w:tc>
          <w:tcPr>
            <w:tcW w:w="800" w:type="dxa"/>
            <w:vAlign w:val="bottom"/>
            <w:gridSpan w:val="2"/>
          </w:tcPr>
          <w:p>
            <w:pPr>
              <w:ind w:left="240"/>
              <w:spacing w:after="0"/>
              <w:rPr>
                <w:sz w:val="20"/>
                <w:szCs w:val="20"/>
                <w:color w:val="auto"/>
              </w:rPr>
            </w:pPr>
            <w:r>
              <w:rPr>
                <w:rFonts w:ascii="Arial" w:cs="Arial" w:eastAsia="Arial" w:hAnsi="Arial"/>
                <w:sz w:val="15"/>
                <w:szCs w:val="15"/>
                <w:color w:val="auto"/>
              </w:rPr>
              <w:t>3.71</w:t>
            </w:r>
          </w:p>
        </w:tc>
        <w:tc>
          <w:tcPr>
            <w:tcW w:w="460" w:type="dxa"/>
            <w:vAlign w:val="bottom"/>
          </w:tcPr>
          <w:p>
            <w:pPr>
              <w:spacing w:after="0"/>
              <w:rPr>
                <w:sz w:val="20"/>
                <w:szCs w:val="20"/>
                <w:color w:val="auto"/>
              </w:rPr>
            </w:pPr>
            <w:r>
              <w:rPr>
                <w:rFonts w:ascii="Arial" w:cs="Arial" w:eastAsia="Arial" w:hAnsi="Arial"/>
                <w:sz w:val="15"/>
                <w:szCs w:val="15"/>
                <w:color w:val="auto"/>
              </w:rPr>
              <w:t>6.7</w:t>
            </w:r>
          </w:p>
        </w:tc>
        <w:tc>
          <w:tcPr>
            <w:tcW w:w="640" w:type="dxa"/>
            <w:vAlign w:val="bottom"/>
          </w:tcPr>
          <w:p>
            <w:pPr>
              <w:ind w:left="120"/>
              <w:spacing w:after="0"/>
              <w:rPr>
                <w:sz w:val="20"/>
                <w:szCs w:val="20"/>
                <w:color w:val="auto"/>
              </w:rPr>
            </w:pPr>
            <w:r>
              <w:rPr>
                <w:rFonts w:ascii="Arial" w:cs="Arial" w:eastAsia="Arial" w:hAnsi="Arial"/>
                <w:sz w:val="15"/>
                <w:szCs w:val="15"/>
                <w:color w:val="auto"/>
              </w:rPr>
              <w:t>6.9</w:t>
            </w:r>
          </w:p>
        </w:tc>
        <w:tc>
          <w:tcPr>
            <w:tcW w:w="380" w:type="dxa"/>
            <w:vAlign w:val="bottom"/>
          </w:tcPr>
          <w:p>
            <w:pPr>
              <w:ind w:left="60"/>
              <w:spacing w:after="0"/>
              <w:rPr>
                <w:sz w:val="20"/>
                <w:szCs w:val="20"/>
                <w:color w:val="auto"/>
              </w:rPr>
            </w:pPr>
            <w:r>
              <w:rPr>
                <w:rFonts w:ascii="Arial" w:cs="Arial" w:eastAsia="Arial" w:hAnsi="Arial"/>
                <w:sz w:val="15"/>
                <w:szCs w:val="15"/>
                <w:color w:val="auto"/>
              </w:rPr>
              <w:t>7.4</w:t>
            </w:r>
          </w:p>
        </w:tc>
        <w:tc>
          <w:tcPr>
            <w:tcW w:w="140" w:type="dxa"/>
            <w:vAlign w:val="bottom"/>
          </w:tcPr>
          <w:p>
            <w:pPr>
              <w:spacing w:after="0"/>
              <w:rPr>
                <w:sz w:val="19"/>
                <w:szCs w:val="19"/>
                <w:color w:val="auto"/>
              </w:rPr>
            </w:pPr>
          </w:p>
        </w:tc>
      </w:tr>
      <w:tr>
        <w:trPr>
          <w:trHeight w:val="53"/>
        </w:trPr>
        <w:tc>
          <w:tcPr>
            <w:tcW w:w="20" w:type="dxa"/>
            <w:vAlign w:val="bottom"/>
          </w:tcPr>
          <w:p>
            <w:pPr>
              <w:spacing w:after="0"/>
              <w:rPr>
                <w:sz w:val="4"/>
                <w:szCs w:val="4"/>
                <w:color w:val="auto"/>
              </w:rPr>
            </w:pPr>
          </w:p>
        </w:tc>
        <w:tc>
          <w:tcPr>
            <w:tcW w:w="2120" w:type="dxa"/>
            <w:vAlign w:val="bottom"/>
          </w:tcPr>
          <w:p>
            <w:pPr>
              <w:spacing w:after="0"/>
              <w:rPr>
                <w:sz w:val="4"/>
                <w:szCs w:val="4"/>
                <w:color w:val="auto"/>
              </w:rPr>
            </w:pPr>
          </w:p>
        </w:tc>
        <w:tc>
          <w:tcPr>
            <w:tcW w:w="500" w:type="dxa"/>
            <w:vAlign w:val="bottom"/>
          </w:tcPr>
          <w:p>
            <w:pPr>
              <w:spacing w:after="0"/>
              <w:rPr>
                <w:sz w:val="4"/>
                <w:szCs w:val="4"/>
                <w:color w:val="auto"/>
              </w:rPr>
            </w:pPr>
          </w:p>
        </w:tc>
        <w:tc>
          <w:tcPr>
            <w:tcW w:w="660" w:type="dxa"/>
            <w:vAlign w:val="bottom"/>
          </w:tcPr>
          <w:p>
            <w:pPr>
              <w:spacing w:after="0"/>
              <w:rPr>
                <w:sz w:val="4"/>
                <w:szCs w:val="4"/>
                <w:color w:val="auto"/>
              </w:rPr>
            </w:pPr>
          </w:p>
        </w:tc>
        <w:tc>
          <w:tcPr>
            <w:tcW w:w="580" w:type="dxa"/>
            <w:vAlign w:val="bottom"/>
          </w:tcPr>
          <w:p>
            <w:pPr>
              <w:spacing w:after="0"/>
              <w:rPr>
                <w:sz w:val="4"/>
                <w:szCs w:val="4"/>
                <w:color w:val="auto"/>
              </w:rPr>
            </w:pPr>
          </w:p>
        </w:tc>
        <w:tc>
          <w:tcPr>
            <w:tcW w:w="780" w:type="dxa"/>
            <w:vAlign w:val="bottom"/>
          </w:tcPr>
          <w:p>
            <w:pPr>
              <w:spacing w:after="0"/>
              <w:rPr>
                <w:sz w:val="4"/>
                <w:szCs w:val="4"/>
                <w:color w:val="auto"/>
              </w:rPr>
            </w:pPr>
          </w:p>
        </w:tc>
        <w:tc>
          <w:tcPr>
            <w:tcW w:w="540" w:type="dxa"/>
            <w:vAlign w:val="bottom"/>
          </w:tcPr>
          <w:p>
            <w:pPr>
              <w:spacing w:after="0"/>
              <w:rPr>
                <w:sz w:val="4"/>
                <w:szCs w:val="4"/>
                <w:color w:val="auto"/>
              </w:rPr>
            </w:pPr>
          </w:p>
        </w:tc>
        <w:tc>
          <w:tcPr>
            <w:tcW w:w="260" w:type="dxa"/>
            <w:vAlign w:val="bottom"/>
          </w:tcPr>
          <w:p>
            <w:pPr>
              <w:spacing w:after="0"/>
              <w:rPr>
                <w:sz w:val="4"/>
                <w:szCs w:val="4"/>
                <w:color w:val="auto"/>
              </w:rPr>
            </w:pPr>
          </w:p>
        </w:tc>
        <w:tc>
          <w:tcPr>
            <w:tcW w:w="640" w:type="dxa"/>
            <w:vAlign w:val="bottom"/>
          </w:tcPr>
          <w:p>
            <w:pPr>
              <w:spacing w:after="0"/>
              <w:rPr>
                <w:sz w:val="4"/>
                <w:szCs w:val="4"/>
                <w:color w:val="auto"/>
              </w:rPr>
            </w:pPr>
          </w:p>
        </w:tc>
        <w:tc>
          <w:tcPr>
            <w:tcW w:w="540" w:type="dxa"/>
            <w:vAlign w:val="bottom"/>
          </w:tcPr>
          <w:p>
            <w:pPr>
              <w:spacing w:after="0"/>
              <w:rPr>
                <w:sz w:val="4"/>
                <w:szCs w:val="4"/>
                <w:color w:val="auto"/>
              </w:rPr>
            </w:pPr>
          </w:p>
        </w:tc>
        <w:tc>
          <w:tcPr>
            <w:tcW w:w="660" w:type="dxa"/>
            <w:vAlign w:val="bottom"/>
          </w:tcPr>
          <w:p>
            <w:pPr>
              <w:spacing w:after="0"/>
              <w:rPr>
                <w:sz w:val="4"/>
                <w:szCs w:val="4"/>
                <w:color w:val="auto"/>
              </w:rPr>
            </w:pPr>
          </w:p>
        </w:tc>
        <w:tc>
          <w:tcPr>
            <w:tcW w:w="380" w:type="dxa"/>
            <w:vAlign w:val="bottom"/>
          </w:tcPr>
          <w:p>
            <w:pPr>
              <w:spacing w:after="0"/>
              <w:rPr>
                <w:sz w:val="4"/>
                <w:szCs w:val="4"/>
                <w:color w:val="auto"/>
              </w:rPr>
            </w:pPr>
          </w:p>
        </w:tc>
        <w:tc>
          <w:tcPr>
            <w:tcW w:w="240" w:type="dxa"/>
            <w:vAlign w:val="bottom"/>
          </w:tcPr>
          <w:p>
            <w:pPr>
              <w:spacing w:after="0"/>
              <w:rPr>
                <w:sz w:val="4"/>
                <w:szCs w:val="4"/>
                <w:color w:val="auto"/>
              </w:rPr>
            </w:pPr>
          </w:p>
        </w:tc>
        <w:tc>
          <w:tcPr>
            <w:tcW w:w="560" w:type="dxa"/>
            <w:vAlign w:val="bottom"/>
          </w:tcPr>
          <w:p>
            <w:pPr>
              <w:spacing w:after="0"/>
              <w:rPr>
                <w:sz w:val="4"/>
                <w:szCs w:val="4"/>
                <w:color w:val="auto"/>
              </w:rPr>
            </w:pPr>
          </w:p>
        </w:tc>
        <w:tc>
          <w:tcPr>
            <w:tcW w:w="460" w:type="dxa"/>
            <w:vAlign w:val="bottom"/>
          </w:tcPr>
          <w:p>
            <w:pPr>
              <w:spacing w:after="0"/>
              <w:rPr>
                <w:sz w:val="4"/>
                <w:szCs w:val="4"/>
                <w:color w:val="auto"/>
              </w:rPr>
            </w:pPr>
          </w:p>
        </w:tc>
        <w:tc>
          <w:tcPr>
            <w:tcW w:w="6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40" w:type="dxa"/>
            <w:vAlign w:val="bottom"/>
          </w:tcPr>
          <w:p>
            <w:pPr>
              <w:spacing w:after="0"/>
              <w:rPr>
                <w:sz w:val="4"/>
                <w:szCs w:val="4"/>
                <w:color w:val="auto"/>
              </w:rPr>
            </w:pPr>
          </w:p>
        </w:tc>
      </w:tr>
      <w:tr>
        <w:trPr>
          <w:trHeight w:val="260"/>
        </w:trPr>
        <w:tc>
          <w:tcPr>
            <w:tcW w:w="20" w:type="dxa"/>
            <w:vAlign w:val="bottom"/>
          </w:tcPr>
          <w:p>
            <w:pPr>
              <w:spacing w:after="0"/>
              <w:rPr>
                <w:sz w:val="22"/>
                <w:szCs w:val="22"/>
                <w:color w:val="auto"/>
              </w:rPr>
            </w:pPr>
          </w:p>
        </w:tc>
        <w:tc>
          <w:tcPr>
            <w:tcW w:w="212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Post-herbicide 17–19 Feb</w:t>
            </w:r>
          </w:p>
        </w:tc>
        <w:tc>
          <w:tcPr>
            <w:tcW w:w="500" w:type="dxa"/>
            <w:vAlign w:val="bottom"/>
            <w:tcBorders>
              <w:bottom w:val="single" w:sz="8" w:color="E6E6E6"/>
            </w:tcBorders>
            <w:shd w:val="clear" w:color="auto" w:fill="E6E6E6"/>
          </w:tcPr>
          <w:p>
            <w:pPr>
              <w:spacing w:after="0"/>
              <w:rPr>
                <w:sz w:val="22"/>
                <w:szCs w:val="22"/>
                <w:color w:val="auto"/>
              </w:rPr>
            </w:pPr>
          </w:p>
        </w:tc>
        <w:tc>
          <w:tcPr>
            <w:tcW w:w="660" w:type="dxa"/>
            <w:vAlign w:val="bottom"/>
            <w:tcBorders>
              <w:bottom w:val="single" w:sz="8" w:color="E6E6E6"/>
            </w:tcBorders>
            <w:shd w:val="clear" w:color="auto" w:fill="E6E6E6"/>
          </w:tcPr>
          <w:p>
            <w:pPr>
              <w:ind w:left="80"/>
              <w:spacing w:after="0"/>
              <w:rPr>
                <w:sz w:val="20"/>
                <w:szCs w:val="20"/>
                <w:color w:val="auto"/>
              </w:rPr>
            </w:pPr>
            <w:r>
              <w:rPr>
                <w:rFonts w:ascii="Arial" w:cs="Arial" w:eastAsia="Arial" w:hAnsi="Arial"/>
                <w:sz w:val="15"/>
                <w:szCs w:val="15"/>
                <w:color w:val="auto"/>
              </w:rPr>
              <w:t>7.74</w:t>
            </w:r>
          </w:p>
        </w:tc>
        <w:tc>
          <w:tcPr>
            <w:tcW w:w="580" w:type="dxa"/>
            <w:vAlign w:val="bottom"/>
            <w:tcBorders>
              <w:bottom w:val="single" w:sz="8" w:color="E6E6E6"/>
            </w:tcBorders>
            <w:shd w:val="clear" w:color="auto" w:fill="E6E6E6"/>
          </w:tcPr>
          <w:p>
            <w:pPr>
              <w:ind w:left="80"/>
              <w:spacing w:after="0"/>
              <w:rPr>
                <w:sz w:val="20"/>
                <w:szCs w:val="20"/>
                <w:color w:val="auto"/>
              </w:rPr>
            </w:pPr>
            <w:r>
              <w:rPr>
                <w:rFonts w:ascii="Arial" w:cs="Arial" w:eastAsia="Arial" w:hAnsi="Arial"/>
                <w:sz w:val="15"/>
                <w:szCs w:val="15"/>
                <w:color w:val="auto"/>
              </w:rPr>
              <w:t>214</w:t>
            </w:r>
          </w:p>
        </w:tc>
        <w:tc>
          <w:tcPr>
            <w:tcW w:w="780" w:type="dxa"/>
            <w:vAlign w:val="bottom"/>
            <w:tcBorders>
              <w:bottom w:val="single" w:sz="8" w:color="E6E6E6"/>
            </w:tcBorders>
            <w:shd w:val="clear" w:color="auto" w:fill="E6E6E6"/>
          </w:tcPr>
          <w:p>
            <w:pPr>
              <w:ind w:left="200"/>
              <w:spacing w:after="0"/>
              <w:rPr>
                <w:sz w:val="20"/>
                <w:szCs w:val="20"/>
                <w:color w:val="auto"/>
              </w:rPr>
            </w:pPr>
            <w:r>
              <w:rPr>
                <w:rFonts w:ascii="Arial" w:cs="Arial" w:eastAsia="Arial" w:hAnsi="Arial"/>
                <w:sz w:val="15"/>
                <w:szCs w:val="15"/>
                <w:color w:val="auto"/>
              </w:rPr>
              <w:t>230</w:t>
            </w:r>
          </w:p>
        </w:tc>
        <w:tc>
          <w:tcPr>
            <w:tcW w:w="540" w:type="dxa"/>
            <w:vAlign w:val="bottom"/>
            <w:tcBorders>
              <w:bottom w:val="single" w:sz="8" w:color="E6E6E6"/>
            </w:tcBorders>
            <w:shd w:val="clear" w:color="auto" w:fill="E6E6E6"/>
          </w:tcPr>
          <w:p>
            <w:pPr>
              <w:ind w:left="120"/>
              <w:spacing w:after="0"/>
              <w:rPr>
                <w:sz w:val="20"/>
                <w:szCs w:val="20"/>
                <w:color w:val="auto"/>
              </w:rPr>
            </w:pPr>
            <w:r>
              <w:rPr>
                <w:rFonts w:ascii="Arial" w:cs="Arial" w:eastAsia="Arial" w:hAnsi="Arial"/>
                <w:sz w:val="15"/>
                <w:szCs w:val="15"/>
                <w:color w:val="auto"/>
              </w:rPr>
              <w:t>260</w:t>
            </w:r>
          </w:p>
        </w:tc>
        <w:tc>
          <w:tcPr>
            <w:tcW w:w="900" w:type="dxa"/>
            <w:vAlign w:val="bottom"/>
            <w:tcBorders>
              <w:bottom w:val="single" w:sz="8" w:color="E6E6E6"/>
            </w:tcBorders>
            <w:gridSpan w:val="2"/>
            <w:shd w:val="clear" w:color="auto" w:fill="E6E6E6"/>
          </w:tcPr>
          <w:p>
            <w:pPr>
              <w:ind w:left="260"/>
              <w:spacing w:after="0"/>
              <w:rPr>
                <w:sz w:val="20"/>
                <w:szCs w:val="20"/>
                <w:color w:val="auto"/>
              </w:rPr>
            </w:pPr>
            <w:r>
              <w:rPr>
                <w:rFonts w:ascii="Arial" w:cs="Arial" w:eastAsia="Arial" w:hAnsi="Arial"/>
                <w:sz w:val="15"/>
                <w:szCs w:val="15"/>
                <w:color w:val="auto"/>
              </w:rPr>
              <w:t>177.74</w:t>
            </w:r>
          </w:p>
        </w:tc>
        <w:tc>
          <w:tcPr>
            <w:tcW w:w="540" w:type="dxa"/>
            <w:vAlign w:val="bottom"/>
            <w:tcBorders>
              <w:bottom w:val="single" w:sz="8" w:color="E6E6E6"/>
            </w:tcBorders>
            <w:shd w:val="clear" w:color="auto" w:fill="E6E6E6"/>
          </w:tcPr>
          <w:p>
            <w:pPr>
              <w:ind w:left="100"/>
              <w:spacing w:after="0"/>
              <w:rPr>
                <w:sz w:val="20"/>
                <w:szCs w:val="20"/>
                <w:color w:val="auto"/>
              </w:rPr>
            </w:pPr>
            <w:r>
              <w:rPr>
                <w:rFonts w:ascii="Arial" w:cs="Arial" w:eastAsia="Arial" w:hAnsi="Arial"/>
                <w:sz w:val="15"/>
                <w:szCs w:val="15"/>
                <w:color w:val="auto"/>
              </w:rPr>
              <w:t>0.6</w:t>
            </w:r>
          </w:p>
        </w:tc>
        <w:tc>
          <w:tcPr>
            <w:tcW w:w="660" w:type="dxa"/>
            <w:vAlign w:val="bottom"/>
            <w:tcBorders>
              <w:bottom w:val="single" w:sz="8" w:color="E6E6E6"/>
            </w:tcBorders>
            <w:shd w:val="clear" w:color="auto" w:fill="E6E6E6"/>
          </w:tcPr>
          <w:p>
            <w:pPr>
              <w:ind w:left="220"/>
              <w:spacing w:after="0"/>
              <w:rPr>
                <w:sz w:val="20"/>
                <w:szCs w:val="20"/>
                <w:color w:val="auto"/>
              </w:rPr>
            </w:pPr>
            <w:r>
              <w:rPr>
                <w:rFonts w:ascii="Arial" w:cs="Arial" w:eastAsia="Arial" w:hAnsi="Arial"/>
                <w:sz w:val="15"/>
                <w:szCs w:val="15"/>
                <w:color w:val="auto"/>
              </w:rPr>
              <w:t>0.9</w:t>
            </w:r>
          </w:p>
        </w:tc>
        <w:tc>
          <w:tcPr>
            <w:tcW w:w="380" w:type="dxa"/>
            <w:vAlign w:val="bottom"/>
            <w:tcBorders>
              <w:bottom w:val="single" w:sz="8" w:color="E6E6E6"/>
            </w:tcBorders>
            <w:shd w:val="clear" w:color="auto" w:fill="E6E6E6"/>
          </w:tcPr>
          <w:p>
            <w:pPr>
              <w:ind w:left="40"/>
              <w:spacing w:after="0"/>
              <w:rPr>
                <w:sz w:val="20"/>
                <w:szCs w:val="20"/>
                <w:color w:val="auto"/>
              </w:rPr>
            </w:pPr>
            <w:r>
              <w:rPr>
                <w:rFonts w:ascii="Arial" w:cs="Arial" w:eastAsia="Arial" w:hAnsi="Arial"/>
                <w:sz w:val="15"/>
                <w:szCs w:val="15"/>
                <w:color w:val="auto"/>
              </w:rPr>
              <w:t>10.7</w:t>
            </w:r>
          </w:p>
        </w:tc>
        <w:tc>
          <w:tcPr>
            <w:tcW w:w="800" w:type="dxa"/>
            <w:vAlign w:val="bottom"/>
            <w:tcBorders>
              <w:bottom w:val="single" w:sz="8" w:color="E6E6E6"/>
            </w:tcBorders>
            <w:gridSpan w:val="2"/>
            <w:shd w:val="clear" w:color="auto" w:fill="E6E6E6"/>
          </w:tcPr>
          <w:p>
            <w:pPr>
              <w:ind w:left="240"/>
              <w:spacing w:after="0"/>
              <w:rPr>
                <w:sz w:val="20"/>
                <w:szCs w:val="20"/>
                <w:color w:val="auto"/>
              </w:rPr>
            </w:pPr>
            <w:r>
              <w:rPr>
                <w:rFonts w:ascii="Arial" w:cs="Arial" w:eastAsia="Arial" w:hAnsi="Arial"/>
                <w:sz w:val="15"/>
                <w:szCs w:val="15"/>
                <w:color w:val="auto"/>
              </w:rPr>
              <w:t>1.54</w:t>
            </w:r>
          </w:p>
        </w:tc>
        <w:tc>
          <w:tcPr>
            <w:tcW w:w="460" w:type="dxa"/>
            <w:vAlign w:val="bottom"/>
            <w:tcBorders>
              <w:bottom w:val="single" w:sz="8" w:color="E6E6E6"/>
            </w:tcBorders>
            <w:shd w:val="clear" w:color="auto" w:fill="E6E6E6"/>
          </w:tcPr>
          <w:p>
            <w:pPr>
              <w:spacing w:after="0"/>
              <w:rPr>
                <w:sz w:val="20"/>
                <w:szCs w:val="20"/>
                <w:color w:val="auto"/>
              </w:rPr>
            </w:pPr>
            <w:r>
              <w:rPr>
                <w:rFonts w:ascii="Arial" w:cs="Arial" w:eastAsia="Arial" w:hAnsi="Arial"/>
                <w:sz w:val="15"/>
                <w:szCs w:val="15"/>
                <w:color w:val="auto"/>
              </w:rPr>
              <w:t>7.1</w:t>
            </w:r>
          </w:p>
        </w:tc>
        <w:tc>
          <w:tcPr>
            <w:tcW w:w="640" w:type="dxa"/>
            <w:vAlign w:val="bottom"/>
            <w:tcBorders>
              <w:bottom w:val="single" w:sz="8" w:color="E6E6E6"/>
            </w:tcBorders>
            <w:shd w:val="clear" w:color="auto" w:fill="E6E6E6"/>
          </w:tcPr>
          <w:p>
            <w:pPr>
              <w:ind w:left="120"/>
              <w:spacing w:after="0"/>
              <w:rPr>
                <w:sz w:val="20"/>
                <w:szCs w:val="20"/>
                <w:color w:val="auto"/>
              </w:rPr>
            </w:pPr>
            <w:r>
              <w:rPr>
                <w:rFonts w:ascii="Arial" w:cs="Arial" w:eastAsia="Arial" w:hAnsi="Arial"/>
                <w:sz w:val="15"/>
                <w:szCs w:val="15"/>
                <w:color w:val="auto"/>
              </w:rPr>
              <w:t>7.3</w:t>
            </w:r>
          </w:p>
        </w:tc>
        <w:tc>
          <w:tcPr>
            <w:tcW w:w="380" w:type="dxa"/>
            <w:vAlign w:val="bottom"/>
            <w:tcBorders>
              <w:bottom w:val="single" w:sz="8" w:color="E6E6E6"/>
            </w:tcBorders>
            <w:shd w:val="clear" w:color="auto" w:fill="E6E6E6"/>
          </w:tcPr>
          <w:p>
            <w:pPr>
              <w:ind w:left="60"/>
              <w:spacing w:after="0"/>
              <w:rPr>
                <w:sz w:val="20"/>
                <w:szCs w:val="20"/>
                <w:color w:val="auto"/>
              </w:rPr>
            </w:pPr>
            <w:r>
              <w:rPr>
                <w:rFonts w:ascii="Arial" w:cs="Arial" w:eastAsia="Arial" w:hAnsi="Arial"/>
                <w:sz w:val="15"/>
                <w:szCs w:val="15"/>
                <w:color w:val="auto"/>
              </w:rPr>
              <w:t>7.4</w:t>
            </w:r>
          </w:p>
        </w:tc>
        <w:tc>
          <w:tcPr>
            <w:tcW w:w="140" w:type="dxa"/>
            <w:vAlign w:val="bottom"/>
            <w:tcBorders>
              <w:bottom w:val="single" w:sz="8" w:color="E6E6E6"/>
            </w:tcBorders>
            <w:shd w:val="clear" w:color="auto" w:fill="E6E6E6"/>
          </w:tcPr>
          <w:p>
            <w:pPr>
              <w:spacing w:after="0"/>
              <w:rPr>
                <w:sz w:val="22"/>
                <w:szCs w:val="22"/>
                <w:color w:val="auto"/>
              </w:rPr>
            </w:pPr>
          </w:p>
        </w:tc>
      </w:tr>
      <w:tr>
        <w:trPr>
          <w:trHeight w:val="221"/>
        </w:trPr>
        <w:tc>
          <w:tcPr>
            <w:tcW w:w="20" w:type="dxa"/>
            <w:vAlign w:val="bottom"/>
          </w:tcPr>
          <w:p>
            <w:pPr>
              <w:spacing w:after="0"/>
              <w:rPr>
                <w:sz w:val="19"/>
                <w:szCs w:val="19"/>
                <w:color w:val="auto"/>
              </w:rPr>
            </w:pPr>
          </w:p>
        </w:tc>
        <w:tc>
          <w:tcPr>
            <w:tcW w:w="2120" w:type="dxa"/>
            <w:vAlign w:val="bottom"/>
          </w:tcPr>
          <w:p>
            <w:pPr>
              <w:ind w:left="140"/>
              <w:spacing w:after="0"/>
              <w:rPr>
                <w:sz w:val="20"/>
                <w:szCs w:val="20"/>
                <w:color w:val="auto"/>
              </w:rPr>
            </w:pPr>
            <w:r>
              <w:rPr>
                <w:rFonts w:ascii="Arial" w:cs="Arial" w:eastAsia="Arial" w:hAnsi="Arial"/>
                <w:sz w:val="15"/>
                <w:szCs w:val="15"/>
                <w:color w:val="auto"/>
              </w:rPr>
              <w:t>Post-herbicide (10-days)</w:t>
            </w:r>
          </w:p>
        </w:tc>
        <w:tc>
          <w:tcPr>
            <w:tcW w:w="500" w:type="dxa"/>
            <w:vAlign w:val="bottom"/>
          </w:tcPr>
          <w:p>
            <w:pPr>
              <w:spacing w:after="0"/>
              <w:rPr>
                <w:sz w:val="19"/>
                <w:szCs w:val="19"/>
                <w:color w:val="auto"/>
              </w:rPr>
            </w:pPr>
          </w:p>
        </w:tc>
        <w:tc>
          <w:tcPr>
            <w:tcW w:w="660" w:type="dxa"/>
            <w:vAlign w:val="bottom"/>
          </w:tcPr>
          <w:p>
            <w:pPr>
              <w:spacing w:after="0"/>
              <w:rPr>
                <w:sz w:val="20"/>
                <w:szCs w:val="20"/>
                <w:color w:val="auto"/>
              </w:rPr>
            </w:pPr>
            <w:r>
              <w:rPr>
                <w:rFonts w:ascii="Arial" w:cs="Arial" w:eastAsia="Arial" w:hAnsi="Arial"/>
                <w:sz w:val="15"/>
                <w:szCs w:val="15"/>
                <w:color w:val="auto"/>
              </w:rPr>
              <w:t>15.23</w:t>
            </w:r>
          </w:p>
        </w:tc>
        <w:tc>
          <w:tcPr>
            <w:tcW w:w="580" w:type="dxa"/>
            <w:vAlign w:val="bottom"/>
          </w:tcPr>
          <w:p>
            <w:pPr>
              <w:ind w:left="80"/>
              <w:spacing w:after="0"/>
              <w:rPr>
                <w:sz w:val="20"/>
                <w:szCs w:val="20"/>
                <w:color w:val="auto"/>
              </w:rPr>
            </w:pPr>
            <w:r>
              <w:rPr>
                <w:rFonts w:ascii="Arial" w:cs="Arial" w:eastAsia="Arial" w:hAnsi="Arial"/>
                <w:sz w:val="15"/>
                <w:szCs w:val="15"/>
                <w:color w:val="auto"/>
              </w:rPr>
              <w:t>274</w:t>
            </w:r>
          </w:p>
        </w:tc>
        <w:tc>
          <w:tcPr>
            <w:tcW w:w="780" w:type="dxa"/>
            <w:vAlign w:val="bottom"/>
          </w:tcPr>
          <w:p>
            <w:pPr>
              <w:ind w:left="200"/>
              <w:spacing w:after="0"/>
              <w:rPr>
                <w:sz w:val="20"/>
                <w:szCs w:val="20"/>
                <w:color w:val="auto"/>
              </w:rPr>
            </w:pPr>
            <w:r>
              <w:rPr>
                <w:rFonts w:ascii="Arial" w:cs="Arial" w:eastAsia="Arial" w:hAnsi="Arial"/>
                <w:sz w:val="15"/>
                <w:szCs w:val="15"/>
                <w:color w:val="auto"/>
              </w:rPr>
              <w:t>342</w:t>
            </w:r>
          </w:p>
        </w:tc>
        <w:tc>
          <w:tcPr>
            <w:tcW w:w="540" w:type="dxa"/>
            <w:vAlign w:val="bottom"/>
          </w:tcPr>
          <w:p>
            <w:pPr>
              <w:ind w:left="120"/>
              <w:spacing w:after="0"/>
              <w:rPr>
                <w:sz w:val="20"/>
                <w:szCs w:val="20"/>
                <w:color w:val="auto"/>
              </w:rPr>
            </w:pPr>
            <w:r>
              <w:rPr>
                <w:rFonts w:ascii="Arial" w:cs="Arial" w:eastAsia="Arial" w:hAnsi="Arial"/>
                <w:sz w:val="15"/>
                <w:szCs w:val="15"/>
                <w:color w:val="auto"/>
              </w:rPr>
              <w:t>419</w:t>
            </w:r>
          </w:p>
        </w:tc>
        <w:tc>
          <w:tcPr>
            <w:tcW w:w="900" w:type="dxa"/>
            <w:vAlign w:val="bottom"/>
            <w:gridSpan w:val="2"/>
          </w:tcPr>
          <w:p>
            <w:pPr>
              <w:ind w:left="260"/>
              <w:spacing w:after="0"/>
              <w:rPr>
                <w:sz w:val="20"/>
                <w:szCs w:val="20"/>
                <w:color w:val="auto"/>
              </w:rPr>
            </w:pPr>
            <w:r>
              <w:rPr>
                <w:rFonts w:ascii="Arial" w:cs="Arial" w:eastAsia="Arial" w:hAnsi="Arial"/>
                <w:sz w:val="15"/>
                <w:szCs w:val="15"/>
                <w:color w:val="auto"/>
              </w:rPr>
              <w:t>439.47</w:t>
            </w:r>
          </w:p>
        </w:tc>
        <w:tc>
          <w:tcPr>
            <w:tcW w:w="540" w:type="dxa"/>
            <w:vAlign w:val="bottom"/>
          </w:tcPr>
          <w:p>
            <w:pPr>
              <w:ind w:left="100"/>
              <w:spacing w:after="0"/>
              <w:rPr>
                <w:sz w:val="20"/>
                <w:szCs w:val="20"/>
                <w:color w:val="auto"/>
              </w:rPr>
            </w:pPr>
            <w:r>
              <w:rPr>
                <w:rFonts w:ascii="Arial" w:cs="Arial" w:eastAsia="Arial" w:hAnsi="Arial"/>
                <w:sz w:val="15"/>
                <w:szCs w:val="15"/>
                <w:color w:val="auto"/>
              </w:rPr>
              <w:t>0</w:t>
            </w:r>
          </w:p>
        </w:tc>
        <w:tc>
          <w:tcPr>
            <w:tcW w:w="660" w:type="dxa"/>
            <w:vAlign w:val="bottom"/>
          </w:tcPr>
          <w:p>
            <w:pPr>
              <w:ind w:left="220"/>
              <w:spacing w:after="0"/>
              <w:rPr>
                <w:sz w:val="20"/>
                <w:szCs w:val="20"/>
                <w:color w:val="auto"/>
              </w:rPr>
            </w:pPr>
            <w:r>
              <w:rPr>
                <w:rFonts w:ascii="Arial" w:cs="Arial" w:eastAsia="Arial" w:hAnsi="Arial"/>
                <w:sz w:val="15"/>
                <w:szCs w:val="15"/>
                <w:color w:val="auto"/>
              </w:rPr>
              <w:t>0</w:t>
            </w:r>
          </w:p>
        </w:tc>
        <w:tc>
          <w:tcPr>
            <w:tcW w:w="380" w:type="dxa"/>
            <w:vAlign w:val="bottom"/>
          </w:tcPr>
          <w:p>
            <w:pPr>
              <w:jc w:val="right"/>
              <w:ind w:right="85"/>
              <w:spacing w:after="0"/>
              <w:rPr>
                <w:sz w:val="20"/>
                <w:szCs w:val="20"/>
                <w:color w:val="auto"/>
              </w:rPr>
            </w:pPr>
            <w:r>
              <w:rPr>
                <w:rFonts w:ascii="Arial" w:cs="Arial" w:eastAsia="Arial" w:hAnsi="Arial"/>
                <w:sz w:val="15"/>
                <w:szCs w:val="15"/>
                <w:color w:val="auto"/>
              </w:rPr>
              <w:t>0</w:t>
            </w:r>
          </w:p>
        </w:tc>
        <w:tc>
          <w:tcPr>
            <w:tcW w:w="800" w:type="dxa"/>
            <w:vAlign w:val="bottom"/>
            <w:gridSpan w:val="2"/>
          </w:tcPr>
          <w:p>
            <w:pPr>
              <w:ind w:left="240"/>
              <w:spacing w:after="0"/>
              <w:rPr>
                <w:sz w:val="20"/>
                <w:szCs w:val="20"/>
                <w:color w:val="auto"/>
              </w:rPr>
            </w:pPr>
            <w:r>
              <w:rPr>
                <w:rFonts w:ascii="Arial" w:cs="Arial" w:eastAsia="Arial" w:hAnsi="Arial"/>
                <w:sz w:val="15"/>
                <w:szCs w:val="15"/>
                <w:color w:val="auto"/>
              </w:rPr>
              <w:t>1.15</w:t>
            </w:r>
          </w:p>
        </w:tc>
        <w:tc>
          <w:tcPr>
            <w:tcW w:w="460" w:type="dxa"/>
            <w:vAlign w:val="bottom"/>
          </w:tcPr>
          <w:p>
            <w:pPr>
              <w:spacing w:after="0"/>
              <w:rPr>
                <w:sz w:val="20"/>
                <w:szCs w:val="20"/>
                <w:color w:val="auto"/>
              </w:rPr>
            </w:pPr>
            <w:r>
              <w:rPr>
                <w:rFonts w:ascii="Arial" w:cs="Arial" w:eastAsia="Arial" w:hAnsi="Arial"/>
                <w:sz w:val="15"/>
                <w:szCs w:val="15"/>
                <w:color w:val="auto"/>
              </w:rPr>
              <w:t>7.1</w:t>
            </w:r>
          </w:p>
        </w:tc>
        <w:tc>
          <w:tcPr>
            <w:tcW w:w="640" w:type="dxa"/>
            <w:vAlign w:val="bottom"/>
          </w:tcPr>
          <w:p>
            <w:pPr>
              <w:ind w:left="120"/>
              <w:spacing w:after="0"/>
              <w:rPr>
                <w:sz w:val="20"/>
                <w:szCs w:val="20"/>
                <w:color w:val="auto"/>
              </w:rPr>
            </w:pPr>
            <w:r>
              <w:rPr>
                <w:rFonts w:ascii="Arial" w:cs="Arial" w:eastAsia="Arial" w:hAnsi="Arial"/>
                <w:sz w:val="15"/>
                <w:szCs w:val="15"/>
                <w:color w:val="auto"/>
              </w:rPr>
              <w:t>7.2</w:t>
            </w:r>
          </w:p>
        </w:tc>
        <w:tc>
          <w:tcPr>
            <w:tcW w:w="380" w:type="dxa"/>
            <w:vAlign w:val="bottom"/>
          </w:tcPr>
          <w:p>
            <w:pPr>
              <w:ind w:left="60"/>
              <w:spacing w:after="0"/>
              <w:rPr>
                <w:sz w:val="20"/>
                <w:szCs w:val="20"/>
                <w:color w:val="auto"/>
              </w:rPr>
            </w:pPr>
            <w:r>
              <w:rPr>
                <w:rFonts w:ascii="Arial" w:cs="Arial" w:eastAsia="Arial" w:hAnsi="Arial"/>
                <w:sz w:val="15"/>
                <w:szCs w:val="15"/>
                <w:color w:val="auto"/>
              </w:rPr>
              <w:t>7.30</w:t>
            </w:r>
          </w:p>
        </w:tc>
        <w:tc>
          <w:tcPr>
            <w:tcW w:w="140" w:type="dxa"/>
            <w:vAlign w:val="bottom"/>
          </w:tcPr>
          <w:p>
            <w:pPr>
              <w:spacing w:after="0"/>
              <w:rPr>
                <w:sz w:val="19"/>
                <w:szCs w:val="19"/>
                <w:color w:val="auto"/>
              </w:rPr>
            </w:pPr>
          </w:p>
        </w:tc>
      </w:tr>
      <w:tr>
        <w:trPr>
          <w:trHeight w:val="216"/>
        </w:trPr>
        <w:tc>
          <w:tcPr>
            <w:tcW w:w="20" w:type="dxa"/>
            <w:vAlign w:val="bottom"/>
          </w:tcPr>
          <w:p>
            <w:pPr>
              <w:spacing w:after="0"/>
              <w:rPr>
                <w:sz w:val="18"/>
                <w:szCs w:val="18"/>
                <w:color w:val="auto"/>
              </w:rPr>
            </w:pPr>
          </w:p>
        </w:tc>
        <w:tc>
          <w:tcPr>
            <w:tcW w:w="2120" w:type="dxa"/>
            <w:vAlign w:val="bottom"/>
          </w:tcPr>
          <w:p>
            <w:pPr>
              <w:ind w:left="280"/>
              <w:spacing w:after="0"/>
              <w:rPr>
                <w:sz w:val="20"/>
                <w:szCs w:val="20"/>
                <w:color w:val="auto"/>
              </w:rPr>
            </w:pPr>
            <w:r>
              <w:rPr>
                <w:rFonts w:ascii="Arial" w:cs="Arial" w:eastAsia="Arial" w:hAnsi="Arial"/>
                <w:sz w:val="15"/>
                <w:szCs w:val="15"/>
                <w:color w:val="auto"/>
              </w:rPr>
              <w:t>27 Feb–1 Mar</w:t>
            </w:r>
          </w:p>
        </w:tc>
        <w:tc>
          <w:tcPr>
            <w:tcW w:w="50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78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40" w:type="dxa"/>
            <w:vAlign w:val="bottom"/>
          </w:tcPr>
          <w:p>
            <w:pPr>
              <w:spacing w:after="0"/>
              <w:rPr>
                <w:sz w:val="18"/>
                <w:szCs w:val="18"/>
                <w:color w:val="auto"/>
              </w:rPr>
            </w:pPr>
          </w:p>
        </w:tc>
      </w:tr>
      <w:tr>
        <w:trPr>
          <w:trHeight w:val="53"/>
        </w:trPr>
        <w:tc>
          <w:tcPr>
            <w:tcW w:w="20" w:type="dxa"/>
            <w:vAlign w:val="bottom"/>
          </w:tcPr>
          <w:p>
            <w:pPr>
              <w:spacing w:after="0"/>
              <w:rPr>
                <w:sz w:val="4"/>
                <w:szCs w:val="4"/>
                <w:color w:val="auto"/>
              </w:rPr>
            </w:pPr>
          </w:p>
        </w:tc>
        <w:tc>
          <w:tcPr>
            <w:tcW w:w="2120" w:type="dxa"/>
            <w:vAlign w:val="bottom"/>
          </w:tcPr>
          <w:p>
            <w:pPr>
              <w:spacing w:after="0"/>
              <w:rPr>
                <w:sz w:val="4"/>
                <w:szCs w:val="4"/>
                <w:color w:val="auto"/>
              </w:rPr>
            </w:pPr>
          </w:p>
        </w:tc>
        <w:tc>
          <w:tcPr>
            <w:tcW w:w="500" w:type="dxa"/>
            <w:vAlign w:val="bottom"/>
          </w:tcPr>
          <w:p>
            <w:pPr>
              <w:spacing w:after="0"/>
              <w:rPr>
                <w:sz w:val="4"/>
                <w:szCs w:val="4"/>
                <w:color w:val="auto"/>
              </w:rPr>
            </w:pPr>
          </w:p>
        </w:tc>
        <w:tc>
          <w:tcPr>
            <w:tcW w:w="660" w:type="dxa"/>
            <w:vAlign w:val="bottom"/>
          </w:tcPr>
          <w:p>
            <w:pPr>
              <w:spacing w:after="0"/>
              <w:rPr>
                <w:sz w:val="4"/>
                <w:szCs w:val="4"/>
                <w:color w:val="auto"/>
              </w:rPr>
            </w:pPr>
          </w:p>
        </w:tc>
        <w:tc>
          <w:tcPr>
            <w:tcW w:w="580" w:type="dxa"/>
            <w:vAlign w:val="bottom"/>
          </w:tcPr>
          <w:p>
            <w:pPr>
              <w:spacing w:after="0"/>
              <w:rPr>
                <w:sz w:val="4"/>
                <w:szCs w:val="4"/>
                <w:color w:val="auto"/>
              </w:rPr>
            </w:pPr>
          </w:p>
        </w:tc>
        <w:tc>
          <w:tcPr>
            <w:tcW w:w="1320" w:type="dxa"/>
            <w:vAlign w:val="bottom"/>
            <w:gridSpan w:val="2"/>
          </w:tcPr>
          <w:p>
            <w:pPr>
              <w:spacing w:after="0"/>
              <w:rPr>
                <w:sz w:val="4"/>
                <w:szCs w:val="4"/>
                <w:color w:val="auto"/>
              </w:rPr>
            </w:pPr>
          </w:p>
        </w:tc>
        <w:tc>
          <w:tcPr>
            <w:tcW w:w="260" w:type="dxa"/>
            <w:vAlign w:val="bottom"/>
          </w:tcPr>
          <w:p>
            <w:pPr>
              <w:spacing w:after="0"/>
              <w:rPr>
                <w:sz w:val="4"/>
                <w:szCs w:val="4"/>
                <w:color w:val="auto"/>
              </w:rPr>
            </w:pPr>
          </w:p>
        </w:tc>
        <w:tc>
          <w:tcPr>
            <w:tcW w:w="640" w:type="dxa"/>
            <w:vAlign w:val="bottom"/>
          </w:tcPr>
          <w:p>
            <w:pPr>
              <w:spacing w:after="0"/>
              <w:rPr>
                <w:sz w:val="4"/>
                <w:szCs w:val="4"/>
                <w:color w:val="auto"/>
              </w:rPr>
            </w:pPr>
          </w:p>
        </w:tc>
        <w:tc>
          <w:tcPr>
            <w:tcW w:w="540" w:type="dxa"/>
            <w:vAlign w:val="bottom"/>
          </w:tcPr>
          <w:p>
            <w:pPr>
              <w:spacing w:after="0"/>
              <w:rPr>
                <w:sz w:val="4"/>
                <w:szCs w:val="4"/>
                <w:color w:val="auto"/>
              </w:rPr>
            </w:pPr>
          </w:p>
        </w:tc>
        <w:tc>
          <w:tcPr>
            <w:tcW w:w="1040" w:type="dxa"/>
            <w:vAlign w:val="bottom"/>
            <w:gridSpan w:val="2"/>
          </w:tcPr>
          <w:p>
            <w:pPr>
              <w:spacing w:after="0"/>
              <w:rPr>
                <w:sz w:val="4"/>
                <w:szCs w:val="4"/>
                <w:color w:val="auto"/>
              </w:rPr>
            </w:pPr>
          </w:p>
        </w:tc>
        <w:tc>
          <w:tcPr>
            <w:tcW w:w="240" w:type="dxa"/>
            <w:vAlign w:val="bottom"/>
          </w:tcPr>
          <w:p>
            <w:pPr>
              <w:spacing w:after="0"/>
              <w:rPr>
                <w:sz w:val="4"/>
                <w:szCs w:val="4"/>
                <w:color w:val="auto"/>
              </w:rPr>
            </w:pPr>
          </w:p>
        </w:tc>
        <w:tc>
          <w:tcPr>
            <w:tcW w:w="560" w:type="dxa"/>
            <w:vAlign w:val="bottom"/>
          </w:tcPr>
          <w:p>
            <w:pPr>
              <w:spacing w:after="0"/>
              <w:rPr>
                <w:sz w:val="4"/>
                <w:szCs w:val="4"/>
                <w:color w:val="auto"/>
              </w:rPr>
            </w:pPr>
          </w:p>
        </w:tc>
        <w:tc>
          <w:tcPr>
            <w:tcW w:w="460" w:type="dxa"/>
            <w:vAlign w:val="bottom"/>
          </w:tcPr>
          <w:p>
            <w:pPr>
              <w:spacing w:after="0"/>
              <w:rPr>
                <w:sz w:val="4"/>
                <w:szCs w:val="4"/>
                <w:color w:val="auto"/>
              </w:rPr>
            </w:pPr>
          </w:p>
        </w:tc>
        <w:tc>
          <w:tcPr>
            <w:tcW w:w="1020" w:type="dxa"/>
            <w:vAlign w:val="bottom"/>
            <w:gridSpan w:val="2"/>
          </w:tcPr>
          <w:p>
            <w:pPr>
              <w:spacing w:after="0"/>
              <w:rPr>
                <w:sz w:val="4"/>
                <w:szCs w:val="4"/>
                <w:color w:val="auto"/>
              </w:rPr>
            </w:pPr>
          </w:p>
        </w:tc>
        <w:tc>
          <w:tcPr>
            <w:tcW w:w="140" w:type="dxa"/>
            <w:vAlign w:val="bottom"/>
          </w:tcPr>
          <w:p>
            <w:pPr>
              <w:spacing w:after="0"/>
              <w:rPr>
                <w:sz w:val="4"/>
                <w:szCs w:val="4"/>
                <w:color w:val="auto"/>
              </w:rPr>
            </w:pPr>
          </w:p>
        </w:tc>
      </w:tr>
      <w:tr>
        <w:trPr>
          <w:trHeight w:val="260"/>
        </w:trPr>
        <w:tc>
          <w:tcPr>
            <w:tcW w:w="20" w:type="dxa"/>
            <w:vAlign w:val="bottom"/>
          </w:tcPr>
          <w:p>
            <w:pPr>
              <w:spacing w:after="0"/>
              <w:rPr>
                <w:sz w:val="22"/>
                <w:szCs w:val="22"/>
                <w:color w:val="auto"/>
              </w:rPr>
            </w:pPr>
          </w:p>
        </w:tc>
        <w:tc>
          <w:tcPr>
            <w:tcW w:w="212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Comparison</w:t>
            </w:r>
          </w:p>
        </w:tc>
        <w:tc>
          <w:tcPr>
            <w:tcW w:w="500" w:type="dxa"/>
            <w:vAlign w:val="bottom"/>
            <w:tcBorders>
              <w:bottom w:val="single" w:sz="8" w:color="E6E6E6"/>
            </w:tcBorders>
            <w:shd w:val="clear" w:color="auto" w:fill="E6E6E6"/>
          </w:tcPr>
          <w:p>
            <w:pPr>
              <w:spacing w:after="0"/>
              <w:rPr>
                <w:sz w:val="22"/>
                <w:szCs w:val="22"/>
                <w:color w:val="auto"/>
              </w:rPr>
            </w:pPr>
          </w:p>
        </w:tc>
        <w:tc>
          <w:tcPr>
            <w:tcW w:w="660" w:type="dxa"/>
            <w:vAlign w:val="bottom"/>
            <w:tcBorders>
              <w:bottom w:val="single" w:sz="8" w:color="E6E6E6"/>
            </w:tcBorders>
            <w:shd w:val="clear" w:color="auto" w:fill="E6E6E6"/>
          </w:tcPr>
          <w:p>
            <w:pPr>
              <w:spacing w:after="0"/>
              <w:rPr>
                <w:sz w:val="20"/>
                <w:szCs w:val="20"/>
                <w:color w:val="auto"/>
              </w:rPr>
            </w:pPr>
            <w:r>
              <w:rPr>
                <w:rFonts w:ascii="Arial" w:cs="Arial" w:eastAsia="Arial" w:hAnsi="Arial"/>
                <w:sz w:val="15"/>
                <w:szCs w:val="15"/>
                <w:color w:val="auto"/>
              </w:rPr>
              <w:t>Pre-post</w:t>
            </w:r>
          </w:p>
        </w:tc>
        <w:tc>
          <w:tcPr>
            <w:tcW w:w="580" w:type="dxa"/>
            <w:vAlign w:val="bottom"/>
            <w:tcBorders>
              <w:bottom w:val="single" w:sz="8" w:color="E6E6E6"/>
            </w:tcBorders>
            <w:shd w:val="clear" w:color="auto" w:fill="E6E6E6"/>
          </w:tcPr>
          <w:p>
            <w:pPr>
              <w:spacing w:after="0"/>
              <w:rPr>
                <w:sz w:val="22"/>
                <w:szCs w:val="22"/>
                <w:color w:val="auto"/>
              </w:rPr>
            </w:pPr>
          </w:p>
        </w:tc>
        <w:tc>
          <w:tcPr>
            <w:tcW w:w="1320" w:type="dxa"/>
            <w:vAlign w:val="bottom"/>
            <w:tcBorders>
              <w:bottom w:val="single" w:sz="8" w:color="E6E6E6"/>
            </w:tcBorders>
            <w:gridSpan w:val="2"/>
            <w:shd w:val="clear" w:color="auto" w:fill="E6E6E6"/>
          </w:tcPr>
          <w:p>
            <w:pPr>
              <w:ind w:left="200"/>
              <w:spacing w:after="0"/>
              <w:rPr>
                <w:sz w:val="20"/>
                <w:szCs w:val="20"/>
                <w:color w:val="auto"/>
              </w:rPr>
            </w:pPr>
            <w:r>
              <w:rPr>
                <w:rFonts w:ascii="Arial" w:cs="Arial" w:eastAsia="Arial" w:hAnsi="Arial"/>
                <w:sz w:val="15"/>
                <w:szCs w:val="15"/>
                <w:color w:val="auto"/>
              </w:rPr>
              <w:t>Pre-Post10</w:t>
            </w:r>
          </w:p>
        </w:tc>
        <w:tc>
          <w:tcPr>
            <w:tcW w:w="260" w:type="dxa"/>
            <w:vAlign w:val="bottom"/>
            <w:tcBorders>
              <w:bottom w:val="single" w:sz="8" w:color="E6E6E6"/>
            </w:tcBorders>
            <w:shd w:val="clear" w:color="auto" w:fill="E6E6E6"/>
          </w:tcPr>
          <w:p>
            <w:pPr>
              <w:spacing w:after="0"/>
              <w:rPr>
                <w:sz w:val="22"/>
                <w:szCs w:val="22"/>
                <w:color w:val="auto"/>
              </w:rPr>
            </w:pPr>
          </w:p>
        </w:tc>
        <w:tc>
          <w:tcPr>
            <w:tcW w:w="640" w:type="dxa"/>
            <w:vAlign w:val="bottom"/>
            <w:tcBorders>
              <w:bottom w:val="single" w:sz="8" w:color="E6E6E6"/>
            </w:tcBorders>
            <w:shd w:val="clear" w:color="auto" w:fill="E6E6E6"/>
          </w:tcPr>
          <w:p>
            <w:pPr>
              <w:spacing w:after="0"/>
              <w:rPr>
                <w:sz w:val="20"/>
                <w:szCs w:val="20"/>
                <w:color w:val="auto"/>
              </w:rPr>
            </w:pPr>
            <w:r>
              <w:rPr>
                <w:rFonts w:ascii="Arial" w:cs="Arial" w:eastAsia="Arial" w:hAnsi="Arial"/>
                <w:sz w:val="15"/>
                <w:szCs w:val="15"/>
                <w:color w:val="auto"/>
              </w:rPr>
              <w:t>Pre-post</w:t>
            </w:r>
          </w:p>
        </w:tc>
        <w:tc>
          <w:tcPr>
            <w:tcW w:w="540" w:type="dxa"/>
            <w:vAlign w:val="bottom"/>
            <w:tcBorders>
              <w:bottom w:val="single" w:sz="8" w:color="E6E6E6"/>
            </w:tcBorders>
            <w:shd w:val="clear" w:color="auto" w:fill="E6E6E6"/>
          </w:tcPr>
          <w:p>
            <w:pPr>
              <w:spacing w:after="0"/>
              <w:rPr>
                <w:sz w:val="22"/>
                <w:szCs w:val="22"/>
                <w:color w:val="auto"/>
              </w:rPr>
            </w:pPr>
          </w:p>
        </w:tc>
        <w:tc>
          <w:tcPr>
            <w:tcW w:w="1040" w:type="dxa"/>
            <w:vAlign w:val="bottom"/>
            <w:tcBorders>
              <w:bottom w:val="single" w:sz="8" w:color="E6E6E6"/>
            </w:tcBorders>
            <w:gridSpan w:val="2"/>
            <w:shd w:val="clear" w:color="auto" w:fill="E6E6E6"/>
          </w:tcPr>
          <w:p>
            <w:pPr>
              <w:ind w:left="140"/>
              <w:spacing w:after="0"/>
              <w:rPr>
                <w:sz w:val="20"/>
                <w:szCs w:val="20"/>
                <w:color w:val="auto"/>
              </w:rPr>
            </w:pPr>
            <w:r>
              <w:rPr>
                <w:rFonts w:ascii="Arial" w:cs="Arial" w:eastAsia="Arial" w:hAnsi="Arial"/>
                <w:sz w:val="15"/>
                <w:szCs w:val="15"/>
                <w:color w:val="auto"/>
              </w:rPr>
              <w:t>Pre-Post10</w:t>
            </w:r>
          </w:p>
        </w:tc>
        <w:tc>
          <w:tcPr>
            <w:tcW w:w="240" w:type="dxa"/>
            <w:vAlign w:val="bottom"/>
            <w:tcBorders>
              <w:bottom w:val="single" w:sz="8" w:color="E6E6E6"/>
            </w:tcBorders>
            <w:shd w:val="clear" w:color="auto" w:fill="E6E6E6"/>
          </w:tcPr>
          <w:p>
            <w:pPr>
              <w:spacing w:after="0"/>
              <w:rPr>
                <w:sz w:val="22"/>
                <w:szCs w:val="22"/>
                <w:color w:val="auto"/>
              </w:rPr>
            </w:pPr>
          </w:p>
        </w:tc>
        <w:tc>
          <w:tcPr>
            <w:tcW w:w="560" w:type="dxa"/>
            <w:vAlign w:val="bottom"/>
            <w:tcBorders>
              <w:bottom w:val="single" w:sz="8" w:color="E6E6E6"/>
            </w:tcBorders>
            <w:shd w:val="clear" w:color="auto" w:fill="E6E6E6"/>
          </w:tcPr>
          <w:p>
            <w:pPr>
              <w:spacing w:after="0"/>
              <w:rPr>
                <w:sz w:val="20"/>
                <w:szCs w:val="20"/>
                <w:color w:val="auto"/>
              </w:rPr>
            </w:pPr>
            <w:r>
              <w:rPr>
                <w:rFonts w:ascii="Arial" w:cs="Arial" w:eastAsia="Arial" w:hAnsi="Arial"/>
                <w:sz w:val="15"/>
                <w:szCs w:val="15"/>
                <w:color w:val="auto"/>
                <w:w w:val="95"/>
              </w:rPr>
              <w:t>Pre-post</w:t>
            </w:r>
          </w:p>
        </w:tc>
        <w:tc>
          <w:tcPr>
            <w:tcW w:w="460" w:type="dxa"/>
            <w:vAlign w:val="bottom"/>
            <w:tcBorders>
              <w:bottom w:val="single" w:sz="8" w:color="E6E6E6"/>
            </w:tcBorders>
            <w:shd w:val="clear" w:color="auto" w:fill="E6E6E6"/>
          </w:tcPr>
          <w:p>
            <w:pPr>
              <w:spacing w:after="0"/>
              <w:rPr>
                <w:sz w:val="22"/>
                <w:szCs w:val="22"/>
                <w:color w:val="auto"/>
              </w:rPr>
            </w:pPr>
          </w:p>
        </w:tc>
        <w:tc>
          <w:tcPr>
            <w:tcW w:w="1160" w:type="dxa"/>
            <w:vAlign w:val="bottom"/>
            <w:tcBorders>
              <w:bottom w:val="single" w:sz="8" w:color="E6E6E6"/>
            </w:tcBorders>
            <w:gridSpan w:val="3"/>
            <w:shd w:val="clear" w:color="auto" w:fill="E6E6E6"/>
          </w:tcPr>
          <w:p>
            <w:pPr>
              <w:ind w:left="120"/>
              <w:spacing w:after="0"/>
              <w:rPr>
                <w:sz w:val="20"/>
                <w:szCs w:val="20"/>
                <w:color w:val="auto"/>
              </w:rPr>
            </w:pPr>
            <w:r>
              <w:rPr>
                <w:rFonts w:ascii="Arial" w:cs="Arial" w:eastAsia="Arial" w:hAnsi="Arial"/>
                <w:sz w:val="15"/>
                <w:szCs w:val="15"/>
                <w:color w:val="auto"/>
              </w:rPr>
              <w:t>Pre-Post10</w:t>
            </w:r>
          </w:p>
        </w:tc>
      </w:tr>
      <w:tr>
        <w:trPr>
          <w:trHeight w:val="221"/>
        </w:trPr>
        <w:tc>
          <w:tcPr>
            <w:tcW w:w="20" w:type="dxa"/>
            <w:vAlign w:val="bottom"/>
          </w:tcPr>
          <w:p>
            <w:pPr>
              <w:spacing w:after="0"/>
              <w:rPr>
                <w:sz w:val="19"/>
                <w:szCs w:val="19"/>
                <w:color w:val="auto"/>
              </w:rPr>
            </w:pPr>
          </w:p>
        </w:tc>
        <w:tc>
          <w:tcPr>
            <w:tcW w:w="2120" w:type="dxa"/>
            <w:vAlign w:val="bottom"/>
          </w:tcPr>
          <w:p>
            <w:pPr>
              <w:ind w:left="140"/>
              <w:spacing w:after="0"/>
              <w:rPr>
                <w:sz w:val="20"/>
                <w:szCs w:val="20"/>
                <w:color w:val="auto"/>
              </w:rPr>
            </w:pPr>
            <w:r>
              <w:rPr>
                <w:rFonts w:ascii="Arial" w:cs="Arial" w:eastAsia="Arial" w:hAnsi="Arial"/>
                <w:sz w:val="15"/>
                <w:szCs w:val="15"/>
                <w:color w:val="auto"/>
              </w:rPr>
              <w:t>Wilcoxon signed-rank test</w:t>
            </w:r>
          </w:p>
        </w:tc>
        <w:tc>
          <w:tcPr>
            <w:tcW w:w="500" w:type="dxa"/>
            <w:vAlign w:val="bottom"/>
          </w:tcPr>
          <w:p>
            <w:pPr>
              <w:spacing w:after="0"/>
              <w:rPr>
                <w:sz w:val="20"/>
                <w:szCs w:val="20"/>
                <w:color w:val="auto"/>
              </w:rPr>
            </w:pPr>
            <w:r>
              <w:rPr>
                <w:rFonts w:ascii="Arial" w:cs="Arial" w:eastAsia="Arial" w:hAnsi="Arial"/>
                <w:sz w:val="15"/>
                <w:szCs w:val="15"/>
                <w:color w:val="auto"/>
              </w:rPr>
              <w:t>W</w:t>
            </w:r>
          </w:p>
        </w:tc>
        <w:tc>
          <w:tcPr>
            <w:tcW w:w="660" w:type="dxa"/>
            <w:vAlign w:val="bottom"/>
          </w:tcPr>
          <w:p>
            <w:pPr>
              <w:spacing w:after="0"/>
              <w:rPr>
                <w:sz w:val="20"/>
                <w:szCs w:val="20"/>
                <w:color w:val="auto"/>
              </w:rPr>
            </w:pPr>
            <w:r>
              <w:rPr>
                <w:rFonts w:ascii="Arial" w:cs="Arial" w:eastAsia="Arial" w:hAnsi="Arial"/>
                <w:sz w:val="15"/>
                <w:szCs w:val="15"/>
                <w:color w:val="auto"/>
              </w:rPr>
              <w:t>27,878</w:t>
            </w:r>
          </w:p>
        </w:tc>
        <w:tc>
          <w:tcPr>
            <w:tcW w:w="580" w:type="dxa"/>
            <w:vAlign w:val="bottom"/>
          </w:tcPr>
          <w:p>
            <w:pPr>
              <w:spacing w:after="0"/>
              <w:rPr>
                <w:sz w:val="19"/>
                <w:szCs w:val="19"/>
                <w:color w:val="auto"/>
              </w:rPr>
            </w:pPr>
          </w:p>
        </w:tc>
        <w:tc>
          <w:tcPr>
            <w:tcW w:w="780" w:type="dxa"/>
            <w:vAlign w:val="bottom"/>
          </w:tcPr>
          <w:p>
            <w:pPr>
              <w:ind w:left="200"/>
              <w:spacing w:after="0"/>
              <w:rPr>
                <w:sz w:val="20"/>
                <w:szCs w:val="20"/>
                <w:color w:val="auto"/>
              </w:rPr>
            </w:pPr>
            <w:r>
              <w:rPr>
                <w:rFonts w:ascii="Arial" w:cs="Arial" w:eastAsia="Arial" w:hAnsi="Arial"/>
                <w:sz w:val="15"/>
                <w:szCs w:val="15"/>
                <w:color w:val="auto"/>
              </w:rPr>
              <w:t>35</w:t>
            </w:r>
          </w:p>
        </w:tc>
        <w:tc>
          <w:tcPr>
            <w:tcW w:w="540" w:type="dxa"/>
            <w:vAlign w:val="bottom"/>
          </w:tcPr>
          <w:p>
            <w:pPr>
              <w:spacing w:after="0"/>
              <w:rPr>
                <w:sz w:val="19"/>
                <w:szCs w:val="19"/>
                <w:color w:val="auto"/>
              </w:rPr>
            </w:pPr>
          </w:p>
        </w:tc>
        <w:tc>
          <w:tcPr>
            <w:tcW w:w="900" w:type="dxa"/>
            <w:vAlign w:val="bottom"/>
            <w:gridSpan w:val="2"/>
          </w:tcPr>
          <w:p>
            <w:pPr>
              <w:ind w:left="260"/>
              <w:spacing w:after="0"/>
              <w:rPr>
                <w:sz w:val="20"/>
                <w:szCs w:val="20"/>
                <w:color w:val="auto"/>
              </w:rPr>
            </w:pPr>
            <w:r>
              <w:rPr>
                <w:rFonts w:ascii="Arial" w:cs="Arial" w:eastAsia="Arial" w:hAnsi="Arial"/>
                <w:sz w:val="15"/>
                <w:szCs w:val="15"/>
                <w:color w:val="auto"/>
              </w:rPr>
              <w:t>72,992</w:t>
            </w:r>
          </w:p>
        </w:tc>
        <w:tc>
          <w:tcPr>
            <w:tcW w:w="540" w:type="dxa"/>
            <w:vAlign w:val="bottom"/>
          </w:tcPr>
          <w:p>
            <w:pPr>
              <w:spacing w:after="0"/>
              <w:rPr>
                <w:sz w:val="19"/>
                <w:szCs w:val="19"/>
                <w:color w:val="auto"/>
              </w:rPr>
            </w:pPr>
          </w:p>
        </w:tc>
        <w:tc>
          <w:tcPr>
            <w:tcW w:w="660" w:type="dxa"/>
            <w:vAlign w:val="bottom"/>
          </w:tcPr>
          <w:p>
            <w:pPr>
              <w:ind w:left="140"/>
              <w:spacing w:after="0"/>
              <w:rPr>
                <w:sz w:val="20"/>
                <w:szCs w:val="20"/>
                <w:color w:val="auto"/>
              </w:rPr>
            </w:pPr>
            <w:r>
              <w:rPr>
                <w:rFonts w:ascii="Arial" w:cs="Arial" w:eastAsia="Arial" w:hAnsi="Arial"/>
                <w:sz w:val="15"/>
                <w:szCs w:val="15"/>
                <w:color w:val="auto"/>
              </w:rPr>
              <w:t>80,836</w:t>
            </w:r>
          </w:p>
        </w:tc>
        <w:tc>
          <w:tcPr>
            <w:tcW w:w="380" w:type="dxa"/>
            <w:vAlign w:val="bottom"/>
          </w:tcPr>
          <w:p>
            <w:pPr>
              <w:spacing w:after="0"/>
              <w:rPr>
                <w:sz w:val="19"/>
                <w:szCs w:val="19"/>
                <w:color w:val="auto"/>
              </w:rPr>
            </w:pPr>
          </w:p>
        </w:tc>
        <w:tc>
          <w:tcPr>
            <w:tcW w:w="800" w:type="dxa"/>
            <w:vAlign w:val="bottom"/>
            <w:gridSpan w:val="2"/>
          </w:tcPr>
          <w:p>
            <w:pPr>
              <w:ind w:left="240"/>
              <w:spacing w:after="0"/>
              <w:rPr>
                <w:sz w:val="20"/>
                <w:szCs w:val="20"/>
                <w:color w:val="auto"/>
              </w:rPr>
            </w:pPr>
            <w:r>
              <w:rPr>
                <w:rFonts w:ascii="Arial" w:cs="Arial" w:eastAsia="Arial" w:hAnsi="Arial"/>
                <w:sz w:val="15"/>
                <w:szCs w:val="15"/>
                <w:color w:val="auto"/>
              </w:rPr>
              <w:t>17,625</w:t>
            </w:r>
          </w:p>
        </w:tc>
        <w:tc>
          <w:tcPr>
            <w:tcW w:w="460" w:type="dxa"/>
            <w:vAlign w:val="bottom"/>
          </w:tcPr>
          <w:p>
            <w:pPr>
              <w:spacing w:after="0"/>
              <w:rPr>
                <w:sz w:val="19"/>
                <w:szCs w:val="19"/>
                <w:color w:val="auto"/>
              </w:rPr>
            </w:pPr>
          </w:p>
        </w:tc>
        <w:tc>
          <w:tcPr>
            <w:tcW w:w="640" w:type="dxa"/>
            <w:vAlign w:val="bottom"/>
          </w:tcPr>
          <w:p>
            <w:pPr>
              <w:ind w:left="120"/>
              <w:spacing w:after="0"/>
              <w:rPr>
                <w:sz w:val="20"/>
                <w:szCs w:val="20"/>
                <w:color w:val="auto"/>
              </w:rPr>
            </w:pPr>
            <w:r>
              <w:rPr>
                <w:rFonts w:ascii="Arial" w:cs="Arial" w:eastAsia="Arial" w:hAnsi="Arial"/>
                <w:sz w:val="15"/>
                <w:szCs w:val="15"/>
                <w:color w:val="auto"/>
              </w:rPr>
              <w:t>20,239</w:t>
            </w:r>
          </w:p>
        </w:tc>
        <w:tc>
          <w:tcPr>
            <w:tcW w:w="380" w:type="dxa"/>
            <w:vAlign w:val="bottom"/>
          </w:tcPr>
          <w:p>
            <w:pPr>
              <w:spacing w:after="0"/>
              <w:rPr>
                <w:sz w:val="19"/>
                <w:szCs w:val="19"/>
                <w:color w:val="auto"/>
              </w:rPr>
            </w:pPr>
          </w:p>
        </w:tc>
        <w:tc>
          <w:tcPr>
            <w:tcW w:w="140" w:type="dxa"/>
            <w:vAlign w:val="bottom"/>
          </w:tcPr>
          <w:p>
            <w:pPr>
              <w:spacing w:after="0"/>
              <w:rPr>
                <w:sz w:val="19"/>
                <w:szCs w:val="19"/>
                <w:color w:val="auto"/>
              </w:rPr>
            </w:pPr>
          </w:p>
        </w:tc>
      </w:tr>
      <w:tr>
        <w:trPr>
          <w:trHeight w:val="210"/>
        </w:trPr>
        <w:tc>
          <w:tcPr>
            <w:tcW w:w="20" w:type="dxa"/>
            <w:vAlign w:val="bottom"/>
          </w:tcPr>
          <w:p>
            <w:pPr>
              <w:spacing w:after="0"/>
              <w:rPr>
                <w:sz w:val="18"/>
                <w:szCs w:val="18"/>
                <w:color w:val="auto"/>
              </w:rPr>
            </w:pPr>
          </w:p>
        </w:tc>
        <w:tc>
          <w:tcPr>
            <w:tcW w:w="2120" w:type="dxa"/>
            <w:vAlign w:val="bottom"/>
          </w:tcPr>
          <w:p>
            <w:pPr>
              <w:spacing w:after="0"/>
              <w:rPr>
                <w:sz w:val="18"/>
                <w:szCs w:val="18"/>
                <w:color w:val="auto"/>
              </w:rPr>
            </w:pPr>
          </w:p>
        </w:tc>
        <w:tc>
          <w:tcPr>
            <w:tcW w:w="500" w:type="dxa"/>
            <w:vAlign w:val="bottom"/>
          </w:tcPr>
          <w:p>
            <w:pPr>
              <w:spacing w:after="0"/>
              <w:rPr>
                <w:sz w:val="20"/>
                <w:szCs w:val="20"/>
                <w:color w:val="auto"/>
              </w:rPr>
            </w:pPr>
            <w:r>
              <w:rPr>
                <w:rFonts w:ascii="Arial" w:cs="Arial" w:eastAsia="Arial" w:hAnsi="Arial"/>
                <w:sz w:val="15"/>
                <w:szCs w:val="15"/>
                <w:color w:val="auto"/>
              </w:rPr>
              <w:t>p</w:t>
            </w:r>
          </w:p>
        </w:tc>
        <w:tc>
          <w:tcPr>
            <w:tcW w:w="660" w:type="dxa"/>
            <w:vAlign w:val="bottom"/>
          </w:tcPr>
          <w:p>
            <w:pPr>
              <w:spacing w:after="0"/>
              <w:rPr>
                <w:sz w:val="20"/>
                <w:szCs w:val="20"/>
                <w:color w:val="auto"/>
              </w:rPr>
            </w:pPr>
            <w:r>
              <w:rPr>
                <w:rFonts w:ascii="Arial" w:cs="Arial" w:eastAsia="Arial" w:hAnsi="Arial"/>
                <w:sz w:val="15"/>
                <w:szCs w:val="15"/>
                <w:color w:val="auto"/>
              </w:rPr>
              <w:t>&lt;.001</w:t>
            </w:r>
          </w:p>
        </w:tc>
        <w:tc>
          <w:tcPr>
            <w:tcW w:w="580" w:type="dxa"/>
            <w:vAlign w:val="bottom"/>
          </w:tcPr>
          <w:p>
            <w:pPr>
              <w:spacing w:after="0"/>
              <w:rPr>
                <w:sz w:val="18"/>
                <w:szCs w:val="18"/>
                <w:color w:val="auto"/>
              </w:rPr>
            </w:pPr>
          </w:p>
        </w:tc>
        <w:tc>
          <w:tcPr>
            <w:tcW w:w="780" w:type="dxa"/>
            <w:vAlign w:val="bottom"/>
          </w:tcPr>
          <w:p>
            <w:pPr>
              <w:ind w:left="200"/>
              <w:spacing w:after="0"/>
              <w:rPr>
                <w:sz w:val="20"/>
                <w:szCs w:val="20"/>
                <w:color w:val="auto"/>
              </w:rPr>
            </w:pPr>
            <w:r>
              <w:rPr>
                <w:rFonts w:ascii="Arial" w:cs="Arial" w:eastAsia="Arial" w:hAnsi="Arial"/>
                <w:sz w:val="15"/>
                <w:szCs w:val="15"/>
                <w:color w:val="auto"/>
              </w:rPr>
              <w:t>&lt;.001</w:t>
            </w:r>
          </w:p>
        </w:tc>
        <w:tc>
          <w:tcPr>
            <w:tcW w:w="540" w:type="dxa"/>
            <w:vAlign w:val="bottom"/>
          </w:tcPr>
          <w:p>
            <w:pPr>
              <w:spacing w:after="0"/>
              <w:rPr>
                <w:sz w:val="18"/>
                <w:szCs w:val="18"/>
                <w:color w:val="auto"/>
              </w:rPr>
            </w:pPr>
          </w:p>
        </w:tc>
        <w:tc>
          <w:tcPr>
            <w:tcW w:w="900" w:type="dxa"/>
            <w:vAlign w:val="bottom"/>
            <w:gridSpan w:val="2"/>
          </w:tcPr>
          <w:p>
            <w:pPr>
              <w:ind w:left="260"/>
              <w:spacing w:after="0"/>
              <w:rPr>
                <w:sz w:val="20"/>
                <w:szCs w:val="20"/>
                <w:color w:val="auto"/>
              </w:rPr>
            </w:pPr>
            <w:r>
              <w:rPr>
                <w:rFonts w:ascii="Arial" w:cs="Arial" w:eastAsia="Arial" w:hAnsi="Arial"/>
                <w:sz w:val="15"/>
                <w:szCs w:val="15"/>
                <w:color w:val="auto"/>
              </w:rPr>
              <w:t>&lt;.001</w:t>
            </w:r>
          </w:p>
        </w:tc>
        <w:tc>
          <w:tcPr>
            <w:tcW w:w="540" w:type="dxa"/>
            <w:vAlign w:val="bottom"/>
          </w:tcPr>
          <w:p>
            <w:pPr>
              <w:spacing w:after="0"/>
              <w:rPr>
                <w:sz w:val="18"/>
                <w:szCs w:val="18"/>
                <w:color w:val="auto"/>
              </w:rPr>
            </w:pPr>
          </w:p>
        </w:tc>
        <w:tc>
          <w:tcPr>
            <w:tcW w:w="660" w:type="dxa"/>
            <w:vAlign w:val="bottom"/>
          </w:tcPr>
          <w:p>
            <w:pPr>
              <w:ind w:left="140"/>
              <w:spacing w:after="0"/>
              <w:rPr>
                <w:sz w:val="20"/>
                <w:szCs w:val="20"/>
                <w:color w:val="auto"/>
              </w:rPr>
            </w:pPr>
            <w:r>
              <w:rPr>
                <w:rFonts w:ascii="Arial" w:cs="Arial" w:eastAsia="Arial" w:hAnsi="Arial"/>
                <w:sz w:val="15"/>
                <w:szCs w:val="15"/>
                <w:color w:val="auto"/>
              </w:rPr>
              <w:t>&lt;.001</w:t>
            </w:r>
          </w:p>
        </w:tc>
        <w:tc>
          <w:tcPr>
            <w:tcW w:w="380" w:type="dxa"/>
            <w:vAlign w:val="bottom"/>
          </w:tcPr>
          <w:p>
            <w:pPr>
              <w:spacing w:after="0"/>
              <w:rPr>
                <w:sz w:val="18"/>
                <w:szCs w:val="18"/>
                <w:color w:val="auto"/>
              </w:rPr>
            </w:pPr>
          </w:p>
        </w:tc>
        <w:tc>
          <w:tcPr>
            <w:tcW w:w="800" w:type="dxa"/>
            <w:vAlign w:val="bottom"/>
            <w:gridSpan w:val="2"/>
          </w:tcPr>
          <w:p>
            <w:pPr>
              <w:ind w:left="240"/>
              <w:spacing w:after="0"/>
              <w:rPr>
                <w:sz w:val="20"/>
                <w:szCs w:val="20"/>
                <w:color w:val="auto"/>
              </w:rPr>
            </w:pPr>
            <w:r>
              <w:rPr>
                <w:rFonts w:ascii="Arial" w:cs="Arial" w:eastAsia="Arial" w:hAnsi="Arial"/>
                <w:sz w:val="15"/>
                <w:szCs w:val="15"/>
                <w:color w:val="auto"/>
              </w:rPr>
              <w:t>&lt;.001</w:t>
            </w:r>
          </w:p>
        </w:tc>
        <w:tc>
          <w:tcPr>
            <w:tcW w:w="460" w:type="dxa"/>
            <w:vAlign w:val="bottom"/>
          </w:tcPr>
          <w:p>
            <w:pPr>
              <w:spacing w:after="0"/>
              <w:rPr>
                <w:sz w:val="18"/>
                <w:szCs w:val="18"/>
                <w:color w:val="auto"/>
              </w:rPr>
            </w:pPr>
          </w:p>
        </w:tc>
        <w:tc>
          <w:tcPr>
            <w:tcW w:w="640" w:type="dxa"/>
            <w:vAlign w:val="bottom"/>
          </w:tcPr>
          <w:p>
            <w:pPr>
              <w:ind w:left="120"/>
              <w:spacing w:after="0"/>
              <w:rPr>
                <w:sz w:val="20"/>
                <w:szCs w:val="20"/>
                <w:color w:val="auto"/>
              </w:rPr>
            </w:pPr>
            <w:r>
              <w:rPr>
                <w:rFonts w:ascii="Arial" w:cs="Arial" w:eastAsia="Arial" w:hAnsi="Arial"/>
                <w:sz w:val="15"/>
                <w:szCs w:val="15"/>
                <w:color w:val="auto"/>
              </w:rPr>
              <w:t>&lt;.001</w:t>
            </w:r>
          </w:p>
        </w:tc>
        <w:tc>
          <w:tcPr>
            <w:tcW w:w="380" w:type="dxa"/>
            <w:vAlign w:val="bottom"/>
          </w:tcPr>
          <w:p>
            <w:pPr>
              <w:spacing w:after="0"/>
              <w:rPr>
                <w:sz w:val="18"/>
                <w:szCs w:val="18"/>
                <w:color w:val="auto"/>
              </w:rPr>
            </w:pPr>
          </w:p>
        </w:tc>
        <w:tc>
          <w:tcPr>
            <w:tcW w:w="140" w:type="dxa"/>
            <w:vAlign w:val="bottom"/>
          </w:tcPr>
          <w:p>
            <w:pPr>
              <w:spacing w:after="0"/>
              <w:rPr>
                <w:sz w:val="18"/>
                <w:szCs w:val="18"/>
                <w:color w:val="auto"/>
              </w:rPr>
            </w:pPr>
          </w:p>
        </w:tc>
      </w:tr>
      <w:tr>
        <w:trPr>
          <w:trHeight w:val="59"/>
        </w:trPr>
        <w:tc>
          <w:tcPr>
            <w:tcW w:w="20" w:type="dxa"/>
            <w:vAlign w:val="bottom"/>
          </w:tcPr>
          <w:p>
            <w:pPr>
              <w:spacing w:after="0"/>
              <w:rPr>
                <w:sz w:val="5"/>
                <w:szCs w:val="5"/>
                <w:color w:val="auto"/>
              </w:rPr>
            </w:pPr>
          </w:p>
        </w:tc>
        <w:tc>
          <w:tcPr>
            <w:tcW w:w="2120" w:type="dxa"/>
            <w:vAlign w:val="bottom"/>
          </w:tcPr>
          <w:p>
            <w:pPr>
              <w:spacing w:after="0"/>
              <w:rPr>
                <w:sz w:val="5"/>
                <w:szCs w:val="5"/>
                <w:color w:val="auto"/>
              </w:rPr>
            </w:pPr>
          </w:p>
        </w:tc>
        <w:tc>
          <w:tcPr>
            <w:tcW w:w="500" w:type="dxa"/>
            <w:vAlign w:val="bottom"/>
          </w:tcPr>
          <w:p>
            <w:pPr>
              <w:spacing w:after="0"/>
              <w:rPr>
                <w:sz w:val="5"/>
                <w:szCs w:val="5"/>
                <w:color w:val="auto"/>
              </w:rPr>
            </w:pPr>
          </w:p>
        </w:tc>
        <w:tc>
          <w:tcPr>
            <w:tcW w:w="660" w:type="dxa"/>
            <w:vAlign w:val="bottom"/>
          </w:tcPr>
          <w:p>
            <w:pPr>
              <w:spacing w:after="0"/>
              <w:rPr>
                <w:sz w:val="5"/>
                <w:szCs w:val="5"/>
                <w:color w:val="auto"/>
              </w:rPr>
            </w:pPr>
          </w:p>
        </w:tc>
        <w:tc>
          <w:tcPr>
            <w:tcW w:w="580" w:type="dxa"/>
            <w:vAlign w:val="bottom"/>
          </w:tcPr>
          <w:p>
            <w:pPr>
              <w:spacing w:after="0"/>
              <w:rPr>
                <w:sz w:val="5"/>
                <w:szCs w:val="5"/>
                <w:color w:val="auto"/>
              </w:rPr>
            </w:pPr>
          </w:p>
        </w:tc>
        <w:tc>
          <w:tcPr>
            <w:tcW w:w="780" w:type="dxa"/>
            <w:vAlign w:val="bottom"/>
          </w:tcPr>
          <w:p>
            <w:pPr>
              <w:spacing w:after="0"/>
              <w:rPr>
                <w:sz w:val="5"/>
                <w:szCs w:val="5"/>
                <w:color w:val="auto"/>
              </w:rPr>
            </w:pPr>
          </w:p>
        </w:tc>
        <w:tc>
          <w:tcPr>
            <w:tcW w:w="540" w:type="dxa"/>
            <w:vAlign w:val="bottom"/>
          </w:tcPr>
          <w:p>
            <w:pPr>
              <w:spacing w:after="0"/>
              <w:rPr>
                <w:sz w:val="5"/>
                <w:szCs w:val="5"/>
                <w:color w:val="auto"/>
              </w:rPr>
            </w:pPr>
          </w:p>
        </w:tc>
        <w:tc>
          <w:tcPr>
            <w:tcW w:w="260" w:type="dxa"/>
            <w:vAlign w:val="bottom"/>
          </w:tcPr>
          <w:p>
            <w:pPr>
              <w:spacing w:after="0"/>
              <w:rPr>
                <w:sz w:val="5"/>
                <w:szCs w:val="5"/>
                <w:color w:val="auto"/>
              </w:rPr>
            </w:pPr>
          </w:p>
        </w:tc>
        <w:tc>
          <w:tcPr>
            <w:tcW w:w="640" w:type="dxa"/>
            <w:vAlign w:val="bottom"/>
          </w:tcPr>
          <w:p>
            <w:pPr>
              <w:spacing w:after="0"/>
              <w:rPr>
                <w:sz w:val="5"/>
                <w:szCs w:val="5"/>
                <w:color w:val="auto"/>
              </w:rPr>
            </w:pPr>
          </w:p>
        </w:tc>
        <w:tc>
          <w:tcPr>
            <w:tcW w:w="540" w:type="dxa"/>
            <w:vAlign w:val="bottom"/>
          </w:tcPr>
          <w:p>
            <w:pPr>
              <w:spacing w:after="0"/>
              <w:rPr>
                <w:sz w:val="5"/>
                <w:szCs w:val="5"/>
                <w:color w:val="auto"/>
              </w:rPr>
            </w:pPr>
          </w:p>
        </w:tc>
        <w:tc>
          <w:tcPr>
            <w:tcW w:w="660" w:type="dxa"/>
            <w:vAlign w:val="bottom"/>
          </w:tcPr>
          <w:p>
            <w:pPr>
              <w:spacing w:after="0"/>
              <w:rPr>
                <w:sz w:val="5"/>
                <w:szCs w:val="5"/>
                <w:color w:val="auto"/>
              </w:rPr>
            </w:pPr>
          </w:p>
        </w:tc>
        <w:tc>
          <w:tcPr>
            <w:tcW w:w="380" w:type="dxa"/>
            <w:vAlign w:val="bottom"/>
          </w:tcPr>
          <w:p>
            <w:pPr>
              <w:spacing w:after="0"/>
              <w:rPr>
                <w:sz w:val="5"/>
                <w:szCs w:val="5"/>
                <w:color w:val="auto"/>
              </w:rPr>
            </w:pPr>
          </w:p>
        </w:tc>
        <w:tc>
          <w:tcPr>
            <w:tcW w:w="240" w:type="dxa"/>
            <w:vAlign w:val="bottom"/>
          </w:tcPr>
          <w:p>
            <w:pPr>
              <w:spacing w:after="0"/>
              <w:rPr>
                <w:sz w:val="5"/>
                <w:szCs w:val="5"/>
                <w:color w:val="auto"/>
              </w:rPr>
            </w:pPr>
          </w:p>
        </w:tc>
        <w:tc>
          <w:tcPr>
            <w:tcW w:w="560" w:type="dxa"/>
            <w:vAlign w:val="bottom"/>
          </w:tcPr>
          <w:p>
            <w:pPr>
              <w:spacing w:after="0"/>
              <w:rPr>
                <w:sz w:val="5"/>
                <w:szCs w:val="5"/>
                <w:color w:val="auto"/>
              </w:rPr>
            </w:pPr>
          </w:p>
        </w:tc>
        <w:tc>
          <w:tcPr>
            <w:tcW w:w="460" w:type="dxa"/>
            <w:vAlign w:val="bottom"/>
          </w:tcPr>
          <w:p>
            <w:pPr>
              <w:spacing w:after="0"/>
              <w:rPr>
                <w:sz w:val="5"/>
                <w:szCs w:val="5"/>
                <w:color w:val="auto"/>
              </w:rPr>
            </w:pPr>
          </w:p>
        </w:tc>
        <w:tc>
          <w:tcPr>
            <w:tcW w:w="640" w:type="dxa"/>
            <w:vAlign w:val="bottom"/>
          </w:tcPr>
          <w:p>
            <w:pPr>
              <w:spacing w:after="0"/>
              <w:rPr>
                <w:sz w:val="5"/>
                <w:szCs w:val="5"/>
                <w:color w:val="auto"/>
              </w:rPr>
            </w:pPr>
          </w:p>
        </w:tc>
        <w:tc>
          <w:tcPr>
            <w:tcW w:w="380" w:type="dxa"/>
            <w:vAlign w:val="bottom"/>
          </w:tcPr>
          <w:p>
            <w:pPr>
              <w:spacing w:after="0"/>
              <w:rPr>
                <w:sz w:val="5"/>
                <w:szCs w:val="5"/>
                <w:color w:val="auto"/>
              </w:rPr>
            </w:pPr>
          </w:p>
        </w:tc>
        <w:tc>
          <w:tcPr>
            <w:tcW w:w="140" w:type="dxa"/>
            <w:vAlign w:val="bottom"/>
          </w:tcPr>
          <w:p>
            <w:pPr>
              <w:spacing w:after="0"/>
              <w:rPr>
                <w:sz w:val="5"/>
                <w:szCs w:val="5"/>
                <w:color w:val="auto"/>
              </w:rPr>
            </w:pPr>
          </w:p>
        </w:tc>
      </w:tr>
      <w:tr>
        <w:trPr>
          <w:trHeight w:val="221"/>
        </w:trPr>
        <w:tc>
          <w:tcPr>
            <w:tcW w:w="20" w:type="dxa"/>
            <w:vAlign w:val="bottom"/>
          </w:tcPr>
          <w:p>
            <w:pPr>
              <w:spacing w:after="0"/>
              <w:rPr>
                <w:sz w:val="19"/>
                <w:szCs w:val="19"/>
                <w:color w:val="auto"/>
              </w:rPr>
            </w:pPr>
          </w:p>
        </w:tc>
        <w:tc>
          <w:tcPr>
            <w:tcW w:w="2120" w:type="dxa"/>
            <w:vAlign w:val="bottom"/>
            <w:shd w:val="clear" w:color="auto" w:fill="E6E6E6"/>
          </w:tcPr>
          <w:p>
            <w:pPr>
              <w:ind w:left="140"/>
              <w:spacing w:after="0"/>
              <w:rPr>
                <w:sz w:val="20"/>
                <w:szCs w:val="20"/>
                <w:color w:val="auto"/>
              </w:rPr>
            </w:pPr>
            <w:r>
              <w:rPr>
                <w:rFonts w:ascii="Arial" w:cs="Arial" w:eastAsia="Arial" w:hAnsi="Arial"/>
                <w:sz w:val="15"/>
                <w:szCs w:val="15"/>
                <w:color w:val="auto"/>
              </w:rPr>
              <w:t>Levene's test</w:t>
            </w:r>
          </w:p>
        </w:tc>
        <w:tc>
          <w:tcPr>
            <w:tcW w:w="500" w:type="dxa"/>
            <w:vAlign w:val="bottom"/>
            <w:shd w:val="clear" w:color="auto" w:fill="E6E6E6"/>
          </w:tcPr>
          <w:p>
            <w:pPr>
              <w:spacing w:after="0"/>
              <w:rPr>
                <w:sz w:val="20"/>
                <w:szCs w:val="20"/>
                <w:color w:val="auto"/>
              </w:rPr>
            </w:pPr>
            <w:r>
              <w:rPr>
                <w:rFonts w:ascii="Arial" w:cs="Arial" w:eastAsia="Arial" w:hAnsi="Arial"/>
                <w:sz w:val="15"/>
                <w:szCs w:val="15"/>
                <w:color w:val="auto"/>
              </w:rPr>
              <w:t>DF</w:t>
            </w:r>
          </w:p>
        </w:tc>
        <w:tc>
          <w:tcPr>
            <w:tcW w:w="660" w:type="dxa"/>
            <w:vAlign w:val="bottom"/>
            <w:shd w:val="clear" w:color="auto" w:fill="E6E6E6"/>
          </w:tcPr>
          <w:p>
            <w:pPr>
              <w:spacing w:after="0"/>
              <w:rPr>
                <w:sz w:val="20"/>
                <w:szCs w:val="20"/>
                <w:color w:val="auto"/>
              </w:rPr>
            </w:pPr>
            <w:r>
              <w:rPr>
                <w:rFonts w:ascii="Arial" w:cs="Arial" w:eastAsia="Arial" w:hAnsi="Arial"/>
                <w:sz w:val="15"/>
                <w:szCs w:val="15"/>
                <w:color w:val="auto"/>
              </w:rPr>
              <w:t>576</w:t>
            </w:r>
          </w:p>
        </w:tc>
        <w:tc>
          <w:tcPr>
            <w:tcW w:w="580" w:type="dxa"/>
            <w:vAlign w:val="bottom"/>
            <w:shd w:val="clear" w:color="auto" w:fill="E6E6E6"/>
          </w:tcPr>
          <w:p>
            <w:pPr>
              <w:spacing w:after="0"/>
              <w:rPr>
                <w:sz w:val="19"/>
                <w:szCs w:val="19"/>
                <w:color w:val="auto"/>
              </w:rPr>
            </w:pPr>
          </w:p>
        </w:tc>
        <w:tc>
          <w:tcPr>
            <w:tcW w:w="780" w:type="dxa"/>
            <w:vAlign w:val="bottom"/>
            <w:shd w:val="clear" w:color="auto" w:fill="E6E6E6"/>
          </w:tcPr>
          <w:p>
            <w:pPr>
              <w:ind w:left="200"/>
              <w:spacing w:after="0"/>
              <w:rPr>
                <w:sz w:val="20"/>
                <w:szCs w:val="20"/>
                <w:color w:val="auto"/>
              </w:rPr>
            </w:pPr>
            <w:r>
              <w:rPr>
                <w:rFonts w:ascii="Arial" w:cs="Arial" w:eastAsia="Arial" w:hAnsi="Arial"/>
                <w:sz w:val="15"/>
                <w:szCs w:val="15"/>
                <w:color w:val="auto"/>
              </w:rPr>
              <w:t>576</w:t>
            </w:r>
          </w:p>
        </w:tc>
        <w:tc>
          <w:tcPr>
            <w:tcW w:w="540" w:type="dxa"/>
            <w:vAlign w:val="bottom"/>
            <w:shd w:val="clear" w:color="auto" w:fill="E6E6E6"/>
          </w:tcPr>
          <w:p>
            <w:pPr>
              <w:spacing w:after="0"/>
              <w:rPr>
                <w:sz w:val="19"/>
                <w:szCs w:val="19"/>
                <w:color w:val="auto"/>
              </w:rPr>
            </w:pPr>
          </w:p>
        </w:tc>
        <w:tc>
          <w:tcPr>
            <w:tcW w:w="900" w:type="dxa"/>
            <w:vAlign w:val="bottom"/>
            <w:gridSpan w:val="2"/>
            <w:shd w:val="clear" w:color="auto" w:fill="E6E6E6"/>
          </w:tcPr>
          <w:p>
            <w:pPr>
              <w:ind w:left="260"/>
              <w:spacing w:after="0"/>
              <w:rPr>
                <w:sz w:val="20"/>
                <w:szCs w:val="20"/>
                <w:color w:val="auto"/>
              </w:rPr>
            </w:pPr>
            <w:r>
              <w:rPr>
                <w:rFonts w:ascii="Arial" w:cs="Arial" w:eastAsia="Arial" w:hAnsi="Arial"/>
                <w:sz w:val="15"/>
                <w:szCs w:val="15"/>
                <w:color w:val="auto"/>
              </w:rPr>
              <w:t>576</w:t>
            </w:r>
          </w:p>
        </w:tc>
        <w:tc>
          <w:tcPr>
            <w:tcW w:w="540" w:type="dxa"/>
            <w:vAlign w:val="bottom"/>
            <w:shd w:val="clear" w:color="auto" w:fill="E6E6E6"/>
          </w:tcPr>
          <w:p>
            <w:pPr>
              <w:spacing w:after="0"/>
              <w:rPr>
                <w:sz w:val="19"/>
                <w:szCs w:val="19"/>
                <w:color w:val="auto"/>
              </w:rPr>
            </w:pPr>
          </w:p>
        </w:tc>
        <w:tc>
          <w:tcPr>
            <w:tcW w:w="660" w:type="dxa"/>
            <w:vAlign w:val="bottom"/>
            <w:shd w:val="clear" w:color="auto" w:fill="E6E6E6"/>
          </w:tcPr>
          <w:p>
            <w:pPr>
              <w:ind w:left="140"/>
              <w:spacing w:after="0"/>
              <w:rPr>
                <w:sz w:val="20"/>
                <w:szCs w:val="20"/>
                <w:color w:val="auto"/>
              </w:rPr>
            </w:pPr>
            <w:r>
              <w:rPr>
                <w:rFonts w:ascii="Arial" w:cs="Arial" w:eastAsia="Arial" w:hAnsi="Arial"/>
                <w:sz w:val="15"/>
                <w:szCs w:val="15"/>
                <w:color w:val="auto"/>
              </w:rPr>
              <w:t>576</w:t>
            </w:r>
          </w:p>
        </w:tc>
        <w:tc>
          <w:tcPr>
            <w:tcW w:w="380" w:type="dxa"/>
            <w:vAlign w:val="bottom"/>
            <w:shd w:val="clear" w:color="auto" w:fill="E6E6E6"/>
          </w:tcPr>
          <w:p>
            <w:pPr>
              <w:spacing w:after="0"/>
              <w:rPr>
                <w:sz w:val="19"/>
                <w:szCs w:val="19"/>
                <w:color w:val="auto"/>
              </w:rPr>
            </w:pPr>
          </w:p>
        </w:tc>
        <w:tc>
          <w:tcPr>
            <w:tcW w:w="800" w:type="dxa"/>
            <w:vAlign w:val="bottom"/>
            <w:gridSpan w:val="2"/>
            <w:shd w:val="clear" w:color="auto" w:fill="E6E6E6"/>
          </w:tcPr>
          <w:p>
            <w:pPr>
              <w:ind w:left="240"/>
              <w:spacing w:after="0"/>
              <w:rPr>
                <w:sz w:val="20"/>
                <w:szCs w:val="20"/>
                <w:color w:val="auto"/>
              </w:rPr>
            </w:pPr>
            <w:r>
              <w:rPr>
                <w:rFonts w:ascii="Arial" w:cs="Arial" w:eastAsia="Arial" w:hAnsi="Arial"/>
                <w:sz w:val="15"/>
                <w:szCs w:val="15"/>
                <w:color w:val="auto"/>
              </w:rPr>
              <w:t>576</w:t>
            </w:r>
          </w:p>
        </w:tc>
        <w:tc>
          <w:tcPr>
            <w:tcW w:w="460" w:type="dxa"/>
            <w:vAlign w:val="bottom"/>
            <w:shd w:val="clear" w:color="auto" w:fill="E6E6E6"/>
          </w:tcPr>
          <w:p>
            <w:pPr>
              <w:spacing w:after="0"/>
              <w:rPr>
                <w:sz w:val="19"/>
                <w:szCs w:val="19"/>
                <w:color w:val="auto"/>
              </w:rPr>
            </w:pPr>
          </w:p>
        </w:tc>
        <w:tc>
          <w:tcPr>
            <w:tcW w:w="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576</w:t>
            </w:r>
          </w:p>
        </w:tc>
        <w:tc>
          <w:tcPr>
            <w:tcW w:w="380" w:type="dxa"/>
            <w:vAlign w:val="bottom"/>
            <w:shd w:val="clear" w:color="auto" w:fill="E6E6E6"/>
          </w:tcPr>
          <w:p>
            <w:pPr>
              <w:spacing w:after="0"/>
              <w:rPr>
                <w:sz w:val="19"/>
                <w:szCs w:val="19"/>
                <w:color w:val="auto"/>
              </w:rPr>
            </w:pPr>
          </w:p>
        </w:tc>
        <w:tc>
          <w:tcPr>
            <w:tcW w:w="140" w:type="dxa"/>
            <w:vAlign w:val="bottom"/>
            <w:shd w:val="clear" w:color="auto" w:fill="E6E6E6"/>
          </w:tcPr>
          <w:p>
            <w:pPr>
              <w:spacing w:after="0"/>
              <w:rPr>
                <w:sz w:val="19"/>
                <w:szCs w:val="19"/>
                <w:color w:val="auto"/>
              </w:rPr>
            </w:pPr>
          </w:p>
        </w:tc>
      </w:tr>
      <w:tr>
        <w:trPr>
          <w:trHeight w:val="210"/>
        </w:trPr>
        <w:tc>
          <w:tcPr>
            <w:tcW w:w="20" w:type="dxa"/>
            <w:vAlign w:val="bottom"/>
          </w:tcPr>
          <w:p>
            <w:pPr>
              <w:spacing w:after="0"/>
              <w:rPr>
                <w:sz w:val="18"/>
                <w:szCs w:val="18"/>
                <w:color w:val="auto"/>
              </w:rPr>
            </w:pPr>
          </w:p>
        </w:tc>
        <w:tc>
          <w:tcPr>
            <w:tcW w:w="2120" w:type="dxa"/>
            <w:vAlign w:val="bottom"/>
            <w:shd w:val="clear" w:color="auto" w:fill="E6E6E6"/>
          </w:tcPr>
          <w:p>
            <w:pPr>
              <w:spacing w:after="0"/>
              <w:rPr>
                <w:sz w:val="18"/>
                <w:szCs w:val="18"/>
                <w:color w:val="auto"/>
              </w:rPr>
            </w:pPr>
          </w:p>
        </w:tc>
        <w:tc>
          <w:tcPr>
            <w:tcW w:w="500" w:type="dxa"/>
            <w:vAlign w:val="bottom"/>
            <w:shd w:val="clear" w:color="auto" w:fill="E6E6E6"/>
          </w:tcPr>
          <w:p>
            <w:pPr>
              <w:spacing w:after="0"/>
              <w:rPr>
                <w:sz w:val="20"/>
                <w:szCs w:val="20"/>
                <w:color w:val="auto"/>
              </w:rPr>
            </w:pPr>
            <w:r>
              <w:rPr>
                <w:rFonts w:ascii="Arial" w:cs="Arial" w:eastAsia="Arial" w:hAnsi="Arial"/>
                <w:sz w:val="15"/>
                <w:szCs w:val="15"/>
                <w:color w:val="auto"/>
              </w:rPr>
              <w:t>F</w:t>
            </w:r>
          </w:p>
        </w:tc>
        <w:tc>
          <w:tcPr>
            <w:tcW w:w="660" w:type="dxa"/>
            <w:vAlign w:val="bottom"/>
            <w:shd w:val="clear" w:color="auto" w:fill="E6E6E6"/>
          </w:tcPr>
          <w:p>
            <w:pPr>
              <w:spacing w:after="0"/>
              <w:rPr>
                <w:sz w:val="20"/>
                <w:szCs w:val="20"/>
                <w:color w:val="auto"/>
              </w:rPr>
            </w:pPr>
            <w:r>
              <w:rPr>
                <w:rFonts w:ascii="Arial" w:cs="Arial" w:eastAsia="Arial" w:hAnsi="Arial"/>
                <w:sz w:val="15"/>
                <w:szCs w:val="15"/>
                <w:color w:val="auto"/>
              </w:rPr>
              <w:t>61.42</w:t>
            </w:r>
          </w:p>
        </w:tc>
        <w:tc>
          <w:tcPr>
            <w:tcW w:w="580" w:type="dxa"/>
            <w:vAlign w:val="bottom"/>
            <w:shd w:val="clear" w:color="auto" w:fill="E6E6E6"/>
          </w:tcPr>
          <w:p>
            <w:pPr>
              <w:spacing w:after="0"/>
              <w:rPr>
                <w:sz w:val="18"/>
                <w:szCs w:val="18"/>
                <w:color w:val="auto"/>
              </w:rPr>
            </w:pPr>
          </w:p>
        </w:tc>
        <w:tc>
          <w:tcPr>
            <w:tcW w:w="780" w:type="dxa"/>
            <w:vAlign w:val="bottom"/>
            <w:shd w:val="clear" w:color="auto" w:fill="E6E6E6"/>
          </w:tcPr>
          <w:p>
            <w:pPr>
              <w:ind w:left="200"/>
              <w:spacing w:after="0"/>
              <w:rPr>
                <w:sz w:val="20"/>
                <w:szCs w:val="20"/>
                <w:color w:val="auto"/>
              </w:rPr>
            </w:pPr>
            <w:r>
              <w:rPr>
                <w:rFonts w:ascii="Arial" w:cs="Arial" w:eastAsia="Arial" w:hAnsi="Arial"/>
                <w:sz w:val="15"/>
                <w:szCs w:val="15"/>
                <w:color w:val="auto"/>
              </w:rPr>
              <w:t>437.89</w:t>
            </w:r>
          </w:p>
        </w:tc>
        <w:tc>
          <w:tcPr>
            <w:tcW w:w="540" w:type="dxa"/>
            <w:vAlign w:val="bottom"/>
            <w:shd w:val="clear" w:color="auto" w:fill="E6E6E6"/>
          </w:tcPr>
          <w:p>
            <w:pPr>
              <w:spacing w:after="0"/>
              <w:rPr>
                <w:sz w:val="18"/>
                <w:szCs w:val="18"/>
                <w:color w:val="auto"/>
              </w:rPr>
            </w:pPr>
          </w:p>
        </w:tc>
        <w:tc>
          <w:tcPr>
            <w:tcW w:w="900" w:type="dxa"/>
            <w:vAlign w:val="bottom"/>
            <w:gridSpan w:val="2"/>
            <w:shd w:val="clear" w:color="auto" w:fill="E6E6E6"/>
          </w:tcPr>
          <w:p>
            <w:pPr>
              <w:ind w:left="260"/>
              <w:spacing w:after="0"/>
              <w:rPr>
                <w:sz w:val="20"/>
                <w:szCs w:val="20"/>
                <w:color w:val="auto"/>
              </w:rPr>
            </w:pPr>
            <w:r>
              <w:rPr>
                <w:rFonts w:ascii="Arial" w:cs="Arial" w:eastAsia="Arial" w:hAnsi="Arial"/>
                <w:sz w:val="15"/>
                <w:szCs w:val="15"/>
                <w:color w:val="auto"/>
              </w:rPr>
              <w:t>226.74</w:t>
            </w:r>
          </w:p>
        </w:tc>
        <w:tc>
          <w:tcPr>
            <w:tcW w:w="540" w:type="dxa"/>
            <w:vAlign w:val="bottom"/>
            <w:shd w:val="clear" w:color="auto" w:fill="E6E6E6"/>
          </w:tcPr>
          <w:p>
            <w:pPr>
              <w:spacing w:after="0"/>
              <w:rPr>
                <w:sz w:val="18"/>
                <w:szCs w:val="18"/>
                <w:color w:val="auto"/>
              </w:rPr>
            </w:pPr>
          </w:p>
        </w:tc>
        <w:tc>
          <w:tcPr>
            <w:tcW w:w="660" w:type="dxa"/>
            <w:vAlign w:val="bottom"/>
            <w:shd w:val="clear" w:color="auto" w:fill="E6E6E6"/>
          </w:tcPr>
          <w:p>
            <w:pPr>
              <w:ind w:left="140"/>
              <w:spacing w:after="0"/>
              <w:rPr>
                <w:sz w:val="20"/>
                <w:szCs w:val="20"/>
                <w:color w:val="auto"/>
              </w:rPr>
            </w:pPr>
            <w:r>
              <w:rPr>
                <w:rFonts w:ascii="Arial" w:cs="Arial" w:eastAsia="Arial" w:hAnsi="Arial"/>
                <w:sz w:val="15"/>
                <w:szCs w:val="15"/>
                <w:color w:val="auto"/>
              </w:rPr>
              <w:t>252.04</w:t>
            </w:r>
          </w:p>
        </w:tc>
        <w:tc>
          <w:tcPr>
            <w:tcW w:w="380" w:type="dxa"/>
            <w:vAlign w:val="bottom"/>
            <w:shd w:val="clear" w:color="auto" w:fill="E6E6E6"/>
          </w:tcPr>
          <w:p>
            <w:pPr>
              <w:spacing w:after="0"/>
              <w:rPr>
                <w:sz w:val="18"/>
                <w:szCs w:val="18"/>
                <w:color w:val="auto"/>
              </w:rPr>
            </w:pPr>
          </w:p>
        </w:tc>
        <w:tc>
          <w:tcPr>
            <w:tcW w:w="800" w:type="dxa"/>
            <w:vAlign w:val="bottom"/>
            <w:gridSpan w:val="2"/>
            <w:shd w:val="clear" w:color="auto" w:fill="E6E6E6"/>
          </w:tcPr>
          <w:p>
            <w:pPr>
              <w:ind w:left="240"/>
              <w:spacing w:after="0"/>
              <w:rPr>
                <w:sz w:val="20"/>
                <w:szCs w:val="20"/>
                <w:color w:val="auto"/>
              </w:rPr>
            </w:pPr>
            <w:r>
              <w:rPr>
                <w:rFonts w:ascii="Arial" w:cs="Arial" w:eastAsia="Arial" w:hAnsi="Arial"/>
                <w:sz w:val="15"/>
                <w:szCs w:val="15"/>
                <w:color w:val="auto"/>
              </w:rPr>
              <w:t>91.56</w:t>
            </w:r>
          </w:p>
        </w:tc>
        <w:tc>
          <w:tcPr>
            <w:tcW w:w="460" w:type="dxa"/>
            <w:vAlign w:val="bottom"/>
            <w:shd w:val="clear" w:color="auto" w:fill="E6E6E6"/>
          </w:tcPr>
          <w:p>
            <w:pPr>
              <w:spacing w:after="0"/>
              <w:rPr>
                <w:sz w:val="18"/>
                <w:szCs w:val="18"/>
                <w:color w:val="auto"/>
              </w:rPr>
            </w:pPr>
          </w:p>
        </w:tc>
        <w:tc>
          <w:tcPr>
            <w:tcW w:w="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157.52</w:t>
            </w:r>
          </w:p>
        </w:tc>
        <w:tc>
          <w:tcPr>
            <w:tcW w:w="380" w:type="dxa"/>
            <w:vAlign w:val="bottom"/>
            <w:shd w:val="clear" w:color="auto" w:fill="E6E6E6"/>
          </w:tcPr>
          <w:p>
            <w:pPr>
              <w:spacing w:after="0"/>
              <w:rPr>
                <w:sz w:val="18"/>
                <w:szCs w:val="18"/>
                <w:color w:val="auto"/>
              </w:rPr>
            </w:pPr>
          </w:p>
        </w:tc>
        <w:tc>
          <w:tcPr>
            <w:tcW w:w="140" w:type="dxa"/>
            <w:vAlign w:val="bottom"/>
            <w:shd w:val="clear" w:color="auto" w:fill="E6E6E6"/>
          </w:tcPr>
          <w:p>
            <w:pPr>
              <w:spacing w:after="0"/>
              <w:rPr>
                <w:sz w:val="18"/>
                <w:szCs w:val="18"/>
                <w:color w:val="auto"/>
              </w:rPr>
            </w:pPr>
          </w:p>
        </w:tc>
      </w:tr>
      <w:tr>
        <w:trPr>
          <w:trHeight w:val="250"/>
        </w:trPr>
        <w:tc>
          <w:tcPr>
            <w:tcW w:w="20" w:type="dxa"/>
            <w:vAlign w:val="bottom"/>
          </w:tcPr>
          <w:p>
            <w:pPr>
              <w:spacing w:after="0"/>
              <w:rPr>
                <w:sz w:val="21"/>
                <w:szCs w:val="21"/>
                <w:color w:val="auto"/>
              </w:rPr>
            </w:pPr>
          </w:p>
        </w:tc>
        <w:tc>
          <w:tcPr>
            <w:tcW w:w="2120" w:type="dxa"/>
            <w:vAlign w:val="bottom"/>
            <w:tcBorders>
              <w:bottom w:val="single" w:sz="8" w:color="E6E6E6"/>
            </w:tcBorders>
            <w:shd w:val="clear" w:color="auto" w:fill="E6E6E6"/>
          </w:tcPr>
          <w:p>
            <w:pPr>
              <w:spacing w:after="0"/>
              <w:rPr>
                <w:sz w:val="21"/>
                <w:szCs w:val="21"/>
                <w:color w:val="auto"/>
              </w:rPr>
            </w:pPr>
          </w:p>
        </w:tc>
        <w:tc>
          <w:tcPr>
            <w:tcW w:w="500" w:type="dxa"/>
            <w:vAlign w:val="bottom"/>
            <w:tcBorders>
              <w:bottom w:val="single" w:sz="8" w:color="E6E6E6"/>
            </w:tcBorders>
            <w:shd w:val="clear" w:color="auto" w:fill="E6E6E6"/>
          </w:tcPr>
          <w:p>
            <w:pPr>
              <w:spacing w:after="0"/>
              <w:rPr>
                <w:sz w:val="20"/>
                <w:szCs w:val="20"/>
                <w:color w:val="auto"/>
              </w:rPr>
            </w:pPr>
            <w:r>
              <w:rPr>
                <w:rFonts w:ascii="Arial" w:cs="Arial" w:eastAsia="Arial" w:hAnsi="Arial"/>
                <w:sz w:val="15"/>
                <w:szCs w:val="15"/>
                <w:color w:val="auto"/>
              </w:rPr>
              <w:t>p</w:t>
            </w:r>
          </w:p>
        </w:tc>
        <w:tc>
          <w:tcPr>
            <w:tcW w:w="660" w:type="dxa"/>
            <w:vAlign w:val="bottom"/>
            <w:tcBorders>
              <w:bottom w:val="single" w:sz="8" w:color="E6E6E6"/>
            </w:tcBorders>
            <w:shd w:val="clear" w:color="auto" w:fill="E6E6E6"/>
          </w:tcPr>
          <w:p>
            <w:pPr>
              <w:spacing w:after="0"/>
              <w:rPr>
                <w:sz w:val="20"/>
                <w:szCs w:val="20"/>
                <w:color w:val="auto"/>
              </w:rPr>
            </w:pPr>
            <w:r>
              <w:rPr>
                <w:rFonts w:ascii="Arial" w:cs="Arial" w:eastAsia="Arial" w:hAnsi="Arial"/>
                <w:sz w:val="15"/>
                <w:szCs w:val="15"/>
                <w:color w:val="auto"/>
              </w:rPr>
              <w:t>&lt;.001</w:t>
            </w:r>
          </w:p>
        </w:tc>
        <w:tc>
          <w:tcPr>
            <w:tcW w:w="580" w:type="dxa"/>
            <w:vAlign w:val="bottom"/>
            <w:tcBorders>
              <w:bottom w:val="single" w:sz="8" w:color="E6E6E6"/>
            </w:tcBorders>
            <w:shd w:val="clear" w:color="auto" w:fill="E6E6E6"/>
          </w:tcPr>
          <w:p>
            <w:pPr>
              <w:spacing w:after="0"/>
              <w:rPr>
                <w:sz w:val="21"/>
                <w:szCs w:val="21"/>
                <w:color w:val="auto"/>
              </w:rPr>
            </w:pPr>
          </w:p>
        </w:tc>
        <w:tc>
          <w:tcPr>
            <w:tcW w:w="780" w:type="dxa"/>
            <w:vAlign w:val="bottom"/>
            <w:tcBorders>
              <w:bottom w:val="single" w:sz="8" w:color="E6E6E6"/>
            </w:tcBorders>
            <w:shd w:val="clear" w:color="auto" w:fill="E6E6E6"/>
          </w:tcPr>
          <w:p>
            <w:pPr>
              <w:ind w:left="200"/>
              <w:spacing w:after="0"/>
              <w:rPr>
                <w:sz w:val="20"/>
                <w:szCs w:val="20"/>
                <w:color w:val="auto"/>
              </w:rPr>
            </w:pPr>
            <w:r>
              <w:rPr>
                <w:rFonts w:ascii="Arial" w:cs="Arial" w:eastAsia="Arial" w:hAnsi="Arial"/>
                <w:sz w:val="15"/>
                <w:szCs w:val="15"/>
                <w:color w:val="auto"/>
              </w:rPr>
              <w:t>&lt;.001</w:t>
            </w:r>
          </w:p>
        </w:tc>
        <w:tc>
          <w:tcPr>
            <w:tcW w:w="540" w:type="dxa"/>
            <w:vAlign w:val="bottom"/>
            <w:tcBorders>
              <w:bottom w:val="single" w:sz="8" w:color="E6E6E6"/>
            </w:tcBorders>
            <w:shd w:val="clear" w:color="auto" w:fill="E6E6E6"/>
          </w:tcPr>
          <w:p>
            <w:pPr>
              <w:spacing w:after="0"/>
              <w:rPr>
                <w:sz w:val="21"/>
                <w:szCs w:val="21"/>
                <w:color w:val="auto"/>
              </w:rPr>
            </w:pPr>
          </w:p>
        </w:tc>
        <w:tc>
          <w:tcPr>
            <w:tcW w:w="900" w:type="dxa"/>
            <w:vAlign w:val="bottom"/>
            <w:tcBorders>
              <w:bottom w:val="single" w:sz="8" w:color="E6E6E6"/>
            </w:tcBorders>
            <w:gridSpan w:val="2"/>
            <w:shd w:val="clear" w:color="auto" w:fill="E6E6E6"/>
          </w:tcPr>
          <w:p>
            <w:pPr>
              <w:ind w:left="260"/>
              <w:spacing w:after="0"/>
              <w:rPr>
                <w:sz w:val="20"/>
                <w:szCs w:val="20"/>
                <w:color w:val="auto"/>
              </w:rPr>
            </w:pPr>
            <w:r>
              <w:rPr>
                <w:rFonts w:ascii="Arial" w:cs="Arial" w:eastAsia="Arial" w:hAnsi="Arial"/>
                <w:sz w:val="15"/>
                <w:szCs w:val="15"/>
                <w:color w:val="auto"/>
              </w:rPr>
              <w:t>&lt;.001</w:t>
            </w:r>
          </w:p>
        </w:tc>
        <w:tc>
          <w:tcPr>
            <w:tcW w:w="540" w:type="dxa"/>
            <w:vAlign w:val="bottom"/>
            <w:tcBorders>
              <w:bottom w:val="single" w:sz="8" w:color="E6E6E6"/>
            </w:tcBorders>
            <w:shd w:val="clear" w:color="auto" w:fill="E6E6E6"/>
          </w:tcPr>
          <w:p>
            <w:pPr>
              <w:spacing w:after="0"/>
              <w:rPr>
                <w:sz w:val="21"/>
                <w:szCs w:val="21"/>
                <w:color w:val="auto"/>
              </w:rPr>
            </w:pPr>
          </w:p>
        </w:tc>
        <w:tc>
          <w:tcPr>
            <w:tcW w:w="660" w:type="dxa"/>
            <w:vAlign w:val="bottom"/>
            <w:tcBorders>
              <w:bottom w:val="single" w:sz="8" w:color="E6E6E6"/>
            </w:tcBorders>
            <w:shd w:val="clear" w:color="auto" w:fill="E6E6E6"/>
          </w:tcPr>
          <w:p>
            <w:pPr>
              <w:ind w:left="140"/>
              <w:spacing w:after="0"/>
              <w:rPr>
                <w:sz w:val="20"/>
                <w:szCs w:val="20"/>
                <w:color w:val="auto"/>
              </w:rPr>
            </w:pPr>
            <w:r>
              <w:rPr>
                <w:rFonts w:ascii="Arial" w:cs="Arial" w:eastAsia="Arial" w:hAnsi="Arial"/>
                <w:sz w:val="15"/>
                <w:szCs w:val="15"/>
                <w:color w:val="auto"/>
              </w:rPr>
              <w:t>&lt;.001</w:t>
            </w:r>
          </w:p>
        </w:tc>
        <w:tc>
          <w:tcPr>
            <w:tcW w:w="380" w:type="dxa"/>
            <w:vAlign w:val="bottom"/>
            <w:tcBorders>
              <w:bottom w:val="single" w:sz="8" w:color="E6E6E6"/>
            </w:tcBorders>
            <w:shd w:val="clear" w:color="auto" w:fill="E6E6E6"/>
          </w:tcPr>
          <w:p>
            <w:pPr>
              <w:spacing w:after="0"/>
              <w:rPr>
                <w:sz w:val="21"/>
                <w:szCs w:val="21"/>
                <w:color w:val="auto"/>
              </w:rPr>
            </w:pPr>
          </w:p>
        </w:tc>
        <w:tc>
          <w:tcPr>
            <w:tcW w:w="800" w:type="dxa"/>
            <w:vAlign w:val="bottom"/>
            <w:tcBorders>
              <w:bottom w:val="single" w:sz="8" w:color="E6E6E6"/>
            </w:tcBorders>
            <w:gridSpan w:val="2"/>
            <w:shd w:val="clear" w:color="auto" w:fill="E6E6E6"/>
          </w:tcPr>
          <w:p>
            <w:pPr>
              <w:ind w:left="240"/>
              <w:spacing w:after="0"/>
              <w:rPr>
                <w:sz w:val="20"/>
                <w:szCs w:val="20"/>
                <w:color w:val="auto"/>
              </w:rPr>
            </w:pPr>
            <w:r>
              <w:rPr>
                <w:rFonts w:ascii="Arial" w:cs="Arial" w:eastAsia="Arial" w:hAnsi="Arial"/>
                <w:sz w:val="15"/>
                <w:szCs w:val="15"/>
                <w:color w:val="auto"/>
              </w:rPr>
              <w:t>&lt;.001</w:t>
            </w:r>
          </w:p>
        </w:tc>
        <w:tc>
          <w:tcPr>
            <w:tcW w:w="460" w:type="dxa"/>
            <w:vAlign w:val="bottom"/>
            <w:tcBorders>
              <w:bottom w:val="single" w:sz="8" w:color="E6E6E6"/>
            </w:tcBorders>
            <w:shd w:val="clear" w:color="auto" w:fill="E6E6E6"/>
          </w:tcPr>
          <w:p>
            <w:pPr>
              <w:spacing w:after="0"/>
              <w:rPr>
                <w:sz w:val="21"/>
                <w:szCs w:val="21"/>
                <w:color w:val="auto"/>
              </w:rPr>
            </w:pPr>
          </w:p>
        </w:tc>
        <w:tc>
          <w:tcPr>
            <w:tcW w:w="640" w:type="dxa"/>
            <w:vAlign w:val="bottom"/>
            <w:tcBorders>
              <w:bottom w:val="single" w:sz="8" w:color="E6E6E6"/>
            </w:tcBorders>
            <w:shd w:val="clear" w:color="auto" w:fill="E6E6E6"/>
          </w:tcPr>
          <w:p>
            <w:pPr>
              <w:ind w:left="120"/>
              <w:spacing w:after="0"/>
              <w:rPr>
                <w:sz w:val="20"/>
                <w:szCs w:val="20"/>
                <w:color w:val="auto"/>
              </w:rPr>
            </w:pPr>
            <w:r>
              <w:rPr>
                <w:rFonts w:ascii="Arial" w:cs="Arial" w:eastAsia="Arial" w:hAnsi="Arial"/>
                <w:sz w:val="15"/>
                <w:szCs w:val="15"/>
                <w:color w:val="auto"/>
              </w:rPr>
              <w:t>&lt;.001</w:t>
            </w:r>
          </w:p>
        </w:tc>
        <w:tc>
          <w:tcPr>
            <w:tcW w:w="380" w:type="dxa"/>
            <w:vAlign w:val="bottom"/>
            <w:tcBorders>
              <w:bottom w:val="single" w:sz="8" w:color="E6E6E6"/>
            </w:tcBorders>
            <w:shd w:val="clear" w:color="auto" w:fill="E6E6E6"/>
          </w:tcPr>
          <w:p>
            <w:pPr>
              <w:spacing w:after="0"/>
              <w:rPr>
                <w:sz w:val="21"/>
                <w:szCs w:val="21"/>
                <w:color w:val="auto"/>
              </w:rPr>
            </w:pPr>
          </w:p>
        </w:tc>
        <w:tc>
          <w:tcPr>
            <w:tcW w:w="140" w:type="dxa"/>
            <w:vAlign w:val="bottom"/>
            <w:tcBorders>
              <w:bottom w:val="single" w:sz="8" w:color="E6E6E6"/>
            </w:tcBorders>
            <w:shd w:val="clear" w:color="auto" w:fill="E6E6E6"/>
          </w:tcPr>
          <w:p>
            <w:pPr>
              <w:spacing w:after="0"/>
              <w:rPr>
                <w:sz w:val="21"/>
                <w:szCs w:val="21"/>
                <w:color w:val="auto"/>
              </w:rPr>
            </w:pPr>
          </w:p>
        </w:tc>
      </w:tr>
      <w:tr>
        <w:trPr>
          <w:trHeight w:val="221"/>
        </w:trPr>
        <w:tc>
          <w:tcPr>
            <w:tcW w:w="20" w:type="dxa"/>
            <w:vAlign w:val="bottom"/>
          </w:tcPr>
          <w:p>
            <w:pPr>
              <w:spacing w:after="0"/>
              <w:rPr>
                <w:sz w:val="19"/>
                <w:szCs w:val="19"/>
                <w:color w:val="auto"/>
              </w:rPr>
            </w:pPr>
          </w:p>
        </w:tc>
        <w:tc>
          <w:tcPr>
            <w:tcW w:w="2120" w:type="dxa"/>
            <w:vAlign w:val="bottom"/>
          </w:tcPr>
          <w:p>
            <w:pPr>
              <w:ind w:left="140"/>
              <w:spacing w:after="0"/>
              <w:rPr>
                <w:sz w:val="20"/>
                <w:szCs w:val="20"/>
                <w:color w:val="auto"/>
              </w:rPr>
            </w:pPr>
            <w:r>
              <w:rPr>
                <w:rFonts w:ascii="Arial" w:cs="Arial" w:eastAsia="Arial" w:hAnsi="Arial"/>
                <w:sz w:val="15"/>
                <w:szCs w:val="15"/>
                <w:color w:val="auto"/>
              </w:rPr>
              <w:t>Causal impact</w:t>
            </w:r>
          </w:p>
        </w:tc>
        <w:tc>
          <w:tcPr>
            <w:tcW w:w="500" w:type="dxa"/>
            <w:vAlign w:val="bottom"/>
          </w:tcPr>
          <w:p>
            <w:pPr>
              <w:spacing w:after="0"/>
              <w:rPr>
                <w:sz w:val="20"/>
                <w:szCs w:val="20"/>
                <w:color w:val="auto"/>
              </w:rPr>
            </w:pPr>
            <w:r>
              <w:rPr>
                <w:rFonts w:ascii="Arial" w:cs="Arial" w:eastAsia="Arial" w:hAnsi="Arial"/>
                <w:sz w:val="15"/>
                <w:szCs w:val="15"/>
                <w:color w:val="auto"/>
              </w:rPr>
              <w:t>O x¯</w:t>
            </w:r>
          </w:p>
        </w:tc>
        <w:tc>
          <w:tcPr>
            <w:tcW w:w="660" w:type="dxa"/>
            <w:vAlign w:val="bottom"/>
          </w:tcPr>
          <w:p>
            <w:pPr>
              <w:spacing w:after="0"/>
              <w:rPr>
                <w:sz w:val="20"/>
                <w:szCs w:val="20"/>
                <w:color w:val="auto"/>
              </w:rPr>
            </w:pPr>
            <w:r>
              <w:rPr>
                <w:rFonts w:ascii="Arial" w:cs="Arial" w:eastAsia="Arial" w:hAnsi="Arial"/>
                <w:sz w:val="15"/>
                <w:szCs w:val="15"/>
                <w:color w:val="auto"/>
              </w:rPr>
              <w:t>233</w:t>
            </w:r>
          </w:p>
        </w:tc>
        <w:tc>
          <w:tcPr>
            <w:tcW w:w="580" w:type="dxa"/>
            <w:vAlign w:val="bottom"/>
          </w:tcPr>
          <w:p>
            <w:pPr>
              <w:spacing w:after="0"/>
              <w:rPr>
                <w:sz w:val="19"/>
                <w:szCs w:val="19"/>
                <w:color w:val="auto"/>
              </w:rPr>
            </w:pPr>
          </w:p>
        </w:tc>
        <w:tc>
          <w:tcPr>
            <w:tcW w:w="780" w:type="dxa"/>
            <w:vAlign w:val="bottom"/>
          </w:tcPr>
          <w:p>
            <w:pPr>
              <w:ind w:left="200"/>
              <w:spacing w:after="0"/>
              <w:rPr>
                <w:sz w:val="20"/>
                <w:szCs w:val="20"/>
                <w:color w:val="auto"/>
              </w:rPr>
            </w:pPr>
            <w:r>
              <w:rPr>
                <w:rFonts w:ascii="Arial" w:cs="Arial" w:eastAsia="Arial" w:hAnsi="Arial"/>
                <w:sz w:val="15"/>
                <w:szCs w:val="15"/>
                <w:color w:val="auto"/>
              </w:rPr>
              <w:t>343</w:t>
            </w:r>
          </w:p>
        </w:tc>
        <w:tc>
          <w:tcPr>
            <w:tcW w:w="540" w:type="dxa"/>
            <w:vAlign w:val="bottom"/>
          </w:tcPr>
          <w:p>
            <w:pPr>
              <w:spacing w:after="0"/>
              <w:rPr>
                <w:sz w:val="19"/>
                <w:szCs w:val="19"/>
                <w:color w:val="auto"/>
              </w:rPr>
            </w:pPr>
          </w:p>
        </w:tc>
        <w:tc>
          <w:tcPr>
            <w:tcW w:w="900" w:type="dxa"/>
            <w:vAlign w:val="bottom"/>
            <w:gridSpan w:val="2"/>
          </w:tcPr>
          <w:p>
            <w:pPr>
              <w:ind w:left="260"/>
              <w:spacing w:after="0"/>
              <w:rPr>
                <w:sz w:val="20"/>
                <w:szCs w:val="20"/>
                <w:color w:val="auto"/>
              </w:rPr>
            </w:pPr>
            <w:r>
              <w:rPr>
                <w:rFonts w:ascii="Arial" w:cs="Arial" w:eastAsia="Arial" w:hAnsi="Arial"/>
                <w:sz w:val="15"/>
                <w:szCs w:val="15"/>
                <w:color w:val="auto"/>
              </w:rPr>
              <w:t>1 .72</w:t>
            </w:r>
          </w:p>
        </w:tc>
        <w:tc>
          <w:tcPr>
            <w:tcW w:w="540" w:type="dxa"/>
            <w:vAlign w:val="bottom"/>
          </w:tcPr>
          <w:p>
            <w:pPr>
              <w:spacing w:after="0"/>
              <w:rPr>
                <w:sz w:val="19"/>
                <w:szCs w:val="19"/>
                <w:color w:val="auto"/>
              </w:rPr>
            </w:pPr>
          </w:p>
        </w:tc>
        <w:tc>
          <w:tcPr>
            <w:tcW w:w="660" w:type="dxa"/>
            <w:vAlign w:val="bottom"/>
          </w:tcPr>
          <w:p>
            <w:pPr>
              <w:ind w:left="140"/>
              <w:spacing w:after="0"/>
              <w:rPr>
                <w:sz w:val="20"/>
                <w:szCs w:val="20"/>
                <w:color w:val="auto"/>
              </w:rPr>
            </w:pPr>
            <w:r>
              <w:rPr>
                <w:rFonts w:ascii="Arial" w:cs="Arial" w:eastAsia="Arial" w:hAnsi="Arial"/>
                <w:sz w:val="15"/>
                <w:szCs w:val="15"/>
                <w:color w:val="auto"/>
              </w:rPr>
              <w:t>0.23</w:t>
            </w:r>
          </w:p>
        </w:tc>
        <w:tc>
          <w:tcPr>
            <w:tcW w:w="380" w:type="dxa"/>
            <w:vAlign w:val="bottom"/>
          </w:tcPr>
          <w:p>
            <w:pPr>
              <w:spacing w:after="0"/>
              <w:rPr>
                <w:sz w:val="19"/>
                <w:szCs w:val="19"/>
                <w:color w:val="auto"/>
              </w:rPr>
            </w:pPr>
          </w:p>
        </w:tc>
        <w:tc>
          <w:tcPr>
            <w:tcW w:w="800" w:type="dxa"/>
            <w:vAlign w:val="bottom"/>
            <w:gridSpan w:val="2"/>
          </w:tcPr>
          <w:p>
            <w:pPr>
              <w:ind w:left="240"/>
              <w:spacing w:after="0"/>
              <w:rPr>
                <w:sz w:val="20"/>
                <w:szCs w:val="20"/>
                <w:color w:val="auto"/>
              </w:rPr>
            </w:pPr>
            <w:r>
              <w:rPr>
                <w:rFonts w:ascii="Arial" w:cs="Arial" w:eastAsia="Arial" w:hAnsi="Arial"/>
                <w:sz w:val="15"/>
                <w:szCs w:val="15"/>
                <w:color w:val="auto"/>
              </w:rPr>
              <w:t>7.28</w:t>
            </w:r>
          </w:p>
        </w:tc>
        <w:tc>
          <w:tcPr>
            <w:tcW w:w="460" w:type="dxa"/>
            <w:vAlign w:val="bottom"/>
          </w:tcPr>
          <w:p>
            <w:pPr>
              <w:spacing w:after="0"/>
              <w:rPr>
                <w:sz w:val="19"/>
                <w:szCs w:val="19"/>
                <w:color w:val="auto"/>
              </w:rPr>
            </w:pPr>
          </w:p>
        </w:tc>
        <w:tc>
          <w:tcPr>
            <w:tcW w:w="640" w:type="dxa"/>
            <w:vAlign w:val="bottom"/>
          </w:tcPr>
          <w:p>
            <w:pPr>
              <w:ind w:left="120"/>
              <w:spacing w:after="0"/>
              <w:rPr>
                <w:sz w:val="20"/>
                <w:szCs w:val="20"/>
                <w:color w:val="auto"/>
              </w:rPr>
            </w:pPr>
            <w:r>
              <w:rPr>
                <w:rFonts w:ascii="Arial" w:cs="Arial" w:eastAsia="Arial" w:hAnsi="Arial"/>
                <w:sz w:val="15"/>
                <w:szCs w:val="15"/>
                <w:color w:val="auto"/>
              </w:rPr>
              <w:t>7.20</w:t>
            </w:r>
          </w:p>
        </w:tc>
        <w:tc>
          <w:tcPr>
            <w:tcW w:w="380" w:type="dxa"/>
            <w:vAlign w:val="bottom"/>
          </w:tcPr>
          <w:p>
            <w:pPr>
              <w:spacing w:after="0"/>
              <w:rPr>
                <w:sz w:val="19"/>
                <w:szCs w:val="19"/>
                <w:color w:val="auto"/>
              </w:rPr>
            </w:pPr>
          </w:p>
        </w:tc>
        <w:tc>
          <w:tcPr>
            <w:tcW w:w="140" w:type="dxa"/>
            <w:vAlign w:val="bottom"/>
          </w:tcPr>
          <w:p>
            <w:pPr>
              <w:spacing w:after="0"/>
              <w:rPr>
                <w:sz w:val="19"/>
                <w:szCs w:val="19"/>
                <w:color w:val="auto"/>
              </w:rPr>
            </w:pPr>
          </w:p>
        </w:tc>
      </w:tr>
      <w:tr>
        <w:trPr>
          <w:trHeight w:val="210"/>
        </w:trPr>
        <w:tc>
          <w:tcPr>
            <w:tcW w:w="20" w:type="dxa"/>
            <w:vAlign w:val="bottom"/>
          </w:tcPr>
          <w:p>
            <w:pPr>
              <w:spacing w:after="0"/>
              <w:rPr>
                <w:sz w:val="18"/>
                <w:szCs w:val="18"/>
                <w:color w:val="auto"/>
              </w:rPr>
            </w:pPr>
          </w:p>
        </w:tc>
        <w:tc>
          <w:tcPr>
            <w:tcW w:w="2120" w:type="dxa"/>
            <w:vAlign w:val="bottom"/>
          </w:tcPr>
          <w:p>
            <w:pPr>
              <w:spacing w:after="0"/>
              <w:rPr>
                <w:sz w:val="18"/>
                <w:szCs w:val="18"/>
                <w:color w:val="auto"/>
              </w:rPr>
            </w:pPr>
          </w:p>
        </w:tc>
        <w:tc>
          <w:tcPr>
            <w:tcW w:w="500" w:type="dxa"/>
            <w:vAlign w:val="bottom"/>
          </w:tcPr>
          <w:p>
            <w:pPr>
              <w:spacing w:after="0"/>
              <w:rPr>
                <w:sz w:val="20"/>
                <w:szCs w:val="20"/>
                <w:color w:val="auto"/>
              </w:rPr>
            </w:pPr>
            <w:r>
              <w:rPr>
                <w:rFonts w:ascii="Arial" w:cs="Arial" w:eastAsia="Arial" w:hAnsi="Arial"/>
                <w:sz w:val="15"/>
                <w:szCs w:val="15"/>
                <w:color w:val="auto"/>
              </w:rPr>
              <w:t>P x¯</w:t>
            </w:r>
          </w:p>
        </w:tc>
        <w:tc>
          <w:tcPr>
            <w:tcW w:w="660" w:type="dxa"/>
            <w:vAlign w:val="bottom"/>
          </w:tcPr>
          <w:p>
            <w:pPr>
              <w:spacing w:after="0"/>
              <w:rPr>
                <w:sz w:val="20"/>
                <w:szCs w:val="20"/>
                <w:color w:val="auto"/>
              </w:rPr>
            </w:pPr>
            <w:r>
              <w:rPr>
                <w:rFonts w:ascii="Arial" w:cs="Arial" w:eastAsia="Arial" w:hAnsi="Arial"/>
                <w:sz w:val="15"/>
                <w:szCs w:val="15"/>
                <w:color w:val="auto"/>
              </w:rPr>
              <w:t>236</w:t>
            </w:r>
          </w:p>
        </w:tc>
        <w:tc>
          <w:tcPr>
            <w:tcW w:w="580" w:type="dxa"/>
            <w:vAlign w:val="bottom"/>
          </w:tcPr>
          <w:p>
            <w:pPr>
              <w:spacing w:after="0"/>
              <w:rPr>
                <w:sz w:val="18"/>
                <w:szCs w:val="18"/>
                <w:color w:val="auto"/>
              </w:rPr>
            </w:pPr>
          </w:p>
        </w:tc>
        <w:tc>
          <w:tcPr>
            <w:tcW w:w="780" w:type="dxa"/>
            <w:vAlign w:val="bottom"/>
          </w:tcPr>
          <w:p>
            <w:pPr>
              <w:ind w:left="200"/>
              <w:spacing w:after="0"/>
              <w:rPr>
                <w:sz w:val="20"/>
                <w:szCs w:val="20"/>
                <w:color w:val="auto"/>
              </w:rPr>
            </w:pPr>
            <w:r>
              <w:rPr>
                <w:rFonts w:ascii="Arial" w:cs="Arial" w:eastAsia="Arial" w:hAnsi="Arial"/>
                <w:sz w:val="15"/>
                <w:szCs w:val="15"/>
                <w:color w:val="auto"/>
              </w:rPr>
              <w:t>232</w:t>
            </w:r>
          </w:p>
        </w:tc>
        <w:tc>
          <w:tcPr>
            <w:tcW w:w="540" w:type="dxa"/>
            <w:vAlign w:val="bottom"/>
          </w:tcPr>
          <w:p>
            <w:pPr>
              <w:spacing w:after="0"/>
              <w:rPr>
                <w:sz w:val="18"/>
                <w:szCs w:val="18"/>
                <w:color w:val="auto"/>
              </w:rPr>
            </w:pPr>
          </w:p>
        </w:tc>
        <w:tc>
          <w:tcPr>
            <w:tcW w:w="900" w:type="dxa"/>
            <w:vAlign w:val="bottom"/>
            <w:gridSpan w:val="2"/>
          </w:tcPr>
          <w:p>
            <w:pPr>
              <w:ind w:left="260"/>
              <w:spacing w:after="0"/>
              <w:rPr>
                <w:sz w:val="20"/>
                <w:szCs w:val="20"/>
                <w:color w:val="auto"/>
              </w:rPr>
            </w:pPr>
            <w:r>
              <w:rPr>
                <w:rFonts w:ascii="Arial" w:cs="Arial" w:eastAsia="Arial" w:hAnsi="Arial"/>
                <w:sz w:val="15"/>
                <w:szCs w:val="15"/>
                <w:color w:val="auto"/>
              </w:rPr>
              <w:t>46.94</w:t>
            </w:r>
          </w:p>
        </w:tc>
        <w:tc>
          <w:tcPr>
            <w:tcW w:w="540" w:type="dxa"/>
            <w:vAlign w:val="bottom"/>
          </w:tcPr>
          <w:p>
            <w:pPr>
              <w:spacing w:after="0"/>
              <w:rPr>
                <w:sz w:val="18"/>
                <w:szCs w:val="18"/>
                <w:color w:val="auto"/>
              </w:rPr>
            </w:pPr>
          </w:p>
        </w:tc>
        <w:tc>
          <w:tcPr>
            <w:tcW w:w="660" w:type="dxa"/>
            <w:vAlign w:val="bottom"/>
          </w:tcPr>
          <w:p>
            <w:pPr>
              <w:ind w:left="140"/>
              <w:spacing w:after="0"/>
              <w:rPr>
                <w:sz w:val="20"/>
                <w:szCs w:val="20"/>
                <w:color w:val="auto"/>
              </w:rPr>
            </w:pPr>
            <w:r>
              <w:rPr>
                <w:rFonts w:ascii="Arial" w:cs="Arial" w:eastAsia="Arial" w:hAnsi="Arial"/>
                <w:sz w:val="15"/>
                <w:szCs w:val="15"/>
                <w:color w:val="auto"/>
              </w:rPr>
              <w:t>10.94</w:t>
            </w:r>
          </w:p>
        </w:tc>
        <w:tc>
          <w:tcPr>
            <w:tcW w:w="380" w:type="dxa"/>
            <w:vAlign w:val="bottom"/>
          </w:tcPr>
          <w:p>
            <w:pPr>
              <w:spacing w:after="0"/>
              <w:rPr>
                <w:sz w:val="18"/>
                <w:szCs w:val="18"/>
                <w:color w:val="auto"/>
              </w:rPr>
            </w:pPr>
          </w:p>
        </w:tc>
        <w:tc>
          <w:tcPr>
            <w:tcW w:w="800" w:type="dxa"/>
            <w:vAlign w:val="bottom"/>
            <w:gridSpan w:val="2"/>
          </w:tcPr>
          <w:p>
            <w:pPr>
              <w:ind w:left="240"/>
              <w:spacing w:after="0"/>
              <w:rPr>
                <w:sz w:val="20"/>
                <w:szCs w:val="20"/>
                <w:color w:val="auto"/>
              </w:rPr>
            </w:pPr>
            <w:r>
              <w:rPr>
                <w:rFonts w:ascii="Arial" w:cs="Arial" w:eastAsia="Arial" w:hAnsi="Arial"/>
                <w:sz w:val="15"/>
                <w:szCs w:val="15"/>
                <w:color w:val="auto"/>
              </w:rPr>
              <w:t>7.42</w:t>
            </w:r>
          </w:p>
        </w:tc>
        <w:tc>
          <w:tcPr>
            <w:tcW w:w="460" w:type="dxa"/>
            <w:vAlign w:val="bottom"/>
          </w:tcPr>
          <w:p>
            <w:pPr>
              <w:spacing w:after="0"/>
              <w:rPr>
                <w:sz w:val="18"/>
                <w:szCs w:val="18"/>
                <w:color w:val="auto"/>
              </w:rPr>
            </w:pPr>
          </w:p>
        </w:tc>
        <w:tc>
          <w:tcPr>
            <w:tcW w:w="640" w:type="dxa"/>
            <w:vAlign w:val="bottom"/>
          </w:tcPr>
          <w:p>
            <w:pPr>
              <w:ind w:left="120"/>
              <w:spacing w:after="0"/>
              <w:rPr>
                <w:sz w:val="20"/>
                <w:szCs w:val="20"/>
                <w:color w:val="auto"/>
              </w:rPr>
            </w:pPr>
            <w:r>
              <w:rPr>
                <w:rFonts w:ascii="Arial" w:cs="Arial" w:eastAsia="Arial" w:hAnsi="Arial"/>
                <w:sz w:val="15"/>
                <w:szCs w:val="15"/>
                <w:color w:val="auto"/>
              </w:rPr>
              <w:t>7.40</w:t>
            </w:r>
          </w:p>
        </w:tc>
        <w:tc>
          <w:tcPr>
            <w:tcW w:w="380" w:type="dxa"/>
            <w:vAlign w:val="bottom"/>
          </w:tcPr>
          <w:p>
            <w:pPr>
              <w:spacing w:after="0"/>
              <w:rPr>
                <w:sz w:val="18"/>
                <w:szCs w:val="18"/>
                <w:color w:val="auto"/>
              </w:rPr>
            </w:pPr>
          </w:p>
        </w:tc>
        <w:tc>
          <w:tcPr>
            <w:tcW w:w="140" w:type="dxa"/>
            <w:vAlign w:val="bottom"/>
          </w:tcPr>
          <w:p>
            <w:pPr>
              <w:spacing w:after="0"/>
              <w:rPr>
                <w:sz w:val="18"/>
                <w:szCs w:val="18"/>
                <w:color w:val="auto"/>
              </w:rPr>
            </w:pPr>
          </w:p>
        </w:tc>
      </w:tr>
      <w:tr>
        <w:trPr>
          <w:trHeight w:val="210"/>
        </w:trPr>
        <w:tc>
          <w:tcPr>
            <w:tcW w:w="20" w:type="dxa"/>
            <w:vAlign w:val="bottom"/>
          </w:tcPr>
          <w:p>
            <w:pPr>
              <w:spacing w:after="0"/>
              <w:rPr>
                <w:sz w:val="18"/>
                <w:szCs w:val="18"/>
                <w:color w:val="auto"/>
              </w:rPr>
            </w:pPr>
          </w:p>
        </w:tc>
        <w:tc>
          <w:tcPr>
            <w:tcW w:w="2120" w:type="dxa"/>
            <w:vAlign w:val="bottom"/>
          </w:tcPr>
          <w:p>
            <w:pPr>
              <w:spacing w:after="0"/>
              <w:rPr>
                <w:sz w:val="18"/>
                <w:szCs w:val="18"/>
                <w:color w:val="auto"/>
              </w:rPr>
            </w:pPr>
          </w:p>
        </w:tc>
        <w:tc>
          <w:tcPr>
            <w:tcW w:w="500" w:type="dxa"/>
            <w:vAlign w:val="bottom"/>
          </w:tcPr>
          <w:p>
            <w:pPr>
              <w:spacing w:after="0"/>
              <w:rPr>
                <w:sz w:val="20"/>
                <w:szCs w:val="20"/>
                <w:color w:val="auto"/>
              </w:rPr>
            </w:pPr>
            <w:r>
              <w:rPr>
                <w:rFonts w:ascii="Arial" w:cs="Arial" w:eastAsia="Arial" w:hAnsi="Arial"/>
                <w:sz w:val="15"/>
                <w:szCs w:val="15"/>
                <w:color w:val="auto"/>
              </w:rPr>
              <w:t>p</w:t>
            </w:r>
          </w:p>
        </w:tc>
        <w:tc>
          <w:tcPr>
            <w:tcW w:w="660" w:type="dxa"/>
            <w:vAlign w:val="bottom"/>
          </w:tcPr>
          <w:p>
            <w:pPr>
              <w:spacing w:after="0"/>
              <w:rPr>
                <w:sz w:val="20"/>
                <w:szCs w:val="20"/>
                <w:color w:val="auto"/>
              </w:rPr>
            </w:pPr>
            <w:r>
              <w:rPr>
                <w:rFonts w:ascii="Arial" w:cs="Arial" w:eastAsia="Arial" w:hAnsi="Arial"/>
                <w:sz w:val="15"/>
                <w:szCs w:val="15"/>
                <w:color w:val="auto"/>
              </w:rPr>
              <w:t>.469</w:t>
            </w:r>
          </w:p>
        </w:tc>
        <w:tc>
          <w:tcPr>
            <w:tcW w:w="580" w:type="dxa"/>
            <w:vAlign w:val="bottom"/>
          </w:tcPr>
          <w:p>
            <w:pPr>
              <w:spacing w:after="0"/>
              <w:rPr>
                <w:sz w:val="18"/>
                <w:szCs w:val="18"/>
                <w:color w:val="auto"/>
              </w:rPr>
            </w:pPr>
          </w:p>
        </w:tc>
        <w:tc>
          <w:tcPr>
            <w:tcW w:w="780" w:type="dxa"/>
            <w:vAlign w:val="bottom"/>
          </w:tcPr>
          <w:p>
            <w:pPr>
              <w:ind w:left="200"/>
              <w:spacing w:after="0"/>
              <w:rPr>
                <w:sz w:val="20"/>
                <w:szCs w:val="20"/>
                <w:color w:val="auto"/>
              </w:rPr>
            </w:pPr>
            <w:r>
              <w:rPr>
                <w:rFonts w:ascii="Arial" w:cs="Arial" w:eastAsia="Arial" w:hAnsi="Arial"/>
                <w:sz w:val="15"/>
                <w:szCs w:val="15"/>
                <w:color w:val="auto"/>
              </w:rPr>
              <w:t>.026</w:t>
            </w:r>
          </w:p>
        </w:tc>
        <w:tc>
          <w:tcPr>
            <w:tcW w:w="540" w:type="dxa"/>
            <w:vAlign w:val="bottom"/>
          </w:tcPr>
          <w:p>
            <w:pPr>
              <w:spacing w:after="0"/>
              <w:rPr>
                <w:sz w:val="18"/>
                <w:szCs w:val="18"/>
                <w:color w:val="auto"/>
              </w:rPr>
            </w:pPr>
          </w:p>
        </w:tc>
        <w:tc>
          <w:tcPr>
            <w:tcW w:w="900" w:type="dxa"/>
            <w:vAlign w:val="bottom"/>
            <w:gridSpan w:val="2"/>
          </w:tcPr>
          <w:p>
            <w:pPr>
              <w:ind w:left="260"/>
              <w:spacing w:after="0"/>
              <w:rPr>
                <w:sz w:val="20"/>
                <w:szCs w:val="20"/>
                <w:color w:val="auto"/>
              </w:rPr>
            </w:pPr>
            <w:r>
              <w:rPr>
                <w:rFonts w:ascii="Arial" w:cs="Arial" w:eastAsia="Arial" w:hAnsi="Arial"/>
                <w:sz w:val="15"/>
                <w:szCs w:val="15"/>
                <w:color w:val="auto"/>
              </w:rPr>
              <w:t>.009</w:t>
            </w:r>
          </w:p>
        </w:tc>
        <w:tc>
          <w:tcPr>
            <w:tcW w:w="540" w:type="dxa"/>
            <w:vAlign w:val="bottom"/>
          </w:tcPr>
          <w:p>
            <w:pPr>
              <w:spacing w:after="0"/>
              <w:rPr>
                <w:sz w:val="18"/>
                <w:szCs w:val="18"/>
                <w:color w:val="auto"/>
              </w:rPr>
            </w:pPr>
          </w:p>
        </w:tc>
        <w:tc>
          <w:tcPr>
            <w:tcW w:w="660" w:type="dxa"/>
            <w:vAlign w:val="bottom"/>
          </w:tcPr>
          <w:p>
            <w:pPr>
              <w:ind w:left="140"/>
              <w:spacing w:after="0"/>
              <w:rPr>
                <w:sz w:val="20"/>
                <w:szCs w:val="20"/>
                <w:color w:val="auto"/>
              </w:rPr>
            </w:pPr>
            <w:r>
              <w:rPr>
                <w:rFonts w:ascii="Arial" w:cs="Arial" w:eastAsia="Arial" w:hAnsi="Arial"/>
                <w:sz w:val="15"/>
                <w:szCs w:val="15"/>
                <w:color w:val="auto"/>
              </w:rPr>
              <w:t>.001</w:t>
            </w:r>
          </w:p>
        </w:tc>
        <w:tc>
          <w:tcPr>
            <w:tcW w:w="380" w:type="dxa"/>
            <w:vAlign w:val="bottom"/>
          </w:tcPr>
          <w:p>
            <w:pPr>
              <w:spacing w:after="0"/>
              <w:rPr>
                <w:sz w:val="18"/>
                <w:szCs w:val="18"/>
                <w:color w:val="auto"/>
              </w:rPr>
            </w:pPr>
          </w:p>
        </w:tc>
        <w:tc>
          <w:tcPr>
            <w:tcW w:w="800" w:type="dxa"/>
            <w:vAlign w:val="bottom"/>
            <w:gridSpan w:val="2"/>
          </w:tcPr>
          <w:p>
            <w:pPr>
              <w:ind w:left="240"/>
              <w:spacing w:after="0"/>
              <w:rPr>
                <w:sz w:val="20"/>
                <w:szCs w:val="20"/>
                <w:color w:val="auto"/>
              </w:rPr>
            </w:pPr>
            <w:r>
              <w:rPr>
                <w:rFonts w:ascii="Arial" w:cs="Arial" w:eastAsia="Arial" w:hAnsi="Arial"/>
                <w:sz w:val="15"/>
                <w:szCs w:val="15"/>
                <w:color w:val="auto"/>
              </w:rPr>
              <w:t>.416</w:t>
            </w:r>
          </w:p>
        </w:tc>
        <w:tc>
          <w:tcPr>
            <w:tcW w:w="460" w:type="dxa"/>
            <w:vAlign w:val="bottom"/>
          </w:tcPr>
          <w:p>
            <w:pPr>
              <w:spacing w:after="0"/>
              <w:rPr>
                <w:sz w:val="18"/>
                <w:szCs w:val="18"/>
                <w:color w:val="auto"/>
              </w:rPr>
            </w:pPr>
          </w:p>
        </w:tc>
        <w:tc>
          <w:tcPr>
            <w:tcW w:w="640" w:type="dxa"/>
            <w:vAlign w:val="bottom"/>
          </w:tcPr>
          <w:p>
            <w:pPr>
              <w:ind w:left="120"/>
              <w:spacing w:after="0"/>
              <w:rPr>
                <w:sz w:val="20"/>
                <w:szCs w:val="20"/>
                <w:color w:val="auto"/>
              </w:rPr>
            </w:pPr>
            <w:r>
              <w:rPr>
                <w:rFonts w:ascii="Arial" w:cs="Arial" w:eastAsia="Arial" w:hAnsi="Arial"/>
                <w:sz w:val="15"/>
                <w:szCs w:val="15"/>
                <w:color w:val="auto"/>
              </w:rPr>
              <w:t>.373</w:t>
            </w:r>
          </w:p>
        </w:tc>
        <w:tc>
          <w:tcPr>
            <w:tcW w:w="380" w:type="dxa"/>
            <w:vAlign w:val="bottom"/>
          </w:tcPr>
          <w:p>
            <w:pPr>
              <w:spacing w:after="0"/>
              <w:rPr>
                <w:sz w:val="18"/>
                <w:szCs w:val="18"/>
                <w:color w:val="auto"/>
              </w:rPr>
            </w:pPr>
          </w:p>
        </w:tc>
        <w:tc>
          <w:tcPr>
            <w:tcW w:w="140" w:type="dxa"/>
            <w:vAlign w:val="bottom"/>
          </w:tcPr>
          <w:p>
            <w:pPr>
              <w:spacing w:after="0"/>
              <w:rPr>
                <w:sz w:val="18"/>
                <w:szCs w:val="18"/>
                <w:color w:val="auto"/>
              </w:rPr>
            </w:pPr>
          </w:p>
        </w:tc>
      </w:tr>
      <w:tr>
        <w:trPr>
          <w:trHeight w:val="69"/>
        </w:trPr>
        <w:tc>
          <w:tcPr>
            <w:tcW w:w="20" w:type="dxa"/>
            <w:vAlign w:val="bottom"/>
            <w:tcBorders>
              <w:bottom w:val="single" w:sz="8" w:color="CCCCCC"/>
            </w:tcBorders>
          </w:tcPr>
          <w:p>
            <w:pPr>
              <w:spacing w:after="0"/>
              <w:rPr>
                <w:sz w:val="6"/>
                <w:szCs w:val="6"/>
                <w:color w:val="auto"/>
              </w:rPr>
            </w:pPr>
          </w:p>
        </w:tc>
        <w:tc>
          <w:tcPr>
            <w:tcW w:w="2120" w:type="dxa"/>
            <w:vAlign w:val="bottom"/>
            <w:tcBorders>
              <w:bottom w:val="single" w:sz="8" w:color="CCCCCC"/>
            </w:tcBorders>
          </w:tcPr>
          <w:p>
            <w:pPr>
              <w:spacing w:after="0"/>
              <w:rPr>
                <w:sz w:val="6"/>
                <w:szCs w:val="6"/>
                <w:color w:val="auto"/>
              </w:rPr>
            </w:pPr>
          </w:p>
        </w:tc>
        <w:tc>
          <w:tcPr>
            <w:tcW w:w="500" w:type="dxa"/>
            <w:vAlign w:val="bottom"/>
            <w:tcBorders>
              <w:bottom w:val="single" w:sz="8" w:color="CCCCCC"/>
            </w:tcBorders>
          </w:tcPr>
          <w:p>
            <w:pPr>
              <w:spacing w:after="0"/>
              <w:rPr>
                <w:sz w:val="6"/>
                <w:szCs w:val="6"/>
                <w:color w:val="auto"/>
              </w:rPr>
            </w:pPr>
          </w:p>
        </w:tc>
        <w:tc>
          <w:tcPr>
            <w:tcW w:w="660" w:type="dxa"/>
            <w:vAlign w:val="bottom"/>
            <w:tcBorders>
              <w:bottom w:val="single" w:sz="8" w:color="CCCCCC"/>
            </w:tcBorders>
          </w:tcPr>
          <w:p>
            <w:pPr>
              <w:spacing w:after="0"/>
              <w:rPr>
                <w:sz w:val="6"/>
                <w:szCs w:val="6"/>
                <w:color w:val="auto"/>
              </w:rPr>
            </w:pPr>
          </w:p>
        </w:tc>
        <w:tc>
          <w:tcPr>
            <w:tcW w:w="580" w:type="dxa"/>
            <w:vAlign w:val="bottom"/>
            <w:tcBorders>
              <w:bottom w:val="single" w:sz="8" w:color="CCCCCC"/>
            </w:tcBorders>
          </w:tcPr>
          <w:p>
            <w:pPr>
              <w:spacing w:after="0"/>
              <w:rPr>
                <w:sz w:val="6"/>
                <w:szCs w:val="6"/>
                <w:color w:val="auto"/>
              </w:rPr>
            </w:pPr>
          </w:p>
        </w:tc>
        <w:tc>
          <w:tcPr>
            <w:tcW w:w="780" w:type="dxa"/>
            <w:vAlign w:val="bottom"/>
            <w:tcBorders>
              <w:bottom w:val="single" w:sz="8" w:color="CCCCCC"/>
            </w:tcBorders>
          </w:tcPr>
          <w:p>
            <w:pPr>
              <w:spacing w:after="0"/>
              <w:rPr>
                <w:sz w:val="6"/>
                <w:szCs w:val="6"/>
                <w:color w:val="auto"/>
              </w:rPr>
            </w:pPr>
          </w:p>
        </w:tc>
        <w:tc>
          <w:tcPr>
            <w:tcW w:w="540" w:type="dxa"/>
            <w:vAlign w:val="bottom"/>
            <w:tcBorders>
              <w:bottom w:val="single" w:sz="8" w:color="CCCCCC"/>
            </w:tcBorders>
          </w:tcPr>
          <w:p>
            <w:pPr>
              <w:spacing w:after="0"/>
              <w:rPr>
                <w:sz w:val="6"/>
                <w:szCs w:val="6"/>
                <w:color w:val="auto"/>
              </w:rPr>
            </w:pPr>
          </w:p>
        </w:tc>
        <w:tc>
          <w:tcPr>
            <w:tcW w:w="260" w:type="dxa"/>
            <w:vAlign w:val="bottom"/>
            <w:tcBorders>
              <w:bottom w:val="single" w:sz="8" w:color="CCCCCC"/>
            </w:tcBorders>
          </w:tcPr>
          <w:p>
            <w:pPr>
              <w:spacing w:after="0"/>
              <w:rPr>
                <w:sz w:val="6"/>
                <w:szCs w:val="6"/>
                <w:color w:val="auto"/>
              </w:rPr>
            </w:pPr>
          </w:p>
        </w:tc>
        <w:tc>
          <w:tcPr>
            <w:tcW w:w="640" w:type="dxa"/>
            <w:vAlign w:val="bottom"/>
            <w:tcBorders>
              <w:bottom w:val="single" w:sz="8" w:color="CCCCCC"/>
            </w:tcBorders>
          </w:tcPr>
          <w:p>
            <w:pPr>
              <w:spacing w:after="0"/>
              <w:rPr>
                <w:sz w:val="6"/>
                <w:szCs w:val="6"/>
                <w:color w:val="auto"/>
              </w:rPr>
            </w:pPr>
          </w:p>
        </w:tc>
        <w:tc>
          <w:tcPr>
            <w:tcW w:w="540" w:type="dxa"/>
            <w:vAlign w:val="bottom"/>
            <w:tcBorders>
              <w:bottom w:val="single" w:sz="8" w:color="CCCCCC"/>
            </w:tcBorders>
          </w:tcPr>
          <w:p>
            <w:pPr>
              <w:spacing w:after="0"/>
              <w:rPr>
                <w:sz w:val="6"/>
                <w:szCs w:val="6"/>
                <w:color w:val="auto"/>
              </w:rPr>
            </w:pPr>
          </w:p>
        </w:tc>
        <w:tc>
          <w:tcPr>
            <w:tcW w:w="660" w:type="dxa"/>
            <w:vAlign w:val="bottom"/>
            <w:tcBorders>
              <w:bottom w:val="single" w:sz="8" w:color="CCCCCC"/>
            </w:tcBorders>
          </w:tcPr>
          <w:p>
            <w:pPr>
              <w:spacing w:after="0"/>
              <w:rPr>
                <w:sz w:val="6"/>
                <w:szCs w:val="6"/>
                <w:color w:val="auto"/>
              </w:rPr>
            </w:pPr>
          </w:p>
        </w:tc>
        <w:tc>
          <w:tcPr>
            <w:tcW w:w="380" w:type="dxa"/>
            <w:vAlign w:val="bottom"/>
            <w:tcBorders>
              <w:bottom w:val="single" w:sz="8" w:color="CCCCCC"/>
            </w:tcBorders>
          </w:tcPr>
          <w:p>
            <w:pPr>
              <w:spacing w:after="0"/>
              <w:rPr>
                <w:sz w:val="6"/>
                <w:szCs w:val="6"/>
                <w:color w:val="auto"/>
              </w:rPr>
            </w:pPr>
          </w:p>
        </w:tc>
        <w:tc>
          <w:tcPr>
            <w:tcW w:w="240" w:type="dxa"/>
            <w:vAlign w:val="bottom"/>
            <w:tcBorders>
              <w:bottom w:val="single" w:sz="8" w:color="CCCCCC"/>
            </w:tcBorders>
          </w:tcPr>
          <w:p>
            <w:pPr>
              <w:spacing w:after="0"/>
              <w:rPr>
                <w:sz w:val="6"/>
                <w:szCs w:val="6"/>
                <w:color w:val="auto"/>
              </w:rPr>
            </w:pPr>
          </w:p>
        </w:tc>
        <w:tc>
          <w:tcPr>
            <w:tcW w:w="560" w:type="dxa"/>
            <w:vAlign w:val="bottom"/>
            <w:tcBorders>
              <w:bottom w:val="single" w:sz="8" w:color="CCCCCC"/>
            </w:tcBorders>
          </w:tcPr>
          <w:p>
            <w:pPr>
              <w:spacing w:after="0"/>
              <w:rPr>
                <w:sz w:val="6"/>
                <w:szCs w:val="6"/>
                <w:color w:val="auto"/>
              </w:rPr>
            </w:pPr>
          </w:p>
        </w:tc>
        <w:tc>
          <w:tcPr>
            <w:tcW w:w="460" w:type="dxa"/>
            <w:vAlign w:val="bottom"/>
            <w:tcBorders>
              <w:bottom w:val="single" w:sz="8" w:color="CCCCCC"/>
            </w:tcBorders>
          </w:tcPr>
          <w:p>
            <w:pPr>
              <w:spacing w:after="0"/>
              <w:rPr>
                <w:sz w:val="6"/>
                <w:szCs w:val="6"/>
                <w:color w:val="auto"/>
              </w:rPr>
            </w:pPr>
          </w:p>
        </w:tc>
        <w:tc>
          <w:tcPr>
            <w:tcW w:w="640" w:type="dxa"/>
            <w:vAlign w:val="bottom"/>
            <w:tcBorders>
              <w:bottom w:val="single" w:sz="8" w:color="CCCCCC"/>
            </w:tcBorders>
          </w:tcPr>
          <w:p>
            <w:pPr>
              <w:spacing w:after="0"/>
              <w:rPr>
                <w:sz w:val="6"/>
                <w:szCs w:val="6"/>
                <w:color w:val="auto"/>
              </w:rPr>
            </w:pPr>
          </w:p>
        </w:tc>
        <w:tc>
          <w:tcPr>
            <w:tcW w:w="380" w:type="dxa"/>
            <w:vAlign w:val="bottom"/>
            <w:tcBorders>
              <w:bottom w:val="single" w:sz="8" w:color="CCCCCC"/>
            </w:tcBorders>
          </w:tcPr>
          <w:p>
            <w:pPr>
              <w:spacing w:after="0"/>
              <w:rPr>
                <w:sz w:val="6"/>
                <w:szCs w:val="6"/>
                <w:color w:val="auto"/>
              </w:rPr>
            </w:pPr>
          </w:p>
        </w:tc>
        <w:tc>
          <w:tcPr>
            <w:tcW w:w="140" w:type="dxa"/>
            <w:vAlign w:val="bottom"/>
            <w:tcBorders>
              <w:bottom w:val="single" w:sz="8" w:color="CCCCCC"/>
            </w:tcBorders>
          </w:tcPr>
          <w:p>
            <w:pPr>
              <w:spacing w:after="0"/>
              <w:rPr>
                <w:sz w:val="6"/>
                <w:szCs w:val="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CCCCCC" strokeweight="1pt"/>
            </w:pict>
          </mc:Fallback>
        </mc:AlternateContent>
        <mc:AlternateContent>
          <mc:Choice Requires="wps">
            <w:drawing>
              <wp:anchor simplePos="0" relativeHeight="251657728" behindDoc="1" locked="0" layoutInCell="0" allowOverlap="1">
                <wp:simplePos x="0" y="0"/>
                <wp:positionH relativeFrom="column">
                  <wp:posOffset>6410325</wp:posOffset>
                </wp:positionH>
                <wp:positionV relativeFrom="paragraph">
                  <wp:posOffset>-25400</wp:posOffset>
                </wp:positionV>
                <wp:extent cx="0" cy="254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CCCCCC"/>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75pt,-2pt" to="504.75pt,0pt" o:allowincell="f" strokecolor="#CCCCCC" strokeweight="1pt"/>
            </w:pict>
          </mc:Fallback>
        </mc:AlternateContent>
        <mc:AlternateContent>
          <mc:Choice Requires="wps">
            <w:drawing>
              <wp:anchor simplePos="0" relativeHeight="251657728" behindDoc="1" locked="0" layoutInCell="0" allowOverlap="1">
                <wp:simplePos x="0" y="0"/>
                <wp:positionH relativeFrom="column">
                  <wp:posOffset>1663700</wp:posOffset>
                </wp:positionH>
                <wp:positionV relativeFrom="paragraph">
                  <wp:posOffset>-2263775</wp:posOffset>
                </wp:positionV>
                <wp:extent cx="127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178.2499pt" to="132pt,-178.2499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3460750</wp:posOffset>
                </wp:positionH>
                <wp:positionV relativeFrom="paragraph">
                  <wp:posOffset>-2263775</wp:posOffset>
                </wp:positionV>
                <wp:extent cx="127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5pt,-178.2499pt" to="273.5pt,-178.2499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5027295</wp:posOffset>
                </wp:positionH>
                <wp:positionV relativeFrom="paragraph">
                  <wp:posOffset>-2263775</wp:posOffset>
                </wp:positionV>
                <wp:extent cx="127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5.85pt,-178.2499pt" to="396.85pt,-178.2499pt" o:allowincell="f" strokecolor="#000000" strokeweight="0.5102pt"/>
            </w:pict>
          </mc:Fallback>
        </mc:AlternateContent>
      </w:r>
    </w:p>
    <w:p>
      <w:pPr>
        <w:spacing w:after="0" w:line="71" w:lineRule="exact"/>
        <w:rPr>
          <w:sz w:val="20"/>
          <w:szCs w:val="20"/>
          <w:color w:val="auto"/>
        </w:rPr>
      </w:pPr>
    </w:p>
    <w:p>
      <w:pPr>
        <w:jc w:val="both"/>
        <w:ind w:left="20"/>
        <w:spacing w:after="0" w:line="280" w:lineRule="auto"/>
        <w:rPr>
          <w:sz w:val="20"/>
          <w:szCs w:val="20"/>
          <w:color w:val="auto"/>
        </w:rPr>
      </w:pPr>
      <w:r>
        <w:rPr>
          <w:rFonts w:ascii="Arial" w:cs="Arial" w:eastAsia="Arial" w:hAnsi="Arial"/>
          <w:sz w:val="15"/>
          <w:szCs w:val="15"/>
          <w:color w:val="auto"/>
        </w:rPr>
        <w:t>Abbreviations: CV, coefficient of variation; 10th, 50th, and 90th percentiles; DF, degrees of freedom; Feb, February; Mar, March; O x = observed mean value; P x = predicted mean value. W and F are test-statistics.</w:t>
      </w:r>
    </w:p>
    <w:p>
      <w:pPr>
        <w:spacing w:after="0" w:line="10" w:lineRule="exact"/>
        <w:rPr>
          <w:sz w:val="20"/>
          <w:szCs w:val="20"/>
          <w:color w:val="auto"/>
        </w:rPr>
      </w:pPr>
    </w:p>
    <w:p>
      <w:pPr>
        <w:ind w:left="20"/>
        <w:spacing w:after="0"/>
        <w:rPr>
          <w:sz w:val="20"/>
          <w:szCs w:val="20"/>
          <w:color w:val="auto"/>
        </w:rPr>
      </w:pPr>
      <w:r>
        <w:rPr>
          <w:rFonts w:ascii="Arial" w:cs="Arial" w:eastAsia="Arial" w:hAnsi="Arial"/>
          <w:sz w:val="15"/>
          <w:szCs w:val="15"/>
          <w:color w:val="auto"/>
        </w:rPr>
        <w:t>Note: Bold text indicates significance at p &lt; .05.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wp:posOffset>
            </wp:positionH>
            <wp:positionV relativeFrom="paragraph">
              <wp:posOffset>640080</wp:posOffset>
            </wp:positionV>
            <wp:extent cx="6394450" cy="25996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extLst>
                    </a:blip>
                    <a:srcRect/>
                    <a:stretch>
                      <a:fillRect/>
                    </a:stretch>
                  </pic:blipFill>
                  <pic:spPr bwMode="auto">
                    <a:xfrm>
                      <a:off x="0" y="0"/>
                      <a:ext cx="6394450" cy="2599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0" w:right="120"/>
        <w:spacing w:after="0" w:line="285" w:lineRule="auto"/>
        <w:rPr>
          <w:sz w:val="20"/>
          <w:szCs w:val="20"/>
          <w:color w:val="auto"/>
        </w:rPr>
      </w:pPr>
      <w:r>
        <w:rPr>
          <w:rFonts w:ascii="Arial" w:cs="Arial" w:eastAsia="Arial" w:hAnsi="Arial"/>
          <w:sz w:val="16"/>
          <w:szCs w:val="16"/>
          <w:color w:val="auto"/>
        </w:rPr>
        <w:t>F I G U R E 7 Response of observed dissolved oxygen (%) (grey solid line) to Ceratophyllum demersum-decomposition induced by a single herbicide application (arrow and black vertical line). Oxygen was measured for 2 days before, and 2 and 10 days after, herbicide application (see Table 2). (a) First sonde deployment and (b) second sonde deployment. Graph includes modelled Causal-Impact control values (black dashed line) and 95% confidence interval (grey smooth)</w:t>
      </w:r>
    </w:p>
    <w:p>
      <w:pPr>
        <w:sectPr>
          <w:pgSz w:w="11900" w:h="15647" w:orient="portrait"/>
          <w:cols w:equalWidth="0" w:num="1">
            <w:col w:w="10100"/>
          </w:cols>
          <w:pgMar w:left="880" w:top="415" w:right="926" w:bottom="2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ind w:left="20"/>
        <w:spacing w:after="0" w:line="323" w:lineRule="auto"/>
        <w:rPr>
          <w:sz w:val="20"/>
          <w:szCs w:val="20"/>
          <w:color w:val="auto"/>
        </w:rPr>
      </w:pPr>
      <w:r>
        <w:rPr>
          <w:rFonts w:ascii="Arial" w:cs="Arial" w:eastAsia="Arial" w:hAnsi="Arial"/>
          <w:sz w:val="16"/>
          <w:szCs w:val="16"/>
          <w:color w:val="auto"/>
        </w:rPr>
        <w:t xml:space="preserve">significant changes in physicochemical median values and variability through time (Table 2). Pre-herbicide median oxygen saturation declined from 19.2% to &lt;1% post-herbicide application, whereas median pH and specific conductivity increased from 6.9 to 7.2–7.3 and from 221 to 230–342 </w:t>
      </w:r>
      <w:r>
        <w:rPr>
          <w:rFonts w:ascii="Arial" w:cs="Arial" w:eastAsia="Arial" w:hAnsi="Arial"/>
          <w:sz w:val="16"/>
          <w:szCs w:val="16"/>
          <w:color w:val="auto"/>
        </w:rPr>
        <w:t>μ</w:t>
      </w:r>
      <w:r>
        <w:rPr>
          <w:rFonts w:ascii="Arial" w:cs="Arial" w:eastAsia="Arial" w:hAnsi="Arial"/>
          <w:sz w:val="16"/>
          <w:szCs w:val="16"/>
          <w:color w:val="auto"/>
        </w:rPr>
        <w:t>S cm</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at 25 C, respectively (Table 2). Specific conductivity and oxygen became more variable post-herbicide application (CVs from 4.9 to 15.2%, and from 100.7 to 439.5%, respectively), in contrast to pH which decreased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1"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variability (CV from 3.7 to 1.2%; Table 2). The modelled oxygen con-trol (i.e., no herbicide impact) exhibited similar diurnal changes and tracked observed oxygen before herbicide application (Figure 7). Comparing observed data after herbicide application with the mod-elled control indicated a significant increase in specific conductivity 10-days post-impact (47%) and significant decreases in oxygen at the bottom two-days (74%) and 10-days (91%) post-impact (Table 2; Figure 7).</w:t>
      </w:r>
    </w:p>
    <w:p>
      <w:pPr>
        <w:sectPr>
          <w:pgSz w:w="11900" w:h="15647" w:orient="portrait"/>
          <w:cols w:equalWidth="0" w:num="2">
            <w:col w:w="4880" w:space="360"/>
            <w:col w:w="4860"/>
          </w:cols>
          <w:pgMar w:left="880" w:top="415" w:right="926" w:bottom="284" w:gutter="0" w:footer="0" w:header="0"/>
          <w:type w:val="continuous"/>
        </w:sectPr>
      </w:pPr>
    </w:p>
    <w:bookmarkStart w:id="9" w:name="page10"/>
    <w:bookmarkEnd w:id="9"/>
    <w:p>
      <w:pPr>
        <w:spacing w:after="0"/>
        <w:tabs>
          <w:tab w:leader="none" w:pos="429" w:val="left"/>
        </w:tabs>
        <w:rPr>
          <w:sz w:val="20"/>
          <w:szCs w:val="20"/>
          <w:color w:val="auto"/>
        </w:rPr>
      </w:pPr>
      <w:r>
        <w:rPr>
          <w:rFonts w:ascii="Arial" w:cs="Arial" w:eastAsia="Arial" w:hAnsi="Arial"/>
          <w:sz w:val="14"/>
          <w:szCs w:val="14"/>
          <w:color w:val="auto"/>
        </w:rPr>
        <w:t>10</w:t>
      </w:r>
      <w:r>
        <w:rPr>
          <w:sz w:val="20"/>
          <w:szCs w:val="20"/>
          <w:color w:val="auto"/>
        </w:rPr>
        <w:tab/>
      </w:r>
      <w:r>
        <w:rPr>
          <w:sz w:val="1"/>
          <w:szCs w:val="1"/>
          <w:color w:val="auto"/>
        </w:rPr>
        <w:drawing>
          <wp:inline distT="0" distB="0" distL="0" distR="0">
            <wp:extent cx="19050" cy="1708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MOORE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71" w:gutter="0" w:footer="0" w:header="0"/>
        </w:sectPr>
      </w:pPr>
    </w:p>
    <w:p>
      <w:pPr>
        <w:spacing w:after="0" w:line="268" w:lineRule="exact"/>
        <w:rPr>
          <w:sz w:val="20"/>
          <w:szCs w:val="20"/>
          <w:color w:val="auto"/>
        </w:rPr>
      </w:pPr>
    </w:p>
    <w:p>
      <w:pPr>
        <w:spacing w:after="0"/>
        <w:tabs>
          <w:tab w:leader="none" w:pos="340" w:val="left"/>
          <w:tab w:leader="none" w:pos="620" w:val="left"/>
        </w:tabs>
        <w:rPr>
          <w:sz w:val="20"/>
          <w:szCs w:val="20"/>
          <w:color w:val="auto"/>
        </w:rPr>
      </w:pPr>
      <w:r>
        <w:rPr>
          <w:rFonts w:ascii="Arial" w:cs="Arial" w:eastAsia="Arial" w:hAnsi="Arial"/>
          <w:sz w:val="20"/>
          <w:szCs w:val="20"/>
          <w:color w:val="auto"/>
        </w:rPr>
        <w:t>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DISCUSSION</w:t>
      </w:r>
    </w:p>
    <w:p>
      <w:pPr>
        <w:spacing w:after="0" w:line="336"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We were able to disentangle the complex effects of macrophytes and reservoir management on physicochemical parameters by progressive detrending to isolate the effects of covarying factors, namely varia-tions in sampling time spanning 6.5-hr; sampling depth due to a macrophyte-free varial zone induced by hydropeaking; and daily water flow and level changes caused by hydropeaking operations. Additionally, we used causal-impact analysis to interpret the diurnal effects of an unanticipated macrophyte-spraying event on physico-chemical parameters at the sediment–water interface. This combina-tion of approaches enabled us to disentangle the relationships between physicochemical parameters and the proportional macro-phyte height in the water column for two species of invasive macro-phyte from management factors. Quantile regression analysis of upper and lower limits highlighted the adverse conditions that benthic biota may encounter within dense invasive macrophyte beds, which are of particular importance to species such as unionid mussels that contribute to ecosystem function and services (Moore, Collier, &amp; Duggan, 2019; Vaughn, 2018) and are abundant in Karapiro (Moore, unpublished data).</w:t>
      </w:r>
    </w:p>
    <w:p>
      <w:pPr>
        <w:spacing w:after="0" w:line="17" w:lineRule="exact"/>
        <w:rPr>
          <w:sz w:val="20"/>
          <w:szCs w:val="20"/>
          <w:color w:val="auto"/>
        </w:rPr>
      </w:pPr>
    </w:p>
    <w:p>
      <w:pPr>
        <w:jc w:val="both"/>
        <w:ind w:firstLine="300"/>
        <w:spacing w:after="0" w:line="362" w:lineRule="auto"/>
        <w:rPr>
          <w:sz w:val="20"/>
          <w:szCs w:val="20"/>
          <w:color w:val="auto"/>
        </w:rPr>
      </w:pPr>
      <w:r>
        <w:rPr>
          <w:rFonts w:ascii="Arial" w:cs="Arial" w:eastAsia="Arial" w:hAnsi="Arial"/>
          <w:sz w:val="15"/>
          <w:szCs w:val="15"/>
          <w:color w:val="auto"/>
        </w:rPr>
        <w:t>Ecologically detrimental physicochemical conditions in the water column produced inside invasive macrophyte beds during their peak biomass accumulation period within this hydropeaking reservoir were primarily low dissolved oxygen events, including anoxia, but were not evident for water pH or water temperature. Hypoxic events were more pronounced at the end of summer, and notably for C. demersum in the lower-lacustrine section of the reservoir within the bottom 20% of the water column where proportional macrophyte height was greatest, supporting Hypothesis 1. After accounting for hydropeaking management covariates (i.e., short-term changes in water flow or level), C. demersum produced hypoxic conditions across a wider range of macrophyte cover than E. densa, likely resulting from contrasting site hydrology in the lower-lacustrine and upper-riverine sections, respectively (Hypothesis 2). The unexpected application of the herbi-cide diquat led to prolonged and sustained hypoxic/anoxic conditions near the bottom of the water column, highlighting the interaction of hydropeaking and macrophyte management on reservoir benthic physicochemical conditions. These results underscore the adverse effects of invasive macrophytes on physicochemical attributes that support aquatic biota, and highlight the context-dependent nature of these effects moderated by reservoir management for hydropeaking and macrophyte control.</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the inside of dense invasive macrophyte beds parallels studies in a shallow lake (Vilas et al., 2017) and large river (Caraco &amp; Cole, 2002), which have suggested high macrophyte cover reduces horizontal water exchange from the edge to centre of the bed. Similarly, dense growths of five emergent macrophyte species in a shallow North American lake increased the probability of occurrence of hypoxia events with increased macrophyte cover (25% and 65% probability of &lt;2 mg/L dissolved oxygen at 50–64% and 80–95% cover, respec-tively), although areas with lower percentage cover were not exam-ined (Bunch et al., 2010).</w:t>
      </w:r>
    </w:p>
    <w:p>
      <w:pPr>
        <w:spacing w:after="0" w:line="16" w:lineRule="exact"/>
        <w:rPr>
          <w:sz w:val="20"/>
          <w:szCs w:val="20"/>
          <w:color w:val="auto"/>
        </w:rPr>
      </w:pPr>
    </w:p>
    <w:p>
      <w:pPr>
        <w:jc w:val="both"/>
        <w:ind w:firstLine="299"/>
        <w:spacing w:after="0" w:line="338" w:lineRule="auto"/>
        <w:rPr>
          <w:sz w:val="20"/>
          <w:szCs w:val="20"/>
          <w:color w:val="auto"/>
        </w:rPr>
      </w:pPr>
      <w:r>
        <w:rPr>
          <w:rFonts w:ascii="Arial" w:cs="Arial" w:eastAsia="Arial" w:hAnsi="Arial"/>
          <w:sz w:val="16"/>
          <w:szCs w:val="16"/>
          <w:color w:val="auto"/>
        </w:rPr>
        <w:t>Our measurement of low oxygen conditions near the bottom-water interface at low proportional macrophyte height (i.e., from 10% of the water column) contrasts with findings of Vilas et al. (2017), who found oxygen effects at 50% P. crispus cover in a shallow Australian lake following temperature stratification (not observed in the unstratified hydropeaking reservoir, but see also Andersen et al., 2017; Ribaudo et al., 2018; Torma &amp; Wu, 2019). The main mechanisms involved in these small-scale differences likely involve reduced wind-induced hydrological exchange (i.e., water flow) as mac-rophyte cover and bed size increased, leading to the higher influence of solar radiation on photosynthesis rates (Torma &amp; Wu, 2019), although we did not detect an increase in temperature associated with this inferred reduced mixing.</w:t>
      </w:r>
    </w:p>
    <w:p>
      <w:pPr>
        <w:spacing w:after="0" w:line="11" w:lineRule="exact"/>
        <w:rPr>
          <w:sz w:val="20"/>
          <w:szCs w:val="20"/>
          <w:color w:val="auto"/>
        </w:rPr>
      </w:pPr>
    </w:p>
    <w:p>
      <w:pPr>
        <w:jc w:val="both"/>
        <w:ind w:firstLine="299"/>
        <w:spacing w:after="0" w:line="362" w:lineRule="auto"/>
        <w:rPr>
          <w:sz w:val="20"/>
          <w:szCs w:val="20"/>
          <w:color w:val="auto"/>
        </w:rPr>
      </w:pPr>
      <w:r>
        <w:rPr>
          <w:rFonts w:ascii="Arial" w:cs="Arial" w:eastAsia="Arial" w:hAnsi="Arial"/>
          <w:sz w:val="15"/>
          <w:szCs w:val="15"/>
          <w:color w:val="auto"/>
        </w:rPr>
        <w:t>Benthic hypoxia and anoxia have important ecological conse-quences associated with the release of phosphorus, dissolved inor-ganic carbon and nitrogen, and toxic ions such as ammonia, sulfide, and ferrous iron from bottom sediments (Andersen et al., 2017; James, Dechamps, Turyk, &amp; McGinley, 2007; Ribaudo et al., 2018). These impacts can be particularly pronounced during macrophyte decomposition (Godshalk &amp; Wetzel, 1978), and were detected in this study as increased and highly variable specific conductivity measure-ments post-herbicide application. Furthermore, the toxic metalloids/ metals arsenic and mercury, which can be high in systems with geo-thermal inputs such as the upper Waikato River, may be released and accumulate in freshwater fish (mercury only; Robinson, Brooks, Out-red, &amp; Kirkman, 1994) and unionid mussels (both arsenic and mercury; Hickey, Roper, &amp; Buckland, 1995). Finally, the larvae (glochidia) of uni-onid mussels present in Karapiro (Echyridella menziesii) are highly sen-sitive to relatively low concentrations of copper and ammonia (Clearwater, Thompson, &amp; Hickey, 2014); therefore, benthic release of toxic compounds could be a mechanism to explain the adult-skewed size structures of mussel populations present in this system (Roper &amp; Hickey, 1994; Moore, unpublished data).</w:t>
      </w:r>
    </w:p>
    <w:p>
      <w:pPr>
        <w:spacing w:after="0" w:line="200" w:lineRule="exact"/>
        <w:rPr>
          <w:sz w:val="20"/>
          <w:szCs w:val="20"/>
          <w:color w:val="auto"/>
        </w:rPr>
      </w:pPr>
    </w:p>
    <w:p>
      <w:pPr>
        <w:sectPr>
          <w:pgSz w:w="11900" w:h="15647" w:orient="portrait"/>
          <w:cols w:equalWidth="0" w:num="2">
            <w:col w:w="4860" w:space="380"/>
            <w:col w:w="4860"/>
          </w:cols>
          <w:pgMar w:left="920" w:top="415" w:right="886" w:bottom="271" w:gutter="0" w:footer="0" w:header="0"/>
          <w:type w:val="continuous"/>
        </w:sectPr>
      </w:pPr>
    </w:p>
    <w:p>
      <w:pPr>
        <w:spacing w:after="0" w:line="268" w:lineRule="exact"/>
        <w:rPr>
          <w:sz w:val="20"/>
          <w:szCs w:val="20"/>
          <w:color w:val="auto"/>
        </w:rPr>
      </w:pPr>
    </w:p>
    <w:p>
      <w:pPr>
        <w:spacing w:after="0"/>
        <w:tabs>
          <w:tab w:leader="none" w:pos="500" w:val="left"/>
          <w:tab w:leader="none" w:pos="780" w:val="left"/>
          <w:tab w:leader="none" w:pos="5220" w:val="left"/>
          <w:tab w:leader="none" w:pos="5720" w:val="left"/>
          <w:tab w:leader="none" w:pos="6020" w:val="left"/>
        </w:tabs>
        <w:rPr>
          <w:sz w:val="20"/>
          <w:szCs w:val="20"/>
          <w:color w:val="auto"/>
        </w:rPr>
      </w:pPr>
      <w:r>
        <w:rPr>
          <w:rFonts w:ascii="Arial" w:cs="Arial" w:eastAsia="Arial" w:hAnsi="Arial"/>
          <w:sz w:val="20"/>
          <w:szCs w:val="20"/>
          <w:color w:val="auto"/>
        </w:rPr>
        <w:t>4.1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Spatial scales of invasive macrophyte effects</w:t>
      </w:r>
      <w:r>
        <w:rPr>
          <w:sz w:val="20"/>
          <w:szCs w:val="20"/>
          <w:color w:val="auto"/>
        </w:rPr>
        <w:tab/>
      </w:r>
      <w:r>
        <w:rPr>
          <w:rFonts w:ascii="Arial" w:cs="Arial" w:eastAsia="Arial" w:hAnsi="Arial"/>
          <w:sz w:val="20"/>
          <w:szCs w:val="20"/>
          <w:color w:val="auto"/>
        </w:rPr>
        <w:t>4.2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Context-specific effects of management</w:t>
      </w:r>
    </w:p>
    <w:p>
      <w:pPr>
        <w:sectPr>
          <w:pgSz w:w="11900" w:h="15647" w:orient="portrait"/>
          <w:cols w:equalWidth="0" w:num="1">
            <w:col w:w="10100"/>
          </w:cols>
          <w:pgMar w:left="920" w:top="415" w:right="886" w:bottom="271" w:gutter="0" w:footer="0" w:header="0"/>
          <w:type w:val="continuous"/>
        </w:sectPr>
      </w:pPr>
    </w:p>
    <w:p>
      <w:pPr>
        <w:spacing w:after="0" w:line="336"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As well as being evident at a large spatial scale between upper and lower sections of the reservoir (discussed below), the context-dependent impacts of dense C. demersum and E. densa beds on physi-cochemical parameters were detectable at smaller scales, both inside and outside of macrophyte beds and within the water column. Our finding that adverse physicochemical conditions were restricted to</w:t>
      </w:r>
    </w:p>
    <w:p>
      <w:pPr>
        <w:spacing w:after="0" w:line="20" w:lineRule="exact"/>
        <w:rPr>
          <w:sz w:val="20"/>
          <w:szCs w:val="20"/>
          <w:color w:val="auto"/>
        </w:rPr>
      </w:pPr>
      <w:r>
        <w:rPr>
          <w:sz w:val="20"/>
          <w:szCs w:val="20"/>
          <w:color w:val="auto"/>
        </w:rPr>
        <w:br w:type="column"/>
      </w:r>
    </w:p>
    <w:p>
      <w:pPr>
        <w:spacing w:after="0" w:line="316"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The relationship between dense invasive macrophyte beds and physi-cochemical conditions in shallow lakes was expected to differ in hydrolakes where differences in hydrology between sites could exac-erbate or mitigate their effects. In our study, contrasting hydrological characteristics between upper and lower reservoir sections led to extensive shoreline varial zones in which macrophytes could not</w:t>
      </w:r>
    </w:p>
    <w:p>
      <w:pPr>
        <w:sectPr>
          <w:pgSz w:w="11900" w:h="15647" w:orient="portrait"/>
          <w:cols w:equalWidth="0" w:num="2">
            <w:col w:w="4860" w:space="380"/>
            <w:col w:w="4860"/>
          </w:cols>
          <w:pgMar w:left="920" w:top="415" w:right="886" w:bottom="271" w:gutter="0" w:footer="0" w:header="0"/>
          <w:type w:val="continuous"/>
        </w:sectPr>
      </w:pPr>
    </w:p>
    <w:bookmarkStart w:id="10" w:name="page11"/>
    <w:bookmarkEnd w:id="10"/>
    <w:p>
      <w:pPr>
        <w:spacing w:after="0"/>
        <w:rPr>
          <w:sz w:val="20"/>
          <w:szCs w:val="20"/>
          <w:color w:val="auto"/>
        </w:rPr>
      </w:pPr>
      <w:r>
        <w:rPr>
          <w:rFonts w:ascii="Arial" w:cs="Arial" w:eastAsia="Arial" w:hAnsi="Arial"/>
          <w:sz w:val="14"/>
          <w:szCs w:val="14"/>
          <w:color w:val="auto"/>
        </w:rPr>
        <w:t xml:space="preserve">MOORE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268" w:gutter="0" w:footer="0" w:header="0"/>
        </w:sectPr>
      </w:pPr>
    </w:p>
    <w:p>
      <w:pPr>
        <w:spacing w:after="0" w:line="31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establish in the lower section, and were associated with the domi-nance of different macrophyte species contributing to context-specific effects on physicochemical conditions. Lacustrine sections in the lower reservoir have lower hydrological exchange and more adverse physicochemical parameters inside dense invasive macro-phyte beds during periods of water retention compared to the upper-riverine section, associated with a higher water-level and higher flows. These findings suggest that physicochemical conditions inside dense invasive macrophyte beds in more riverine reservoir sections could be deliberately influenced by flow management, with higher water inflows leading to increased hydrological exchange and improved physicochemical conditions inside beds.</w:t>
      </w:r>
    </w:p>
    <w:p>
      <w:pPr>
        <w:spacing w:after="0" w:line="10"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Although physicochemical parameter measurements were taken during the daytime, continuous measurements at one site indicated a wide range of physicochemical conditions were encountered during the sampling period in the lacustrine section. Furthermore, these mea-surements showed that diurnal processes were disrupted by herbicide spraying due to invasive macrophyte decomposition causing pro-longed benthic anoxia. Although rapid decomposition effects on oxy-gen conditions are considered for herbicide application in terms of frequency and area of application (Hussner et al., 2017), post-herbicide monitoring across a vertical water profile would be useful to detect the onset of hypoxic events and initiate management interven-tion (Parsons, Hamel, &amp; Wierenga, 2007; Waltham &amp; Fixler, 2017). At these times, higher water inflows from hydropeaking management may reduce the frequency of prolonged hypoxic/anoxic events near the lake bottom.</w:t>
      </w:r>
    </w:p>
    <w:p>
      <w:pPr>
        <w:spacing w:after="0" w:line="200" w:lineRule="exact"/>
        <w:rPr>
          <w:sz w:val="20"/>
          <w:szCs w:val="20"/>
          <w:color w:val="auto"/>
        </w:rPr>
      </w:pPr>
    </w:p>
    <w:p>
      <w:pPr>
        <w:spacing w:after="0" w:line="285"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4.3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19"/>
          <w:szCs w:val="19"/>
          <w:color w:val="auto"/>
        </w:rPr>
        <w:t>Conclusions</w:t>
      </w:r>
    </w:p>
    <w:p>
      <w:pPr>
        <w:spacing w:after="0" w:line="336"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We have shown that dense invasive macrophyte beds produce detri-mental physicochemical conditions in a hydropeaking reservoir during summer, and that site hydrology (water level and inflows) can be impor-tant covarying factors influencing the prevalence of low oxygen events. Spatial variations in the hydroreservoir due to operational effects on hydrology, and vertically and laterally within and around macrophyte beds, lead to context–specific effects on physicochemical conditions. Implementation of adjusted ecological operating guidelines has the potential to reduce the impacts of high invasive macrophyte biomass in hydropeaking reservoirs at key times. These steps may help reduce the prolonged adverse impacts of low dissolved oxygen over summer, especially for biota that reside close to, or in, the lake bed (Andersen et al., 2017). Future research is required to investigate interactions between impacts of adverse benthic physicochemical conditions on freshwater species and alternative hydropeaking management regimes.</w:t>
      </w:r>
    </w:p>
    <w:p>
      <w:pPr>
        <w:spacing w:after="0" w:line="249"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84" w:lineRule="exact"/>
        <w:rPr>
          <w:sz w:val="20"/>
          <w:szCs w:val="20"/>
          <w:color w:val="auto"/>
        </w:rPr>
      </w:pPr>
    </w:p>
    <w:p>
      <w:pPr>
        <w:jc w:val="both"/>
        <w:spacing w:after="0" w:line="363" w:lineRule="auto"/>
        <w:rPr>
          <w:sz w:val="20"/>
          <w:szCs w:val="20"/>
          <w:color w:val="auto"/>
        </w:rPr>
      </w:pPr>
      <w:r>
        <w:rPr>
          <w:rFonts w:ascii="Arial" w:cs="Arial" w:eastAsia="Arial" w:hAnsi="Arial"/>
          <w:sz w:val="15"/>
          <w:szCs w:val="15"/>
          <w:color w:val="auto"/>
        </w:rPr>
        <w:t>This work was funded by the Ministry of Business, Innovation and Employment (New Zealand's Biological Heritage NSC, C09X1501). The authors thank Warrick Powrie for field work assistance, David Payne and Mercury New Zealand Ltd, for water level and water inflow data, Marcus Girvan for macrophyte-control reporting, Mary de</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spacing w:after="0" w:line="327" w:lineRule="auto"/>
        <w:rPr>
          <w:sz w:val="20"/>
          <w:szCs w:val="20"/>
          <w:color w:val="auto"/>
        </w:rPr>
      </w:pPr>
      <w:r>
        <w:rPr>
          <w:rFonts w:ascii="Arial" w:cs="Arial" w:eastAsia="Arial" w:hAnsi="Arial"/>
          <w:sz w:val="16"/>
          <w:szCs w:val="16"/>
          <w:color w:val="auto"/>
        </w:rPr>
        <w:t>Winton for client reports, and Linda Te Aho for liaising with Taumatawiiwii and Ngaati Korokii-Kahukura Trusts.</w:t>
      </w:r>
    </w:p>
    <w:p>
      <w:pPr>
        <w:spacing w:after="0" w:line="270" w:lineRule="exact"/>
        <w:rPr>
          <w:sz w:val="20"/>
          <w:szCs w:val="20"/>
          <w:color w:val="auto"/>
        </w:rPr>
      </w:pPr>
    </w:p>
    <w:p>
      <w:pPr>
        <w:spacing w:after="0"/>
        <w:rPr>
          <w:sz w:val="20"/>
          <w:szCs w:val="20"/>
          <w:color w:val="auto"/>
        </w:rPr>
      </w:pPr>
      <w:r>
        <w:rPr>
          <w:rFonts w:ascii="Arial" w:cs="Arial" w:eastAsia="Arial" w:hAnsi="Arial"/>
          <w:sz w:val="16"/>
          <w:szCs w:val="16"/>
          <w:color w:val="auto"/>
        </w:rPr>
        <w:t>CONFLICT OF INTEREST</w:t>
      </w:r>
    </w:p>
    <w:p>
      <w:pPr>
        <w:spacing w:after="0" w:line="76" w:lineRule="exact"/>
        <w:rPr>
          <w:sz w:val="20"/>
          <w:szCs w:val="20"/>
          <w:color w:val="auto"/>
        </w:rPr>
      </w:pPr>
    </w:p>
    <w:p>
      <w:pPr>
        <w:spacing w:after="0"/>
        <w:rPr>
          <w:sz w:val="20"/>
          <w:szCs w:val="20"/>
          <w:color w:val="auto"/>
        </w:rPr>
      </w:pPr>
      <w:r>
        <w:rPr>
          <w:rFonts w:ascii="Arial" w:cs="Arial" w:eastAsia="Arial" w:hAnsi="Arial"/>
          <w:sz w:val="16"/>
          <w:szCs w:val="16"/>
          <w:color w:val="auto"/>
        </w:rPr>
        <w:t>The authors have no conflicts of interest to disclose.</w:t>
      </w:r>
    </w:p>
    <w:p>
      <w:pPr>
        <w:spacing w:after="0" w:line="336" w:lineRule="exact"/>
        <w:rPr>
          <w:sz w:val="20"/>
          <w:szCs w:val="20"/>
          <w:color w:val="auto"/>
        </w:rPr>
      </w:pPr>
    </w:p>
    <w:p>
      <w:pPr>
        <w:spacing w:after="0"/>
        <w:rPr>
          <w:sz w:val="20"/>
          <w:szCs w:val="20"/>
          <w:color w:val="auto"/>
        </w:rPr>
      </w:pPr>
      <w:r>
        <w:rPr>
          <w:rFonts w:ascii="Arial" w:cs="Arial" w:eastAsia="Arial" w:hAnsi="Arial"/>
          <w:sz w:val="16"/>
          <w:szCs w:val="16"/>
          <w:color w:val="auto"/>
        </w:rPr>
        <w:t>DATA AVAILABILITY STATEMENT</w:t>
      </w:r>
    </w:p>
    <w:p>
      <w:pPr>
        <w:spacing w:after="0" w:line="84" w:lineRule="exact"/>
        <w:rPr>
          <w:sz w:val="20"/>
          <w:szCs w:val="20"/>
          <w:color w:val="auto"/>
        </w:rPr>
      </w:pPr>
    </w:p>
    <w:p>
      <w:pPr>
        <w:spacing w:after="0" w:line="327" w:lineRule="auto"/>
        <w:rPr>
          <w:sz w:val="20"/>
          <w:szCs w:val="20"/>
          <w:color w:val="auto"/>
        </w:rPr>
      </w:pPr>
      <w:r>
        <w:rPr>
          <w:rFonts w:ascii="Arial" w:cs="Arial" w:eastAsia="Arial" w:hAnsi="Arial"/>
          <w:sz w:val="16"/>
          <w:szCs w:val="16"/>
          <w:color w:val="auto"/>
        </w:rPr>
        <w:t>The data that support the findings of this study are available from the corresponding author upon reasonable request.</w:t>
      </w:r>
    </w:p>
    <w:p>
      <w:pPr>
        <w:spacing w:after="0" w:line="331" w:lineRule="exact"/>
        <w:rPr>
          <w:sz w:val="20"/>
          <w:szCs w:val="20"/>
          <w:color w:val="auto"/>
        </w:rPr>
      </w:pPr>
    </w:p>
    <w:p>
      <w:pPr>
        <w:spacing w:after="0"/>
        <w:rPr>
          <w:sz w:val="20"/>
          <w:szCs w:val="20"/>
          <w:color w:val="auto"/>
        </w:rPr>
      </w:pPr>
      <w:r>
        <w:rPr>
          <w:rFonts w:ascii="Arial" w:cs="Arial" w:eastAsia="Arial" w:hAnsi="Arial"/>
          <w:sz w:val="16"/>
          <w:szCs w:val="16"/>
          <w:color w:val="auto"/>
        </w:rPr>
        <w:t>ORCID</w:t>
      </w:r>
    </w:p>
    <w:p>
      <w:pPr>
        <w:spacing w:after="0" w:line="16" w:lineRule="exact"/>
        <w:rPr>
          <w:sz w:val="20"/>
          <w:szCs w:val="20"/>
          <w:color w:val="auto"/>
        </w:rPr>
      </w:pPr>
    </w:p>
    <w:p>
      <w:pPr>
        <w:spacing w:after="0"/>
        <w:rPr>
          <w:rFonts w:ascii="Arial" w:cs="Arial" w:eastAsia="Arial" w:hAnsi="Arial"/>
          <w:sz w:val="16"/>
          <w:szCs w:val="16"/>
          <w:color w:val="002786"/>
        </w:rPr>
      </w:pPr>
      <w:r>
        <w:rPr>
          <w:rFonts w:ascii="Arial" w:cs="Arial" w:eastAsia="Arial" w:hAnsi="Arial"/>
          <w:sz w:val="16"/>
          <w:szCs w:val="16"/>
          <w:color w:val="auto"/>
        </w:rPr>
        <w:t>Thomas P. Moore</w:t>
      </w:r>
      <w:r>
        <w:rPr>
          <w:sz w:val="1"/>
          <w:szCs w:val="1"/>
          <w:color w:val="auto"/>
        </w:rPr>
        <w:drawing>
          <wp:inline distT="0" distB="0" distL="0" distR="0">
            <wp:extent cx="133350" cy="1333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8">
                      <a:extLst>
                        <a:ext uri="{28A0092B-C50C-407E-A947-70E740481C1C}"/>
                      </a:extLst>
                    </a:blip>
                    <a:srcRect/>
                    <a:stretch>
                      <a:fillRect/>
                    </a:stretch>
                  </pic:blipFill>
                  <pic:spPr bwMode="auto">
                    <a:xfrm>
                      <a:off x="0" y="0"/>
                      <a:ext cx="133350" cy="133350"/>
                    </a:xfrm>
                    <a:prstGeom prst="rect">
                      <a:avLst/>
                    </a:prstGeom>
                    <a:noFill/>
                    <a:ln>
                      <a:noFill/>
                    </a:ln>
                  </pic:spPr>
                </pic:pic>
              </a:graphicData>
            </a:graphic>
          </wp:inline>
        </w:drawing>
      </w:r>
      <w:hyperlink r:id="rId49">
        <w:r>
          <w:rPr>
            <w:rFonts w:ascii="Arial" w:cs="Arial" w:eastAsia="Arial" w:hAnsi="Arial"/>
            <w:sz w:val="16"/>
            <w:szCs w:val="16"/>
            <w:color w:val="002786"/>
          </w:rPr>
          <w:t xml:space="preserve"> https://orcid.org/0000-0002-8373-627X</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769620</wp:posOffset>
            </wp:positionH>
            <wp:positionV relativeFrom="paragraph">
              <wp:posOffset>-114300</wp:posOffset>
            </wp:positionV>
            <wp:extent cx="33655" cy="3365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859790</wp:posOffset>
            </wp:positionH>
            <wp:positionV relativeFrom="paragraph">
              <wp:posOffset>49530</wp:posOffset>
            </wp:positionV>
            <wp:extent cx="33655" cy="3365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1">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1520" w:val="left"/>
        </w:tabs>
        <w:rPr>
          <w:rFonts w:ascii="Arial" w:cs="Arial" w:eastAsia="Arial" w:hAnsi="Arial"/>
          <w:sz w:val="16"/>
          <w:szCs w:val="16"/>
          <w:color w:val="002786"/>
        </w:rPr>
      </w:pPr>
      <w:r>
        <w:rPr>
          <w:rFonts w:ascii="Arial" w:cs="Arial" w:eastAsia="Arial" w:hAnsi="Arial"/>
          <w:sz w:val="16"/>
          <w:szCs w:val="16"/>
          <w:color w:val="auto"/>
        </w:rPr>
        <w:t>Susan J. Clearwater</w:t>
      </w:r>
      <w:r>
        <w:rPr>
          <w:sz w:val="20"/>
          <w:szCs w:val="20"/>
          <w:color w:val="auto"/>
        </w:rPr>
        <w:tab/>
      </w:r>
      <w:hyperlink r:id="rId52">
        <w:r>
          <w:rPr>
            <w:rFonts w:ascii="Arial" w:cs="Arial" w:eastAsia="Arial" w:hAnsi="Arial"/>
            <w:sz w:val="16"/>
            <w:szCs w:val="16"/>
            <w:color w:val="002786"/>
          </w:rPr>
          <w:t>https://orcid.org/0000-0003-1739-0298</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630555</wp:posOffset>
            </wp:positionH>
            <wp:positionV relativeFrom="paragraph">
              <wp:posOffset>49530</wp:posOffset>
            </wp:positionV>
            <wp:extent cx="33655" cy="3365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3">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7" w:lineRule="exact"/>
        <w:rPr>
          <w:sz w:val="20"/>
          <w:szCs w:val="20"/>
          <w:color w:val="auto"/>
        </w:rPr>
      </w:pPr>
    </w:p>
    <w:p>
      <w:pPr>
        <w:spacing w:after="0"/>
        <w:tabs>
          <w:tab w:leader="none" w:pos="1160" w:val="left"/>
        </w:tabs>
        <w:rPr>
          <w:rFonts w:ascii="Arial" w:cs="Arial" w:eastAsia="Arial" w:hAnsi="Arial"/>
          <w:sz w:val="16"/>
          <w:szCs w:val="16"/>
          <w:color w:val="002786"/>
        </w:rPr>
      </w:pPr>
      <w:r>
        <w:rPr>
          <w:rFonts w:ascii="Arial" w:cs="Arial" w:eastAsia="Arial" w:hAnsi="Arial"/>
          <w:sz w:val="16"/>
          <w:szCs w:val="16"/>
          <w:color w:val="auto"/>
        </w:rPr>
        <w:t>Ian C. Duggan</w:t>
      </w:r>
      <w:r>
        <w:rPr>
          <w:sz w:val="20"/>
          <w:szCs w:val="20"/>
          <w:color w:val="auto"/>
        </w:rPr>
        <w:tab/>
      </w:r>
      <w:hyperlink r:id="rId54">
        <w:r>
          <w:rPr>
            <w:rFonts w:ascii="Arial" w:cs="Arial" w:eastAsia="Arial" w:hAnsi="Arial"/>
            <w:sz w:val="16"/>
            <w:szCs w:val="16"/>
            <w:color w:val="002786"/>
          </w:rPr>
          <w:t>https://orcid.org/0000-0002-6037-9759</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648970</wp:posOffset>
            </wp:positionH>
            <wp:positionV relativeFrom="paragraph">
              <wp:posOffset>48895</wp:posOffset>
            </wp:positionV>
            <wp:extent cx="33655" cy="3365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5">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1180" w:val="left"/>
        </w:tabs>
        <w:rPr>
          <w:rFonts w:ascii="Arial" w:cs="Arial" w:eastAsia="Arial" w:hAnsi="Arial"/>
          <w:sz w:val="16"/>
          <w:szCs w:val="16"/>
          <w:color w:val="002786"/>
        </w:rPr>
      </w:pPr>
      <w:r>
        <w:rPr>
          <w:rFonts w:ascii="Arial" w:cs="Arial" w:eastAsia="Arial" w:hAnsi="Arial"/>
          <w:sz w:val="16"/>
          <w:szCs w:val="16"/>
          <w:color w:val="auto"/>
        </w:rPr>
        <w:t>Kevin J. Collier</w:t>
      </w:r>
      <w:r>
        <w:rPr>
          <w:sz w:val="20"/>
          <w:szCs w:val="20"/>
          <w:color w:val="auto"/>
        </w:rPr>
        <w:tab/>
      </w:r>
      <w:hyperlink r:id="rId56">
        <w:r>
          <w:rPr>
            <w:rFonts w:ascii="Arial" w:cs="Arial" w:eastAsia="Arial" w:hAnsi="Arial"/>
            <w:sz w:val="16"/>
            <w:szCs w:val="16"/>
            <w:color w:val="002786"/>
          </w:rPr>
          <w:t>https://orcid.org/0000-0002-5213-9907</w:t>
        </w:r>
      </w:hyperlink>
    </w:p>
    <w:p>
      <w:pPr>
        <w:spacing w:after="0" w:line="33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93"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Andersen, M. R., Kragh, T., &amp; Sand-Jensen, K. (2017). Extreme diel dis-solved oxygen and carbon cycles in shallow vegetated lakes. Proceed-ings of the Royal Society B: Biological Sciences, 284(1862), 20171427. </w:t>
      </w:r>
      <w:hyperlink r:id="rId57">
        <w:r>
          <w:rPr>
            <w:rFonts w:ascii="Arial" w:cs="Arial" w:eastAsia="Arial" w:hAnsi="Arial"/>
            <w:sz w:val="15"/>
            <w:szCs w:val="15"/>
            <w:color w:val="auto"/>
          </w:rPr>
          <w:t>https://doi.org/10.1098/rspb.2017.1427</w:t>
        </w:r>
      </w:hyperlink>
    </w:p>
    <w:p>
      <w:pPr>
        <w:spacing w:after="0" w:line="12" w:lineRule="exact"/>
        <w:rPr>
          <w:sz w:val="20"/>
          <w:szCs w:val="20"/>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Anderson, K. J., &amp; Jetz, W. (2005). The broad-scale ecology of energy expenditure of endotherms. Ecology Letters, 8(3), 310–318. </w:t>
      </w:r>
      <w:hyperlink r:id="rId58">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58">
        <w:r>
          <w:rPr>
            <w:rFonts w:ascii="Arial" w:cs="Arial" w:eastAsia="Arial" w:hAnsi="Arial"/>
            <w:sz w:val="15"/>
            <w:szCs w:val="15"/>
            <w:color w:val="auto"/>
          </w:rPr>
          <w:t>doi.org/10.1111/j.1461-0248.2005.00723.x</w:t>
        </w:r>
      </w:hyperlink>
    </w:p>
    <w:p>
      <w:pPr>
        <w:spacing w:after="0" w:line="13"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Brodersen, K. H., Gallusser, F., Koehler, J., Remy, N., &amp; Scott, S. L. (2015). Inferring causal impact using Bayesian structural time-series models. The Annals of Applied Statistics, 9(1), 247–274. </w:t>
      </w:r>
      <w:hyperlink r:id="rId59">
        <w:r>
          <w:rPr>
            <w:rFonts w:ascii="Arial" w:cs="Arial" w:eastAsia="Arial" w:hAnsi="Arial"/>
            <w:sz w:val="15"/>
            <w:szCs w:val="15"/>
            <w:color w:val="auto"/>
          </w:rPr>
          <w:t>https://doi.org/10.</w:t>
        </w:r>
      </w:hyperlink>
      <w:r>
        <w:rPr>
          <w:rFonts w:ascii="Arial" w:cs="Arial" w:eastAsia="Arial" w:hAnsi="Arial"/>
          <w:sz w:val="15"/>
          <w:szCs w:val="15"/>
          <w:color w:val="auto"/>
        </w:rPr>
        <w:t xml:space="preserve"> </w:t>
      </w:r>
      <w:hyperlink r:id="rId59">
        <w:r>
          <w:rPr>
            <w:rFonts w:ascii="Arial" w:cs="Arial" w:eastAsia="Arial" w:hAnsi="Arial"/>
            <w:sz w:val="15"/>
            <w:szCs w:val="15"/>
            <w:color w:val="auto"/>
          </w:rPr>
          <w:t>1214/14-AOAS788</w:t>
        </w:r>
      </w:hyperlink>
    </w:p>
    <w:p>
      <w:pPr>
        <w:spacing w:after="0" w:line="12"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Bunch, A. J., Allen, M. S., &amp; Gwinn, D. C. (2010). Spatial and temporal hyp-oxia dynamics in dense emergent macrophytes in a Florida lake. Wet-lands, 30(3), 429–435. </w:t>
      </w:r>
      <w:hyperlink r:id="rId60">
        <w:r>
          <w:rPr>
            <w:rFonts w:ascii="Arial" w:cs="Arial" w:eastAsia="Arial" w:hAnsi="Arial"/>
            <w:sz w:val="14"/>
            <w:szCs w:val="14"/>
            <w:color w:val="auto"/>
          </w:rPr>
          <w:t>https://doi.org/10.1007/s13157-010-0051-9</w:t>
        </w:r>
      </w:hyperlink>
    </w:p>
    <w:p>
      <w:pPr>
        <w:spacing w:after="0" w:line="1"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Bunn, S., Davies, P., Kellaway, D., &amp; Prosser, I. (1998). Influence of invasive macrophytes on channel morphology and hydrology in an open tropi-cal lowland stream, and potential control by riparian shading. Freshwa-ter Biology, 39(1), 171–178. </w:t>
      </w:r>
      <w:hyperlink r:id="rId61">
        <w:r>
          <w:rPr>
            <w:rFonts w:ascii="Arial" w:cs="Arial" w:eastAsia="Arial" w:hAnsi="Arial"/>
            <w:sz w:val="15"/>
            <w:szCs w:val="15"/>
            <w:color w:val="auto"/>
          </w:rPr>
          <w:t>https://doi.org/10.1046/j.1365-2427.</w:t>
        </w:r>
      </w:hyperlink>
      <w:r>
        <w:rPr>
          <w:rFonts w:ascii="Arial" w:cs="Arial" w:eastAsia="Arial" w:hAnsi="Arial"/>
          <w:sz w:val="15"/>
          <w:szCs w:val="15"/>
          <w:color w:val="auto"/>
        </w:rPr>
        <w:t xml:space="preserve"> </w:t>
      </w:r>
      <w:hyperlink r:id="rId61">
        <w:r>
          <w:rPr>
            <w:rFonts w:ascii="Arial" w:cs="Arial" w:eastAsia="Arial" w:hAnsi="Arial"/>
            <w:sz w:val="15"/>
            <w:szCs w:val="15"/>
            <w:color w:val="auto"/>
          </w:rPr>
          <w:t>1998.00264.x</w:t>
        </w:r>
      </w:hyperlink>
    </w:p>
    <w:p>
      <w:pPr>
        <w:spacing w:after="0" w:line="11"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Caraco, N. F., &amp; Cole, J. J. (2002). Contrasting impacts of a native and alien macrophyte on dissolved oxygen in a large river. Ecological Applica-tions, 12(5), 1496–1509. </w:t>
      </w:r>
      <w:hyperlink r:id="rId62">
        <w:r>
          <w:rPr>
            <w:rFonts w:ascii="Arial" w:cs="Arial" w:eastAsia="Arial" w:hAnsi="Arial"/>
            <w:sz w:val="15"/>
            <w:szCs w:val="15"/>
            <w:color w:val="auto"/>
          </w:rPr>
          <w:t>https://doi.org/10.1890/1051-0761(2002)</w:t>
        </w:r>
      </w:hyperlink>
      <w:r>
        <w:rPr>
          <w:rFonts w:ascii="Arial" w:cs="Arial" w:eastAsia="Arial" w:hAnsi="Arial"/>
          <w:sz w:val="15"/>
          <w:szCs w:val="15"/>
          <w:color w:val="auto"/>
        </w:rPr>
        <w:t xml:space="preserve"> </w:t>
      </w:r>
      <w:hyperlink r:id="rId62">
        <w:r>
          <w:rPr>
            <w:rFonts w:ascii="Arial" w:cs="Arial" w:eastAsia="Arial" w:hAnsi="Arial"/>
            <w:sz w:val="15"/>
            <w:szCs w:val="15"/>
            <w:color w:val="auto"/>
          </w:rPr>
          <w:t>012[1496:CIOANA]2.0.CO;2</w:t>
        </w:r>
      </w:hyperlink>
    </w:p>
    <w:p>
      <w:pPr>
        <w:spacing w:after="0" w:line="12"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Christensen, J. P., Sand-Jensen, K., &amp; Staehr, P. A. (2013). Fluctuating water levels control water chemistry and metabolism of a charophyte-dominated pond. Freshwater Biology, 58(7), 1353–1365. </w:t>
      </w:r>
      <w:hyperlink r:id="rId63">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63">
        <w:r>
          <w:rPr>
            <w:rFonts w:ascii="Arial" w:cs="Arial" w:eastAsia="Arial" w:hAnsi="Arial"/>
            <w:sz w:val="15"/>
            <w:szCs w:val="15"/>
            <w:color w:val="auto"/>
          </w:rPr>
          <w:t>org/10.1111/fwb.12132</w:t>
        </w:r>
      </w:hyperlink>
    </w:p>
    <w:p>
      <w:pPr>
        <w:spacing w:after="0" w:line="12"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Clayton, J. S., Matheson, F., &amp; Smith, J. (2009). Lake Karapiro weed control from March to June 2009. National Institute of Water and Atmospheric Research Client Report HAM2009–133, prepared for Land Information New Zealand (LMT08201), 14.</w:t>
      </w:r>
    </w:p>
    <w:p>
      <w:pPr>
        <w:spacing w:after="0" w:line="11" w:lineRule="exact"/>
        <w:rPr>
          <w:sz w:val="20"/>
          <w:szCs w:val="20"/>
          <w:color w:val="auto"/>
        </w:rPr>
      </w:pPr>
    </w:p>
    <w:p>
      <w:pPr>
        <w:jc w:val="both"/>
        <w:ind w:left="260" w:hanging="259"/>
        <w:spacing w:after="0" w:line="313" w:lineRule="auto"/>
        <w:rPr>
          <w:sz w:val="20"/>
          <w:szCs w:val="20"/>
          <w:color w:val="auto"/>
        </w:rPr>
      </w:pPr>
      <w:r>
        <w:rPr>
          <w:rFonts w:ascii="Arial" w:cs="Arial" w:eastAsia="Arial" w:hAnsi="Arial"/>
          <w:sz w:val="14"/>
          <w:szCs w:val="14"/>
          <w:color w:val="auto"/>
        </w:rPr>
        <w:t>Clayton, J. S., Wells, R., &amp; Taumoepeau, A. (2006). Weed control in Lake Karapiro. National Institute of Water and Atmospheric Research Client Report HAM2006-13, prepared for Land Information New Zealand, 25.</w:t>
      </w:r>
    </w:p>
    <w:p>
      <w:pPr>
        <w:spacing w:after="0" w:line="1"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Clearwater S. J., Thompson K. J., &amp; Hickey C. W. (2014). Acute toxicity of copper, zinc, and ammonia to larvae (glochidia) of a native freshwater mussel echyridella menziesii in new zealand. Archives of Environmental Contamination and Toxicology, 66(2), 213–226. </w:t>
      </w:r>
      <w:hyperlink r:id="rId64">
        <w:r>
          <w:rPr>
            <w:rFonts w:ascii="Arial" w:cs="Arial" w:eastAsia="Arial" w:hAnsi="Arial"/>
            <w:sz w:val="15"/>
            <w:szCs w:val="15"/>
            <w:color w:val="auto"/>
          </w:rPr>
          <w:t>http://dx.doi.org/10.</w:t>
        </w:r>
      </w:hyperlink>
      <w:r>
        <w:rPr>
          <w:rFonts w:ascii="Arial" w:cs="Arial" w:eastAsia="Arial" w:hAnsi="Arial"/>
          <w:sz w:val="15"/>
          <w:szCs w:val="15"/>
          <w:color w:val="auto"/>
        </w:rPr>
        <w:t xml:space="preserve"> </w:t>
      </w:r>
      <w:hyperlink r:id="rId64">
        <w:r>
          <w:rPr>
            <w:rFonts w:ascii="Arial" w:cs="Arial" w:eastAsia="Arial" w:hAnsi="Arial"/>
            <w:sz w:val="15"/>
            <w:szCs w:val="15"/>
            <w:color w:val="auto"/>
          </w:rPr>
          <w:t>1007/s00244-013-9972-7.</w:t>
        </w:r>
      </w:hyperlink>
    </w:p>
    <w:p>
      <w:pPr>
        <w:spacing w:after="0" w:line="11" w:lineRule="exact"/>
        <w:rPr>
          <w:sz w:val="20"/>
          <w:szCs w:val="20"/>
          <w:color w:val="auto"/>
        </w:rPr>
      </w:pPr>
    </w:p>
    <w:p>
      <w:pPr>
        <w:jc w:val="both"/>
        <w:ind w:left="260" w:hanging="259"/>
        <w:spacing w:after="0" w:line="287" w:lineRule="auto"/>
        <w:rPr>
          <w:sz w:val="20"/>
          <w:szCs w:val="20"/>
          <w:color w:val="auto"/>
        </w:rPr>
      </w:pPr>
      <w:r>
        <w:rPr>
          <w:rFonts w:ascii="Arial" w:cs="Arial" w:eastAsia="Arial" w:hAnsi="Arial"/>
          <w:sz w:val="15"/>
          <w:szCs w:val="15"/>
          <w:color w:val="auto"/>
        </w:rPr>
        <w:t>Coffey, B. T., &amp; Clayton, J. S. (1988). New Zealand waterplants: A guide to plants found in New Zealand freshwaters (Vol. 63). New Zealand: Minis-try of Agriculture and Forestry.</w:t>
      </w:r>
    </w:p>
    <w:p>
      <w:pPr>
        <w:spacing w:after="0" w:line="12" w:lineRule="exact"/>
        <w:rPr>
          <w:sz w:val="20"/>
          <w:szCs w:val="20"/>
          <w:color w:val="auto"/>
        </w:rPr>
      </w:pPr>
    </w:p>
    <w:p>
      <w:pPr>
        <w:jc w:val="both"/>
        <w:ind w:left="260" w:hanging="259"/>
        <w:spacing w:after="0" w:line="280" w:lineRule="auto"/>
        <w:rPr>
          <w:sz w:val="20"/>
          <w:szCs w:val="20"/>
          <w:color w:val="auto"/>
        </w:rPr>
      </w:pPr>
      <w:r>
        <w:rPr>
          <w:rFonts w:ascii="Arial" w:cs="Arial" w:eastAsia="Arial" w:hAnsi="Arial"/>
          <w:sz w:val="15"/>
          <w:szCs w:val="15"/>
          <w:color w:val="auto"/>
        </w:rPr>
        <w:t>Eller, F., Alnoee, A. B., Boderskov, T., Guo, W.-Y., Kamp, A. T., Sorrell, B. K., &amp; Brix, H. (2015). Invasive submerged freshwater</w:t>
      </w:r>
    </w:p>
    <w:p>
      <w:pPr>
        <w:sectPr>
          <w:pgSz w:w="11900" w:h="15647" w:orient="portrait"/>
          <w:cols w:equalWidth="0" w:num="2">
            <w:col w:w="4860" w:space="360"/>
            <w:col w:w="4860"/>
          </w:cols>
          <w:pgMar w:left="900" w:top="415" w:right="926" w:bottom="268" w:gutter="0" w:footer="0" w:header="0"/>
          <w:type w:val="continuous"/>
        </w:sectPr>
      </w:pPr>
    </w:p>
    <w:bookmarkStart w:id="11" w:name="page12"/>
    <w:bookmarkEnd w:id="11"/>
    <w:p>
      <w:pPr>
        <w:spacing w:after="0"/>
        <w:tabs>
          <w:tab w:leader="none" w:pos="429" w:val="left"/>
        </w:tabs>
        <w:rPr>
          <w:sz w:val="20"/>
          <w:szCs w:val="20"/>
          <w:color w:val="auto"/>
        </w:rPr>
      </w:pPr>
      <w:r>
        <w:rPr>
          <w:rFonts w:ascii="Arial" w:cs="Arial" w:eastAsia="Arial" w:hAnsi="Arial"/>
          <w:sz w:val="14"/>
          <w:szCs w:val="14"/>
          <w:color w:val="auto"/>
        </w:rPr>
        <w:t>12</w:t>
      </w:r>
      <w:r>
        <w:rPr>
          <w:sz w:val="20"/>
          <w:szCs w:val="20"/>
          <w:color w:val="auto"/>
        </w:rPr>
        <w:tab/>
      </w:r>
      <w:r>
        <w:rPr>
          <w:sz w:val="1"/>
          <w:szCs w:val="1"/>
          <w:color w:val="auto"/>
        </w:rPr>
        <w:drawing>
          <wp:inline distT="0" distB="0" distL="0" distR="0">
            <wp:extent cx="19050" cy="17081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5">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6">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MOORE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396" w:gutter="0" w:footer="0" w:header="0"/>
        </w:sectPr>
      </w:pPr>
    </w:p>
    <w:p>
      <w:pPr>
        <w:spacing w:after="0" w:line="317" w:lineRule="exact"/>
        <w:rPr>
          <w:sz w:val="20"/>
          <w:szCs w:val="20"/>
          <w:color w:val="auto"/>
        </w:rPr>
      </w:pPr>
    </w:p>
    <w:p>
      <w:pPr>
        <w:jc w:val="both"/>
        <w:ind w:left="260"/>
        <w:spacing w:after="0" w:line="258" w:lineRule="auto"/>
        <w:rPr>
          <w:rFonts w:ascii="Arial" w:cs="Arial" w:eastAsia="Arial" w:hAnsi="Arial"/>
          <w:sz w:val="15"/>
          <w:szCs w:val="15"/>
          <w:color w:val="auto"/>
        </w:rPr>
      </w:pPr>
      <w:r>
        <w:rPr>
          <w:rFonts w:ascii="Arial" w:cs="Arial" w:eastAsia="Arial" w:hAnsi="Arial"/>
          <w:sz w:val="15"/>
          <w:szCs w:val="15"/>
          <w:color w:val="auto"/>
        </w:rPr>
        <w:t>macrophytes are more plastic in their response to light intensity than to the availability of free CO</w:t>
      </w:r>
      <w:r>
        <w:rPr>
          <w:rFonts w:ascii="Arial" w:cs="Arial" w:eastAsia="Arial" w:hAnsi="Arial"/>
          <w:sz w:val="19"/>
          <w:szCs w:val="19"/>
          <w:color w:val="auto"/>
          <w:vertAlign w:val="subscript"/>
        </w:rPr>
        <w:t>2</w:t>
      </w:r>
      <w:r>
        <w:rPr>
          <w:rFonts w:ascii="Arial" w:cs="Arial" w:eastAsia="Arial" w:hAnsi="Arial"/>
          <w:sz w:val="15"/>
          <w:szCs w:val="15"/>
          <w:color w:val="auto"/>
        </w:rPr>
        <w:t xml:space="preserve"> in air-equilibrated water. Freshwater Biol-ogy, 60(5), 929–943. </w:t>
      </w:r>
      <w:hyperlink r:id="rId67">
        <w:r>
          <w:rPr>
            <w:rFonts w:ascii="Arial" w:cs="Arial" w:eastAsia="Arial" w:hAnsi="Arial"/>
            <w:sz w:val="15"/>
            <w:szCs w:val="15"/>
            <w:color w:val="auto"/>
          </w:rPr>
          <w:t>https://doi.org/10.1111/fwb.12547</w:t>
        </w:r>
      </w:hyperlink>
    </w:p>
    <w:p>
      <w:pPr>
        <w:spacing w:after="0" w:line="25" w:lineRule="exact"/>
        <w:rPr>
          <w:sz w:val="20"/>
          <w:szCs w:val="20"/>
          <w:color w:val="auto"/>
        </w:rPr>
      </w:pPr>
    </w:p>
    <w:p>
      <w:pPr>
        <w:ind w:left="260" w:hanging="259"/>
        <w:spacing w:after="0" w:line="312" w:lineRule="auto"/>
        <w:rPr>
          <w:rFonts w:ascii="Arial" w:cs="Arial" w:eastAsia="Arial" w:hAnsi="Arial"/>
          <w:sz w:val="14"/>
          <w:szCs w:val="14"/>
          <w:color w:val="auto"/>
        </w:rPr>
      </w:pPr>
      <w:r>
        <w:rPr>
          <w:rFonts w:ascii="Arial" w:cs="Arial" w:eastAsia="Arial" w:hAnsi="Arial"/>
          <w:sz w:val="14"/>
          <w:szCs w:val="14"/>
          <w:color w:val="auto"/>
        </w:rPr>
        <w:t xml:space="preserve">Gibbs, M., Safi, S., Albert, A., Duggan, I. C., Bowman, E., &amp; Burger, D. (2015). Factors influencing chlorophyll a concentrations in the Wai-kato River. National Institute of Water and Atmospheric Research Client Report HAM2014-059, prepared for Dairy New Zealand. Retrieved from </w:t>
      </w:r>
      <w:hyperlink r:id="rId68">
        <w:r>
          <w:rPr>
            <w:rFonts w:ascii="Arial" w:cs="Arial" w:eastAsia="Arial" w:hAnsi="Arial"/>
            <w:sz w:val="14"/>
            <w:szCs w:val="14"/>
            <w:color w:val="auto"/>
          </w:rPr>
          <w:t>https://www.waikatoregion.govt.nz/assets/PageFiles/35431/</w:t>
        </w:r>
      </w:hyperlink>
      <w:r>
        <w:rPr>
          <w:rFonts w:ascii="Arial" w:cs="Arial" w:eastAsia="Arial" w:hAnsi="Arial"/>
          <w:sz w:val="14"/>
          <w:szCs w:val="14"/>
          <w:color w:val="auto"/>
        </w:rPr>
        <w:t xml:space="preserve"> </w:t>
      </w:r>
      <w:hyperlink r:id="rId68">
        <w:r>
          <w:rPr>
            <w:rFonts w:ascii="Arial" w:cs="Arial" w:eastAsia="Arial" w:hAnsi="Arial"/>
            <w:sz w:val="14"/>
            <w:szCs w:val="14"/>
            <w:color w:val="auto"/>
          </w:rPr>
          <w:t>DNZ14204-Karapiro-final.pdf</w:t>
        </w:r>
      </w:hyperlink>
    </w:p>
    <w:p>
      <w:pPr>
        <w:spacing w:after="0" w:line="4" w:lineRule="exact"/>
        <w:rPr>
          <w:sz w:val="20"/>
          <w:szCs w:val="20"/>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Godshalk, G. L., &amp; Wetzel, R. G. (1978). Decomposition of aquatic angio-sperms. I. Dissolved components. Aquatic Botany, 5, 281–300. </w:t>
      </w:r>
      <w:hyperlink r:id="rId69">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69">
        <w:r>
          <w:rPr>
            <w:rFonts w:ascii="Arial" w:cs="Arial" w:eastAsia="Arial" w:hAnsi="Arial"/>
            <w:sz w:val="15"/>
            <w:szCs w:val="15"/>
            <w:color w:val="auto"/>
          </w:rPr>
          <w:t>doi.org/10.1016/0304-3770(78)90073-6</w:t>
        </w:r>
      </w:hyperlink>
    </w:p>
    <w:p>
      <w:pPr>
        <w:spacing w:after="0" w:line="13" w:lineRule="exact"/>
        <w:rPr>
          <w:sz w:val="20"/>
          <w:szCs w:val="20"/>
          <w:color w:val="auto"/>
        </w:rPr>
      </w:pPr>
    </w:p>
    <w:p>
      <w:pPr>
        <w:jc w:val="both"/>
        <w:ind w:left="260"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Hamilton, N. E., &amp; Ferry, M. (2018). ggtern: Ternary diagrams using ggplot2. Journal of Statistical Software, Code Snippets, 87(3), 1–17. </w:t>
      </w:r>
      <w:hyperlink r:id="rId70">
        <w:r>
          <w:rPr>
            <w:rFonts w:ascii="Arial" w:cs="Arial" w:eastAsia="Arial" w:hAnsi="Arial"/>
            <w:sz w:val="15"/>
            <w:szCs w:val="15"/>
            <w:color w:val="auto"/>
          </w:rPr>
          <w:t>https://doi.org/10.18637/jss.v087.c03</w:t>
        </w:r>
      </w:hyperlink>
    </w:p>
    <w:p>
      <w:pPr>
        <w:spacing w:after="0" w:line="12" w:lineRule="exact"/>
        <w:rPr>
          <w:sz w:val="20"/>
          <w:szCs w:val="20"/>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Havel, J. E., Lee, C. E., &amp; Vander Zanden, J. M. (2005). Do reservoirs facili-tate invasions into landscapes? Bioscience, 55(6), 518–525. </w:t>
      </w:r>
      <w:hyperlink r:id="rId71">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1">
        <w:r>
          <w:rPr>
            <w:rFonts w:ascii="Arial" w:cs="Arial" w:eastAsia="Arial" w:hAnsi="Arial"/>
            <w:sz w:val="15"/>
            <w:szCs w:val="15"/>
            <w:color w:val="auto"/>
          </w:rPr>
          <w:t>org/10.1641/0006-3568(2005)055[0518:DRFIIL]2.0.CO;2</w:t>
        </w:r>
      </w:hyperlink>
    </w:p>
    <w:p>
      <w:pPr>
        <w:spacing w:after="0" w:line="14"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Helminen, J., Linnansaari, T., Bruce, M., Dolson-Edge, R., &amp; Curry, R. A. (2019). Accuracy and precision of low-cost echosounder and auto-mated data processing software for habitat mapping in a large river. Diversity, 11(7), 116.</w:t>
      </w:r>
    </w:p>
    <w:p>
      <w:pPr>
        <w:spacing w:after="0" w:line="11"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Hickey, C., Roper, D., &amp; Buckland, S. (1995). Metal concentrations of resi-dent and transplanted freshwater mussels Hyridella menziesi (Unionacea: Hyriidae) and sediments in the Waikato River, New Zealand. Science of the Total Environment, 175(3), 163–177.</w:t>
      </w:r>
    </w:p>
    <w:p>
      <w:pPr>
        <w:spacing w:after="0" w:line="4" w:lineRule="exact"/>
        <w:rPr>
          <w:sz w:val="20"/>
          <w:szCs w:val="20"/>
          <w:color w:val="auto"/>
        </w:rPr>
      </w:pPr>
    </w:p>
    <w:p>
      <w:pPr>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Hofstra, D. E., &amp; de Winton, M. (2016). Weed Management Plan for Horn-wort in Lake Karapiro 2016 to 2025. National Institute of Water and Atmospheric Research Client Report HAM2016-071. Retrieved from </w:t>
      </w:r>
      <w:hyperlink r:id="rId72">
        <w:r>
          <w:rPr>
            <w:rFonts w:ascii="Arial" w:cs="Arial" w:eastAsia="Arial" w:hAnsi="Arial"/>
            <w:sz w:val="15"/>
            <w:szCs w:val="15"/>
            <w:color w:val="auto"/>
          </w:rPr>
          <w:t>https://www.linz.govt.nz/system/files_force/media/doc/cp_lake-</w:t>
        </w:r>
      </w:hyperlink>
      <w:hyperlink r:id="rId72">
        <w:r>
          <w:rPr>
            <w:rFonts w:ascii="Arial" w:cs="Arial" w:eastAsia="Arial" w:hAnsi="Arial"/>
            <w:sz w:val="15"/>
            <w:szCs w:val="15"/>
            <w:color w:val="auto"/>
          </w:rPr>
          <w:t>karapiro-weed-management-plan_201610.pdf?download=1</w:t>
        </w:r>
      </w:hyperlink>
    </w:p>
    <w:p>
      <w:pPr>
        <w:spacing w:after="0" w:line="11"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Hussner,</w:t>
      </w:r>
      <w:r>
        <w:rPr>
          <w:sz w:val="20"/>
          <w:szCs w:val="20"/>
          <w:color w:val="auto"/>
        </w:rPr>
        <w:t xml:space="preserve"> </w:t>
      </w:r>
      <w:r>
        <w:rPr>
          <w:rFonts w:ascii="Arial" w:cs="Arial" w:eastAsia="Arial" w:hAnsi="Arial"/>
          <w:sz w:val="15"/>
          <w:szCs w:val="15"/>
          <w:color w:val="auto"/>
        </w:rPr>
        <w:t xml:space="preserve">A., Stiers, I., Verhofstad, M. J. J. M., Bakker, E. S., Grutters, B. M. C., Haury, J., … Hofstra, D. (2017). Management and control methods of invasive alien freshwater aquatic plants: A review. Aquatic Botany, 136, 112–137. </w:t>
      </w:r>
      <w:hyperlink r:id="rId73">
        <w:r>
          <w:rPr>
            <w:rFonts w:ascii="Arial" w:cs="Arial" w:eastAsia="Arial" w:hAnsi="Arial"/>
            <w:sz w:val="15"/>
            <w:szCs w:val="15"/>
            <w:color w:val="auto"/>
          </w:rPr>
          <w:t>https://doi.org/10.1016/j.aquabot.</w:t>
        </w:r>
      </w:hyperlink>
      <w:r>
        <w:rPr>
          <w:rFonts w:ascii="Arial" w:cs="Arial" w:eastAsia="Arial" w:hAnsi="Arial"/>
          <w:sz w:val="15"/>
          <w:szCs w:val="15"/>
          <w:color w:val="auto"/>
        </w:rPr>
        <w:t xml:space="preserve"> </w:t>
      </w:r>
      <w:hyperlink r:id="rId73">
        <w:r>
          <w:rPr>
            <w:rFonts w:ascii="Arial" w:cs="Arial" w:eastAsia="Arial" w:hAnsi="Arial"/>
            <w:sz w:val="15"/>
            <w:szCs w:val="15"/>
            <w:color w:val="auto"/>
          </w:rPr>
          <w:t>2016.08.002</w:t>
        </w:r>
      </w:hyperlink>
    </w:p>
    <w:p>
      <w:pPr>
        <w:spacing w:after="0" w:line="11"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James, W. F., Dechamps, A., Turyk, N., &amp; McGinley, P. (2007). Contribution of Potamogeton crispus decay to the phosphorus budget of McGinnis lake, Wisconsin. APCRP technical notes collection. ERDC/TN APCRP-EA-15. Vicksburg, MS: U.S. Army Engineer Research and Development Center Retrieved from </w:t>
      </w:r>
      <w:hyperlink r:id="rId74">
        <w:r>
          <w:rPr>
            <w:rFonts w:ascii="Arial" w:cs="Arial" w:eastAsia="Arial" w:hAnsi="Arial"/>
            <w:sz w:val="14"/>
            <w:szCs w:val="14"/>
            <w:color w:val="auto"/>
          </w:rPr>
          <w:t>www.wes.army.mil/el/aqua</w:t>
        </w:r>
      </w:hyperlink>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Johnson, P. T. J., Olden, J. D., &amp; Vander Zanden, M. J. (2008). Dam invaders: Impoundments facilitate biological invasions into freshwa-ters. Frontiers in Ecology and the Environment, 6(7), 357–363. </w:t>
      </w:r>
      <w:hyperlink r:id="rId75">
        <w:r>
          <w:rPr>
            <w:rFonts w:ascii="Arial" w:cs="Arial" w:eastAsia="Arial" w:hAnsi="Arial"/>
            <w:sz w:val="15"/>
            <w:szCs w:val="15"/>
            <w:color w:val="auto"/>
          </w:rPr>
          <w:t>https://</w:t>
        </w:r>
      </w:hyperlink>
      <w:r>
        <w:rPr>
          <w:rFonts w:ascii="Arial" w:cs="Arial" w:eastAsia="Arial" w:hAnsi="Arial"/>
          <w:sz w:val="15"/>
          <w:szCs w:val="15"/>
          <w:color w:val="auto"/>
        </w:rPr>
        <w:t xml:space="preserve"> </w:t>
      </w:r>
      <w:hyperlink r:id="rId75">
        <w:r>
          <w:rPr>
            <w:rFonts w:ascii="Arial" w:cs="Arial" w:eastAsia="Arial" w:hAnsi="Arial"/>
            <w:sz w:val="15"/>
            <w:szCs w:val="15"/>
            <w:color w:val="auto"/>
          </w:rPr>
          <w:t>doi.org/10.1890/070156</w:t>
        </w:r>
      </w:hyperlink>
    </w:p>
    <w:p>
      <w:pPr>
        <w:spacing w:after="0" w:line="12" w:lineRule="exact"/>
        <w:rPr>
          <w:sz w:val="20"/>
          <w:szCs w:val="20"/>
          <w:color w:val="auto"/>
        </w:rPr>
      </w:pPr>
    </w:p>
    <w:p>
      <w:pPr>
        <w:jc w:val="both"/>
        <w:ind w:left="260" w:hanging="259"/>
        <w:spacing w:after="0" w:line="291" w:lineRule="auto"/>
        <w:rPr>
          <w:rFonts w:ascii="Arial" w:cs="Arial" w:eastAsia="Arial" w:hAnsi="Arial"/>
          <w:sz w:val="15"/>
          <w:szCs w:val="15"/>
          <w:color w:val="auto"/>
        </w:rPr>
      </w:pPr>
      <w:r>
        <w:rPr>
          <w:rFonts w:ascii="Arial" w:cs="Arial" w:eastAsia="Arial" w:hAnsi="Arial"/>
          <w:sz w:val="15"/>
          <w:szCs w:val="15"/>
          <w:color w:val="auto"/>
        </w:rPr>
        <w:t xml:space="preserve">Kelly, D. J., &amp; Hawes, I. (2005). Effects of invasive macrophytes on littoral-zone productivity and foodweb dynamics in a New Zealand high-country lake. Journal of the North American Benthological Society, 24(2), 300–320. </w:t>
      </w:r>
      <w:hyperlink r:id="rId76">
        <w:r>
          <w:rPr>
            <w:rFonts w:ascii="Arial" w:cs="Arial" w:eastAsia="Arial" w:hAnsi="Arial"/>
            <w:sz w:val="15"/>
            <w:szCs w:val="15"/>
            <w:color w:val="auto"/>
          </w:rPr>
          <w:t>https://doi.org/10.1899/03-097.1</w:t>
        </w:r>
      </w:hyperlink>
    </w:p>
    <w:p>
      <w:pPr>
        <w:spacing w:after="0" w:line="4" w:lineRule="exact"/>
        <w:rPr>
          <w:sz w:val="20"/>
          <w:szCs w:val="20"/>
          <w:color w:val="auto"/>
        </w:rPr>
      </w:pPr>
    </w:p>
    <w:p>
      <w:pPr>
        <w:jc w:val="center"/>
        <w:spacing w:after="0" w:line="312" w:lineRule="auto"/>
        <w:rPr>
          <w:rFonts w:ascii="Arial" w:cs="Arial" w:eastAsia="Arial" w:hAnsi="Arial"/>
          <w:sz w:val="14"/>
          <w:szCs w:val="14"/>
          <w:color w:val="auto"/>
        </w:rPr>
      </w:pPr>
      <w:r>
        <w:rPr>
          <w:rFonts w:ascii="Arial" w:cs="Arial" w:eastAsia="Arial" w:hAnsi="Arial"/>
          <w:sz w:val="14"/>
          <w:szCs w:val="14"/>
          <w:color w:val="auto"/>
        </w:rPr>
        <w:t xml:space="preserve">Koenker, R. (2019). Quantile regression in R: A vignette. Retrieved from </w:t>
      </w:r>
      <w:hyperlink r:id="rId77">
        <w:r>
          <w:rPr>
            <w:rFonts w:ascii="Arial" w:cs="Arial" w:eastAsia="Arial" w:hAnsi="Arial"/>
            <w:sz w:val="14"/>
            <w:szCs w:val="14"/>
            <w:color w:val="auto"/>
          </w:rPr>
          <w:t>https://cran.r-project.org/web/packages/quantreg/vignettes/rq.pdf</w:t>
        </w:r>
      </w:hyperlink>
      <w:r>
        <w:rPr>
          <w:rFonts w:ascii="Arial" w:cs="Arial" w:eastAsia="Arial" w:hAnsi="Arial"/>
          <w:sz w:val="14"/>
          <w:szCs w:val="14"/>
          <w:color w:val="auto"/>
        </w:rPr>
        <w:t xml:space="preserve"> Koenker, R., Portnoy, S., Ng, P. T., Zeileis, A., Grosjean, P., &amp; Ripley, B. D.</w:t>
      </w:r>
    </w:p>
    <w:p>
      <w:pPr>
        <w:ind w:left="260"/>
        <w:spacing w:after="0"/>
        <w:rPr>
          <w:sz w:val="20"/>
          <w:szCs w:val="20"/>
          <w:color w:val="auto"/>
        </w:rPr>
      </w:pPr>
      <w:r>
        <w:rPr>
          <w:rFonts w:ascii="Arial" w:cs="Arial" w:eastAsia="Arial" w:hAnsi="Arial"/>
          <w:sz w:val="15"/>
          <w:szCs w:val="15"/>
          <w:color w:val="auto"/>
        </w:rPr>
        <w:t>(2019). Package ‘quantreg’. University of College London. Retrieved</w:t>
      </w:r>
    </w:p>
    <w:p>
      <w:pPr>
        <w:spacing w:after="0" w:line="39" w:lineRule="exact"/>
        <w:rPr>
          <w:sz w:val="20"/>
          <w:szCs w:val="20"/>
          <w:color w:val="auto"/>
        </w:rPr>
      </w:pPr>
    </w:p>
    <w:p>
      <w:pPr>
        <w:ind w:left="260"/>
        <w:spacing w:after="0" w:line="280" w:lineRule="auto"/>
        <w:rPr>
          <w:rFonts w:ascii="Arial" w:cs="Arial" w:eastAsia="Arial" w:hAnsi="Arial"/>
          <w:sz w:val="15"/>
          <w:szCs w:val="15"/>
          <w:color w:val="auto"/>
        </w:rPr>
      </w:pPr>
      <w:r>
        <w:rPr>
          <w:rFonts w:ascii="Arial" w:cs="Arial" w:eastAsia="Arial" w:hAnsi="Arial"/>
          <w:sz w:val="15"/>
          <w:szCs w:val="15"/>
          <w:color w:val="auto"/>
        </w:rPr>
        <w:t xml:space="preserve">from </w:t>
      </w:r>
      <w:hyperlink r:id="rId78">
        <w:r>
          <w:rPr>
            <w:rFonts w:ascii="Arial" w:cs="Arial" w:eastAsia="Arial" w:hAnsi="Arial"/>
            <w:sz w:val="15"/>
            <w:szCs w:val="15"/>
            <w:color w:val="auto"/>
          </w:rPr>
          <w:t>ftp://ftp.ussg.iu.edu/pub/CRAN/web/packages/quantreg/</w:t>
        </w:r>
      </w:hyperlink>
      <w:r>
        <w:rPr>
          <w:rFonts w:ascii="Arial" w:cs="Arial" w:eastAsia="Arial" w:hAnsi="Arial"/>
          <w:sz w:val="15"/>
          <w:szCs w:val="15"/>
          <w:color w:val="auto"/>
        </w:rPr>
        <w:t xml:space="preserve"> </w:t>
      </w:r>
      <w:hyperlink r:id="rId78">
        <w:r>
          <w:rPr>
            <w:rFonts w:ascii="Arial" w:cs="Arial" w:eastAsia="Arial" w:hAnsi="Arial"/>
            <w:sz w:val="15"/>
            <w:szCs w:val="15"/>
            <w:color w:val="auto"/>
          </w:rPr>
          <w:t>quantreg.pdf</w:t>
        </w:r>
      </w:hyperlink>
    </w:p>
    <w:p>
      <w:pPr>
        <w:spacing w:after="0" w:line="17"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Kovalenko, K. E., &amp; Dibble, E. D. (2010). Effects of invasive macrophyte on trophic diversity and position of secondary consumers. Hydrobiologia, 663(1), 167–173. </w:t>
      </w:r>
      <w:hyperlink r:id="rId79">
        <w:r>
          <w:rPr>
            <w:rFonts w:ascii="Arial" w:cs="Arial" w:eastAsia="Arial" w:hAnsi="Arial"/>
            <w:sz w:val="14"/>
            <w:szCs w:val="14"/>
            <w:color w:val="auto"/>
          </w:rPr>
          <w:t>https://doi.org/10.1007/s10750-010-0570-7</w:t>
        </w:r>
      </w:hyperlink>
    </w:p>
    <w:p>
      <w:pPr>
        <w:spacing w:after="0" w:line="1"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Livingston, M. E., Biggs, B. J., Gifford, J. S. (1986). Inventory of New Zealand lakes. Water and Soil Miscellaneous Publication 80 &amp; 81 200 Wellington, New Zealand: National Water and Soil Conserva-tion Authority.</w:t>
      </w:r>
    </w:p>
    <w:p>
      <w:pPr>
        <w:spacing w:after="0" w:line="12" w:lineRule="exact"/>
        <w:rPr>
          <w:sz w:val="20"/>
          <w:szCs w:val="20"/>
          <w:color w:val="auto"/>
        </w:rPr>
      </w:pPr>
    </w:p>
    <w:p>
      <w:pPr>
        <w:jc w:val="both"/>
        <w:ind w:left="260" w:hanging="259"/>
        <w:spacing w:after="0" w:line="286" w:lineRule="auto"/>
        <w:rPr>
          <w:sz w:val="20"/>
          <w:szCs w:val="20"/>
          <w:color w:val="auto"/>
        </w:rPr>
      </w:pPr>
      <w:r>
        <w:rPr>
          <w:rFonts w:ascii="Arial" w:cs="Arial" w:eastAsia="Arial" w:hAnsi="Arial"/>
          <w:sz w:val="15"/>
          <w:szCs w:val="15"/>
          <w:color w:val="auto"/>
        </w:rPr>
        <w:t>Lowe, D. J., &amp; Green, J. D. (1987). Appendix B: Some morphometric parameters of named lakes with areas 1.0 km2, and some smaller lakes, in New Zealand. In A. B. Viner (Ed.), Inland waters of</w:t>
      </w:r>
    </w:p>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jc w:val="both"/>
        <w:ind w:left="260" w:right="20"/>
        <w:spacing w:after="0" w:line="287" w:lineRule="auto"/>
        <w:rPr>
          <w:sz w:val="20"/>
          <w:szCs w:val="20"/>
          <w:color w:val="auto"/>
        </w:rPr>
      </w:pPr>
      <w:r>
        <w:rPr>
          <w:rFonts w:ascii="Arial" w:cs="Arial" w:eastAsia="Arial" w:hAnsi="Arial"/>
          <w:sz w:val="15"/>
          <w:szCs w:val="15"/>
          <w:color w:val="auto"/>
        </w:rPr>
        <w:t>New Zealand. DSIR bulletin 241 (pp. 471–474). Wellington: Science Information Publishing Center, Department of Scientific and Industrial Research.</w:t>
      </w:r>
    </w:p>
    <w:p>
      <w:pPr>
        <w:spacing w:after="0" w:line="14" w:lineRule="exact"/>
        <w:rPr>
          <w:sz w:val="20"/>
          <w:szCs w:val="20"/>
          <w:color w:val="auto"/>
        </w:rPr>
      </w:pPr>
    </w:p>
    <w:p>
      <w:pPr>
        <w:jc w:val="both"/>
        <w:ind w:left="260" w:right="20" w:hanging="259"/>
        <w:spacing w:after="0" w:line="290" w:lineRule="auto"/>
        <w:rPr>
          <w:rFonts w:ascii="Arial" w:cs="Arial" w:eastAsia="Arial" w:hAnsi="Arial"/>
          <w:sz w:val="15"/>
          <w:szCs w:val="15"/>
          <w:color w:val="auto"/>
        </w:rPr>
      </w:pPr>
      <w:r>
        <w:rPr>
          <w:rFonts w:ascii="Arial" w:cs="Arial" w:eastAsia="Arial" w:hAnsi="Arial"/>
          <w:sz w:val="15"/>
          <w:szCs w:val="15"/>
          <w:color w:val="auto"/>
        </w:rPr>
        <w:t>Madsen, J.</w:t>
      </w:r>
      <w:r>
        <w:rPr>
          <w:sz w:val="20"/>
          <w:szCs w:val="20"/>
          <w:color w:val="auto"/>
        </w:rPr>
        <w:t xml:space="preserve"> </w:t>
      </w:r>
      <w:r>
        <w:rPr>
          <w:rFonts w:ascii="Arial" w:cs="Arial" w:eastAsia="Arial" w:hAnsi="Arial"/>
          <w:sz w:val="15"/>
          <w:szCs w:val="15"/>
          <w:color w:val="auto"/>
        </w:rPr>
        <w:t xml:space="preserve">D., Chambers, P. A., James, W. F., Koch, E. W., &amp; Westlake, D. F. (2001). The interaction between water movement, sediment dynamics and submersed macrophytes. Hydrobiologia, 444 (1–3), 71–84. </w:t>
      </w:r>
      <w:hyperlink r:id="rId80">
        <w:r>
          <w:rPr>
            <w:rFonts w:ascii="Arial" w:cs="Arial" w:eastAsia="Arial" w:hAnsi="Arial"/>
            <w:sz w:val="15"/>
            <w:szCs w:val="15"/>
            <w:color w:val="auto"/>
          </w:rPr>
          <w:t>https://doi.org/10.1023/A:1017520800568</w:t>
        </w:r>
      </w:hyperlink>
    </w:p>
    <w:p>
      <w:pPr>
        <w:spacing w:after="0" w:line="5" w:lineRule="exact"/>
        <w:rPr>
          <w:sz w:val="20"/>
          <w:szCs w:val="20"/>
          <w:color w:val="auto"/>
        </w:rPr>
      </w:pPr>
    </w:p>
    <w:p>
      <w:pPr>
        <w:jc w:val="both"/>
        <w:ind w:left="260" w:right="20" w:hanging="259"/>
        <w:spacing w:after="0" w:line="291" w:lineRule="auto"/>
        <w:rPr>
          <w:rFonts w:ascii="Arial" w:cs="Arial" w:eastAsia="Arial" w:hAnsi="Arial"/>
          <w:sz w:val="15"/>
          <w:szCs w:val="15"/>
          <w:color w:val="auto"/>
        </w:rPr>
      </w:pPr>
      <w:r>
        <w:rPr>
          <w:rFonts w:ascii="Arial" w:cs="Arial" w:eastAsia="Arial" w:hAnsi="Arial"/>
          <w:sz w:val="15"/>
          <w:szCs w:val="15"/>
          <w:color w:val="auto"/>
        </w:rPr>
        <w:t xml:space="preserve">Martinsen, K. T., Andersen, M. R., Kragh, T., &amp; Sand-Jensen, K. (2017). High rates and close diel coupling of primary production and ecosys-tem respiration in small, oligotrophic lakes. Aquatic Sciences, 79(4), 995–1007. </w:t>
      </w:r>
      <w:hyperlink r:id="rId81">
        <w:r>
          <w:rPr>
            <w:rFonts w:ascii="Arial" w:cs="Arial" w:eastAsia="Arial" w:hAnsi="Arial"/>
            <w:sz w:val="15"/>
            <w:szCs w:val="15"/>
            <w:color w:val="auto"/>
          </w:rPr>
          <w:t>https://doi.org/10.1007/s00027-017-0550-3</w:t>
        </w:r>
      </w:hyperlink>
    </w:p>
    <w:p>
      <w:pPr>
        <w:spacing w:after="0" w:line="233" w:lineRule="auto"/>
        <w:rPr>
          <w:sz w:val="20"/>
          <w:szCs w:val="20"/>
          <w:color w:val="auto"/>
        </w:rPr>
      </w:pPr>
      <w:r>
        <w:rPr>
          <w:rFonts w:ascii="Arial" w:cs="Arial" w:eastAsia="Arial" w:hAnsi="Arial"/>
          <w:sz w:val="15"/>
          <w:szCs w:val="15"/>
          <w:color w:val="auto"/>
        </w:rPr>
        <w:t>McCarter, N. H., de Winton, M., Clayton, J. S., Wells, R., &amp; Tanner, C.</w:t>
      </w:r>
    </w:p>
    <w:p>
      <w:pPr>
        <w:spacing w:after="0" w:line="38" w:lineRule="exact"/>
        <w:rPr>
          <w:sz w:val="20"/>
          <w:szCs w:val="20"/>
          <w:color w:val="auto"/>
        </w:rPr>
      </w:pPr>
    </w:p>
    <w:p>
      <w:pPr>
        <w:ind w:left="260"/>
        <w:spacing w:after="0"/>
        <w:rPr>
          <w:sz w:val="20"/>
          <w:szCs w:val="20"/>
          <w:color w:val="auto"/>
        </w:rPr>
      </w:pPr>
      <w:r>
        <w:rPr>
          <w:rFonts w:ascii="Arial" w:cs="Arial" w:eastAsia="Arial" w:hAnsi="Arial"/>
          <w:sz w:val="15"/>
          <w:szCs w:val="15"/>
          <w:color w:val="auto"/>
        </w:rPr>
        <w:t>(1993). Grass carp in Lake Karapiro: Options for plant management.</w:t>
      </w:r>
    </w:p>
    <w:p>
      <w:pPr>
        <w:spacing w:after="0" w:line="38" w:lineRule="exact"/>
        <w:rPr>
          <w:sz w:val="20"/>
          <w:szCs w:val="20"/>
          <w:color w:val="auto"/>
        </w:rPr>
      </w:pPr>
    </w:p>
    <w:p>
      <w:pPr>
        <w:ind w:left="260"/>
        <w:spacing w:after="0"/>
        <w:rPr>
          <w:sz w:val="20"/>
          <w:szCs w:val="20"/>
          <w:color w:val="auto"/>
        </w:rPr>
      </w:pPr>
      <w:r>
        <w:rPr>
          <w:rFonts w:ascii="Arial" w:cs="Arial" w:eastAsia="Arial" w:hAnsi="Arial"/>
          <w:sz w:val="15"/>
          <w:szCs w:val="15"/>
          <w:color w:val="auto"/>
        </w:rPr>
        <w:t>National Institute of Water and Atmospheric Research Client Report.</w:t>
      </w:r>
    </w:p>
    <w:p>
      <w:pPr>
        <w:spacing w:after="0" w:line="45" w:lineRule="exact"/>
        <w:rPr>
          <w:sz w:val="20"/>
          <w:szCs w:val="20"/>
          <w:color w:val="auto"/>
        </w:rPr>
      </w:pPr>
    </w:p>
    <w:p>
      <w:pPr>
        <w:jc w:val="both"/>
        <w:ind w:left="260" w:right="2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Moore, T. P., Collier, K. J., &amp; Duggan, I. C. (2019). Interactions between Unionida and non-native species: A global meta-analysis. Aquatic Con-servation: Marine and Freshwater Ecosystems, 29, 1–14. </w:t>
      </w:r>
      <w:hyperlink r:id="rId82">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82">
        <w:r>
          <w:rPr>
            <w:rFonts w:ascii="Arial" w:cs="Arial" w:eastAsia="Arial" w:hAnsi="Arial"/>
            <w:sz w:val="15"/>
            <w:szCs w:val="15"/>
            <w:color w:val="auto"/>
          </w:rPr>
          <w:t>org/10.1002/aqc.3040</w:t>
        </w:r>
      </w:hyperlink>
    </w:p>
    <w:p>
      <w:pPr>
        <w:spacing w:after="0" w:line="12" w:lineRule="exact"/>
        <w:rPr>
          <w:sz w:val="20"/>
          <w:szCs w:val="20"/>
          <w:color w:val="auto"/>
        </w:rPr>
      </w:pPr>
    </w:p>
    <w:p>
      <w:pPr>
        <w:jc w:val="both"/>
        <w:ind w:left="260" w:right="20" w:hanging="259"/>
        <w:spacing w:after="0" w:line="291" w:lineRule="auto"/>
        <w:rPr>
          <w:rFonts w:ascii="Arial" w:cs="Arial" w:eastAsia="Arial" w:hAnsi="Arial"/>
          <w:sz w:val="15"/>
          <w:szCs w:val="15"/>
          <w:color w:val="auto"/>
        </w:rPr>
      </w:pPr>
      <w:r>
        <w:rPr>
          <w:rFonts w:ascii="Arial" w:cs="Arial" w:eastAsia="Arial" w:hAnsi="Arial"/>
          <w:sz w:val="15"/>
          <w:szCs w:val="15"/>
          <w:color w:val="auto"/>
        </w:rPr>
        <w:t xml:space="preserve">Oksanen, J. (2015). Multivariate analysis of ecological communities in R: Vegan tutorial. Finland: University Oulu Retrieved from </w:t>
      </w:r>
      <w:hyperlink r:id="rId83">
        <w:r>
          <w:rPr>
            <w:rFonts w:ascii="Arial" w:cs="Arial" w:eastAsia="Arial" w:hAnsi="Arial"/>
            <w:sz w:val="15"/>
            <w:szCs w:val="15"/>
            <w:color w:val="auto"/>
          </w:rPr>
          <w:t>http://cc.oulu.</w:t>
        </w:r>
      </w:hyperlink>
      <w:r>
        <w:rPr>
          <w:rFonts w:ascii="Arial" w:cs="Arial" w:eastAsia="Arial" w:hAnsi="Arial"/>
          <w:sz w:val="15"/>
          <w:szCs w:val="15"/>
          <w:color w:val="auto"/>
        </w:rPr>
        <w:t xml:space="preserve"> </w:t>
      </w:r>
      <w:hyperlink r:id="rId83">
        <w:r>
          <w:rPr>
            <w:rFonts w:ascii="Arial" w:cs="Arial" w:eastAsia="Arial" w:hAnsi="Arial"/>
            <w:sz w:val="15"/>
            <w:szCs w:val="15"/>
            <w:color w:val="auto"/>
          </w:rPr>
          <w:t>fi/˜jarioksa/opetus/metodi/vegantutor.pdf</w:t>
        </w:r>
      </w:hyperlink>
    </w:p>
    <w:p>
      <w:pPr>
        <w:spacing w:after="0" w:line="2" w:lineRule="exact"/>
        <w:rPr>
          <w:sz w:val="20"/>
          <w:szCs w:val="20"/>
          <w:color w:val="auto"/>
        </w:rPr>
      </w:pPr>
    </w:p>
    <w:p>
      <w:pPr>
        <w:jc w:val="both"/>
        <w:ind w:left="260" w:right="20" w:hanging="259"/>
        <w:spacing w:after="0" w:line="291" w:lineRule="auto"/>
        <w:rPr>
          <w:sz w:val="20"/>
          <w:szCs w:val="20"/>
          <w:color w:val="auto"/>
        </w:rPr>
      </w:pPr>
      <w:r>
        <w:rPr>
          <w:rFonts w:ascii="Arial" w:cs="Arial" w:eastAsia="Arial" w:hAnsi="Arial"/>
          <w:sz w:val="15"/>
          <w:szCs w:val="15"/>
          <w:color w:val="auto"/>
        </w:rPr>
        <w:t>Parsons, J. K., Hamel, K., &amp; Wierenga, R. (2007). The impact of diquat on macrophytes and water quality in Battle Ground Lake, Washington. Journal of Aquatic Plant Management, 45, 35–39.</w:t>
      </w:r>
    </w:p>
    <w:p>
      <w:pPr>
        <w:spacing w:after="0" w:line="3" w:lineRule="exact"/>
        <w:rPr>
          <w:sz w:val="20"/>
          <w:szCs w:val="20"/>
          <w:color w:val="auto"/>
        </w:rPr>
      </w:pPr>
    </w:p>
    <w:p>
      <w:pPr>
        <w:jc w:val="both"/>
        <w:ind w:left="260" w:right="2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Parveen, M., Asaeda, T., &amp; Rashid, M. H. (2017). Biochemical adaptations of four submerged macrophytes under combined exposure to hypoxia and hydrogen sulphide. PLoS One, 12(8), e0182691. </w:t>
      </w:r>
      <w:hyperlink r:id="rId84">
        <w:r>
          <w:rPr>
            <w:rFonts w:ascii="Arial" w:cs="Arial" w:eastAsia="Arial" w:hAnsi="Arial"/>
            <w:sz w:val="15"/>
            <w:szCs w:val="15"/>
            <w:color w:val="auto"/>
          </w:rPr>
          <w:t>https://doi.org/</w:t>
        </w:r>
      </w:hyperlink>
      <w:r>
        <w:rPr>
          <w:rFonts w:ascii="Arial" w:cs="Arial" w:eastAsia="Arial" w:hAnsi="Arial"/>
          <w:sz w:val="15"/>
          <w:szCs w:val="15"/>
          <w:color w:val="auto"/>
        </w:rPr>
        <w:t xml:space="preserve"> </w:t>
      </w:r>
      <w:hyperlink r:id="rId84">
        <w:r>
          <w:rPr>
            <w:rFonts w:ascii="Arial" w:cs="Arial" w:eastAsia="Arial" w:hAnsi="Arial"/>
            <w:sz w:val="15"/>
            <w:szCs w:val="15"/>
            <w:color w:val="auto"/>
          </w:rPr>
          <w:t>10.1371/journal.pone.0182691</w:t>
        </w:r>
      </w:hyperlink>
    </w:p>
    <w:p>
      <w:pPr>
        <w:spacing w:after="0" w:line="12" w:lineRule="exact"/>
        <w:rPr>
          <w:sz w:val="20"/>
          <w:szCs w:val="20"/>
          <w:color w:val="auto"/>
        </w:rPr>
      </w:pPr>
    </w:p>
    <w:p>
      <w:pPr>
        <w:jc w:val="both"/>
        <w:ind w:left="260" w:right="2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Parzen, M., Wei, L., &amp; Ying, Z. (1994). A resampling method based on piv-otal estimating functions. Biometrika, 81(2), 341–350. </w:t>
      </w:r>
      <w:hyperlink r:id="rId85">
        <w:r>
          <w:rPr>
            <w:rFonts w:ascii="Arial" w:cs="Arial" w:eastAsia="Arial" w:hAnsi="Arial"/>
            <w:sz w:val="15"/>
            <w:szCs w:val="15"/>
            <w:color w:val="auto"/>
          </w:rPr>
          <w:t>https://doi.org/</w:t>
        </w:r>
      </w:hyperlink>
      <w:r>
        <w:rPr>
          <w:rFonts w:ascii="Arial" w:cs="Arial" w:eastAsia="Arial" w:hAnsi="Arial"/>
          <w:sz w:val="15"/>
          <w:szCs w:val="15"/>
          <w:color w:val="auto"/>
        </w:rPr>
        <w:t xml:space="preserve"> </w:t>
      </w:r>
      <w:hyperlink r:id="rId85">
        <w:r>
          <w:rPr>
            <w:rFonts w:ascii="Arial" w:cs="Arial" w:eastAsia="Arial" w:hAnsi="Arial"/>
            <w:sz w:val="15"/>
            <w:szCs w:val="15"/>
            <w:color w:val="auto"/>
          </w:rPr>
          <w:t>10.2307/2336964</w:t>
        </w:r>
      </w:hyperlink>
    </w:p>
    <w:p>
      <w:pPr>
        <w:spacing w:after="0" w:line="13" w:lineRule="exact"/>
        <w:rPr>
          <w:sz w:val="20"/>
          <w:szCs w:val="20"/>
          <w:color w:val="auto"/>
        </w:rPr>
      </w:pPr>
    </w:p>
    <w:p>
      <w:pPr>
        <w:spacing w:after="0"/>
        <w:rPr>
          <w:sz w:val="20"/>
          <w:szCs w:val="20"/>
          <w:color w:val="auto"/>
        </w:rPr>
      </w:pPr>
      <w:r>
        <w:rPr>
          <w:rFonts w:ascii="Arial" w:cs="Arial" w:eastAsia="Arial" w:hAnsi="Arial"/>
          <w:sz w:val="14"/>
          <w:szCs w:val="14"/>
          <w:color w:val="auto"/>
        </w:rPr>
        <w:t>R Core Team. (2019). R: A language and environment for statistical comput-</w:t>
      </w:r>
    </w:p>
    <w:p>
      <w:pPr>
        <w:spacing w:after="0" w:line="42" w:lineRule="exact"/>
        <w:rPr>
          <w:sz w:val="20"/>
          <w:szCs w:val="20"/>
          <w:color w:val="auto"/>
        </w:rPr>
      </w:pPr>
    </w:p>
    <w:p>
      <w:pPr>
        <w:ind w:left="260"/>
        <w:spacing w:after="0"/>
        <w:rPr>
          <w:sz w:val="20"/>
          <w:szCs w:val="20"/>
          <w:color w:val="auto"/>
        </w:rPr>
      </w:pPr>
      <w:r>
        <w:rPr>
          <w:rFonts w:ascii="Arial" w:cs="Arial" w:eastAsia="Arial" w:hAnsi="Arial"/>
          <w:sz w:val="15"/>
          <w:szCs w:val="15"/>
          <w:color w:val="auto"/>
        </w:rPr>
        <w:t>ing. Vienna: R Foundation for Statistical Computing.</w:t>
      </w:r>
    </w:p>
    <w:p>
      <w:pPr>
        <w:spacing w:after="0" w:line="45" w:lineRule="exact"/>
        <w:rPr>
          <w:sz w:val="20"/>
          <w:szCs w:val="20"/>
          <w:color w:val="auto"/>
        </w:rPr>
      </w:pPr>
    </w:p>
    <w:p>
      <w:pPr>
        <w:jc w:val="both"/>
        <w:ind w:left="260" w:right="2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Ramus, A. P., Silliman, B. R., Thomsen, M. S., &amp; Long, Z. T. (2017). An inva-sive foundation species enhances multifunctionality in a coastal eco-system. Proceedings of the National Academy of Sciences of the United States of America, 114(32), 8580–8585. </w:t>
      </w:r>
      <w:hyperlink r:id="rId86">
        <w:r>
          <w:rPr>
            <w:rFonts w:ascii="Arial" w:cs="Arial" w:eastAsia="Arial" w:hAnsi="Arial"/>
            <w:sz w:val="15"/>
            <w:szCs w:val="15"/>
            <w:color w:val="auto"/>
          </w:rPr>
          <w:t>https://doi.org/10.1073/pnas.</w:t>
        </w:r>
      </w:hyperlink>
      <w:r>
        <w:rPr>
          <w:rFonts w:ascii="Arial" w:cs="Arial" w:eastAsia="Arial" w:hAnsi="Arial"/>
          <w:sz w:val="15"/>
          <w:szCs w:val="15"/>
          <w:color w:val="auto"/>
        </w:rPr>
        <w:t xml:space="preserve"> </w:t>
      </w:r>
      <w:hyperlink r:id="rId86">
        <w:r>
          <w:rPr>
            <w:rFonts w:ascii="Arial" w:cs="Arial" w:eastAsia="Arial" w:hAnsi="Arial"/>
            <w:sz w:val="15"/>
            <w:szCs w:val="15"/>
            <w:color w:val="auto"/>
          </w:rPr>
          <w:t>1700353114</w:t>
        </w:r>
      </w:hyperlink>
    </w:p>
    <w:p>
      <w:pPr>
        <w:spacing w:after="0" w:line="11" w:lineRule="exact"/>
        <w:rPr>
          <w:sz w:val="20"/>
          <w:szCs w:val="20"/>
          <w:color w:val="auto"/>
        </w:rPr>
      </w:pPr>
    </w:p>
    <w:p>
      <w:pPr>
        <w:spacing w:after="0"/>
        <w:rPr>
          <w:sz w:val="20"/>
          <w:szCs w:val="20"/>
          <w:color w:val="auto"/>
        </w:rPr>
      </w:pPr>
      <w:r>
        <w:rPr>
          <w:rFonts w:ascii="Arial" w:cs="Arial" w:eastAsia="Arial" w:hAnsi="Arial"/>
          <w:sz w:val="14"/>
          <w:szCs w:val="14"/>
          <w:color w:val="auto"/>
        </w:rPr>
        <w:t>Ribaudo, C., Tison-Rosebery, J., Buquet, D., Jan, G., Jamoneau, A., Abril, G.,</w:t>
      </w:r>
    </w:p>
    <w:p>
      <w:pPr>
        <w:spacing w:after="0" w:line="49" w:lineRule="exact"/>
        <w:rPr>
          <w:sz w:val="20"/>
          <w:szCs w:val="20"/>
          <w:color w:val="auto"/>
        </w:rPr>
      </w:pPr>
    </w:p>
    <w:p>
      <w:pPr>
        <w:jc w:val="both"/>
        <w:ind w:left="260" w:right="20" w:hanging="6"/>
        <w:spacing w:after="0" w:line="286" w:lineRule="auto"/>
        <w:tabs>
          <w:tab w:leader="none" w:pos="416"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Bertrin, V. (2018). Invasive aquatic plants as ecosystem engineers in an Oligo-Mesotrophic shallow lake. Frontiers in Plant Science, 9(1781). </w:t>
      </w:r>
      <w:hyperlink r:id="rId87">
        <w:r>
          <w:rPr>
            <w:rFonts w:ascii="Arial" w:cs="Arial" w:eastAsia="Arial" w:hAnsi="Arial"/>
            <w:sz w:val="15"/>
            <w:szCs w:val="15"/>
            <w:color w:val="auto"/>
          </w:rPr>
          <w:t>https://doi.org/10.3389/fpls.2018.01781</w:t>
        </w:r>
      </w:hyperlink>
    </w:p>
    <w:p>
      <w:pPr>
        <w:spacing w:after="0" w:line="14" w:lineRule="exact"/>
        <w:rPr>
          <w:sz w:val="20"/>
          <w:szCs w:val="20"/>
          <w:color w:val="auto"/>
        </w:rPr>
      </w:pPr>
    </w:p>
    <w:p>
      <w:pPr>
        <w:jc w:val="both"/>
        <w:ind w:left="260" w:right="2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Robinson, B. H., Brooks, R. R., Outred, H. A., &amp; Kirkman, J. H. (1994). Mer-cury and arsenic in trout from the taupo volcanic zone and Waikato River, North Island, New Zealand. Chemical Speciation and Bioavailabil-ity, 7, 27–32. </w:t>
      </w:r>
      <w:hyperlink r:id="rId88">
        <w:r>
          <w:rPr>
            <w:rFonts w:ascii="Arial" w:cs="Arial" w:eastAsia="Arial" w:hAnsi="Arial"/>
            <w:sz w:val="14"/>
            <w:szCs w:val="14"/>
            <w:color w:val="auto"/>
          </w:rPr>
          <w:t>https://doi.org/10.1080/09542299.1995.11083237</w:t>
        </w:r>
      </w:hyperlink>
    </w:p>
    <w:p>
      <w:pPr>
        <w:jc w:val="both"/>
        <w:ind w:left="260" w:right="20" w:hanging="259"/>
        <w:spacing w:after="0" w:line="290" w:lineRule="auto"/>
        <w:rPr>
          <w:sz w:val="20"/>
          <w:szCs w:val="20"/>
          <w:color w:val="auto"/>
        </w:rPr>
      </w:pPr>
      <w:r>
        <w:rPr>
          <w:rFonts w:ascii="Arial" w:cs="Arial" w:eastAsia="Arial" w:hAnsi="Arial"/>
          <w:sz w:val="15"/>
          <w:szCs w:val="15"/>
          <w:color w:val="auto"/>
        </w:rPr>
        <w:t>Roper, D. S., &amp; Hickey, C. W. (1994). Population structure, shell morphol-ogy, age and condition of the freshwater mussel Hyridella menziesi (Unionacea: Hyriidae) from seven lake and river sites in the Waikato River system. Hydrobiologia, 284(3), 205–217.</w:t>
      </w:r>
    </w:p>
    <w:p>
      <w:pPr>
        <w:spacing w:after="0" w:line="5" w:lineRule="exact"/>
        <w:rPr>
          <w:sz w:val="20"/>
          <w:szCs w:val="20"/>
          <w:color w:val="auto"/>
        </w:rPr>
      </w:pPr>
    </w:p>
    <w:p>
      <w:pPr>
        <w:jc w:val="both"/>
        <w:ind w:left="260" w:right="20" w:hanging="259"/>
        <w:spacing w:after="0" w:line="288" w:lineRule="auto"/>
        <w:rPr>
          <w:sz w:val="20"/>
          <w:szCs w:val="20"/>
          <w:color w:val="auto"/>
        </w:rPr>
      </w:pPr>
      <w:r>
        <w:rPr>
          <w:rFonts w:ascii="Arial" w:cs="Arial" w:eastAsia="Arial" w:hAnsi="Arial"/>
          <w:sz w:val="15"/>
          <w:szCs w:val="15"/>
          <w:color w:val="auto"/>
        </w:rPr>
        <w:t>Schwarz, A.-M., Wells, R., &amp; Clayton, J. S. (1999). An overview of aquatic weeds in Lake Taupo and the Waikato River. National Institute of Water and Atmospheric Research Client Report CHC98/OA (ELE80520), 35.</w:t>
      </w:r>
    </w:p>
    <w:p>
      <w:pPr>
        <w:spacing w:after="0" w:line="12" w:lineRule="exact"/>
        <w:rPr>
          <w:sz w:val="20"/>
          <w:szCs w:val="20"/>
          <w:color w:val="auto"/>
        </w:rPr>
      </w:pPr>
    </w:p>
    <w:p>
      <w:pPr>
        <w:jc w:val="right"/>
        <w:ind w:right="20"/>
        <w:spacing w:after="0" w:line="291" w:lineRule="auto"/>
        <w:rPr>
          <w:rFonts w:ascii="Arial" w:cs="Arial" w:eastAsia="Arial" w:hAnsi="Arial"/>
          <w:sz w:val="15"/>
          <w:szCs w:val="15"/>
          <w:color w:val="auto"/>
        </w:rPr>
      </w:pPr>
      <w:r>
        <w:rPr>
          <w:rFonts w:ascii="Arial" w:cs="Arial" w:eastAsia="Arial" w:hAnsi="Arial"/>
          <w:sz w:val="15"/>
          <w:szCs w:val="15"/>
          <w:color w:val="auto"/>
        </w:rPr>
        <w:t xml:space="preserve">Sergeant, C., Starkey, E., Bartz, K., Wilson, M., &amp; Mueter, F. (2016). A prac-titioner's guide for exploring water quality patterns using principal components analysis and Procrustes. Environmental Monitoring and Assessment, 188(4), 249. </w:t>
      </w:r>
      <w:hyperlink r:id="rId89">
        <w:r>
          <w:rPr>
            <w:rFonts w:ascii="Arial" w:cs="Arial" w:eastAsia="Arial" w:hAnsi="Arial"/>
            <w:sz w:val="15"/>
            <w:szCs w:val="15"/>
            <w:color w:val="auto"/>
          </w:rPr>
          <w:t>https://doi.org/10.1007/s10661-016-5253-z</w:t>
        </w:r>
      </w:hyperlink>
      <w:r>
        <w:rPr>
          <w:rFonts w:ascii="Arial" w:cs="Arial" w:eastAsia="Arial" w:hAnsi="Arial"/>
          <w:sz w:val="15"/>
          <w:szCs w:val="15"/>
          <w:color w:val="auto"/>
        </w:rPr>
        <w:t xml:space="preserve"> Shivers, S. D., Golladay, S. W., Waters, M. N., Wilde, S. B., &amp; Covich, A. P. (2018). Rivers to reservoirs: Hydrological drivers control reservoir function by affecting the abundance of submerged and floating macro-phytes.  Hydrobiologia,  815(1),  21–35.  </w:t>
      </w:r>
      <w:hyperlink r:id="rId90">
        <w:r>
          <w:rPr>
            <w:rFonts w:ascii="Arial" w:cs="Arial" w:eastAsia="Arial" w:hAnsi="Arial"/>
            <w:sz w:val="15"/>
            <w:szCs w:val="15"/>
            <w:color w:val="auto"/>
          </w:rPr>
          <w:t>https://doi.org/10.1007/</w:t>
        </w:r>
      </w:hyperlink>
    </w:p>
    <w:p>
      <w:pPr>
        <w:ind w:left="260"/>
        <w:spacing w:after="0"/>
        <w:rPr>
          <w:rFonts w:ascii="Arial" w:cs="Arial" w:eastAsia="Arial" w:hAnsi="Arial"/>
          <w:sz w:val="15"/>
          <w:szCs w:val="15"/>
          <w:color w:val="auto"/>
        </w:rPr>
      </w:pPr>
      <w:hyperlink r:id="rId90">
        <w:r>
          <w:rPr>
            <w:rFonts w:ascii="Arial" w:cs="Arial" w:eastAsia="Arial" w:hAnsi="Arial"/>
            <w:sz w:val="15"/>
            <w:szCs w:val="15"/>
            <w:color w:val="auto"/>
          </w:rPr>
          <w:t>s10750-018-3532-0</w:t>
        </w:r>
      </w:hyperlink>
    </w:p>
    <w:p>
      <w:pPr>
        <w:spacing w:after="0" w:line="45" w:lineRule="exact"/>
        <w:rPr>
          <w:sz w:val="20"/>
          <w:szCs w:val="20"/>
          <w:color w:val="auto"/>
        </w:rPr>
      </w:pPr>
    </w:p>
    <w:p>
      <w:pPr>
        <w:jc w:val="both"/>
        <w:ind w:left="260" w:right="20" w:hanging="259"/>
        <w:spacing w:after="0" w:line="317" w:lineRule="auto"/>
        <w:rPr>
          <w:sz w:val="20"/>
          <w:szCs w:val="20"/>
          <w:color w:val="auto"/>
        </w:rPr>
      </w:pPr>
      <w:r>
        <w:rPr>
          <w:rFonts w:ascii="Arial" w:cs="Arial" w:eastAsia="Arial" w:hAnsi="Arial"/>
          <w:sz w:val="14"/>
          <w:szCs w:val="14"/>
          <w:color w:val="auto"/>
        </w:rPr>
        <w:t>Thomaz, S. M., Mormul, R. P., &amp; Michelan, T. S. (2014). Propagule pressure, invasibility of freshwater ecosystems by macrophytes and their</w:t>
      </w:r>
    </w:p>
    <w:p>
      <w:pPr>
        <w:sectPr>
          <w:pgSz w:w="11900" w:h="15647" w:orient="portrait"/>
          <w:cols w:equalWidth="0" w:num="2">
            <w:col w:w="4860" w:space="380"/>
            <w:col w:w="4860"/>
          </w:cols>
          <w:pgMar w:left="920" w:top="415" w:right="886" w:bottom="396"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MOORE </w:t>
            </w:r>
            <w:r>
              <w:rPr>
                <w:rFonts w:ascii="Arial" w:cs="Arial" w:eastAsia="Arial" w:hAnsi="Arial"/>
                <w:sz w:val="9"/>
                <w:szCs w:val="9"/>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13</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-33655</wp:posOffset>
                </wp:positionV>
                <wp:extent cx="1206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499pt" to="0.25pt,-2.6499pt" o:allowincell="f" strokecolor="#000000" strokeweight="0.4535pt"/>
            </w:pict>
          </mc:Fallback>
        </mc:AlternateContent>
        <w:drawing>
          <wp:anchor simplePos="0" relativeHeight="251657728" behindDoc="1" locked="0" layoutInCell="0" allowOverlap="1">
            <wp:simplePos x="0" y="0"/>
            <wp:positionH relativeFrom="column">
              <wp:posOffset>5316220</wp:posOffset>
            </wp:positionH>
            <wp:positionV relativeFrom="paragraph">
              <wp:posOffset>-142875</wp:posOffset>
            </wp:positionV>
            <wp:extent cx="687705" cy="14351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080"/>
          </w:cols>
          <w:pgMar w:left="900" w:top="415" w:right="926" w:bottom="1440" w:gutter="0" w:footer="0" w:header="0"/>
        </w:sectPr>
      </w:pPr>
    </w:p>
    <w:p>
      <w:pPr>
        <w:spacing w:after="0" w:line="308" w:lineRule="exact"/>
        <w:rPr>
          <w:sz w:val="20"/>
          <w:szCs w:val="20"/>
          <w:color w:val="auto"/>
        </w:rPr>
      </w:pPr>
    </w:p>
    <w:p>
      <w:pPr>
        <w:jc w:val="both"/>
        <w:ind w:left="260"/>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ecological impacts: A review of tropical freshwater ecosystems. Hydrobiologia, 746(1), 39–59. </w:t>
      </w:r>
      <w:hyperlink r:id="rId92">
        <w:r>
          <w:rPr>
            <w:rFonts w:ascii="Arial" w:cs="Arial" w:eastAsia="Arial" w:hAnsi="Arial"/>
            <w:sz w:val="15"/>
            <w:szCs w:val="15"/>
            <w:color w:val="auto"/>
          </w:rPr>
          <w:t>https://doi.org/10.1007/s10750-014-</w:t>
        </w:r>
      </w:hyperlink>
      <w:hyperlink r:id="rId92">
        <w:r>
          <w:rPr>
            <w:rFonts w:ascii="Arial" w:cs="Arial" w:eastAsia="Arial" w:hAnsi="Arial"/>
            <w:sz w:val="15"/>
            <w:szCs w:val="15"/>
            <w:color w:val="auto"/>
          </w:rPr>
          <w:t>2044-9</w:t>
        </w:r>
      </w:hyperlink>
    </w:p>
    <w:p>
      <w:pPr>
        <w:spacing w:after="0" w:line="14" w:lineRule="exact"/>
        <w:rPr>
          <w:sz w:val="20"/>
          <w:szCs w:val="20"/>
          <w:color w:val="auto"/>
        </w:rPr>
      </w:pPr>
    </w:p>
    <w:p>
      <w:pPr>
        <w:jc w:val="both"/>
        <w:ind w:left="260" w:hanging="259"/>
        <w:spacing w:after="0" w:line="286" w:lineRule="auto"/>
        <w:rPr>
          <w:sz w:val="20"/>
          <w:szCs w:val="20"/>
          <w:color w:val="auto"/>
        </w:rPr>
      </w:pPr>
      <w:r>
        <w:rPr>
          <w:rFonts w:ascii="Arial" w:cs="Arial" w:eastAsia="Arial" w:hAnsi="Arial"/>
          <w:sz w:val="15"/>
          <w:szCs w:val="15"/>
          <w:color w:val="auto"/>
        </w:rPr>
        <w:t>Torma, P., &amp; Wu, C. (2019). Temperature and circulation dynamics in a small and shallow lake: Effects of weak stratification and littoral sub-merged macrophytes. Water, 11(1), 128.</w:t>
      </w:r>
    </w:p>
    <w:p>
      <w:pPr>
        <w:spacing w:after="0" w:line="13" w:lineRule="exact"/>
        <w:rPr>
          <w:sz w:val="20"/>
          <w:szCs w:val="20"/>
          <w:color w:val="auto"/>
        </w:rPr>
      </w:pPr>
    </w:p>
    <w:p>
      <w:pPr>
        <w:jc w:val="both"/>
        <w:ind w:left="260"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Vaughn, C. C. (2018). Ecosystem services provided by freshwater mussels. Hydrobiologia, 810(1), 15–27. </w:t>
      </w:r>
      <w:hyperlink r:id="rId93">
        <w:r>
          <w:rPr>
            <w:rFonts w:ascii="Arial" w:cs="Arial" w:eastAsia="Arial" w:hAnsi="Arial"/>
            <w:sz w:val="15"/>
            <w:szCs w:val="15"/>
            <w:color w:val="auto"/>
          </w:rPr>
          <w:t>https://doi.org/10.1007/s10750-017-</w:t>
        </w:r>
      </w:hyperlink>
      <w:hyperlink r:id="rId93">
        <w:r>
          <w:rPr>
            <w:rFonts w:ascii="Arial" w:cs="Arial" w:eastAsia="Arial" w:hAnsi="Arial"/>
            <w:sz w:val="15"/>
            <w:szCs w:val="15"/>
            <w:color w:val="auto"/>
          </w:rPr>
          <w:t>3139-x</w:t>
        </w:r>
      </w:hyperlink>
    </w:p>
    <w:p>
      <w:pPr>
        <w:spacing w:after="0" w:line="12" w:lineRule="exact"/>
        <w:rPr>
          <w:sz w:val="20"/>
          <w:szCs w:val="20"/>
          <w:color w:val="auto"/>
        </w:rPr>
      </w:pPr>
    </w:p>
    <w:p>
      <w:pPr>
        <w:jc w:val="both"/>
        <w:ind w:left="260" w:hanging="259"/>
        <w:spacing w:after="0" w:line="289" w:lineRule="auto"/>
        <w:rPr>
          <w:sz w:val="20"/>
          <w:szCs w:val="20"/>
          <w:color w:val="auto"/>
        </w:rPr>
      </w:pPr>
      <w:r>
        <w:rPr>
          <w:rFonts w:ascii="Arial" w:cs="Arial" w:eastAsia="Arial" w:hAnsi="Arial"/>
          <w:sz w:val="15"/>
          <w:szCs w:val="15"/>
          <w:color w:val="auto"/>
        </w:rPr>
        <w:t>Vilas, M. P., Marti, C. L., Adams, M. P., Oldham, C. E., &amp; Hipsey, M. R. (2017). Invasive macrophytes control the spatial and temporal patterns of temperature and dissolved oxygen in a shallow lake: A proposed feedback mechanism of macrophyte loss. Frontiers in Plant Science, 8, 2097.</w:t>
      </w:r>
    </w:p>
    <w:p>
      <w:pPr>
        <w:spacing w:after="0" w:line="11" w:lineRule="exact"/>
        <w:rPr>
          <w:sz w:val="20"/>
          <w:szCs w:val="20"/>
          <w:color w:val="auto"/>
        </w:rPr>
      </w:pPr>
    </w:p>
    <w:p>
      <w:pPr>
        <w:jc w:val="both"/>
        <w:ind w:left="260" w:right="2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Villamagna, A., &amp; Murphy, B. (2010). Ecological and socio-economic impacts of invasive water hyacinth (Eichhornia crassipes): A review. Freshwater Biology, 55(2), 282–298. </w:t>
      </w:r>
      <w:hyperlink r:id="rId94">
        <w:r>
          <w:rPr>
            <w:rFonts w:ascii="Arial" w:cs="Arial" w:eastAsia="Arial" w:hAnsi="Arial"/>
            <w:sz w:val="15"/>
            <w:szCs w:val="15"/>
            <w:color w:val="auto"/>
          </w:rPr>
          <w:t>https://doi.org/10.1111/j.1365-</w:t>
        </w:r>
      </w:hyperlink>
      <w:hyperlink r:id="rId94">
        <w:r>
          <w:rPr>
            <w:rFonts w:ascii="Arial" w:cs="Arial" w:eastAsia="Arial" w:hAnsi="Arial"/>
            <w:sz w:val="15"/>
            <w:szCs w:val="15"/>
            <w:color w:val="auto"/>
          </w:rPr>
          <w:t>2427.2009.02294.x</w:t>
        </w:r>
      </w:hyperlink>
    </w:p>
    <w:p>
      <w:pPr>
        <w:spacing w:after="0" w:line="12" w:lineRule="exact"/>
        <w:rPr>
          <w:sz w:val="20"/>
          <w:szCs w:val="20"/>
          <w:color w:val="auto"/>
        </w:rPr>
      </w:pPr>
    </w:p>
    <w:p>
      <w:pPr>
        <w:jc w:val="both"/>
        <w:ind w:left="260" w:hanging="259"/>
        <w:spacing w:after="0" w:line="312" w:lineRule="auto"/>
        <w:rPr>
          <w:sz w:val="20"/>
          <w:szCs w:val="20"/>
          <w:color w:val="auto"/>
        </w:rPr>
      </w:pPr>
      <w:r>
        <w:rPr>
          <w:rFonts w:ascii="Arial" w:cs="Arial" w:eastAsia="Arial" w:hAnsi="Arial"/>
          <w:sz w:val="14"/>
          <w:szCs w:val="14"/>
          <w:color w:val="auto"/>
        </w:rPr>
        <w:t>Waltham, N., &amp; Fixler, S. (2017). Aerial herbicide spray to control invasive water hyacinth (Eichhornia crassipes): Water quality concerns fronting fish occupying a tropical floodplain wetland. Tropical Conservation Sci-</w:t>
      </w:r>
    </w:p>
    <w:p>
      <w:pPr>
        <w:spacing w:after="0" w:line="1" w:lineRule="exact"/>
        <w:rPr>
          <w:sz w:val="20"/>
          <w:szCs w:val="20"/>
          <w:color w:val="auto"/>
        </w:rPr>
      </w:pPr>
    </w:p>
    <w:p>
      <w:pPr>
        <w:ind w:left="260" w:right="20"/>
        <w:spacing w:after="0" w:line="280" w:lineRule="auto"/>
        <w:rPr>
          <w:rFonts w:ascii="Arial" w:cs="Arial" w:eastAsia="Arial" w:hAnsi="Arial"/>
          <w:sz w:val="15"/>
          <w:szCs w:val="15"/>
          <w:color w:val="auto"/>
        </w:rPr>
      </w:pPr>
      <w:r>
        <w:rPr>
          <w:rFonts w:ascii="Arial" w:cs="Arial" w:eastAsia="Arial" w:hAnsi="Arial"/>
          <w:sz w:val="15"/>
          <w:szCs w:val="15"/>
          <w:color w:val="auto"/>
        </w:rPr>
        <w:t xml:space="preserve">ence, 10, 1940082917741592. </w:t>
      </w:r>
      <w:hyperlink r:id="rId95">
        <w:r>
          <w:rPr>
            <w:rFonts w:ascii="Arial" w:cs="Arial" w:eastAsia="Arial" w:hAnsi="Arial"/>
            <w:sz w:val="15"/>
            <w:szCs w:val="15"/>
            <w:color w:val="auto"/>
          </w:rPr>
          <w:t>https://doi.org/10.1177/</w:t>
        </w:r>
      </w:hyperlink>
      <w:r>
        <w:rPr>
          <w:rFonts w:ascii="Arial" w:cs="Arial" w:eastAsia="Arial" w:hAnsi="Arial"/>
          <w:sz w:val="15"/>
          <w:szCs w:val="15"/>
          <w:color w:val="auto"/>
        </w:rPr>
        <w:t xml:space="preserve"> </w:t>
      </w:r>
      <w:hyperlink r:id="rId95">
        <w:r>
          <w:rPr>
            <w:rFonts w:ascii="Arial" w:cs="Arial" w:eastAsia="Arial" w:hAnsi="Arial"/>
            <w:sz w:val="15"/>
            <w:szCs w:val="15"/>
            <w:color w:val="auto"/>
          </w:rPr>
          <w:t>1940082917741592</w:t>
        </w:r>
      </w:hyperlink>
    </w:p>
    <w:p>
      <w:pPr>
        <w:spacing w:after="0" w:line="18" w:lineRule="exact"/>
        <w:rPr>
          <w:sz w:val="20"/>
          <w:szCs w:val="20"/>
          <w:color w:val="auto"/>
        </w:rPr>
      </w:pPr>
    </w:p>
    <w:p>
      <w:pPr>
        <w:spacing w:after="0"/>
        <w:rPr>
          <w:sz w:val="20"/>
          <w:szCs w:val="20"/>
          <w:color w:val="auto"/>
        </w:rPr>
      </w:pPr>
      <w:r>
        <w:rPr>
          <w:rFonts w:ascii="Arial" w:cs="Arial" w:eastAsia="Arial" w:hAnsi="Arial"/>
          <w:sz w:val="13"/>
          <w:szCs w:val="13"/>
          <w:color w:val="auto"/>
        </w:rPr>
        <w:t>Weisberg, S. (2005). Applied linear regression (3rd ed.) Hoboken, New Jersey:</w:t>
      </w:r>
    </w:p>
    <w:p>
      <w:pPr>
        <w:spacing w:after="0" w:line="52" w:lineRule="exact"/>
        <w:rPr>
          <w:sz w:val="20"/>
          <w:szCs w:val="20"/>
          <w:color w:val="auto"/>
        </w:rPr>
      </w:pPr>
    </w:p>
    <w:p>
      <w:pPr>
        <w:ind w:left="260"/>
        <w:spacing w:after="0"/>
        <w:rPr>
          <w:sz w:val="20"/>
          <w:szCs w:val="20"/>
          <w:color w:val="auto"/>
        </w:rPr>
      </w:pPr>
      <w:r>
        <w:rPr>
          <w:rFonts w:ascii="Arial" w:cs="Arial" w:eastAsia="Arial" w:hAnsi="Arial"/>
          <w:sz w:val="15"/>
          <w:szCs w:val="15"/>
          <w:color w:val="auto"/>
        </w:rPr>
        <w:t>John Wiley &amp; Sons.</w:t>
      </w:r>
    </w:p>
    <w:p>
      <w:pPr>
        <w:spacing w:after="0" w:line="45" w:lineRule="exact"/>
        <w:rPr>
          <w:sz w:val="20"/>
          <w:szCs w:val="20"/>
          <w:color w:val="auto"/>
        </w:rPr>
      </w:pPr>
    </w:p>
    <w:p>
      <w:pPr>
        <w:spacing w:after="0"/>
        <w:rPr>
          <w:sz w:val="20"/>
          <w:szCs w:val="20"/>
          <w:color w:val="auto"/>
        </w:rPr>
      </w:pPr>
      <w:r>
        <w:rPr>
          <w:rFonts w:ascii="Arial" w:cs="Arial" w:eastAsia="Arial" w:hAnsi="Arial"/>
          <w:sz w:val="14"/>
          <w:szCs w:val="14"/>
          <w:color w:val="auto"/>
        </w:rPr>
        <w:t>Wickham, H. (2016). ggplot2: Elegant graphics for data analysis (2nd ed.)</w:t>
      </w:r>
    </w:p>
    <w:p>
      <w:pPr>
        <w:spacing w:after="0" w:line="41" w:lineRule="exact"/>
        <w:rPr>
          <w:sz w:val="20"/>
          <w:szCs w:val="20"/>
          <w:color w:val="auto"/>
        </w:rPr>
      </w:pPr>
    </w:p>
    <w:p>
      <w:pPr>
        <w:ind w:left="260"/>
        <w:spacing w:after="0"/>
        <w:rPr>
          <w:sz w:val="20"/>
          <w:szCs w:val="20"/>
          <w:color w:val="auto"/>
        </w:rPr>
      </w:pPr>
      <w:r>
        <w:rPr>
          <w:rFonts w:ascii="Arial" w:cs="Arial" w:eastAsia="Arial" w:hAnsi="Arial"/>
          <w:sz w:val="15"/>
          <w:szCs w:val="15"/>
          <w:color w:val="auto"/>
        </w:rPr>
        <w:t>New York: Springer.</w:t>
      </w:r>
    </w:p>
    <w:p>
      <w:pPr>
        <w:spacing w:after="0" w:line="46" w:lineRule="exact"/>
        <w:rPr>
          <w:sz w:val="20"/>
          <w:szCs w:val="20"/>
          <w:color w:val="auto"/>
        </w:rPr>
      </w:pPr>
    </w:p>
    <w:p>
      <w:pPr>
        <w:jc w:val="both"/>
        <w:ind w:left="260" w:hanging="259"/>
        <w:spacing w:after="0" w:line="314" w:lineRule="auto"/>
        <w:rPr>
          <w:rFonts w:ascii="Arial" w:cs="Arial" w:eastAsia="Arial" w:hAnsi="Arial"/>
          <w:sz w:val="14"/>
          <w:szCs w:val="14"/>
          <w:color w:val="auto"/>
        </w:rPr>
      </w:pPr>
      <w:r>
        <w:rPr>
          <w:rFonts w:ascii="Arial" w:cs="Arial" w:eastAsia="Arial" w:hAnsi="Arial"/>
          <w:sz w:val="14"/>
          <w:szCs w:val="14"/>
          <w:color w:val="auto"/>
        </w:rPr>
        <w:t xml:space="preserve">Wood, J., &amp; Freeman, M. (2017). Ecology of the macrophyte Podostemum ceratophyllum Michx. (Hornleaf riverweed), a widespread foundation species of eastern North American rivers. Aquatic Botany, 139, 65–74. </w:t>
      </w:r>
      <w:hyperlink r:id="rId96">
        <w:r>
          <w:rPr>
            <w:rFonts w:ascii="Arial" w:cs="Arial" w:eastAsia="Arial" w:hAnsi="Arial"/>
            <w:sz w:val="14"/>
            <w:szCs w:val="14"/>
            <w:color w:val="auto"/>
          </w:rPr>
          <w:t>https://doi.org/10.1016/j.aquabot.2017.02.009</w:t>
        </w:r>
      </w:hyperlink>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Yarrow, M., Marin, V. H., Finlayson, M., Tironi, A., Delgado, L. E., &amp; Fischer, F. (2009). The ecology of Egeria densa Planchon (Liliopsida: Alismatales): A wetland ecosystem engineer? Revista Chilena de Historia Natural, 82(2), 299–313.</w:t>
      </w:r>
    </w:p>
    <w:p>
      <w:pPr>
        <w:spacing w:after="0" w:line="4" w:lineRule="exact"/>
        <w:rPr>
          <w:sz w:val="20"/>
          <w:szCs w:val="20"/>
          <w:color w:val="auto"/>
        </w:rPr>
      </w:pPr>
    </w:p>
    <w:p>
      <w:pPr>
        <w:jc w:val="both"/>
        <w:ind w:left="260" w:hanging="259"/>
        <w:spacing w:after="0" w:line="280" w:lineRule="auto"/>
        <w:rPr>
          <w:sz w:val="20"/>
          <w:szCs w:val="20"/>
          <w:color w:val="auto"/>
        </w:rPr>
      </w:pPr>
      <w:r>
        <w:rPr>
          <w:rFonts w:ascii="Arial" w:cs="Arial" w:eastAsia="Arial" w:hAnsi="Arial"/>
          <w:sz w:val="15"/>
          <w:szCs w:val="15"/>
          <w:color w:val="auto"/>
        </w:rPr>
        <w:t>Zar, J. (1999). Biostatistical analysis (5th ed.). Upper Saddle River, NJ: Pren-tice Hall.</w:t>
      </w:r>
    </w:p>
    <w:p>
      <w:pPr>
        <w:spacing w:after="0" w:line="17"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Zarfl, C., Lumsdon, A. E., Berlekamp, J., Tydecks, L., &amp; Tockner, K. (2014). A global boom in hydropower dam construction. Aquatic Sciences, 77(1), 161–170. </w:t>
      </w:r>
      <w:hyperlink r:id="rId97">
        <w:r>
          <w:rPr>
            <w:rFonts w:ascii="Arial" w:cs="Arial" w:eastAsia="Arial" w:hAnsi="Arial"/>
            <w:sz w:val="14"/>
            <w:szCs w:val="14"/>
            <w:color w:val="auto"/>
          </w:rPr>
          <w:t>https://doi.org/10.1007/s00027-014-0377-0</w:t>
        </w:r>
      </w:hyperlink>
    </w:p>
    <w:p>
      <w:pPr>
        <w:spacing w:after="0" w:line="1"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Zhao, D., Jiang, H., Cai, Y., &amp; An, S. (2012). Artificial regulation of water level and its effect on aquatic macrophyte distribution in Taihu Lake. PLoS One, 7(9), e44836. </w:t>
      </w:r>
      <w:hyperlink r:id="rId98">
        <w:r>
          <w:rPr>
            <w:rFonts w:ascii="Arial" w:cs="Arial" w:eastAsia="Arial" w:hAnsi="Arial"/>
            <w:sz w:val="15"/>
            <w:szCs w:val="15"/>
            <w:color w:val="auto"/>
          </w:rPr>
          <w:t>https://doi.org/10.1371/journal.pone.</w:t>
        </w:r>
      </w:hyperlink>
      <w:r>
        <w:rPr>
          <w:rFonts w:ascii="Arial" w:cs="Arial" w:eastAsia="Arial" w:hAnsi="Arial"/>
          <w:sz w:val="15"/>
          <w:szCs w:val="15"/>
          <w:color w:val="auto"/>
        </w:rPr>
        <w:t xml:space="preserve"> </w:t>
      </w:r>
      <w:hyperlink r:id="rId98">
        <w:r>
          <w:rPr>
            <w:rFonts w:ascii="Arial" w:cs="Arial" w:eastAsia="Arial" w:hAnsi="Arial"/>
            <w:sz w:val="15"/>
            <w:szCs w:val="15"/>
            <w:color w:val="auto"/>
          </w:rPr>
          <w:t>0044836</w:t>
        </w:r>
      </w:hyperlink>
    </w:p>
    <w:p>
      <w:pPr>
        <w:spacing w:after="0" w:line="12" w:lineRule="exact"/>
        <w:rPr>
          <w:sz w:val="20"/>
          <w:szCs w:val="20"/>
          <w:color w:val="auto"/>
        </w:rPr>
      </w:pPr>
    </w:p>
    <w:p>
      <w:pPr>
        <w:jc w:val="both"/>
        <w:ind w:left="260" w:hanging="259"/>
        <w:spacing w:after="0" w:line="290" w:lineRule="auto"/>
        <w:rPr>
          <w:rFonts w:ascii="Arial" w:cs="Arial" w:eastAsia="Arial" w:hAnsi="Arial"/>
          <w:sz w:val="15"/>
          <w:szCs w:val="15"/>
          <w:color w:val="auto"/>
        </w:rPr>
      </w:pPr>
      <w:r>
        <w:rPr>
          <w:rFonts w:ascii="Arial" w:cs="Arial" w:eastAsia="Arial" w:hAnsi="Arial"/>
          <w:sz w:val="15"/>
          <w:szCs w:val="15"/>
          <w:color w:val="auto"/>
        </w:rPr>
        <w:t xml:space="preserve">Zohary, T., &amp; Ostrovsky, I. (2011). Ecological impacts of excessive water level fluctuations in stratified freshwater lakes. Inland Waters, 1(1), 47–59. </w:t>
      </w:r>
      <w:hyperlink r:id="rId99">
        <w:r>
          <w:rPr>
            <w:rFonts w:ascii="Arial" w:cs="Arial" w:eastAsia="Arial" w:hAnsi="Arial"/>
            <w:sz w:val="15"/>
            <w:szCs w:val="15"/>
            <w:color w:val="auto"/>
          </w:rPr>
          <w:t>https://doi.org/10.5268/IW-1.1.406</w:t>
        </w:r>
      </w:hyperlink>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16"/>
          <w:szCs w:val="16"/>
          <w:color w:val="auto"/>
        </w:rPr>
        <w:t>SUPPORTING INFORMATION</w:t>
      </w:r>
    </w:p>
    <w:p>
      <w:pPr>
        <w:spacing w:after="0" w:line="85" w:lineRule="exact"/>
        <w:rPr>
          <w:sz w:val="20"/>
          <w:szCs w:val="20"/>
          <w:color w:val="auto"/>
        </w:rPr>
      </w:pPr>
    </w:p>
    <w:p>
      <w:pPr>
        <w:jc w:val="both"/>
        <w:spacing w:after="0" w:line="327" w:lineRule="auto"/>
        <w:rPr>
          <w:sz w:val="20"/>
          <w:szCs w:val="20"/>
          <w:color w:val="auto"/>
        </w:rPr>
      </w:pPr>
      <w:r>
        <w:rPr>
          <w:rFonts w:ascii="Arial" w:cs="Arial" w:eastAsia="Arial" w:hAnsi="Arial"/>
          <w:sz w:val="16"/>
          <w:szCs w:val="16"/>
          <w:color w:val="auto"/>
        </w:rPr>
        <w:t>Additional supporting information may be found online in the Supporting Information section at the end of this article.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107950</wp:posOffset>
            </wp:positionV>
            <wp:extent cx="3108325" cy="109220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0">
                      <a:extLst>
                        <a:ext uri="{28A0092B-C50C-407E-A947-70E740481C1C}"/>
                      </a:extLst>
                    </a:blip>
                    <a:srcRect/>
                    <a:stretch>
                      <a:fillRect/>
                    </a:stretch>
                  </pic:blipFill>
                  <pic:spPr bwMode="auto">
                    <a:xfrm>
                      <a:off x="0" y="0"/>
                      <a:ext cx="3108325" cy="1092200"/>
                    </a:xfrm>
                    <a:prstGeom prst="rect">
                      <a:avLst/>
                    </a:prstGeom>
                    <a:noFill/>
                  </pic:spPr>
                </pic:pic>
              </a:graphicData>
            </a:graphic>
          </wp:anchor>
        </w:drawing>
      </w:r>
    </w:p>
    <w:p>
      <w:pPr>
        <w:spacing w:after="0" w:line="400" w:lineRule="exact"/>
        <w:rPr>
          <w:sz w:val="20"/>
          <w:szCs w:val="20"/>
          <w:color w:val="auto"/>
        </w:rPr>
      </w:pPr>
    </w:p>
    <w:p>
      <w:pPr>
        <w:ind w:left="260" w:right="340"/>
        <w:spacing w:after="0" w:line="337" w:lineRule="auto"/>
        <w:rPr>
          <w:rFonts w:ascii="Arial" w:cs="Arial" w:eastAsia="Arial" w:hAnsi="Arial"/>
          <w:sz w:val="16"/>
          <w:szCs w:val="16"/>
          <w:u w:val="single" w:color="auto"/>
          <w:color w:val="002786"/>
        </w:rPr>
      </w:pPr>
      <w:r>
        <w:rPr>
          <w:rFonts w:ascii="Arial" w:cs="Arial" w:eastAsia="Arial" w:hAnsi="Arial"/>
          <w:sz w:val="16"/>
          <w:szCs w:val="16"/>
          <w:color w:val="auto"/>
        </w:rPr>
        <w:t xml:space="preserve">How to cite this article: Moore TP, Clearwater SJ, Duggan IC, Collier KJ. Invasive macrophytes induce context-specific effects on oxygen, pH, and temperature in a hydropeaking reservoir. River Res Applic. 2020;1–13. </w:t>
      </w:r>
      <w:hyperlink r:id="rId101">
        <w:r>
          <w:rPr>
            <w:rFonts w:ascii="Arial" w:cs="Arial" w:eastAsia="Arial" w:hAnsi="Arial"/>
            <w:sz w:val="16"/>
            <w:szCs w:val="16"/>
            <w:u w:val="single" w:color="auto"/>
            <w:color w:val="002786"/>
          </w:rPr>
          <w:t>https://doi.org/10.</w:t>
        </w:r>
      </w:hyperlink>
      <w:r>
        <w:rPr>
          <w:rFonts w:ascii="Arial" w:cs="Arial" w:eastAsia="Arial" w:hAnsi="Arial"/>
          <w:sz w:val="16"/>
          <w:szCs w:val="16"/>
          <w:color w:val="auto"/>
        </w:rPr>
        <w:t xml:space="preserve"> </w:t>
      </w:r>
      <w:hyperlink r:id="rId101">
        <w:r>
          <w:rPr>
            <w:rFonts w:ascii="Arial" w:cs="Arial" w:eastAsia="Arial" w:hAnsi="Arial"/>
            <w:sz w:val="16"/>
            <w:szCs w:val="16"/>
            <w:u w:val="single" w:color="auto"/>
            <w:color w:val="002786"/>
          </w:rPr>
          <w:t>1002/rra.3674</w:t>
        </w:r>
      </w:hyperlink>
    </w:p>
    <w:sectPr>
      <w:pgSz w:w="11900" w:h="15647" w:orient="portrait"/>
      <w:cols w:equalWidth="0" w:num="2">
        <w:col w:w="4860" w:space="360"/>
        <w:col w:w="4860"/>
      </w:cols>
      <w:pgMar w:left="900" w:top="415" w:right="9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2"/>
    </w:lvl>
  </w:abstractNum>
  <w:abstractNum w:abstractNumId="1">
    <w:nsid w:val="2AE8944A"/>
    <w:multiLevelType w:val="hybridMultilevel"/>
    <w:lvl w:ilvl="0">
      <w:lvlJc w:val="left"/>
      <w:lvlText w:val="(%1)"/>
      <w:numFmt w:val="lowerLetter"/>
      <w:start w:val="2"/>
    </w:lvl>
  </w:abstractNum>
  <w:abstractNum w:abstractNumId="2">
    <w:nsid w:val="625558EC"/>
    <w:multiLevelType w:val="hybridMultilevel"/>
    <w:lvl w:ilvl="0">
      <w:lvlJc w:val="left"/>
      <w:lvlText w:val="(%1)"/>
      <w:numFmt w:val="lowerLetter"/>
      <w:start w:val="1"/>
    </w:lvl>
  </w:abstractNum>
  <w:abstractNum w:abstractNumId="3">
    <w:nsid w:val="238E1F29"/>
    <w:multiLevelType w:val="hybridMultilevel"/>
    <w:lvl w:ilvl="0">
      <w:lvlJc w:val="left"/>
      <w:lvlText w:val="%1"/>
      <w:numFmt w:val="upperLetter"/>
      <w:start w:val="8"/>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png"/><Relationship Id="rId41" Type="http://schemas.openxmlformats.org/officeDocument/2006/relationships/image" Target="media/image31.jpeg"/><Relationship Id="rId42" Type="http://schemas.openxmlformats.org/officeDocument/2006/relationships/image" Target="media/image32.png"/><Relationship Id="rId43" Type="http://schemas.openxmlformats.org/officeDocument/2006/relationships/image" Target="media/image33.jpe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3" Type="http://schemas.openxmlformats.org/officeDocument/2006/relationships/image" Target="media/image41.png"/><Relationship Id="rId55"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91" Type="http://schemas.openxmlformats.org/officeDocument/2006/relationships/image" Target="media/image45.png"/><Relationship Id="rId100" Type="http://schemas.openxmlformats.org/officeDocument/2006/relationships/image" Target="media/image46.png"/><Relationship Id="rId16" Type="http://schemas.openxmlformats.org/officeDocument/2006/relationships/hyperlink" Target="mailto:tom.moore.tpm@gmail.com" TargetMode="External"/><Relationship Id="rId19" Type="http://schemas.openxmlformats.org/officeDocument/2006/relationships/hyperlink" Target="http://wileyonlinelibrary.com/journal/rra" TargetMode="External"/><Relationship Id="rId24" Type="http://schemas.openxmlformats.org/officeDocument/2006/relationships/hyperlink" Target="http://wileyonlinelibrary.com" TargetMode="External"/><Relationship Id="rId49" Type="http://schemas.openxmlformats.org/officeDocument/2006/relationships/hyperlink" Target="https://orcid.org/0000-0002-8373-627X" TargetMode="External"/><Relationship Id="rId52" Type="http://schemas.openxmlformats.org/officeDocument/2006/relationships/hyperlink" Target="https://orcid.org/0000-0003-1739-0298" TargetMode="External"/><Relationship Id="rId54" Type="http://schemas.openxmlformats.org/officeDocument/2006/relationships/hyperlink" Target="https://orcid.org/0000-0002-6037-9759" TargetMode="External"/><Relationship Id="rId56" Type="http://schemas.openxmlformats.org/officeDocument/2006/relationships/hyperlink" Target="https://orcid.org/0000-0002-5213-9907" TargetMode="External"/><Relationship Id="rId57" Type="http://schemas.openxmlformats.org/officeDocument/2006/relationships/hyperlink" Target="https://doi.org/10.1098/rspb.2017.1427" TargetMode="External"/><Relationship Id="rId58" Type="http://schemas.openxmlformats.org/officeDocument/2006/relationships/hyperlink" Target="https://doi.org/10.1111/j.1461-0248.2005.00723.x" TargetMode="External"/><Relationship Id="rId59" Type="http://schemas.openxmlformats.org/officeDocument/2006/relationships/hyperlink" Target="https://doi.org/10.1214/14-AOAS788" TargetMode="External"/><Relationship Id="rId60" Type="http://schemas.openxmlformats.org/officeDocument/2006/relationships/hyperlink" Target="https://doi.org/10.1007/s13157-010-0051-9" TargetMode="External"/><Relationship Id="rId61" Type="http://schemas.openxmlformats.org/officeDocument/2006/relationships/hyperlink" Target="https://doi.org/10.1046/j.1365-2427.1998.00264.x" TargetMode="External"/><Relationship Id="rId62" Type="http://schemas.openxmlformats.org/officeDocument/2006/relationships/hyperlink" Target="https://doi.org/10.1890/1051-0761(2002)012[1496:CIOANA]2.0.CO;2" TargetMode="External"/><Relationship Id="rId63" Type="http://schemas.openxmlformats.org/officeDocument/2006/relationships/hyperlink" Target="https://doi.org/10.1111/fwb.12132" TargetMode="External"/><Relationship Id="rId64" Type="http://schemas.openxmlformats.org/officeDocument/2006/relationships/hyperlink" Target="http://dx.doi.org/10.1007/s00244-013-9972-7" TargetMode="External"/><Relationship Id="rId67" Type="http://schemas.openxmlformats.org/officeDocument/2006/relationships/hyperlink" Target="https://doi.org/10.1111/fwb.12547" TargetMode="External"/><Relationship Id="rId68" Type="http://schemas.openxmlformats.org/officeDocument/2006/relationships/hyperlink" Target="https://www.waikatoregion.govt.nz/assets/PageFiles/35431/DNZ14204%2010Karapiro%2010final.pdf" TargetMode="External"/><Relationship Id="rId69" Type="http://schemas.openxmlformats.org/officeDocument/2006/relationships/hyperlink" Target="https://doi.org/10.1016/0304-3770(78)90073-6" TargetMode="External"/><Relationship Id="rId70" Type="http://schemas.openxmlformats.org/officeDocument/2006/relationships/hyperlink" Target="https://doi.org/10.18637/jss.v087.c03" TargetMode="External"/><Relationship Id="rId71" Type="http://schemas.openxmlformats.org/officeDocument/2006/relationships/hyperlink" Target="https://doi.org/10.1641/0006-3568(2005)055[0518:DRFIIL]2.0.CO;2" TargetMode="External"/><Relationship Id="rId72" Type="http://schemas.openxmlformats.org/officeDocument/2006/relationships/hyperlink" Target="https://www.linz.govt.nz/system/files_force/media/doc/cp_lake%2010karapiro%2010weed%2010management%2010plan_201610.pdf?download=1" TargetMode="External"/><Relationship Id="rId73" Type="http://schemas.openxmlformats.org/officeDocument/2006/relationships/hyperlink" Target="https://doi.org/10.1016/j.aquabot.2016.08.002" TargetMode="External"/><Relationship Id="rId74" Type="http://schemas.openxmlformats.org/officeDocument/2006/relationships/hyperlink" Target="http://www.wes.army.mil/el/aqua" TargetMode="External"/><Relationship Id="rId75" Type="http://schemas.openxmlformats.org/officeDocument/2006/relationships/hyperlink" Target="https://doi.org/10.1890/070156" TargetMode="External"/><Relationship Id="rId76" Type="http://schemas.openxmlformats.org/officeDocument/2006/relationships/hyperlink" Target="https://doi.org/10.1899/03-097.1" TargetMode="External"/><Relationship Id="rId77" Type="http://schemas.openxmlformats.org/officeDocument/2006/relationships/hyperlink" Target="https://cran.r%2010project.org/web/packages/quantreg/vignettes/rq.pdf" TargetMode="External"/><Relationship Id="rId78" Type="http://schemas.openxmlformats.org/officeDocument/2006/relationships/hyperlink" Target="http://ftp://ftp.ussg.iu.edu/pub/CRAN/web/packages/quantreg/quantreg.pdf" TargetMode="External"/><Relationship Id="rId79" Type="http://schemas.openxmlformats.org/officeDocument/2006/relationships/hyperlink" Target="https://doi.org/10.1007/s10750-010-0570-7" TargetMode="External"/><Relationship Id="rId80" Type="http://schemas.openxmlformats.org/officeDocument/2006/relationships/hyperlink" Target="https://doi.org/10.1023/A:1017520800568" TargetMode="External"/><Relationship Id="rId81" Type="http://schemas.openxmlformats.org/officeDocument/2006/relationships/hyperlink" Target="https://doi.org/10.1007/s00027-017-0550-3" TargetMode="External"/><Relationship Id="rId82" Type="http://schemas.openxmlformats.org/officeDocument/2006/relationships/hyperlink" Target="https://doi.org/10.1002/aqc.3040" TargetMode="External"/><Relationship Id="rId83" Type="http://schemas.openxmlformats.org/officeDocument/2006/relationships/hyperlink" Target="http://cc.oulu.fi/%2DCjarioksa/opetus/metodi/vegantutor.pdf" TargetMode="External"/><Relationship Id="rId84" Type="http://schemas.openxmlformats.org/officeDocument/2006/relationships/hyperlink" Target="https://doi.org/10.1371/journal.pone.0182691" TargetMode="External"/><Relationship Id="rId85" Type="http://schemas.openxmlformats.org/officeDocument/2006/relationships/hyperlink" Target="https://doi.org/10.2307/2336964" TargetMode="External"/><Relationship Id="rId86" Type="http://schemas.openxmlformats.org/officeDocument/2006/relationships/hyperlink" Target="https://doi.org/10.1073/pnas.1700353114" TargetMode="External"/><Relationship Id="rId87" Type="http://schemas.openxmlformats.org/officeDocument/2006/relationships/hyperlink" Target="https://doi.org/10.3389/fpls.2018.01781" TargetMode="External"/><Relationship Id="rId88" Type="http://schemas.openxmlformats.org/officeDocument/2006/relationships/hyperlink" Target="https://doi.org/10.1080/09542299.1995.11083237" TargetMode="External"/><Relationship Id="rId89" Type="http://schemas.openxmlformats.org/officeDocument/2006/relationships/hyperlink" Target="https://doi.org/10.1007/s10661-016-5253-z" TargetMode="External"/><Relationship Id="rId90" Type="http://schemas.openxmlformats.org/officeDocument/2006/relationships/hyperlink" Target="https://doi.org/10.1007/s10750-018-3532-0" TargetMode="External"/><Relationship Id="rId92" Type="http://schemas.openxmlformats.org/officeDocument/2006/relationships/hyperlink" Target="https://doi.org/10.1007/s10750-014-2044-9" TargetMode="External"/><Relationship Id="rId93" Type="http://schemas.openxmlformats.org/officeDocument/2006/relationships/hyperlink" Target="https://doi.org/10.1007/s10750-017-3139-x" TargetMode="External"/><Relationship Id="rId94" Type="http://schemas.openxmlformats.org/officeDocument/2006/relationships/hyperlink" Target="https://doi.org/10.1111/j.1365-2427.2009.02294.x" TargetMode="External"/><Relationship Id="rId95" Type="http://schemas.openxmlformats.org/officeDocument/2006/relationships/hyperlink" Target="https://doi.org/10.1177/1940082917741592" TargetMode="External"/><Relationship Id="rId96" Type="http://schemas.openxmlformats.org/officeDocument/2006/relationships/hyperlink" Target="https://doi.org/10.1016/j.aquabot.2017.02.009" TargetMode="External"/><Relationship Id="rId97" Type="http://schemas.openxmlformats.org/officeDocument/2006/relationships/hyperlink" Target="https://doi.org/10.1007/s00027-014-0377-0" TargetMode="External"/><Relationship Id="rId98" Type="http://schemas.openxmlformats.org/officeDocument/2006/relationships/hyperlink" Target="https://doi.org/10.1371/journal.pone.0044836" TargetMode="External"/><Relationship Id="rId99" Type="http://schemas.openxmlformats.org/officeDocument/2006/relationships/hyperlink" Target="https://doi.org/10.5268/IW-1.1.406" TargetMode="External"/><Relationship Id="rId101" Type="http://schemas.openxmlformats.org/officeDocument/2006/relationships/hyperlink" Target="https://doi.org/10.1002/rra.367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2020-09-15T03:58:33Z</dcterms:created>
  <dcterms:modified xsi:type="dcterms:W3CDTF">2020-09-15T03:58:33Z</dcterms:modified>
</cp:coreProperties>
</file>