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tbl>
      <w:tblPr>
        <w:tblLayout w:type="fixed"/>
        <w:tblInd w:w="20" w:type="dxa"/>
        <w:tblCellMar>
          <w:top w:w="0" w:type="dxa"/>
          <w:left w:w="0" w:type="dxa"/>
          <w:bottom w:w="0" w:type="dxa"/>
          <w:right w:w="0" w:type="dxa"/>
        </w:tblCellMar>
      </w:tblPr>
      <w:tr>
        <w:trPr>
          <w:trHeight w:val="192"/>
        </w:trPr>
        <w:tc>
          <w:tcPr>
            <w:tcW w:w="4200" w:type="dxa"/>
            <w:vAlign w:val="bottom"/>
          </w:tcPr>
          <w:p>
            <w:pPr>
              <w:spacing w:after="0"/>
              <w:rPr>
                <w:sz w:val="20"/>
                <w:szCs w:val="20"/>
                <w:color w:val="auto"/>
              </w:rPr>
            </w:pPr>
            <w:r>
              <w:rPr>
                <w:rFonts w:ascii="Arial" w:cs="Arial" w:eastAsia="Arial" w:hAnsi="Arial"/>
                <w:sz w:val="16"/>
                <w:szCs w:val="16"/>
                <w:color w:val="131413"/>
                <w:w w:val="96"/>
              </w:rPr>
              <w:t>Tiétiambou et al. Journal of Ethnobiology and Ethnomedicine</w:t>
            </w:r>
          </w:p>
        </w:tc>
        <w:tc>
          <w:tcPr>
            <w:tcW w:w="1020" w:type="dxa"/>
            <w:vAlign w:val="bottom"/>
          </w:tcPr>
          <w:p>
            <w:pPr>
              <w:jc w:val="right"/>
              <w:spacing w:after="0"/>
              <w:rPr>
                <w:sz w:val="20"/>
                <w:szCs w:val="20"/>
                <w:color w:val="auto"/>
              </w:rPr>
            </w:pPr>
            <w:r>
              <w:rPr>
                <w:rFonts w:ascii="Arial" w:cs="Arial" w:eastAsia="Arial" w:hAnsi="Arial"/>
                <w:sz w:val="16"/>
                <w:szCs w:val="16"/>
                <w:color w:val="131413"/>
              </w:rPr>
              <w:t>(2020) 16:43</w:t>
            </w:r>
          </w:p>
        </w:tc>
      </w:tr>
      <w:tr>
        <w:trPr>
          <w:trHeight w:val="200"/>
        </w:trPr>
        <w:tc>
          <w:tcPr>
            <w:tcW w:w="4200" w:type="dxa"/>
            <w:vAlign w:val="bottom"/>
          </w:tcPr>
          <w:p>
            <w:pPr>
              <w:spacing w:after="0"/>
              <w:rPr>
                <w:sz w:val="20"/>
                <w:szCs w:val="20"/>
                <w:color w:val="auto"/>
              </w:rPr>
            </w:pPr>
            <w:r>
              <w:rPr>
                <w:rFonts w:ascii="Arial" w:cs="Arial" w:eastAsia="Arial" w:hAnsi="Arial"/>
                <w:sz w:val="16"/>
                <w:szCs w:val="16"/>
                <w:color w:val="131413"/>
              </w:rPr>
              <w:t>https://doi.org/10.1186/s13002-020-00393-1</w:t>
            </w:r>
          </w:p>
        </w:tc>
        <w:tc>
          <w:tcPr>
            <w:tcW w:w="1020" w:type="dxa"/>
            <w:vAlign w:val="bottom"/>
          </w:tcPr>
          <w:p>
            <w:pPr>
              <w:spacing w:after="0"/>
              <w:rPr>
                <w:sz w:val="17"/>
                <w:szCs w:val="17"/>
                <w:color w:val="auto"/>
              </w:rPr>
            </w:pPr>
          </w:p>
        </w:tc>
      </w:tr>
    </w:tbl>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-3175</wp:posOffset>
            </wp:positionH>
            <wp:positionV relativeFrom="paragraph">
              <wp:posOffset>465455</wp:posOffset>
            </wp:positionV>
            <wp:extent cx="6145530" cy="24066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6145530" cy="240665"/>
                    </a:xfrm>
                    <a:prstGeom prst="rect">
                      <a:avLst/>
                    </a:prstGeom>
                    <a:noFill/>
                  </pic:spPr>
                </pic:pic>
              </a:graphicData>
            </a:graphic>
          </wp:anchor>
        </w:drawing>
        <w:drawing>
          <wp:anchor simplePos="0" relativeHeight="251657728" behindDoc="1" locked="0" layoutInCell="0" allowOverlap="1">
            <wp:simplePos x="0" y="0"/>
            <wp:positionH relativeFrom="column">
              <wp:posOffset>4032250</wp:posOffset>
            </wp:positionH>
            <wp:positionV relativeFrom="paragraph">
              <wp:posOffset>-220345</wp:posOffset>
            </wp:positionV>
            <wp:extent cx="2096770" cy="383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2096770" cy="38354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316" w:lineRule="exact"/>
        <w:rPr>
          <w:sz w:val="24"/>
          <w:szCs w:val="24"/>
          <w:color w:val="auto"/>
        </w:rPr>
      </w:pPr>
    </w:p>
    <w:p>
      <w:pPr>
        <w:spacing w:after="0"/>
        <w:tabs>
          <w:tab w:leader="none" w:pos="8080" w:val="left"/>
        </w:tabs>
        <w:rPr>
          <w:sz w:val="20"/>
          <w:szCs w:val="20"/>
          <w:color w:val="auto"/>
        </w:rPr>
      </w:pPr>
      <w:r>
        <w:rPr>
          <w:sz w:val="1"/>
          <w:szCs w:val="1"/>
          <w:color w:val="auto"/>
        </w:rPr>
        <w:drawing>
          <wp:inline distT="0" distB="0" distL="0" distR="0">
            <wp:extent cx="57150" cy="19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57150" cy="196850"/>
                    </a:xfrm>
                    <a:prstGeom prst="rect">
                      <a:avLst/>
                    </a:prstGeom>
                    <a:noFill/>
                    <a:ln>
                      <a:noFill/>
                    </a:ln>
                  </pic:spPr>
                </pic:pic>
              </a:graphicData>
            </a:graphic>
          </wp:inline>
        </w:drawing>
      </w:r>
      <w:r>
        <w:rPr>
          <w:rFonts w:ascii="Arial" w:cs="Arial" w:eastAsia="Arial" w:hAnsi="Arial"/>
          <w:sz w:val="26"/>
          <w:szCs w:val="26"/>
          <w:color w:val="FFFFFF"/>
        </w:rPr>
        <w:t>R E S E A R C H</w:t>
      </w:r>
      <w:r>
        <w:rPr>
          <w:sz w:val="20"/>
          <w:szCs w:val="20"/>
          <w:color w:val="auto"/>
        </w:rPr>
        <w:tab/>
      </w:r>
      <w:r>
        <w:rPr>
          <w:rFonts w:ascii="Arial" w:cs="Arial" w:eastAsia="Arial" w:hAnsi="Arial"/>
          <w:sz w:val="24"/>
          <w:szCs w:val="24"/>
          <w:color w:val="FFFFFF"/>
        </w:rPr>
        <w:t>Open Access</w:t>
      </w:r>
      <w:r>
        <w:rPr>
          <w:sz w:val="1"/>
          <w:szCs w:val="1"/>
          <w:color w:val="auto"/>
        </w:rPr>
        <w:drawing>
          <wp:inline distT="0" distB="0" distL="0" distR="0">
            <wp:extent cx="57150" cy="196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57150" cy="196850"/>
                    </a:xfrm>
                    <a:prstGeom prst="rect">
                      <a:avLst/>
                    </a:prstGeom>
                    <a:noFill/>
                    <a:ln>
                      <a:noFill/>
                    </a:ln>
                  </pic:spPr>
                </pic:pic>
              </a:graphicData>
            </a:graphic>
          </wp:inline>
        </w:drawing>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5596890</wp:posOffset>
            </wp:positionH>
            <wp:positionV relativeFrom="paragraph">
              <wp:posOffset>95250</wp:posOffset>
            </wp:positionV>
            <wp:extent cx="531495" cy="53213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531495" cy="532130"/>
                    </a:xfrm>
                    <a:prstGeom prst="rect">
                      <a:avLst/>
                    </a:prstGeom>
                    <a:noFill/>
                  </pic:spPr>
                </pic:pic>
              </a:graphicData>
            </a:graphic>
          </wp:anchor>
        </w:drawing>
      </w:r>
    </w:p>
    <w:p>
      <w:pPr>
        <w:spacing w:after="0" w:line="232" w:lineRule="exact"/>
        <w:rPr>
          <w:sz w:val="24"/>
          <w:szCs w:val="24"/>
          <w:color w:val="auto"/>
        </w:rPr>
      </w:pPr>
    </w:p>
    <w:p>
      <w:pPr>
        <w:ind w:left="20" w:right="1520"/>
        <w:spacing w:after="0" w:line="233" w:lineRule="auto"/>
        <w:rPr>
          <w:sz w:val="20"/>
          <w:szCs w:val="20"/>
          <w:color w:val="auto"/>
        </w:rPr>
      </w:pPr>
      <w:r>
        <w:rPr>
          <w:rFonts w:ascii="Arial" w:cs="Arial" w:eastAsia="Arial" w:hAnsi="Arial"/>
          <w:sz w:val="47"/>
          <w:szCs w:val="47"/>
          <w:color w:val="131413"/>
        </w:rPr>
        <w:t>Local preferences for three indigenous oil-seed plants and attitudes towards their conservation in the Kénédougou province of Burkina Faso, West-Africa</w:t>
      </w:r>
    </w:p>
    <w:p>
      <w:pPr>
        <w:spacing w:after="0" w:line="136" w:lineRule="exact"/>
        <w:rPr>
          <w:sz w:val="24"/>
          <w:szCs w:val="24"/>
          <w:color w:val="auto"/>
        </w:rPr>
      </w:pPr>
    </w:p>
    <w:p>
      <w:pPr>
        <w:ind w:left="20" w:right="1600"/>
        <w:spacing w:after="0" w:line="215" w:lineRule="auto"/>
        <w:rPr>
          <w:sz w:val="20"/>
          <w:szCs w:val="20"/>
          <w:color w:val="auto"/>
        </w:rPr>
      </w:pPr>
      <w:r>
        <w:rPr>
          <w:rFonts w:ascii="Arial" w:cs="Arial" w:eastAsia="Arial" w:hAnsi="Arial"/>
          <w:sz w:val="22"/>
          <w:szCs w:val="22"/>
          <w:color w:val="131413"/>
        </w:rPr>
        <w:t>Fanta Reine Sheirita Tiétiambou</w:t>
      </w:r>
      <w:r>
        <w:rPr>
          <w:rFonts w:ascii="Arial" w:cs="Arial" w:eastAsia="Arial" w:hAnsi="Arial"/>
          <w:sz w:val="29"/>
          <w:szCs w:val="29"/>
          <w:color w:val="131413"/>
          <w:vertAlign w:val="superscript"/>
        </w:rPr>
        <w:t>1,2*</w:t>
      </w:r>
      <w:r>
        <w:rPr>
          <w:rFonts w:ascii="Arial" w:cs="Arial" w:eastAsia="Arial" w:hAnsi="Arial"/>
          <w:sz w:val="22"/>
          <w:szCs w:val="22"/>
          <w:color w:val="131413"/>
        </w:rPr>
        <w:t>, Kolawolé Valère Salako</w:t>
      </w:r>
      <w:r>
        <w:rPr>
          <w:rFonts w:ascii="Arial" w:cs="Arial" w:eastAsia="Arial" w:hAnsi="Arial"/>
          <w:sz w:val="29"/>
          <w:szCs w:val="29"/>
          <w:color w:val="131413"/>
          <w:vertAlign w:val="superscript"/>
        </w:rPr>
        <w:t>3,4</w:t>
      </w:r>
      <w:r>
        <w:rPr>
          <w:sz w:val="1"/>
          <w:szCs w:val="1"/>
          <w:color w:val="auto"/>
        </w:rPr>
        <w:drawing>
          <wp:inline distT="0" distB="0" distL="0" distR="0">
            <wp:extent cx="111760" cy="111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111760" cy="111760"/>
                    </a:xfrm>
                    <a:prstGeom prst="rect">
                      <a:avLst/>
                    </a:prstGeom>
                    <a:noFill/>
                    <a:ln>
                      <a:noFill/>
                    </a:ln>
                  </pic:spPr>
                </pic:pic>
              </a:graphicData>
            </a:graphic>
          </wp:inline>
        </w:drawing>
      </w:r>
      <w:r>
        <w:rPr>
          <w:rFonts w:ascii="Arial" w:cs="Arial" w:eastAsia="Arial" w:hAnsi="Arial"/>
          <w:sz w:val="22"/>
          <w:szCs w:val="22"/>
          <w:color w:val="131413"/>
        </w:rPr>
        <w:t>, Jésukpégo Roméo Tohoun</w:t>
      </w:r>
      <w:r>
        <w:rPr>
          <w:rFonts w:ascii="Arial" w:cs="Arial" w:eastAsia="Arial" w:hAnsi="Arial"/>
          <w:sz w:val="29"/>
          <w:szCs w:val="29"/>
          <w:color w:val="131413"/>
          <w:vertAlign w:val="superscript"/>
        </w:rPr>
        <w:t>3</w:t>
      </w:r>
      <w:r>
        <w:rPr>
          <w:rFonts w:ascii="Arial" w:cs="Arial" w:eastAsia="Arial" w:hAnsi="Arial"/>
          <w:sz w:val="22"/>
          <w:szCs w:val="22"/>
          <w:color w:val="131413"/>
        </w:rPr>
        <w:t xml:space="preserve"> and Amadé Ouédraogo</w:t>
      </w:r>
      <w:r>
        <w:rPr>
          <w:rFonts w:ascii="Arial" w:cs="Arial" w:eastAsia="Arial" w:hAnsi="Arial"/>
          <w:sz w:val="29"/>
          <w:szCs w:val="29"/>
          <w:color w:val="131413"/>
          <w:vertAlign w:val="superscript"/>
        </w:rPr>
        <w:t>2</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-3175</wp:posOffset>
            </wp:positionH>
            <wp:positionV relativeFrom="paragraph">
              <wp:posOffset>245110</wp:posOffset>
            </wp:positionV>
            <wp:extent cx="6145530" cy="27184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6145530" cy="2718435"/>
                    </a:xfrm>
                    <a:prstGeom prst="rect">
                      <a:avLst/>
                    </a:prstGeom>
                    <a:noFill/>
                  </pic:spPr>
                </pic:pic>
              </a:graphicData>
            </a:graphic>
          </wp:anchor>
        </w:drawing>
      </w:r>
    </w:p>
    <w:p>
      <w:pPr>
        <w:spacing w:after="0" w:line="200" w:lineRule="exact"/>
        <w:rPr>
          <w:sz w:val="24"/>
          <w:szCs w:val="24"/>
          <w:color w:val="auto"/>
        </w:rPr>
      </w:pPr>
    </w:p>
    <w:p>
      <w:pPr>
        <w:spacing w:after="0" w:line="232" w:lineRule="exact"/>
        <w:rPr>
          <w:sz w:val="24"/>
          <w:szCs w:val="24"/>
          <w:color w:val="auto"/>
        </w:rPr>
      </w:pPr>
    </w:p>
    <w:p>
      <w:pPr>
        <w:spacing w:after="0"/>
        <w:rPr>
          <w:sz w:val="20"/>
          <w:szCs w:val="20"/>
          <w:color w:val="auto"/>
        </w:rPr>
      </w:pPr>
      <w:r>
        <w:rPr>
          <w:sz w:val="1"/>
          <w:szCs w:val="1"/>
          <w:color w:val="auto"/>
        </w:rPr>
        <w:drawing>
          <wp:inline distT="0" distB="0" distL="0" distR="0">
            <wp:extent cx="31750" cy="145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31750" cy="145415"/>
                    </a:xfrm>
                    <a:prstGeom prst="rect">
                      <a:avLst/>
                    </a:prstGeom>
                    <a:noFill/>
                    <a:ln>
                      <a:noFill/>
                    </a:ln>
                  </pic:spPr>
                </pic:pic>
              </a:graphicData>
            </a:graphic>
          </wp:inline>
        </w:drawing>
      </w:r>
      <w:r>
        <w:rPr>
          <w:rFonts w:ascii="Arial" w:cs="Arial" w:eastAsia="Arial" w:hAnsi="Arial"/>
          <w:sz w:val="21"/>
          <w:szCs w:val="21"/>
          <w:color w:val="131413"/>
        </w:rPr>
        <w:t xml:space="preserve"> Abstract</w:t>
      </w:r>
    </w:p>
    <w:p>
      <w:pPr>
        <w:spacing w:after="0" w:line="134" w:lineRule="exact"/>
        <w:rPr>
          <w:sz w:val="24"/>
          <w:szCs w:val="24"/>
          <w:color w:val="auto"/>
        </w:rPr>
      </w:pPr>
    </w:p>
    <w:p>
      <w:pPr>
        <w:ind w:left="140" w:right="200"/>
        <w:spacing w:after="0" w:line="281" w:lineRule="auto"/>
        <w:rPr>
          <w:sz w:val="20"/>
          <w:szCs w:val="20"/>
          <w:color w:val="auto"/>
        </w:rPr>
      </w:pPr>
      <w:r>
        <w:rPr>
          <w:rFonts w:ascii="Arial" w:cs="Arial" w:eastAsia="Arial" w:hAnsi="Arial"/>
          <w:sz w:val="18"/>
          <w:szCs w:val="18"/>
          <w:color w:val="131413"/>
        </w:rPr>
        <w:t>Background: Carapa procera, Lophira lanceolata, and Pentadesma butyracea are three underutilized but increasingly threatened indigenous oil-seed tree species (IOS) in tropical Africa. Because local knowledge is vital for sustainable management, this study investigated the socio-economic factors that explain local people’s (i) preferences for these IOS, (ii) attitudes toward their conservation, and (iii) ability to identify “plus trees” based on seed traits. We predicted a positive relationship between response variables and informants’ age, residence status, gender (femaleness), and existence of market opportunities for each IOS. We also predicted that a higher preference for a given IOS has a positive effect on people’s attitudes for its conservation and the aptitude to identify its “plus trees.” We additionally expected significant differences among ethnic groups for each response variable.</w:t>
      </w:r>
    </w:p>
    <w:p>
      <w:pPr>
        <w:spacing w:after="0" w:line="41" w:lineRule="exact"/>
        <w:rPr>
          <w:sz w:val="24"/>
          <w:szCs w:val="24"/>
          <w:color w:val="auto"/>
        </w:rPr>
      </w:pPr>
    </w:p>
    <w:p>
      <w:pPr>
        <w:ind w:left="140" w:right="160"/>
        <w:spacing w:after="0" w:line="282" w:lineRule="auto"/>
        <w:rPr>
          <w:sz w:val="20"/>
          <w:szCs w:val="20"/>
          <w:color w:val="auto"/>
        </w:rPr>
      </w:pPr>
      <w:r>
        <w:rPr>
          <w:rFonts w:ascii="Arial" w:cs="Arial" w:eastAsia="Arial" w:hAnsi="Arial"/>
          <w:sz w:val="18"/>
          <w:szCs w:val="18"/>
          <w:color w:val="131413"/>
        </w:rPr>
        <w:t>Methods: Data were collected through individual semi-structured interviews with 336 informants from 14 randomly selected villages in the species distribution area of Kénédougou province. For each species, the collected data were the number of actual uses reported (converted to use value—UV, as a measure of the species preference), practiced conservation actions (converted to conservation attitude using a four-scale scoring method), and possible criteria for selecting preferred trees for seed oil extraction. Generalized linear mixed models were used to test for the fixed effects of socio-economic factors, and account for the random variation across villages.</w:t>
      </w:r>
    </w:p>
    <w:p>
      <w:pPr>
        <w:spacing w:after="0" w:line="73" w:lineRule="exact"/>
        <w:rPr>
          <w:sz w:val="24"/>
          <w:szCs w:val="24"/>
          <w:color w:val="auto"/>
        </w:rPr>
      </w:pPr>
    </w:p>
    <w:p>
      <w:pPr>
        <w:ind w:left="140"/>
        <w:spacing w:after="0"/>
        <w:rPr>
          <w:sz w:val="20"/>
          <w:szCs w:val="20"/>
          <w:color w:val="auto"/>
        </w:rPr>
      </w:pPr>
      <w:r>
        <w:rPr>
          <w:rFonts w:ascii="Arial" w:cs="Arial" w:eastAsia="Arial" w:hAnsi="Arial"/>
          <w:sz w:val="16"/>
          <w:szCs w:val="16"/>
          <w:color w:val="auto"/>
        </w:rPr>
        <w:t>(Continued on next page)</w:t>
      </w:r>
    </w:p>
    <w:p>
      <w:pPr>
        <w:spacing w:after="0" w:line="2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93" w:lineRule="exact"/>
        <w:rPr>
          <w:sz w:val="24"/>
          <w:szCs w:val="24"/>
          <w:color w:val="auto"/>
        </w:rPr>
      </w:pPr>
    </w:p>
    <w:p>
      <w:pPr>
        <w:ind w:left="20"/>
        <w:spacing w:after="0"/>
        <w:rPr>
          <w:rFonts w:ascii="Arial" w:cs="Arial" w:eastAsia="Arial" w:hAnsi="Arial"/>
          <w:sz w:val="15"/>
          <w:szCs w:val="15"/>
          <w:color w:val="auto"/>
        </w:rPr>
      </w:pPr>
      <w:r>
        <w:rPr>
          <w:rFonts w:ascii="Arial" w:cs="Arial" w:eastAsia="Arial" w:hAnsi="Arial"/>
          <w:sz w:val="15"/>
          <w:szCs w:val="15"/>
          <w:color w:val="auto"/>
        </w:rPr>
        <w:t xml:space="preserve">* Correspondence: </w:t>
      </w:r>
      <w:hyperlink r:id="rId16">
        <w:r>
          <w:rPr>
            <w:rFonts w:ascii="Arial" w:cs="Arial" w:eastAsia="Arial" w:hAnsi="Arial"/>
            <w:sz w:val="15"/>
            <w:szCs w:val="15"/>
            <w:color w:val="0000FF"/>
          </w:rPr>
          <w:t>tietiambou.fanta@gmail.com</w:t>
        </w:r>
      </w:hyperlink>
    </w:p>
    <w:p>
      <w:pPr>
        <w:ind w:left="20"/>
        <w:spacing w:after="0" w:line="228" w:lineRule="auto"/>
        <w:rPr>
          <w:sz w:val="20"/>
          <w:szCs w:val="20"/>
          <w:color w:val="auto"/>
        </w:rPr>
      </w:pPr>
      <w:r>
        <w:rPr>
          <w:rFonts w:ascii="Arial" w:cs="Arial" w:eastAsia="Arial" w:hAnsi="Arial"/>
          <w:sz w:val="19"/>
          <w:szCs w:val="19"/>
          <w:color w:val="auto"/>
          <w:vertAlign w:val="superscript"/>
        </w:rPr>
        <w:t>1</w:t>
      </w:r>
      <w:r>
        <w:rPr>
          <w:rFonts w:ascii="Arial" w:cs="Arial" w:eastAsia="Arial" w:hAnsi="Arial"/>
          <w:sz w:val="15"/>
          <w:szCs w:val="15"/>
          <w:color w:val="auto"/>
        </w:rPr>
        <w:t>Centre Universitaire de Gaoua, Université Nazi BONI, 01 BP 1091,</w:t>
      </w:r>
    </w:p>
    <w:p>
      <w:pPr>
        <w:ind w:left="20"/>
        <w:spacing w:after="0" w:line="212" w:lineRule="auto"/>
        <w:rPr>
          <w:sz w:val="20"/>
          <w:szCs w:val="20"/>
          <w:color w:val="auto"/>
        </w:rPr>
      </w:pPr>
      <w:r>
        <w:rPr>
          <w:rFonts w:ascii="Arial" w:cs="Arial" w:eastAsia="Arial" w:hAnsi="Arial"/>
          <w:sz w:val="15"/>
          <w:szCs w:val="15"/>
          <w:color w:val="auto"/>
        </w:rPr>
        <w:t>Bobo-Dioulasso 01, Burkina Faso</w:t>
      </w:r>
    </w:p>
    <w:p>
      <w:pPr>
        <w:ind w:left="20"/>
        <w:spacing w:after="0" w:line="229" w:lineRule="auto"/>
        <w:rPr>
          <w:sz w:val="20"/>
          <w:szCs w:val="20"/>
          <w:color w:val="auto"/>
        </w:rPr>
      </w:pPr>
      <w:r>
        <w:rPr>
          <w:rFonts w:ascii="Arial" w:cs="Arial" w:eastAsia="Arial" w:hAnsi="Arial"/>
          <w:sz w:val="19"/>
          <w:szCs w:val="19"/>
          <w:color w:val="auto"/>
          <w:vertAlign w:val="superscript"/>
        </w:rPr>
        <w:t>2</w:t>
      </w:r>
      <w:r>
        <w:rPr>
          <w:rFonts w:ascii="Arial" w:cs="Arial" w:eastAsia="Arial" w:hAnsi="Arial"/>
          <w:sz w:val="15"/>
          <w:szCs w:val="15"/>
          <w:color w:val="auto"/>
        </w:rPr>
        <w:t>Laboratoire de Biologie et Ecologie Végétales, Université Joseph KI-ZERBO,</w:t>
      </w:r>
    </w:p>
    <w:p>
      <w:pPr>
        <w:ind w:left="20"/>
        <w:spacing w:after="0" w:line="210" w:lineRule="auto"/>
        <w:rPr>
          <w:sz w:val="20"/>
          <w:szCs w:val="20"/>
          <w:color w:val="auto"/>
        </w:rPr>
      </w:pPr>
      <w:r>
        <w:rPr>
          <w:rFonts w:ascii="Arial" w:cs="Arial" w:eastAsia="Arial" w:hAnsi="Arial"/>
          <w:sz w:val="15"/>
          <w:szCs w:val="15"/>
          <w:color w:val="auto"/>
        </w:rPr>
        <w:t>03 BP 7021, Ouagadougou 03, Burkina Faso</w:t>
      </w:r>
    </w:p>
    <w:p>
      <w:pPr>
        <w:spacing w:after="0" w:line="8" w:lineRule="exact"/>
        <w:rPr>
          <w:sz w:val="24"/>
          <w:szCs w:val="24"/>
          <w:color w:val="auto"/>
        </w:rPr>
      </w:pPr>
    </w:p>
    <w:p>
      <w:pPr>
        <w:ind w:left="20"/>
        <w:spacing w:after="0"/>
        <w:rPr>
          <w:sz w:val="20"/>
          <w:szCs w:val="20"/>
          <w:color w:val="auto"/>
        </w:rPr>
      </w:pPr>
      <w:r>
        <w:rPr>
          <w:rFonts w:ascii="Arial" w:cs="Arial" w:eastAsia="Arial" w:hAnsi="Arial"/>
          <w:sz w:val="15"/>
          <w:szCs w:val="15"/>
          <w:color w:val="auto"/>
        </w:rPr>
        <w:t>Full list of author information is available at the end of the article</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8890</wp:posOffset>
            </wp:positionH>
            <wp:positionV relativeFrom="paragraph">
              <wp:posOffset>-10160</wp:posOffset>
            </wp:positionV>
            <wp:extent cx="1389380" cy="5346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extLst>
                    </a:blip>
                    <a:srcRect/>
                    <a:stretch>
                      <a:fillRect/>
                    </a:stretch>
                  </pic:blipFill>
                  <pic:spPr bwMode="auto">
                    <a:xfrm>
                      <a:off x="0" y="0"/>
                      <a:ext cx="1389380" cy="534670"/>
                    </a:xfrm>
                    <a:prstGeom prst="rect">
                      <a:avLst/>
                    </a:prstGeom>
                    <a:noFill/>
                  </pic:spPr>
                </pic:pic>
              </a:graphicData>
            </a:graphic>
          </wp:anchor>
        </w:drawing>
      </w:r>
    </w:p>
    <w:p>
      <w:pPr>
        <w:spacing w:after="0" w:line="156" w:lineRule="exact"/>
        <w:rPr>
          <w:sz w:val="24"/>
          <w:szCs w:val="24"/>
          <w:color w:val="auto"/>
        </w:rPr>
      </w:pPr>
    </w:p>
    <w:p>
      <w:pPr>
        <w:ind w:left="2480" w:right="400"/>
        <w:spacing w:after="0" w:line="282" w:lineRule="auto"/>
        <w:rPr>
          <w:rFonts w:ascii="Arial" w:cs="Arial" w:eastAsia="Arial" w:hAnsi="Arial"/>
          <w:sz w:val="12"/>
          <w:szCs w:val="12"/>
          <w:color w:val="131413"/>
        </w:rPr>
      </w:pPr>
      <w:r>
        <w:rPr>
          <w:rFonts w:ascii="Arial" w:cs="Arial" w:eastAsia="Arial" w:hAnsi="Arial"/>
          <w:sz w:val="12"/>
          <w:szCs w:val="12"/>
          <w:color w:val="131413"/>
        </w:rPr>
        <w:t xml:space="preserve">© The Author(s). 2020 Open Access This article is licensed under a Creative Commons Attribution 4.0 International License, which permits use, sharing, adaptation, distribution and reproduction in any medium or format, as long as you give appropriate credit to the original author(s) and the source, provide a link to the Creative Commons licence, and indicate if changes were made. The images or other third party material in this article are included in the article's Creative Commons licence, unless indicated otherwise in a credit line to the material. If material is not included in the article's Creative Commons licence and your intended use is not permitted by statutory regulation or exceeds the permitted use, you will need to obtain permission directly from the copyright holder. To view a copy of this licence, visit </w:t>
      </w:r>
      <w:hyperlink r:id="rId18">
        <w:r>
          <w:rPr>
            <w:rFonts w:ascii="Arial" w:cs="Arial" w:eastAsia="Arial" w:hAnsi="Arial"/>
            <w:sz w:val="12"/>
            <w:szCs w:val="12"/>
            <w:color w:val="0000FF"/>
          </w:rPr>
          <w:t>http://creativecommons.org/licenses/by/4.0/</w:t>
        </w:r>
      </w:hyperlink>
      <w:r>
        <w:rPr>
          <w:rFonts w:ascii="Arial" w:cs="Arial" w:eastAsia="Arial" w:hAnsi="Arial"/>
          <w:sz w:val="12"/>
          <w:szCs w:val="12"/>
          <w:color w:val="131413"/>
        </w:rPr>
        <w:t>. The Creative Commons Public Domain Dedication waiver (</w:t>
      </w:r>
      <w:hyperlink r:id="rId19">
        <w:r>
          <w:rPr>
            <w:rFonts w:ascii="Arial" w:cs="Arial" w:eastAsia="Arial" w:hAnsi="Arial"/>
            <w:sz w:val="12"/>
            <w:szCs w:val="12"/>
            <w:color w:val="0000FF"/>
          </w:rPr>
          <w:t>http://creativecommons.org/publicdomain/zero/1.0/</w:t>
        </w:r>
      </w:hyperlink>
      <w:r>
        <w:rPr>
          <w:rFonts w:ascii="Arial" w:cs="Arial" w:eastAsia="Arial" w:hAnsi="Arial"/>
          <w:sz w:val="12"/>
          <w:szCs w:val="12"/>
          <w:color w:val="131413"/>
        </w:rPr>
        <w:t>) applies to the data made available in this article, unless otherwise stated in a credit line to the data.</w:t>
      </w:r>
    </w:p>
    <w:p>
      <w:pPr>
        <w:sectPr>
          <w:pgSz w:w="11900" w:h="15817" w:orient="portrait"/>
          <w:cols w:equalWidth="0" w:num="1">
            <w:col w:w="9680"/>
          </w:cols>
          <w:pgMar w:left="1120" w:top="628" w:right="1106" w:bottom="570" w:gutter="0" w:footer="0" w:header="0"/>
        </w:sectPr>
      </w:pPr>
    </w:p>
    <w:bookmarkStart w:id="1" w:name="page2"/>
    <w:bookmarkEnd w:id="1"/>
    <w:p>
      <w:pPr>
        <w:spacing w:after="0"/>
        <w:tabs>
          <w:tab w:leader="none" w:pos="4380" w:val="left"/>
          <w:tab w:leader="none" w:pos="8760" w:val="left"/>
        </w:tabs>
        <w:rPr>
          <w:sz w:val="20"/>
          <w:szCs w:val="20"/>
          <w:color w:val="auto"/>
        </w:rPr>
      </w:pPr>
      <w:r>
        <w:rPr>
          <w:rFonts w:ascii="Arial" w:cs="Arial" w:eastAsia="Arial" w:hAnsi="Arial"/>
          <w:sz w:val="16"/>
          <w:szCs w:val="16"/>
          <w:color w:val="131413"/>
        </w:rPr>
        <w:t>Tiétiambou et al. Journal of Ethnobiology and Ethnomedicine</w:t>
      </w:r>
      <w:r>
        <w:rPr>
          <w:sz w:val="20"/>
          <w:szCs w:val="20"/>
          <w:color w:val="auto"/>
        </w:rPr>
        <w:tab/>
      </w:r>
      <w:r>
        <w:rPr>
          <w:rFonts w:ascii="Arial" w:cs="Arial" w:eastAsia="Arial" w:hAnsi="Arial"/>
          <w:sz w:val="16"/>
          <w:szCs w:val="16"/>
          <w:color w:val="131413"/>
        </w:rPr>
        <w:t>(2020) 16:43</w:t>
      </w:r>
      <w:r>
        <w:rPr>
          <w:sz w:val="20"/>
          <w:szCs w:val="20"/>
          <w:color w:val="auto"/>
        </w:rPr>
        <w:tab/>
      </w:r>
      <w:r>
        <w:rPr>
          <w:rFonts w:ascii="Arial" w:cs="Arial" w:eastAsia="Arial" w:hAnsi="Arial"/>
          <w:sz w:val="15"/>
          <w:szCs w:val="15"/>
          <w:color w:val="131413"/>
        </w:rPr>
        <w:t>Page 2 of 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-15875</wp:posOffset>
            </wp:positionH>
            <wp:positionV relativeFrom="paragraph">
              <wp:posOffset>596900</wp:posOffset>
            </wp:positionV>
            <wp:extent cx="6145530" cy="218376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extLst>
                    </a:blip>
                    <a:srcRect/>
                    <a:stretch>
                      <a:fillRect/>
                    </a:stretch>
                  </pic:blipFill>
                  <pic:spPr bwMode="auto">
                    <a:xfrm>
                      <a:off x="0" y="0"/>
                      <a:ext cx="6145530" cy="21837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120"/>
        <w:spacing w:after="0"/>
        <w:rPr>
          <w:sz w:val="20"/>
          <w:szCs w:val="20"/>
          <w:color w:val="auto"/>
        </w:rPr>
      </w:pPr>
      <w:r>
        <w:rPr>
          <w:rFonts w:ascii="Arial" w:cs="Arial" w:eastAsia="Arial" w:hAnsi="Arial"/>
          <w:sz w:val="16"/>
          <w:szCs w:val="16"/>
          <w:color w:val="auto"/>
        </w:rPr>
        <w:t>(Continued from previous page)</w:t>
      </w:r>
    </w:p>
    <w:p>
      <w:pPr>
        <w:spacing w:after="0" w:line="24" w:lineRule="exact"/>
        <w:rPr>
          <w:sz w:val="20"/>
          <w:szCs w:val="20"/>
          <w:color w:val="auto"/>
        </w:rPr>
      </w:pPr>
    </w:p>
    <w:p>
      <w:pPr>
        <w:ind w:left="120" w:right="260"/>
        <w:spacing w:after="0" w:line="281" w:lineRule="auto"/>
        <w:rPr>
          <w:sz w:val="20"/>
          <w:szCs w:val="20"/>
          <w:color w:val="auto"/>
        </w:rPr>
      </w:pPr>
      <w:r>
        <w:rPr>
          <w:rFonts w:ascii="Arial" w:cs="Arial" w:eastAsia="Arial" w:hAnsi="Arial"/>
          <w:sz w:val="18"/>
          <w:szCs w:val="18"/>
          <w:color w:val="131413"/>
        </w:rPr>
        <w:t>Results: The results showed species-specific patterns. Carapa procera had the highest UV and hence was the most preferred IOS, particularly by women. Informants from the Siamou ethnic group had the highest UV irrespective of IOS. The most cited conservation actions were assisted natural regeneration and banning of tree cutting, which were practiced for C. procera and L. lanceolata. No conservation measure was cited for P. butyracea. The practice of tree planting was not recorded for any of the IOS. Young and male informants participated less in conservation actions. Tree selection for oil-seed collection was mainly guided not by “oil extraction yield” but rather by the “quality of extracted oil” (namely oil color and taste for food uses, and oil bitterness for medicinal efficacy). The selection mainly concerned L. lanceolata and was mostly practiced by elderly people.</w:t>
      </w:r>
    </w:p>
    <w:p>
      <w:pPr>
        <w:spacing w:after="0" w:line="41" w:lineRule="exact"/>
        <w:rPr>
          <w:sz w:val="20"/>
          <w:szCs w:val="20"/>
          <w:color w:val="auto"/>
        </w:rPr>
      </w:pPr>
    </w:p>
    <w:p>
      <w:pPr>
        <w:ind w:left="120" w:right="280"/>
        <w:spacing w:after="0" w:line="248" w:lineRule="auto"/>
        <w:rPr>
          <w:sz w:val="20"/>
          <w:szCs w:val="20"/>
          <w:color w:val="auto"/>
        </w:rPr>
      </w:pPr>
      <w:r>
        <w:rPr>
          <w:rFonts w:ascii="Arial" w:cs="Arial" w:eastAsia="Arial" w:hAnsi="Arial"/>
          <w:sz w:val="20"/>
          <w:szCs w:val="20"/>
          <w:color w:val="131413"/>
        </w:rPr>
        <w:t>Conclusion: This study provided useful local knowledge-based information to guide conservation actions and valorization strategies of three IOS. The study sheds further light on the socio-economic factors that are associated to local people’s preferences, conservation attitudes, and individual tree selection.</w:t>
      </w:r>
    </w:p>
    <w:p>
      <w:pPr>
        <w:spacing w:after="0" w:line="103" w:lineRule="exact"/>
        <w:rPr>
          <w:sz w:val="20"/>
          <w:szCs w:val="20"/>
          <w:color w:val="auto"/>
        </w:rPr>
      </w:pPr>
    </w:p>
    <w:p>
      <w:pPr>
        <w:ind w:left="120"/>
        <w:spacing w:after="0"/>
        <w:rPr>
          <w:sz w:val="20"/>
          <w:szCs w:val="20"/>
          <w:color w:val="auto"/>
        </w:rPr>
      </w:pPr>
      <w:r>
        <w:rPr>
          <w:rFonts w:ascii="Arial" w:cs="Arial" w:eastAsia="Arial" w:hAnsi="Arial"/>
          <w:sz w:val="20"/>
          <w:szCs w:val="20"/>
          <w:color w:val="131413"/>
        </w:rPr>
        <w:t>Keywords: Conservation actions, Local knowledge, Kénédougou, Plus-tree, Underutilized-plants, Use value</w:t>
      </w:r>
    </w:p>
    <w:p>
      <w:pPr>
        <w:sectPr>
          <w:pgSz w:w="11900" w:h="15817" w:orient="portrait"/>
          <w:cols w:equalWidth="0" w:num="1">
            <w:col w:w="9640"/>
          </w:cols>
          <w:pgMar w:left="1140" w:top="623" w:right="1126" w:bottom="614" w:gutter="0" w:footer="0" w:header="0"/>
        </w:sectPr>
      </w:pPr>
    </w:p>
    <w:p>
      <w:pPr>
        <w:spacing w:after="0" w:line="369" w:lineRule="exact"/>
        <w:rPr>
          <w:sz w:val="20"/>
          <w:szCs w:val="20"/>
          <w:color w:val="auto"/>
        </w:rPr>
      </w:pPr>
    </w:p>
    <w:p>
      <w:pPr>
        <w:spacing w:after="0"/>
        <w:rPr>
          <w:sz w:val="20"/>
          <w:szCs w:val="20"/>
          <w:color w:val="auto"/>
        </w:rPr>
      </w:pPr>
      <w:r>
        <w:rPr>
          <w:rFonts w:ascii="Arial" w:cs="Arial" w:eastAsia="Arial" w:hAnsi="Arial"/>
          <w:sz w:val="21"/>
          <w:szCs w:val="21"/>
          <w:color w:val="131413"/>
        </w:rPr>
        <w:t>Background</w:t>
      </w:r>
    </w:p>
    <w:p>
      <w:pPr>
        <w:spacing w:after="0" w:line="18" w:lineRule="exact"/>
        <w:rPr>
          <w:sz w:val="20"/>
          <w:szCs w:val="20"/>
          <w:color w:val="auto"/>
        </w:rPr>
      </w:pPr>
    </w:p>
    <w:p>
      <w:pPr>
        <w:jc w:val="both"/>
        <w:spacing w:after="0" w:line="24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Rural communities substantially rely on natural lands and resources for their livelihoods. They subsequently have good knowledge of their environmental resources [</w:t>
      </w:r>
      <w:hyperlink w:anchor="page16">
        <w:r>
          <w:rPr>
            <w:rFonts w:ascii="Times New Roman" w:cs="Times New Roman" w:eastAsia="Times New Roman" w:hAnsi="Times New Roman"/>
            <w:sz w:val="20"/>
            <w:szCs w:val="20"/>
            <w:color w:val="0000FF"/>
          </w:rPr>
          <w:t>1</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2</w:t>
        </w:r>
      </w:hyperlink>
      <w:r>
        <w:rPr>
          <w:rFonts w:ascii="Times New Roman" w:cs="Times New Roman" w:eastAsia="Times New Roman" w:hAnsi="Times New Roman"/>
          <w:sz w:val="20"/>
          <w:szCs w:val="20"/>
          <w:color w:val="131413"/>
        </w:rPr>
        <w:t>]. This knowledge evolves through a dynamic process of knowledge acquisition and loss to adapt to changing living conditions and needs [</w:t>
      </w:r>
      <w:hyperlink w:anchor="page16">
        <w:r>
          <w:rPr>
            <w:rFonts w:ascii="Times New Roman" w:cs="Times New Roman" w:eastAsia="Times New Roman" w:hAnsi="Times New Roman"/>
            <w:sz w:val="20"/>
            <w:szCs w:val="20"/>
            <w:color w:val="0000FF"/>
          </w:rPr>
          <w:t>3</w:t>
        </w:r>
      </w:hyperlink>
      <w:r>
        <w:rPr>
          <w:rFonts w:ascii="Times New Roman" w:cs="Times New Roman" w:eastAsia="Times New Roman" w:hAnsi="Times New Roman"/>
          <w:sz w:val="20"/>
          <w:szCs w:val="20"/>
          <w:color w:val="131413"/>
        </w:rPr>
        <w:t>]. Increasingly, such knowledge has proven vital for conservation but also for the domestication of wild tree species with a high potential for being promoted. Some of these species are still underutilized and are threatened by several fac-tors (e.g., overexploitation, habitat fragmentation, cli-mate change, and invasive species). This is particularly the case for Carapa procera DC., Lophira lanceolata, Tiegh. ex Keay, and Pentadesma butyracea Sabine, three multipurpose indigenous oil-seed tree species in Western Burkina Faso [</w:t>
      </w:r>
      <w:hyperlink w:anchor="page16">
        <w:r>
          <w:rPr>
            <w:rFonts w:ascii="Times New Roman" w:cs="Times New Roman" w:eastAsia="Times New Roman" w:hAnsi="Times New Roman"/>
            <w:sz w:val="20"/>
            <w:szCs w:val="20"/>
            <w:color w:val="0000FF"/>
          </w:rPr>
          <w:t>4</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5</w:t>
        </w:r>
      </w:hyperlink>
      <w:r>
        <w:rPr>
          <w:rFonts w:ascii="Times New Roman" w:cs="Times New Roman" w:eastAsia="Times New Roman" w:hAnsi="Times New Roman"/>
          <w:sz w:val="20"/>
          <w:szCs w:val="20"/>
          <w:color w:val="131413"/>
        </w:rPr>
        <w:t>].</w:t>
      </w:r>
    </w:p>
    <w:p>
      <w:pPr>
        <w:spacing w:after="0" w:line="23" w:lineRule="exact"/>
        <w:rPr>
          <w:rFonts w:ascii="Times New Roman" w:cs="Times New Roman" w:eastAsia="Times New Roman" w:hAnsi="Times New Roman"/>
          <w:sz w:val="20"/>
          <w:szCs w:val="20"/>
          <w:color w:val="131413"/>
        </w:rPr>
      </w:pPr>
    </w:p>
    <w:p>
      <w:pPr>
        <w:jc w:val="both"/>
        <w:ind w:firstLine="160"/>
        <w:spacing w:after="0" w:line="245"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Carapa procera, locally called </w:t>
      </w:r>
      <w:r>
        <w:rPr>
          <w:rFonts w:ascii="Arial" w:cs="Arial" w:eastAsia="Arial" w:hAnsi="Arial"/>
          <w:sz w:val="20"/>
          <w:szCs w:val="20"/>
          <w:color w:val="131413"/>
        </w:rPr>
        <w:t>“</w:t>
      </w:r>
      <w:r>
        <w:rPr>
          <w:rFonts w:ascii="Times New Roman" w:cs="Times New Roman" w:eastAsia="Times New Roman" w:hAnsi="Times New Roman"/>
          <w:sz w:val="20"/>
          <w:szCs w:val="20"/>
          <w:color w:val="131413"/>
        </w:rPr>
        <w:t>Kobiyiri</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in Djula (a common local language in the Western provinces of Burkina Faso), is a tree of 8</w:t>
      </w:r>
      <w:r>
        <w:rPr>
          <w:rFonts w:ascii="Arial" w:cs="Arial" w:eastAsia="Arial" w:hAnsi="Arial"/>
          <w:sz w:val="20"/>
          <w:szCs w:val="20"/>
          <w:color w:val="131413"/>
        </w:rPr>
        <w:t>–</w:t>
      </w:r>
      <w:r>
        <w:rPr>
          <w:rFonts w:ascii="Times New Roman" w:cs="Times New Roman" w:eastAsia="Times New Roman" w:hAnsi="Times New Roman"/>
          <w:sz w:val="20"/>
          <w:szCs w:val="20"/>
          <w:color w:val="131413"/>
        </w:rPr>
        <w:t>20 m height that naturally occurs in gallery forests of semi-arid regions [</w:t>
      </w:r>
      <w:hyperlink w:anchor="page16">
        <w:r>
          <w:rPr>
            <w:rFonts w:ascii="Times New Roman" w:cs="Times New Roman" w:eastAsia="Times New Roman" w:hAnsi="Times New Roman"/>
            <w:sz w:val="20"/>
            <w:szCs w:val="20"/>
            <w:color w:val="0000FF"/>
          </w:rPr>
          <w:t>6</w:t>
        </w:r>
      </w:hyperlink>
      <w:r>
        <w:rPr>
          <w:rFonts w:ascii="Times New Roman" w:cs="Times New Roman" w:eastAsia="Times New Roman" w:hAnsi="Times New Roman"/>
          <w:sz w:val="20"/>
          <w:szCs w:val="20"/>
          <w:color w:val="131413"/>
        </w:rPr>
        <w:t>]. The an-nual seed production per tree varies between 0.7 kg and 30.1 kg of dry material with an annual potential product-ivity of 1.02 t.ha</w:t>
      </w:r>
      <w:r>
        <w:rPr>
          <w:rFonts w:ascii="Arial" w:cs="Arial" w:eastAsia="Arial" w:hAnsi="Arial"/>
          <w:sz w:val="26"/>
          <w:szCs w:val="26"/>
          <w:color w:val="131413"/>
          <w:vertAlign w:val="superscript"/>
        </w:rPr>
        <w:t>−</w:t>
      </w:r>
      <w:r>
        <w:rPr>
          <w:rFonts w:ascii="Times New Roman" w:cs="Times New Roman" w:eastAsia="Times New Roman" w:hAnsi="Times New Roman"/>
          <w:sz w:val="26"/>
          <w:szCs w:val="26"/>
          <w:color w:val="131413"/>
          <w:vertAlign w:val="superscript"/>
        </w:rPr>
        <w:t>1</w:t>
      </w:r>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4</w:t>
        </w:r>
      </w:hyperlink>
      <w:r>
        <w:rPr>
          <w:rFonts w:ascii="Times New Roman" w:cs="Times New Roman" w:eastAsia="Times New Roman" w:hAnsi="Times New Roman"/>
          <w:sz w:val="20"/>
          <w:szCs w:val="20"/>
          <w:color w:val="131413"/>
        </w:rPr>
        <w:t>]. Seed oil of this species is used as a component for human medicine, cosmetics, and bio-pesticides [</w:t>
      </w:r>
      <w:hyperlink w:anchor="page16">
        <w:r>
          <w:rPr>
            <w:rFonts w:ascii="Times New Roman" w:cs="Times New Roman" w:eastAsia="Times New Roman" w:hAnsi="Times New Roman"/>
            <w:sz w:val="20"/>
            <w:szCs w:val="20"/>
            <w:color w:val="0000FF"/>
          </w:rPr>
          <w:t>5</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7</w:t>
        </w:r>
      </w:hyperlink>
      <w:r>
        <w:rPr>
          <w:rFonts w:ascii="Times New Roman" w:cs="Times New Roman" w:eastAsia="Times New Roman" w:hAnsi="Times New Roman"/>
          <w:sz w:val="20"/>
          <w:szCs w:val="20"/>
          <w:color w:val="131413"/>
        </w:rPr>
        <w:t xml:space="preserve">]. The seed oil is sold on local markets in West Africa and the price varies between </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1.5 and </w:t>
      </w:r>
      <w:r>
        <w:rPr>
          <w:rFonts w:ascii="Arial" w:cs="Arial" w:eastAsia="Arial" w:hAnsi="Arial"/>
          <w:sz w:val="20"/>
          <w:szCs w:val="20"/>
          <w:color w:val="131413"/>
        </w:rPr>
        <w:t>€</w:t>
      </w:r>
      <w:r>
        <w:rPr>
          <w:rFonts w:ascii="Times New Roman" w:cs="Times New Roman" w:eastAsia="Times New Roman" w:hAnsi="Times New Roman"/>
          <w:sz w:val="20"/>
          <w:szCs w:val="20"/>
          <w:color w:val="131413"/>
        </w:rPr>
        <w:t>7.7 per liter [</w:t>
      </w:r>
      <w:hyperlink w:anchor="page16">
        <w:r>
          <w:rPr>
            <w:rFonts w:ascii="Times New Roman" w:cs="Times New Roman" w:eastAsia="Times New Roman" w:hAnsi="Times New Roman"/>
            <w:sz w:val="20"/>
            <w:szCs w:val="20"/>
            <w:color w:val="0000FF"/>
          </w:rPr>
          <w:t>4</w:t>
        </w:r>
      </w:hyperlink>
      <w:r>
        <w:rPr>
          <w:rFonts w:ascii="Times New Roman" w:cs="Times New Roman" w:eastAsia="Times New Roman" w:hAnsi="Times New Roman"/>
          <w:sz w:val="20"/>
          <w:szCs w:val="20"/>
          <w:color w:val="131413"/>
        </w:rPr>
        <w:t xml:space="preserve">]. Lophira lanceolata, called </w:t>
      </w:r>
      <w:r>
        <w:rPr>
          <w:rFonts w:ascii="Arial" w:cs="Arial" w:eastAsia="Arial" w:hAnsi="Arial"/>
          <w:sz w:val="20"/>
          <w:szCs w:val="20"/>
          <w:color w:val="131413"/>
        </w:rPr>
        <w:t>“</w:t>
      </w:r>
      <w:r>
        <w:rPr>
          <w:rFonts w:ascii="Times New Roman" w:cs="Times New Roman" w:eastAsia="Times New Roman" w:hAnsi="Times New Roman"/>
          <w:sz w:val="20"/>
          <w:szCs w:val="20"/>
          <w:color w:val="131413"/>
        </w:rPr>
        <w:t>Mananyiri</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in Djula, is a rather small tree of 8</w:t>
      </w:r>
      <w:r>
        <w:rPr>
          <w:rFonts w:ascii="Arial" w:cs="Arial" w:eastAsia="Arial" w:hAnsi="Arial"/>
          <w:sz w:val="20"/>
          <w:szCs w:val="20"/>
          <w:color w:val="131413"/>
        </w:rPr>
        <w:t>–</w:t>
      </w:r>
      <w:r>
        <w:rPr>
          <w:rFonts w:ascii="Times New Roman" w:cs="Times New Roman" w:eastAsia="Times New Roman" w:hAnsi="Times New Roman"/>
          <w:sz w:val="20"/>
          <w:szCs w:val="20"/>
          <w:color w:val="131413"/>
        </w:rPr>
        <w:t>10 m height occurring in the Sudano-Guinean and Guinean savannahs of Africa [</w:t>
      </w:r>
      <w:hyperlink w:anchor="page16">
        <w:r>
          <w:rPr>
            <w:rFonts w:ascii="Times New Roman" w:cs="Times New Roman" w:eastAsia="Times New Roman" w:hAnsi="Times New Roman"/>
            <w:sz w:val="20"/>
            <w:szCs w:val="20"/>
            <w:color w:val="0000FF"/>
          </w:rPr>
          <w:t>6</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8</w:t>
        </w:r>
      </w:hyperlink>
      <w:r>
        <w:rPr>
          <w:rFonts w:ascii="Times New Roman" w:cs="Times New Roman" w:eastAsia="Times New Roman" w:hAnsi="Times New Roman"/>
          <w:sz w:val="20"/>
          <w:szCs w:val="20"/>
          <w:color w:val="131413"/>
        </w:rPr>
        <w:t xml:space="preserve">]. In Cameroon, a liter of seed oil from this species fluctuates between </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1.8 and </w:t>
      </w:r>
      <w:r>
        <w:rPr>
          <w:rFonts w:ascii="Arial" w:cs="Arial" w:eastAsia="Arial" w:hAnsi="Arial"/>
          <w:sz w:val="20"/>
          <w:szCs w:val="20"/>
          <w:color w:val="131413"/>
        </w:rPr>
        <w:t>€</w:t>
      </w:r>
      <w:r>
        <w:rPr>
          <w:rFonts w:ascii="Times New Roman" w:cs="Times New Roman" w:eastAsia="Times New Roman" w:hAnsi="Times New Roman"/>
          <w:sz w:val="20"/>
          <w:szCs w:val="20"/>
          <w:color w:val="131413"/>
        </w:rPr>
        <w:t>2.8 on the local market [</w:t>
      </w:r>
      <w:hyperlink w:anchor="page16">
        <w:r>
          <w:rPr>
            <w:rFonts w:ascii="Times New Roman" w:cs="Times New Roman" w:eastAsia="Times New Roman" w:hAnsi="Times New Roman"/>
            <w:sz w:val="20"/>
            <w:szCs w:val="20"/>
            <w:color w:val="0000FF"/>
          </w:rPr>
          <w:t>9</w:t>
        </w:r>
      </w:hyperlink>
      <w:r>
        <w:rPr>
          <w:rFonts w:ascii="Times New Roman" w:cs="Times New Roman" w:eastAsia="Times New Roman" w:hAnsi="Times New Roman"/>
          <w:sz w:val="20"/>
          <w:szCs w:val="20"/>
          <w:color w:val="131413"/>
        </w:rPr>
        <w:t xml:space="preserve">]. Pentadesma butyracea, called </w:t>
      </w:r>
      <w:r>
        <w:rPr>
          <w:rFonts w:ascii="Arial" w:cs="Arial" w:eastAsia="Arial" w:hAnsi="Arial"/>
          <w:sz w:val="20"/>
          <w:szCs w:val="20"/>
          <w:color w:val="131413"/>
        </w:rPr>
        <w:t>“</w:t>
      </w:r>
      <w:r>
        <w:rPr>
          <w:rFonts w:ascii="Times New Roman" w:cs="Times New Roman" w:eastAsia="Times New Roman" w:hAnsi="Times New Roman"/>
          <w:sz w:val="20"/>
          <w:szCs w:val="20"/>
          <w:color w:val="131413"/>
        </w:rPr>
        <w:t>N</w:t>
      </w:r>
      <w:r>
        <w:rPr>
          <w:rFonts w:ascii="Arial" w:cs="Arial" w:eastAsia="Arial" w:hAnsi="Arial"/>
          <w:sz w:val="20"/>
          <w:szCs w:val="20"/>
          <w:color w:val="131413"/>
        </w:rPr>
        <w:t>’</w:t>
      </w:r>
      <w:r>
        <w:rPr>
          <w:rFonts w:ascii="Times New Roman" w:cs="Times New Roman" w:eastAsia="Times New Roman" w:hAnsi="Times New Roman"/>
          <w:sz w:val="20"/>
          <w:szCs w:val="20"/>
          <w:color w:val="131413"/>
        </w:rPr>
        <w:t>taman</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in Djula, is a tree species of up to 10 m height and, like C. procera, it naturally occurs in gallery forests of semi-arid regions [</w:t>
      </w:r>
      <w:hyperlink w:anchor="page16">
        <w:r>
          <w:rPr>
            <w:rFonts w:ascii="Times New Roman" w:cs="Times New Roman" w:eastAsia="Times New Roman" w:hAnsi="Times New Roman"/>
            <w:sz w:val="20"/>
            <w:szCs w:val="20"/>
            <w:color w:val="0000FF"/>
          </w:rPr>
          <w:t>6</w:t>
        </w:r>
      </w:hyperlink>
      <w:r>
        <w:rPr>
          <w:rFonts w:ascii="Times New Roman" w:cs="Times New Roman" w:eastAsia="Times New Roman" w:hAnsi="Times New Roman"/>
          <w:sz w:val="20"/>
          <w:szCs w:val="20"/>
          <w:color w:val="131413"/>
        </w:rPr>
        <w:t>]. Its annual seed production varies between 0.7 kg and 20 kg of dry material per tree with an annual potential productivity of 0.36 t.ha</w:t>
      </w:r>
      <w:r>
        <w:rPr>
          <w:rFonts w:ascii="Arial" w:cs="Arial" w:eastAsia="Arial" w:hAnsi="Arial"/>
          <w:sz w:val="26"/>
          <w:szCs w:val="26"/>
          <w:color w:val="131413"/>
          <w:vertAlign w:val="superscript"/>
        </w:rPr>
        <w:t>−</w:t>
      </w:r>
      <w:r>
        <w:rPr>
          <w:rFonts w:ascii="Times New Roman" w:cs="Times New Roman" w:eastAsia="Times New Roman" w:hAnsi="Times New Roman"/>
          <w:sz w:val="26"/>
          <w:szCs w:val="26"/>
          <w:color w:val="131413"/>
          <w:vertAlign w:val="superscript"/>
        </w:rPr>
        <w:t>1</w:t>
      </w:r>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4</w:t>
        </w:r>
      </w:hyperlink>
      <w:r>
        <w:rPr>
          <w:rFonts w:ascii="Times New Roman" w:cs="Times New Roman" w:eastAsia="Times New Roman" w:hAnsi="Times New Roman"/>
          <w:sz w:val="20"/>
          <w:szCs w:val="20"/>
          <w:color w:val="131413"/>
        </w:rPr>
        <w:t>]. Its seed oil is similar to</w:t>
      </w:r>
    </w:p>
    <w:p>
      <w:pPr>
        <w:spacing w:after="0" w:line="20" w:lineRule="exact"/>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br w:type="column"/>
      </w:r>
    </w:p>
    <w:p>
      <w:pPr>
        <w:spacing w:after="0" w:line="369" w:lineRule="exact"/>
        <w:rPr>
          <w:rFonts w:ascii="Times New Roman" w:cs="Times New Roman" w:eastAsia="Times New Roman" w:hAnsi="Times New Roman"/>
          <w:sz w:val="20"/>
          <w:szCs w:val="20"/>
          <w:color w:val="131413"/>
        </w:rPr>
      </w:pPr>
    </w:p>
    <w:p>
      <w:pPr>
        <w:jc w:val="both"/>
        <w:spacing w:after="0" w:line="249" w:lineRule="auto"/>
        <w:rPr>
          <w:rFonts w:ascii="Times New Roman" w:cs="Times New Roman" w:eastAsia="Times New Roman" w:hAnsi="Times New Roman"/>
          <w:sz w:val="20"/>
          <w:szCs w:val="20"/>
          <w:color w:val="0000FF"/>
        </w:rPr>
      </w:pPr>
      <w:r>
        <w:rPr>
          <w:rFonts w:ascii="Times New Roman" w:cs="Times New Roman" w:eastAsia="Times New Roman" w:hAnsi="Times New Roman"/>
          <w:sz w:val="20"/>
          <w:szCs w:val="20"/>
          <w:color w:val="131413"/>
        </w:rPr>
        <w:t xml:space="preserve">that of shea butter and commonly used for human food and in cosmetics. In some West-African markets, 1 L of its oil is sold at </w:t>
      </w:r>
      <w:r>
        <w:rPr>
          <w:rFonts w:ascii="Arial" w:cs="Arial" w:eastAsia="Arial" w:hAnsi="Arial"/>
          <w:sz w:val="20"/>
          <w:szCs w:val="20"/>
          <w:color w:val="131413"/>
        </w:rPr>
        <w:t>€</w:t>
      </w:r>
      <w:r>
        <w:rPr>
          <w:rFonts w:ascii="Times New Roman" w:cs="Times New Roman" w:eastAsia="Times New Roman" w:hAnsi="Times New Roman"/>
          <w:sz w:val="20"/>
          <w:szCs w:val="20"/>
          <w:color w:val="131413"/>
        </w:rPr>
        <w:t>2</w:t>
      </w:r>
      <w:r>
        <w:rPr>
          <w:rFonts w:ascii="Arial" w:cs="Arial" w:eastAsia="Arial" w:hAnsi="Arial"/>
          <w:sz w:val="20"/>
          <w:szCs w:val="20"/>
          <w:color w:val="131413"/>
        </w:rPr>
        <w:t>–</w:t>
      </w:r>
      <w:r>
        <w:rPr>
          <w:rFonts w:ascii="Times New Roman" w:cs="Times New Roman" w:eastAsia="Times New Roman" w:hAnsi="Times New Roman"/>
          <w:sz w:val="20"/>
          <w:szCs w:val="20"/>
          <w:color w:val="131413"/>
        </w:rPr>
        <w:t>8 [</w:t>
      </w:r>
      <w:hyperlink w:anchor="page16">
        <w:r>
          <w:rPr>
            <w:rFonts w:ascii="Times New Roman" w:cs="Times New Roman" w:eastAsia="Times New Roman" w:hAnsi="Times New Roman"/>
            <w:sz w:val="20"/>
            <w:szCs w:val="20"/>
            <w:color w:val="0000FF"/>
          </w:rPr>
          <w:t>10</w:t>
        </w:r>
      </w:hyperlink>
      <w:r>
        <w:rPr>
          <w:rFonts w:ascii="Times New Roman" w:cs="Times New Roman" w:eastAsia="Times New Roman" w:hAnsi="Times New Roman"/>
          <w:sz w:val="20"/>
          <w:szCs w:val="20"/>
          <w:color w:val="131413"/>
        </w:rPr>
        <w:t>]. All three species are multi-purpose trees with a high potential for seed oil extrac-tion. Seeds of these species have a high content of oil, the therapeutic and cosmetic virtues of which are well documented in many African countries [</w:t>
      </w:r>
      <w:hyperlink w:anchor="page16">
        <w:r>
          <w:rPr>
            <w:rFonts w:ascii="Times New Roman" w:cs="Times New Roman" w:eastAsia="Times New Roman" w:hAnsi="Times New Roman"/>
            <w:sz w:val="20"/>
            <w:szCs w:val="20"/>
            <w:color w:val="0000FF"/>
          </w:rPr>
          <w:t>5</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7</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10</w:t>
        </w:r>
      </w:hyperlink>
      <w:r>
        <w:rPr>
          <w:rFonts w:ascii="Arial" w:cs="Arial" w:eastAsia="Arial" w:hAnsi="Arial"/>
          <w:sz w:val="20"/>
          <w:szCs w:val="20"/>
          <w:color w:val="131413"/>
        </w:rPr>
        <w:t>–</w:t>
      </w:r>
      <w:hyperlink w:anchor="page16">
        <w:r>
          <w:rPr>
            <w:rFonts w:ascii="Times New Roman" w:cs="Times New Roman" w:eastAsia="Times New Roman" w:hAnsi="Times New Roman"/>
            <w:sz w:val="20"/>
            <w:szCs w:val="20"/>
            <w:color w:val="0000FF"/>
          </w:rPr>
          <w:t>12</w:t>
        </w:r>
      </w:hyperlink>
      <w:r>
        <w:rPr>
          <w:rFonts w:ascii="Times New Roman" w:cs="Times New Roman" w:eastAsia="Times New Roman" w:hAnsi="Times New Roman"/>
          <w:sz w:val="20"/>
          <w:szCs w:val="20"/>
          <w:color w:val="131413"/>
        </w:rPr>
        <w:t>]. In Kénédougou, different parts of these plants are used by rural communities in cosmetics for body and hair care, pharmacopeia for health care, handcrafts for construc-tion, and biopesticides for phytosanitary treatments [</w:t>
      </w:r>
      <w:hyperlink w:anchor="page16">
        <w:r>
          <w:rPr>
            <w:rFonts w:ascii="Times New Roman" w:cs="Times New Roman" w:eastAsia="Times New Roman" w:hAnsi="Times New Roman"/>
            <w:sz w:val="20"/>
            <w:szCs w:val="20"/>
            <w:color w:val="0000FF"/>
          </w:rPr>
          <w:t>7</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13</w:t>
        </w:r>
      </w:hyperlink>
      <w:r>
        <w:rPr>
          <w:rFonts w:ascii="Times New Roman" w:cs="Times New Roman" w:eastAsia="Times New Roman" w:hAnsi="Times New Roman"/>
          <w:sz w:val="20"/>
          <w:szCs w:val="20"/>
          <w:color w:val="131413"/>
        </w:rPr>
        <w:t>,</w:t>
      </w:r>
      <w:r>
        <w:rPr>
          <w:rFonts w:ascii="Times New Roman" w:cs="Times New Roman" w:eastAsia="Times New Roman" w:hAnsi="Times New Roman"/>
          <w:sz w:val="20"/>
          <w:szCs w:val="20"/>
          <w:color w:val="0000FF"/>
        </w:rPr>
        <w:t xml:space="preserve"> </w:t>
      </w:r>
      <w:hyperlink w:anchor="page16">
        <w:r>
          <w:rPr>
            <w:rFonts w:ascii="Times New Roman" w:cs="Times New Roman" w:eastAsia="Times New Roman" w:hAnsi="Times New Roman"/>
            <w:sz w:val="20"/>
            <w:szCs w:val="20"/>
            <w:color w:val="0000FF"/>
          </w:rPr>
          <w:t>14</w:t>
        </w:r>
      </w:hyperlink>
      <w:r>
        <w:rPr>
          <w:rFonts w:ascii="Times New Roman" w:cs="Times New Roman" w:eastAsia="Times New Roman" w:hAnsi="Times New Roman"/>
          <w:sz w:val="20"/>
          <w:szCs w:val="20"/>
          <w:color w:val="131413"/>
        </w:rPr>
        <w:t>].</w:t>
      </w:r>
    </w:p>
    <w:p>
      <w:pPr>
        <w:spacing w:after="0" w:line="15" w:lineRule="exact"/>
        <w:rPr>
          <w:rFonts w:ascii="Times New Roman" w:cs="Times New Roman" w:eastAsia="Times New Roman" w:hAnsi="Times New Roman"/>
          <w:sz w:val="20"/>
          <w:szCs w:val="20"/>
          <w:color w:val="131413"/>
        </w:rPr>
      </w:pPr>
    </w:p>
    <w:p>
      <w:pPr>
        <w:jc w:val="both"/>
        <w:ind w:firstLine="160"/>
        <w:spacing w:after="0" w:line="249" w:lineRule="auto"/>
        <w:rPr>
          <w:rFonts w:ascii="Times New Roman" w:cs="Times New Roman" w:eastAsia="Times New Roman" w:hAnsi="Times New Roman"/>
          <w:sz w:val="20"/>
          <w:szCs w:val="20"/>
          <w:color w:val="0000FF"/>
        </w:rPr>
      </w:pPr>
      <w:r>
        <w:rPr>
          <w:rFonts w:ascii="Times New Roman" w:cs="Times New Roman" w:eastAsia="Times New Roman" w:hAnsi="Times New Roman"/>
          <w:sz w:val="20"/>
          <w:szCs w:val="20"/>
          <w:color w:val="131413"/>
        </w:rPr>
        <w:t>During recent decades, repeated and longer droughts in addition to habitats fragmentation due to extensive agriculture have put high pressures on tree species across the Sahel [</w:t>
      </w:r>
      <w:hyperlink w:anchor="page16">
        <w:r>
          <w:rPr>
            <w:rFonts w:ascii="Times New Roman" w:cs="Times New Roman" w:eastAsia="Times New Roman" w:hAnsi="Times New Roman"/>
            <w:sz w:val="20"/>
            <w:szCs w:val="20"/>
            <w:color w:val="0000FF"/>
          </w:rPr>
          <w:t>15</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16</w:t>
        </w:r>
      </w:hyperlink>
      <w:r>
        <w:rPr>
          <w:rFonts w:ascii="Times New Roman" w:cs="Times New Roman" w:eastAsia="Times New Roman" w:hAnsi="Times New Roman"/>
          <w:sz w:val="20"/>
          <w:szCs w:val="20"/>
          <w:color w:val="131413"/>
        </w:rPr>
        <w:t>]. Overharvesting of fruits and seeds makes their natural stands vulnerable to aging be-cause of the threat on natural regeneration [</w:t>
      </w:r>
      <w:hyperlink w:anchor="page16">
        <w:r>
          <w:rPr>
            <w:rFonts w:ascii="Times New Roman" w:cs="Times New Roman" w:eastAsia="Times New Roman" w:hAnsi="Times New Roman"/>
            <w:sz w:val="20"/>
            <w:szCs w:val="20"/>
            <w:color w:val="0000FF"/>
          </w:rPr>
          <w:t>2</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14</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17</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18</w:t>
        </w:r>
      </w:hyperlink>
      <w:r>
        <w:rPr>
          <w:rFonts w:ascii="Times New Roman" w:cs="Times New Roman" w:eastAsia="Times New Roman" w:hAnsi="Times New Roman"/>
          <w:sz w:val="20"/>
          <w:szCs w:val="20"/>
          <w:color w:val="131413"/>
        </w:rPr>
        <w:t>].</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131413"/>
        </w:rPr>
        <w:t>This is particularly true for</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131413"/>
        </w:rPr>
        <w:t>C. procera,</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131413"/>
        </w:rPr>
        <w:t>L. lanceolata,</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131413"/>
        </w:rPr>
        <w:t>and P. butyracea the seeds of which provide high use value oils. Therefore, actions for conservation and culti-vation of these species have become urgent to guarantee the current and future optional sustainable uses of their products.</w:t>
      </w:r>
    </w:p>
    <w:p>
      <w:pPr>
        <w:spacing w:after="0" w:line="255" w:lineRule="exact"/>
        <w:rPr>
          <w:rFonts w:ascii="Times New Roman" w:cs="Times New Roman" w:eastAsia="Times New Roman" w:hAnsi="Times New Roman"/>
          <w:sz w:val="20"/>
          <w:szCs w:val="20"/>
          <w:color w:val="131413"/>
        </w:rPr>
      </w:pPr>
    </w:p>
    <w:p>
      <w:pPr>
        <w:jc w:val="both"/>
        <w:ind w:firstLine="160"/>
        <w:spacing w:after="0" w:line="24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In most developing countries, there is a global defi-ciency of government-driven policies to support the valorization, conservation, and cultivation of wild spe-cies. In Burkina Faso, most of the efforts were on exotic species (e.g., Anacardium occidentale L., Azadirachta indica A. Juss., Eucalyptus camaldulensis Dehn., and Mangifera indica L.) which were used in several tree planting programs as a strategy to mitigate the impacts of climate variability and change on farmers</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food secur-ity and livelihoods [</w:t>
      </w:r>
      <w:hyperlink w:anchor="page16">
        <w:r>
          <w:rPr>
            <w:rFonts w:ascii="Times New Roman" w:cs="Times New Roman" w:eastAsia="Times New Roman" w:hAnsi="Times New Roman"/>
            <w:sz w:val="20"/>
            <w:szCs w:val="20"/>
            <w:color w:val="0000FF"/>
          </w:rPr>
          <w:t>19</w:t>
        </w:r>
      </w:hyperlink>
      <w:r>
        <w:rPr>
          <w:rFonts w:ascii="Times New Roman" w:cs="Times New Roman" w:eastAsia="Times New Roman" w:hAnsi="Times New Roman"/>
          <w:sz w:val="20"/>
          <w:szCs w:val="20"/>
          <w:color w:val="131413"/>
        </w:rPr>
        <w:t>]. Nonetheless, farmers themselves have developed some traditional conservation practices such as farmers</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management of natural regeneration. They have even initiated cultivation (i.e., tree planting) of some indigenous species (e.g., Adansonia digitata,</w:t>
      </w:r>
    </w:p>
    <w:p>
      <w:pPr>
        <w:sectPr>
          <w:pgSz w:w="11900" w:h="15817" w:orient="portrait"/>
          <w:cols w:equalWidth="0" w:num="2">
            <w:col w:w="4680" w:space="280"/>
            <w:col w:w="4680"/>
          </w:cols>
          <w:pgMar w:left="1140" w:top="623" w:right="1126" w:bottom="614" w:gutter="0" w:footer="0" w:header="0"/>
          <w:type w:val="continuous"/>
        </w:sectPr>
      </w:pPr>
    </w:p>
    <w:bookmarkStart w:id="2" w:name="page3"/>
    <w:bookmarkEnd w:id="2"/>
    <w:p>
      <w:pPr>
        <w:spacing w:after="0"/>
        <w:tabs>
          <w:tab w:leader="none" w:pos="4380" w:val="left"/>
          <w:tab w:leader="none" w:pos="8760" w:val="left"/>
        </w:tabs>
        <w:rPr>
          <w:sz w:val="20"/>
          <w:szCs w:val="20"/>
          <w:color w:val="auto"/>
        </w:rPr>
      </w:pPr>
      <w:r>
        <w:rPr>
          <w:rFonts w:ascii="Arial" w:cs="Arial" w:eastAsia="Arial" w:hAnsi="Arial"/>
          <w:sz w:val="16"/>
          <w:szCs w:val="16"/>
          <w:color w:val="131413"/>
        </w:rPr>
        <w:t>Tiétiambou et al. Journal of Ethnobiology and Ethnomedicine</w:t>
      </w:r>
      <w:r>
        <w:rPr>
          <w:sz w:val="20"/>
          <w:szCs w:val="20"/>
          <w:color w:val="auto"/>
        </w:rPr>
        <w:tab/>
      </w:r>
      <w:r>
        <w:rPr>
          <w:rFonts w:ascii="Arial" w:cs="Arial" w:eastAsia="Arial" w:hAnsi="Arial"/>
          <w:sz w:val="16"/>
          <w:szCs w:val="16"/>
          <w:color w:val="131413"/>
        </w:rPr>
        <w:t>(2020) 16:43</w:t>
      </w:r>
      <w:r>
        <w:rPr>
          <w:sz w:val="20"/>
          <w:szCs w:val="20"/>
          <w:color w:val="auto"/>
        </w:rPr>
        <w:tab/>
      </w:r>
      <w:r>
        <w:rPr>
          <w:rFonts w:ascii="Arial" w:cs="Arial" w:eastAsia="Arial" w:hAnsi="Arial"/>
          <w:sz w:val="15"/>
          <w:szCs w:val="15"/>
          <w:color w:val="131413"/>
        </w:rPr>
        <w:t>Page 3 of 16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spacing w:after="0" w:line="250"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Vitellaria paradoxa, Ziziphus mauritiana) [</w:t>
      </w:r>
      <w:hyperlink w:anchor="page16">
        <w:r>
          <w:rPr>
            <w:rFonts w:ascii="Times New Roman" w:cs="Times New Roman" w:eastAsia="Times New Roman" w:hAnsi="Times New Roman"/>
            <w:sz w:val="20"/>
            <w:szCs w:val="20"/>
            <w:color w:val="0000FF"/>
          </w:rPr>
          <w:t>19</w:t>
        </w:r>
      </w:hyperlink>
      <w:r>
        <w:rPr>
          <w:rFonts w:ascii="Arial" w:cs="Arial" w:eastAsia="Arial" w:hAnsi="Arial"/>
          <w:sz w:val="20"/>
          <w:szCs w:val="20"/>
          <w:color w:val="131413"/>
        </w:rPr>
        <w:t>–</w:t>
      </w:r>
      <w:hyperlink w:anchor="page16">
        <w:r>
          <w:rPr>
            <w:rFonts w:ascii="Times New Roman" w:cs="Times New Roman" w:eastAsia="Times New Roman" w:hAnsi="Times New Roman"/>
            <w:sz w:val="20"/>
            <w:szCs w:val="20"/>
            <w:color w:val="0000FF"/>
          </w:rPr>
          <w:t>22</w:t>
        </w:r>
      </w:hyperlink>
      <w:r>
        <w:rPr>
          <w:rFonts w:ascii="Times New Roman" w:cs="Times New Roman" w:eastAsia="Times New Roman" w:hAnsi="Times New Roman"/>
          <w:sz w:val="20"/>
          <w:szCs w:val="20"/>
          <w:color w:val="131413"/>
        </w:rPr>
        <w:t>], the Theories suggest that an individual</w:t>
      </w:r>
      <w:r>
        <w:rPr>
          <w:rFonts w:ascii="Arial" w:cs="Arial" w:eastAsia="Arial" w:hAnsi="Arial"/>
          <w:sz w:val="20"/>
          <w:szCs w:val="20"/>
          <w:color w:val="131413"/>
        </w:rPr>
        <w:t>’</w:t>
      </w:r>
      <w:r>
        <w:rPr>
          <w:rFonts w:ascii="Times New Roman" w:cs="Times New Roman" w:eastAsia="Times New Roman" w:hAnsi="Times New Roman"/>
          <w:sz w:val="20"/>
          <w:szCs w:val="20"/>
          <w:color w:val="131413"/>
        </w:rPr>
        <w:t>s socio-cultural understanding of which provides important baseline in- and demographic characteristics such as gender, age, formation for further actions [</w:t>
      </w:r>
      <w:hyperlink w:anchor="page16">
        <w:r>
          <w:rPr>
            <w:rFonts w:ascii="Times New Roman" w:cs="Times New Roman" w:eastAsia="Times New Roman" w:hAnsi="Times New Roman"/>
            <w:sz w:val="20"/>
            <w:szCs w:val="20"/>
            <w:color w:val="0000FF"/>
          </w:rPr>
          <w:t>23</w:t>
        </w:r>
      </w:hyperlink>
      <w:r>
        <w:rPr>
          <w:rFonts w:ascii="Arial" w:cs="Arial" w:eastAsia="Arial" w:hAnsi="Arial"/>
          <w:sz w:val="20"/>
          <w:szCs w:val="20"/>
          <w:color w:val="131413"/>
        </w:rPr>
        <w:t>–</w:t>
      </w:r>
      <w:hyperlink w:anchor="page16">
        <w:r>
          <w:rPr>
            <w:rFonts w:ascii="Times New Roman" w:cs="Times New Roman" w:eastAsia="Times New Roman" w:hAnsi="Times New Roman"/>
            <w:sz w:val="20"/>
            <w:szCs w:val="20"/>
            <w:color w:val="0000FF"/>
          </w:rPr>
          <w:t>25</w:t>
        </w:r>
      </w:hyperlink>
      <w:r>
        <w:rPr>
          <w:rFonts w:ascii="Times New Roman" w:cs="Times New Roman" w:eastAsia="Times New Roman" w:hAnsi="Times New Roman"/>
          <w:sz w:val="20"/>
          <w:szCs w:val="20"/>
          <w:color w:val="131413"/>
        </w:rPr>
        <w:t>]. For example, in and ethnicity influence their preference or UV of a given the Siamou ethnic group of Burkina-Faso in Kénédou- species [</w:t>
      </w:r>
      <w:hyperlink w:anchor="page16">
        <w:r>
          <w:rPr>
            <w:rFonts w:ascii="Times New Roman" w:cs="Times New Roman" w:eastAsia="Times New Roman" w:hAnsi="Times New Roman"/>
            <w:sz w:val="20"/>
            <w:szCs w:val="20"/>
            <w:color w:val="0000FF"/>
          </w:rPr>
          <w:t>27</w:t>
        </w:r>
      </w:hyperlink>
      <w:r>
        <w:rPr>
          <w:rFonts w:ascii="Times New Roman" w:cs="Times New Roman" w:eastAsia="Times New Roman" w:hAnsi="Times New Roman"/>
          <w:sz w:val="20"/>
          <w:szCs w:val="20"/>
          <w:color w:val="131413"/>
        </w:rPr>
        <w:t>]. In particular, because women are special-gou province, women raise seedlings of C. procera in ized in the collection of non-timber forest products [</w:t>
      </w:r>
      <w:hyperlink w:anchor="page16">
        <w:r>
          <w:rPr>
            <w:rFonts w:ascii="Times New Roman" w:cs="Times New Roman" w:eastAsia="Times New Roman" w:hAnsi="Times New Roman"/>
            <w:sz w:val="20"/>
            <w:szCs w:val="20"/>
            <w:color w:val="0000FF"/>
          </w:rPr>
          <w:t>36</w:t>
        </w:r>
      </w:hyperlink>
      <w:r>
        <w:rPr>
          <w:rFonts w:ascii="Times New Roman" w:cs="Times New Roman" w:eastAsia="Times New Roman" w:hAnsi="Times New Roman"/>
          <w:sz w:val="20"/>
          <w:szCs w:val="20"/>
          <w:color w:val="131413"/>
        </w:rPr>
        <w:t xml:space="preserve">, nurseries and sell them to local people for plantation. </w:t>
      </w:r>
      <w:hyperlink w:anchor="page16">
        <w:r>
          <w:rPr>
            <w:rFonts w:ascii="Times New Roman" w:cs="Times New Roman" w:eastAsia="Times New Roman" w:hAnsi="Times New Roman"/>
            <w:sz w:val="20"/>
            <w:szCs w:val="20"/>
            <w:color w:val="0000FF"/>
          </w:rPr>
          <w:t>37</w:t>
        </w:r>
      </w:hyperlink>
      <w:r>
        <w:rPr>
          <w:rFonts w:ascii="Times New Roman" w:cs="Times New Roman" w:eastAsia="Times New Roman" w:hAnsi="Times New Roman"/>
          <w:sz w:val="20"/>
          <w:szCs w:val="20"/>
          <w:color w:val="131413"/>
        </w:rPr>
        <w:t>] such as IOS (e.g., the shea butter tree Vitellaria Attitudes toward the conservation of species are, how- paradoxa [</w:t>
      </w:r>
      <w:hyperlink w:anchor="page16">
        <w:r>
          <w:rPr>
            <w:rFonts w:ascii="Times New Roman" w:cs="Times New Roman" w:eastAsia="Times New Roman" w:hAnsi="Times New Roman"/>
            <w:sz w:val="20"/>
            <w:szCs w:val="20"/>
            <w:color w:val="0000FF"/>
          </w:rPr>
          <w:t>38</w:t>
        </w:r>
      </w:hyperlink>
      <w:r>
        <w:rPr>
          <w:rFonts w:ascii="Times New Roman" w:cs="Times New Roman" w:eastAsia="Times New Roman" w:hAnsi="Times New Roman"/>
          <w:sz w:val="20"/>
          <w:szCs w:val="20"/>
          <w:color w:val="131413"/>
        </w:rPr>
        <w:t>]), they are likely to have greater knowledge ever, species-specific [</w:t>
      </w:r>
      <w:hyperlink w:anchor="page16">
        <w:r>
          <w:rPr>
            <w:rFonts w:ascii="Times New Roman" w:cs="Times New Roman" w:eastAsia="Times New Roman" w:hAnsi="Times New Roman"/>
            <w:sz w:val="20"/>
            <w:szCs w:val="20"/>
            <w:color w:val="0000FF"/>
          </w:rPr>
          <w:t>26</w:t>
        </w:r>
      </w:hyperlink>
      <w:r>
        <w:rPr>
          <w:rFonts w:ascii="Times New Roman" w:cs="Times New Roman" w:eastAsia="Times New Roman" w:hAnsi="Times New Roman"/>
          <w:sz w:val="20"/>
          <w:szCs w:val="20"/>
          <w:color w:val="131413"/>
        </w:rPr>
        <w:t>] and depend on several factors and UV of IOS. Similarly, knowledge accumulation is a including the socio-demographic profiles (gender, age, time-dependent process, and older people are expected education, ethnicity, etc.) of local people [</w:t>
      </w:r>
      <w:hyperlink w:anchor="page16">
        <w:r>
          <w:rPr>
            <w:rFonts w:ascii="Times New Roman" w:cs="Times New Roman" w:eastAsia="Times New Roman" w:hAnsi="Times New Roman"/>
            <w:sz w:val="20"/>
            <w:szCs w:val="20"/>
            <w:color w:val="0000FF"/>
          </w:rPr>
          <w:t>19</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27</w:t>
        </w:r>
      </w:hyperlink>
      <w:r>
        <w:rPr>
          <w:rFonts w:ascii="Times New Roman" w:cs="Times New Roman" w:eastAsia="Times New Roman" w:hAnsi="Times New Roman"/>
          <w:sz w:val="20"/>
          <w:szCs w:val="20"/>
          <w:color w:val="131413"/>
        </w:rPr>
        <w:t>], their to have greater knowledge and hence utilize a species geographical location and preferences (local importance more than younger people [</w:t>
      </w:r>
      <w:hyperlink w:anchor="page16">
        <w:r>
          <w:rPr>
            <w:rFonts w:ascii="Times New Roman" w:cs="Times New Roman" w:eastAsia="Times New Roman" w:hAnsi="Times New Roman"/>
            <w:sz w:val="20"/>
            <w:szCs w:val="20"/>
            <w:color w:val="0000FF"/>
          </w:rPr>
          <w:t>39</w:t>
        </w:r>
      </w:hyperlink>
      <w:r>
        <w:rPr>
          <w:rFonts w:ascii="Times New Roman" w:cs="Times New Roman" w:eastAsia="Times New Roman" w:hAnsi="Times New Roman"/>
          <w:sz w:val="20"/>
          <w:szCs w:val="20"/>
          <w:color w:val="131413"/>
        </w:rPr>
        <w:t>]. Furthermore, due to his-of species: UV, market value) [</w:t>
      </w:r>
      <w:hyperlink w:anchor="page16">
        <w:r>
          <w:rPr>
            <w:rFonts w:ascii="Times New Roman" w:cs="Times New Roman" w:eastAsia="Times New Roman" w:hAnsi="Times New Roman"/>
            <w:sz w:val="20"/>
            <w:szCs w:val="20"/>
            <w:color w:val="0000FF"/>
          </w:rPr>
          <w:t>28</w:t>
        </w:r>
      </w:hyperlink>
      <w:r>
        <w:rPr>
          <w:rFonts w:ascii="Times New Roman" w:cs="Times New Roman" w:eastAsia="Times New Roman" w:hAnsi="Times New Roman"/>
          <w:sz w:val="20"/>
          <w:szCs w:val="20"/>
          <w:color w:val="131413"/>
        </w:rPr>
        <w:t>], and their knowledge torical differences in habits and customs, individuals be-on the species biology [</w:t>
      </w:r>
      <w:hyperlink w:anchor="page16">
        <w:r>
          <w:rPr>
            <w:rFonts w:ascii="Times New Roman" w:cs="Times New Roman" w:eastAsia="Times New Roman" w:hAnsi="Times New Roman"/>
            <w:sz w:val="20"/>
            <w:szCs w:val="20"/>
            <w:color w:val="0000FF"/>
          </w:rPr>
          <w:t>29</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30</w:t>
        </w:r>
      </w:hyperlink>
      <w:r>
        <w:rPr>
          <w:rFonts w:ascii="Times New Roman" w:cs="Times New Roman" w:eastAsia="Times New Roman" w:hAnsi="Times New Roman"/>
          <w:sz w:val="20"/>
          <w:szCs w:val="20"/>
          <w:color w:val="131413"/>
        </w:rPr>
        <w:t>]. Traditional conservation longing to different ethnic groups are likely to have and management actions are diverse and may range different knowledge about the uses of a given species, from plantations where a species is deliberately planted, even in the same geographical area [</w:t>
      </w:r>
      <w:hyperlink w:anchor="page16">
        <w:r>
          <w:rPr>
            <w:rFonts w:ascii="Times New Roman" w:cs="Times New Roman" w:eastAsia="Times New Roman" w:hAnsi="Times New Roman"/>
            <w:sz w:val="20"/>
            <w:szCs w:val="20"/>
            <w:color w:val="0000FF"/>
          </w:rPr>
          <w:t>40</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41</w:t>
        </w:r>
      </w:hyperlink>
      <w:r>
        <w:rPr>
          <w:rFonts w:ascii="Times New Roman" w:cs="Times New Roman" w:eastAsia="Times New Roman" w:hAnsi="Times New Roman"/>
          <w:sz w:val="20"/>
          <w:szCs w:val="20"/>
          <w:color w:val="131413"/>
        </w:rPr>
        <w:t>]. Also, indi-to assisted natural regeneration (ANR). In ANR, seed- viduals belonging to the same ethnic group but living in lings and saplings of targeted species are protected and a different geographical area can have different know-maintained for their survival and development; individ- ledge and values about a given species because other uals of the species are not subject to logging [</w:t>
      </w:r>
      <w:hyperlink w:anchor="page16">
        <w:r>
          <w:rPr>
            <w:rFonts w:ascii="Times New Roman" w:cs="Times New Roman" w:eastAsia="Times New Roman" w:hAnsi="Times New Roman"/>
            <w:sz w:val="20"/>
            <w:szCs w:val="20"/>
            <w:color w:val="0000FF"/>
          </w:rPr>
          <w:t>31</w:t>
        </w:r>
      </w:hyperlink>
      <w:r>
        <w:rPr>
          <w:rFonts w:ascii="Times New Roman" w:cs="Times New Roman" w:eastAsia="Times New Roman" w:hAnsi="Times New Roman"/>
          <w:sz w:val="20"/>
          <w:szCs w:val="20"/>
          <w:color w:val="131413"/>
        </w:rPr>
        <w:t>]. Other species better fulfill the role of that plant in different species may not be the subject of any specific conserva- geographical locations [</w:t>
      </w:r>
      <w:hyperlink w:anchor="page16">
        <w:r>
          <w:rPr>
            <w:rFonts w:ascii="Times New Roman" w:cs="Times New Roman" w:eastAsia="Times New Roman" w:hAnsi="Times New Roman"/>
            <w:sz w:val="20"/>
            <w:szCs w:val="20"/>
            <w:color w:val="0000FF"/>
          </w:rPr>
          <w:t>42</w:t>
        </w:r>
      </w:hyperlink>
      <w:r>
        <w:rPr>
          <w:rFonts w:ascii="Times New Roman" w:cs="Times New Roman" w:eastAsia="Times New Roman" w:hAnsi="Times New Roman"/>
          <w:sz w:val="20"/>
          <w:szCs w:val="20"/>
          <w:color w:val="131413"/>
        </w:rPr>
        <w:t>]. Compared to non-residents, tion and cultivation practices even though their local im- resident individuals might have more knowledge and portance is recognized [</w:t>
      </w:r>
      <w:hyperlink w:anchor="page16">
        <w:r>
          <w:rPr>
            <w:rFonts w:ascii="Times New Roman" w:cs="Times New Roman" w:eastAsia="Times New Roman" w:hAnsi="Times New Roman"/>
            <w:sz w:val="20"/>
            <w:szCs w:val="20"/>
            <w:color w:val="0000FF"/>
          </w:rPr>
          <w:t>31</w:t>
        </w:r>
      </w:hyperlink>
      <w:r>
        <w:rPr>
          <w:rFonts w:ascii="Times New Roman" w:cs="Times New Roman" w:eastAsia="Times New Roman" w:hAnsi="Times New Roman"/>
          <w:sz w:val="20"/>
          <w:szCs w:val="20"/>
          <w:color w:val="131413"/>
        </w:rPr>
        <w:t>]. value for a given species [</w:t>
      </w:r>
      <w:hyperlink w:anchor="page16">
        <w:r>
          <w:rPr>
            <w:rFonts w:ascii="Times New Roman" w:cs="Times New Roman" w:eastAsia="Times New Roman" w:hAnsi="Times New Roman"/>
            <w:sz w:val="20"/>
            <w:szCs w:val="20"/>
            <w:color w:val="0000FF"/>
          </w:rPr>
          <w:t>5</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43</w:t>
        </w:r>
      </w:hyperlink>
      <w:r>
        <w:rPr>
          <w:rFonts w:ascii="Times New Roman" w:cs="Times New Roman" w:eastAsia="Times New Roman" w:hAnsi="Times New Roman"/>
          <w:sz w:val="20"/>
          <w:szCs w:val="20"/>
          <w:color w:val="131413"/>
        </w:rPr>
        <w:t>]. For example, Cuni-Indigenous oil-seed species (IOS) can display large mor- Sanchez et al. [</w:t>
      </w:r>
      <w:hyperlink w:anchor="page16">
        <w:r>
          <w:rPr>
            <w:rFonts w:ascii="Times New Roman" w:cs="Times New Roman" w:eastAsia="Times New Roman" w:hAnsi="Times New Roman"/>
            <w:sz w:val="20"/>
            <w:szCs w:val="20"/>
            <w:color w:val="0000FF"/>
          </w:rPr>
          <w:t>44</w:t>
        </w:r>
      </w:hyperlink>
      <w:r>
        <w:rPr>
          <w:rFonts w:ascii="Times New Roman" w:cs="Times New Roman" w:eastAsia="Times New Roman" w:hAnsi="Times New Roman"/>
          <w:sz w:val="20"/>
          <w:szCs w:val="20"/>
          <w:color w:val="131413"/>
        </w:rPr>
        <w:t>] reported that pastoralists identified phological variations in their fruits, seeds, kernels, oil, etc. fewer ecosystem services than resident farmers, used [</w:t>
      </w:r>
      <w:hyperlink w:anchor="page16">
        <w:r>
          <w:rPr>
            <w:rFonts w:ascii="Times New Roman" w:cs="Times New Roman" w:eastAsia="Times New Roman" w:hAnsi="Times New Roman"/>
            <w:sz w:val="20"/>
            <w:szCs w:val="20"/>
            <w:color w:val="0000FF"/>
          </w:rPr>
          <w:t>8</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32</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33</w:t>
        </w:r>
      </w:hyperlink>
      <w:r>
        <w:rPr>
          <w:rFonts w:ascii="Times New Roman" w:cs="Times New Roman" w:eastAsia="Times New Roman" w:hAnsi="Times New Roman"/>
          <w:sz w:val="20"/>
          <w:szCs w:val="20"/>
          <w:color w:val="131413"/>
        </w:rPr>
        <w:t>], which results in interesting material variants some ecosystem services differently, and had limited (i.e., morphotypes or so-called plus trees) that are per- interest in forest conservation. Proximity to market op-ceived and valued by local people. Therefore, individual portunities for local resources has a positive impact on trees presenting interesting characteristics might be par- how local people value and use a given species [</w:t>
      </w:r>
      <w:hyperlink w:anchor="page16">
        <w:r>
          <w:rPr>
            <w:rFonts w:ascii="Times New Roman" w:cs="Times New Roman" w:eastAsia="Times New Roman" w:hAnsi="Times New Roman"/>
            <w:sz w:val="20"/>
            <w:szCs w:val="20"/>
            <w:color w:val="0000FF"/>
          </w:rPr>
          <w:t>45</w:t>
        </w:r>
      </w:hyperlink>
      <w:r>
        <w:rPr>
          <w:rFonts w:ascii="Times New Roman" w:cs="Times New Roman" w:eastAsia="Times New Roman" w:hAnsi="Times New Roman"/>
          <w:sz w:val="20"/>
          <w:szCs w:val="20"/>
          <w:color w:val="131413"/>
        </w:rPr>
        <w:t>]. In ticularly targeted for seed collection not only for con- particular, species with market opportunities either local sumption and other uses but also for conservation and or regional are more inclined to be collected, used, and possibly cultivation. It is subsequently expected that local maintained than species with no market opportunities people would have some local selection criteria of those [</w:t>
      </w:r>
      <w:hyperlink w:anchor="page16">
        <w:r>
          <w:rPr>
            <w:rFonts w:ascii="Times New Roman" w:cs="Times New Roman" w:eastAsia="Times New Roman" w:hAnsi="Times New Roman"/>
            <w:sz w:val="20"/>
            <w:szCs w:val="20"/>
            <w:color w:val="0000FF"/>
          </w:rPr>
          <w:t>46</w:t>
        </w:r>
      </w:hyperlink>
      <w:r>
        <w:rPr>
          <w:rFonts w:ascii="Times New Roman" w:cs="Times New Roman" w:eastAsia="Times New Roman" w:hAnsi="Times New Roman"/>
          <w:sz w:val="20"/>
          <w:szCs w:val="20"/>
          <w:color w:val="131413"/>
        </w:rPr>
        <w:t>]. Moreover, people</w:t>
      </w:r>
      <w:r>
        <w:rPr>
          <w:rFonts w:ascii="Arial" w:cs="Arial" w:eastAsia="Arial" w:hAnsi="Arial"/>
          <w:sz w:val="20"/>
          <w:szCs w:val="20"/>
          <w:color w:val="131413"/>
        </w:rPr>
        <w:t>’</w:t>
      </w:r>
      <w:r>
        <w:rPr>
          <w:rFonts w:ascii="Times New Roman" w:cs="Times New Roman" w:eastAsia="Times New Roman" w:hAnsi="Times New Roman"/>
          <w:sz w:val="20"/>
          <w:szCs w:val="20"/>
          <w:color w:val="131413"/>
        </w:rPr>
        <w:t>s preferences for a given species materials [</w:t>
      </w:r>
      <w:hyperlink w:anchor="page16">
        <w:r>
          <w:rPr>
            <w:rFonts w:ascii="Times New Roman" w:cs="Times New Roman" w:eastAsia="Times New Roman" w:hAnsi="Times New Roman"/>
            <w:sz w:val="20"/>
            <w:szCs w:val="20"/>
            <w:color w:val="0000FF"/>
          </w:rPr>
          <w:t>34</w:t>
        </w:r>
      </w:hyperlink>
      <w:r>
        <w:rPr>
          <w:rFonts w:ascii="Times New Roman" w:cs="Times New Roman" w:eastAsia="Times New Roman" w:hAnsi="Times New Roman"/>
          <w:sz w:val="20"/>
          <w:szCs w:val="20"/>
          <w:color w:val="131413"/>
        </w:rPr>
        <w:t>]. However, there is a risk of genetic erosion determine their conservation attitudes toward that spe-due to underutilization or unsuitable management of the cies [</w:t>
      </w:r>
      <w:hyperlink w:anchor="page16">
        <w:r>
          <w:rPr>
            <w:rFonts w:ascii="Times New Roman" w:cs="Times New Roman" w:eastAsia="Times New Roman" w:hAnsi="Times New Roman"/>
            <w:sz w:val="20"/>
            <w:szCs w:val="20"/>
            <w:color w:val="0000FF"/>
          </w:rPr>
          <w:t>26</w:t>
        </w:r>
      </w:hyperlink>
      <w:r>
        <w:rPr>
          <w:rFonts w:ascii="Times New Roman" w:cs="Times New Roman" w:eastAsia="Times New Roman" w:hAnsi="Times New Roman"/>
          <w:sz w:val="20"/>
          <w:szCs w:val="20"/>
          <w:color w:val="131413"/>
        </w:rPr>
        <w:t xml:space="preserve">], such that species with a higher preference are material perceived as </w:t>
      </w:r>
      <w:r>
        <w:rPr>
          <w:rFonts w:ascii="Arial" w:cs="Arial" w:eastAsia="Arial" w:hAnsi="Arial"/>
          <w:sz w:val="20"/>
          <w:szCs w:val="20"/>
          <w:color w:val="131413"/>
        </w:rPr>
        <w:t>“</w:t>
      </w:r>
      <w:r>
        <w:rPr>
          <w:rFonts w:ascii="Times New Roman" w:cs="Times New Roman" w:eastAsia="Times New Roman" w:hAnsi="Times New Roman"/>
          <w:sz w:val="20"/>
          <w:szCs w:val="20"/>
          <w:color w:val="131413"/>
        </w:rPr>
        <w:t>non-interesting</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34</w:t>
        </w:r>
      </w:hyperlink>
      <w:r>
        <w:rPr>
          <w:rFonts w:ascii="Times New Roman" w:cs="Times New Roman" w:eastAsia="Times New Roman" w:hAnsi="Times New Roman"/>
          <w:sz w:val="20"/>
          <w:szCs w:val="20"/>
          <w:color w:val="131413"/>
        </w:rPr>
        <w:t>]. Species sub- expected to benefit from better conservation attitudes. ject to such selections deserve particular conservation Finally, people having higher preferences for a given spe-actions to guarantee the conservation of genetic resources. cies are likely to have a better knowledge of interesting Understanding local people</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s ability to select plant mate- material within that species and possibly select individ-rials, concerning their uses and conservation, therefore, uals with the most interesting traits for use, cultivation, has evident implications for the management of the gen- and markets. Based on the above, and as illustrated in etic resources of the concerned species. It is expected that Fig. </w:t>
      </w:r>
      <w:hyperlink w:anchor="page16">
        <w:r>
          <w:rPr>
            <w:rFonts w:ascii="Times New Roman" w:cs="Times New Roman" w:eastAsia="Times New Roman" w:hAnsi="Times New Roman"/>
            <w:sz w:val="20"/>
            <w:szCs w:val="20"/>
            <w:color w:val="0000FF"/>
          </w:rPr>
          <w:t>1</w:t>
        </w:r>
      </w:hyperlink>
      <w:r>
        <w:rPr>
          <w:rFonts w:ascii="Times New Roman" w:cs="Times New Roman" w:eastAsia="Times New Roman" w:hAnsi="Times New Roman"/>
          <w:sz w:val="20"/>
          <w:szCs w:val="20"/>
          <w:color w:val="131413"/>
        </w:rPr>
        <w:t>, we predicted a positive relationship between in-species with high use and market values will likely be sub- formants</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age, residence status, gender, and existence of ject to such selection as long as a morphological diversity market opportunities, and each of our variables of inter-is perceived and has implications for the quality of derived est namely preferences, conservation attitude, and ability products. to select plus trees of each IOS. We also predicted that a In this study, we aimed to contribute to a better man- higher preference for a given IOS induces better conser-agement of the three IOS by understanding local people</w:t>
      </w:r>
      <w:r>
        <w:rPr>
          <w:rFonts w:ascii="Arial" w:cs="Arial" w:eastAsia="Arial" w:hAnsi="Arial"/>
          <w:sz w:val="20"/>
          <w:szCs w:val="20"/>
          <w:color w:val="131413"/>
        </w:rPr>
        <w:t>’</w:t>
      </w:r>
      <w:r>
        <w:rPr>
          <w:rFonts w:ascii="Times New Roman" w:cs="Times New Roman" w:eastAsia="Times New Roman" w:hAnsi="Times New Roman"/>
          <w:sz w:val="20"/>
          <w:szCs w:val="20"/>
          <w:color w:val="131413"/>
        </w:rPr>
        <w:t>s vation attitudes and a higher aptitude to identify plus (i) preferences, (ii) attitudes toward conservation, and (iii) trees of the IOS. We finally expected significant differ-ability to identify the plus trees of C. procera, L. lanceo- ences among ethnic groups regarding preferences, con-lata, and P. butyracea in the Kénédougou province, Bur- servation attitude, and ability to select plus trees of each kina Faso. The study was driven by a model of multiple IOS; mainly because differences in habits, customs, and hypotheses inspired by Whitney et al. [</w:t>
      </w:r>
      <w:hyperlink w:anchor="page16">
        <w:r>
          <w:rPr>
            <w:rFonts w:ascii="Times New Roman" w:cs="Times New Roman" w:eastAsia="Times New Roman" w:hAnsi="Times New Roman"/>
            <w:sz w:val="20"/>
            <w:szCs w:val="20"/>
            <w:color w:val="0000FF"/>
          </w:rPr>
          <w:t>35</w:t>
        </w:r>
      </w:hyperlink>
      <w:r>
        <w:rPr>
          <w:rFonts w:ascii="Times New Roman" w:cs="Times New Roman" w:eastAsia="Times New Roman" w:hAnsi="Times New Roman"/>
          <w:sz w:val="20"/>
          <w:szCs w:val="20"/>
          <w:color w:val="131413"/>
        </w:rPr>
        <w:t xml:space="preserve">] in regards to lifestyles which are inherent to ethnic groups, are likely preferences for species, conservation of species, and selec- to affect their perception, uses, valuation, and manage-tion of plus trees, and which are summarized in Fig. </w:t>
      </w:r>
      <w:hyperlink w:anchor="page16">
        <w:r>
          <w:rPr>
            <w:rFonts w:ascii="Times New Roman" w:cs="Times New Roman" w:eastAsia="Times New Roman" w:hAnsi="Times New Roman"/>
            <w:sz w:val="20"/>
            <w:szCs w:val="20"/>
            <w:color w:val="0000FF"/>
          </w:rPr>
          <w:t>1</w:t>
        </w:r>
      </w:hyperlink>
      <w:r>
        <w:rPr>
          <w:rFonts w:ascii="Times New Roman" w:cs="Times New Roman" w:eastAsia="Times New Roman" w:hAnsi="Times New Roman"/>
          <w:sz w:val="20"/>
          <w:szCs w:val="20"/>
          <w:color w:val="131413"/>
        </w:rPr>
        <w:t>. ment of resources in their environment [</w:t>
      </w:r>
      <w:hyperlink w:anchor="page16">
        <w:r>
          <w:rPr>
            <w:rFonts w:ascii="Times New Roman" w:cs="Times New Roman" w:eastAsia="Times New Roman" w:hAnsi="Times New Roman"/>
            <w:sz w:val="20"/>
            <w:szCs w:val="20"/>
            <w:color w:val="0000FF"/>
          </w:rPr>
          <w:t>44</w:t>
        </w:r>
      </w:hyperlink>
      <w:r>
        <w:rPr>
          <w:rFonts w:ascii="Times New Roman" w:cs="Times New Roman" w:eastAsia="Times New Roman" w:hAnsi="Times New Roman"/>
          <w:sz w:val="20"/>
          <w:szCs w:val="20"/>
          <w:color w:val="131413"/>
        </w:rPr>
        <w:t>].</w:t>
      </w:r>
    </w:p>
    <w:p>
      <w:pPr>
        <w:sectPr>
          <w:pgSz w:w="11900" w:h="15817" w:orient="portrait"/>
          <w:cols w:equalWidth="0" w:num="1">
            <w:col w:w="9640"/>
          </w:cols>
          <w:pgMar w:left="1140" w:top="623" w:right="1126" w:bottom="1440" w:gutter="0" w:footer="0" w:header="0"/>
        </w:sectPr>
      </w:pPr>
    </w:p>
    <w:bookmarkStart w:id="3" w:name="page4"/>
    <w:bookmarkEnd w:id="3"/>
    <w:p>
      <w:pPr>
        <w:ind w:left="6"/>
        <w:spacing w:after="0"/>
        <w:tabs>
          <w:tab w:leader="none" w:pos="4386" w:val="left"/>
          <w:tab w:leader="none" w:pos="8766" w:val="left"/>
        </w:tabs>
        <w:rPr>
          <w:sz w:val="20"/>
          <w:szCs w:val="20"/>
          <w:color w:val="auto"/>
        </w:rPr>
      </w:pPr>
      <w:r>
        <w:rPr>
          <w:rFonts w:ascii="Arial" w:cs="Arial" w:eastAsia="Arial" w:hAnsi="Arial"/>
          <w:sz w:val="16"/>
          <w:szCs w:val="16"/>
          <w:color w:val="131413"/>
        </w:rPr>
        <w:t>Tiétiambou et al. Journal of Ethnobiology and Ethnomedicine</w:t>
      </w:r>
      <w:r>
        <w:rPr>
          <w:sz w:val="20"/>
          <w:szCs w:val="20"/>
          <w:color w:val="auto"/>
        </w:rPr>
        <w:tab/>
      </w:r>
      <w:r>
        <w:rPr>
          <w:rFonts w:ascii="Arial" w:cs="Arial" w:eastAsia="Arial" w:hAnsi="Arial"/>
          <w:sz w:val="16"/>
          <w:szCs w:val="16"/>
          <w:color w:val="131413"/>
        </w:rPr>
        <w:t>(2020) 16:43</w:t>
      </w:r>
      <w:r>
        <w:rPr>
          <w:sz w:val="20"/>
          <w:szCs w:val="20"/>
          <w:color w:val="auto"/>
        </w:rPr>
        <w:tab/>
      </w:r>
      <w:r>
        <w:rPr>
          <w:rFonts w:ascii="Arial" w:cs="Arial" w:eastAsia="Arial" w:hAnsi="Arial"/>
          <w:sz w:val="15"/>
          <w:szCs w:val="15"/>
          <w:color w:val="131413"/>
        </w:rPr>
        <w:t>Page 4 of 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wp:posOffset>
            </wp:positionH>
            <wp:positionV relativeFrom="paragraph">
              <wp:posOffset>596900</wp:posOffset>
            </wp:positionV>
            <wp:extent cx="6145530" cy="27324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extLst>
                    </a:blip>
                    <a:srcRect/>
                    <a:stretch>
                      <a:fillRect/>
                    </a:stretch>
                  </pic:blipFill>
                  <pic:spPr bwMode="auto">
                    <a:xfrm>
                      <a:off x="0" y="0"/>
                      <a:ext cx="6145530" cy="27324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126" w:right="220"/>
        <w:spacing w:after="0" w:line="305" w:lineRule="auto"/>
        <w:rPr>
          <w:sz w:val="20"/>
          <w:szCs w:val="20"/>
          <w:color w:val="auto"/>
        </w:rPr>
      </w:pPr>
      <w:r>
        <w:rPr>
          <w:rFonts w:ascii="Arial" w:cs="Arial" w:eastAsia="Arial" w:hAnsi="Arial"/>
          <w:sz w:val="14"/>
          <w:szCs w:val="14"/>
          <w:color w:val="131413"/>
        </w:rPr>
        <w:t>Fig. 1 Model of multiple hypotheses regarding local preferences of species, local people conservation attitude toward the species, and local people’s aptitude for selection of plus tree. All variables in the gray arrow, namely, gender, age, residence status, ethnic group, market opportunity, and geographical location (villages) are explanatory variables for all three response variables. Gender had two levels: men (coded 1) and women (coded 0). Residence status had two levels: indigenous (coded 1) and non-residents (coded 0). Existence of market opportunities also had two levels: Yes (coded 1) and No (coded 0). Details on response variables can be found in the section data processing and analysis</w:t>
      </w:r>
    </w:p>
    <w:p>
      <w:pPr>
        <w:sectPr>
          <w:pgSz w:w="11900" w:h="15817" w:orient="portrait"/>
          <w:cols w:equalWidth="0" w:num="1">
            <w:col w:w="9646"/>
          </w:cols>
          <w:pgMar w:left="1134" w:top="621" w:right="1126" w:bottom="577" w:gutter="0" w:footer="0" w:header="0"/>
        </w:sectPr>
      </w:pPr>
    </w:p>
    <w:p>
      <w:pPr>
        <w:spacing w:after="0" w:line="283" w:lineRule="exact"/>
        <w:rPr>
          <w:sz w:val="20"/>
          <w:szCs w:val="20"/>
          <w:color w:val="auto"/>
        </w:rPr>
      </w:pPr>
    </w:p>
    <w:p>
      <w:pPr>
        <w:ind w:left="6"/>
        <w:spacing w:after="0"/>
        <w:rPr>
          <w:sz w:val="20"/>
          <w:szCs w:val="20"/>
          <w:color w:val="auto"/>
        </w:rPr>
      </w:pPr>
      <w:r>
        <w:rPr>
          <w:rFonts w:ascii="Arial" w:cs="Arial" w:eastAsia="Arial" w:hAnsi="Arial"/>
          <w:sz w:val="21"/>
          <w:szCs w:val="21"/>
          <w:color w:val="131413"/>
        </w:rPr>
        <w:t>Methods</w:t>
      </w:r>
    </w:p>
    <w:p>
      <w:pPr>
        <w:spacing w:after="0" w:line="28" w:lineRule="exact"/>
        <w:rPr>
          <w:sz w:val="20"/>
          <w:szCs w:val="20"/>
          <w:color w:val="auto"/>
        </w:rPr>
      </w:pPr>
    </w:p>
    <w:p>
      <w:pPr>
        <w:ind w:left="6"/>
        <w:spacing w:after="0"/>
        <w:rPr>
          <w:sz w:val="20"/>
          <w:szCs w:val="20"/>
          <w:color w:val="auto"/>
        </w:rPr>
      </w:pPr>
      <w:r>
        <w:rPr>
          <w:rFonts w:ascii="Arial" w:cs="Arial" w:eastAsia="Arial" w:hAnsi="Arial"/>
          <w:sz w:val="18"/>
          <w:szCs w:val="18"/>
          <w:color w:val="131413"/>
        </w:rPr>
        <w:t>Study area</w:t>
      </w:r>
    </w:p>
    <w:p>
      <w:pPr>
        <w:spacing w:after="0" w:line="25" w:lineRule="exact"/>
        <w:rPr>
          <w:sz w:val="20"/>
          <w:szCs w:val="20"/>
          <w:color w:val="auto"/>
        </w:rPr>
      </w:pPr>
    </w:p>
    <w:p>
      <w:pPr>
        <w:jc w:val="both"/>
        <w:ind w:left="6"/>
        <w:spacing w:after="0" w:line="231"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The study was carried out in Kénédougou province, lo-cated in the West of Burkina Faso in the south-Sudanian phytogeographic zone with a Sudanian climate (Fig. </w:t>
      </w:r>
      <w:hyperlink w:anchor="page16">
        <w:r>
          <w:rPr>
            <w:rFonts w:ascii="Times New Roman" w:cs="Times New Roman" w:eastAsia="Times New Roman" w:hAnsi="Times New Roman"/>
            <w:sz w:val="20"/>
            <w:szCs w:val="20"/>
            <w:color w:val="0000FF"/>
          </w:rPr>
          <w:t>2</w:t>
        </w:r>
      </w:hyperlink>
      <w:r>
        <w:rPr>
          <w:rFonts w:ascii="Times New Roman" w:cs="Times New Roman" w:eastAsia="Times New Roman" w:hAnsi="Times New Roman"/>
          <w:sz w:val="20"/>
          <w:szCs w:val="20"/>
          <w:color w:val="131413"/>
        </w:rPr>
        <w:t>) [</w:t>
      </w:r>
      <w:hyperlink w:anchor="page16">
        <w:r>
          <w:rPr>
            <w:rFonts w:ascii="Times New Roman" w:cs="Times New Roman" w:eastAsia="Times New Roman" w:hAnsi="Times New Roman"/>
            <w:sz w:val="20"/>
            <w:szCs w:val="20"/>
            <w:color w:val="0000FF"/>
          </w:rPr>
          <w:t>47</w:t>
        </w:r>
      </w:hyperlink>
      <w:r>
        <w:rPr>
          <w:rFonts w:ascii="Times New Roman" w:cs="Times New Roman" w:eastAsia="Times New Roman" w:hAnsi="Times New Roman"/>
          <w:sz w:val="20"/>
          <w:szCs w:val="20"/>
          <w:color w:val="131413"/>
        </w:rPr>
        <w:t>]. This province covers 8403 km</w:t>
      </w:r>
      <w:r>
        <w:rPr>
          <w:rFonts w:ascii="Times New Roman" w:cs="Times New Roman" w:eastAsia="Times New Roman" w:hAnsi="Times New Roman"/>
          <w:sz w:val="26"/>
          <w:szCs w:val="26"/>
          <w:color w:val="131413"/>
          <w:vertAlign w:val="superscript"/>
        </w:rPr>
        <w:t>2</w:t>
      </w:r>
      <w:r>
        <w:rPr>
          <w:rFonts w:ascii="Times New Roman" w:cs="Times New Roman" w:eastAsia="Times New Roman" w:hAnsi="Times New Roman"/>
          <w:sz w:val="20"/>
          <w:szCs w:val="20"/>
          <w:color w:val="131413"/>
        </w:rPr>
        <w:t>, with 13 administra-tive communes including an urban one, Orodara, and</w:t>
      </w:r>
    </w:p>
    <w:p>
      <w:pPr>
        <w:spacing w:after="0" w:line="26" w:lineRule="exact"/>
        <w:rPr>
          <w:sz w:val="20"/>
          <w:szCs w:val="20"/>
          <w:color w:val="auto"/>
        </w:rPr>
      </w:pPr>
    </w:p>
    <w:p>
      <w:pPr>
        <w:jc w:val="both"/>
        <w:ind w:left="6" w:hanging="6"/>
        <w:spacing w:after="0" w:line="249" w:lineRule="auto"/>
        <w:tabs>
          <w:tab w:leader="none" w:pos="371" w:val="left"/>
        </w:tabs>
        <w:numPr>
          <w:ilvl w:val="0"/>
          <w:numId w:val="1"/>
        </w:numPr>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villages [</w:t>
      </w:r>
      <w:hyperlink w:anchor="page16">
        <w:r>
          <w:rPr>
            <w:rFonts w:ascii="Times New Roman" w:cs="Times New Roman" w:eastAsia="Times New Roman" w:hAnsi="Times New Roman"/>
            <w:sz w:val="20"/>
            <w:szCs w:val="20"/>
            <w:color w:val="0000FF"/>
          </w:rPr>
          <w:t>43</w:t>
        </w:r>
      </w:hyperlink>
      <w:r>
        <w:rPr>
          <w:rFonts w:ascii="Times New Roman" w:cs="Times New Roman" w:eastAsia="Times New Roman" w:hAnsi="Times New Roman"/>
          <w:sz w:val="20"/>
          <w:szCs w:val="20"/>
          <w:color w:val="131413"/>
        </w:rPr>
        <w:t>]. Kénédougou province is located in the rainiest part of the country and is an area of several humid savannahs and gallery forests, which are the habi-tats of the three species. From 1983 to 2014, the mean annual rainfall was 1008 ± 164.7 mm, and the annual temperature ranged from 25 °C to 31 °C. Inhabitants were estimated to be 334,751 people in 2011, shared among the Toussian, Bolon, Siamou, Fulani, and Sénoufo ethnic groups. The socio-economic activities are mainly agriculture, livestock breeding, and non-timber forest product collection.</w:t>
      </w:r>
    </w:p>
    <w:p>
      <w:pPr>
        <w:spacing w:after="0" w:line="264" w:lineRule="exact"/>
        <w:rPr>
          <w:sz w:val="20"/>
          <w:szCs w:val="20"/>
          <w:color w:val="auto"/>
        </w:rPr>
      </w:pPr>
    </w:p>
    <w:p>
      <w:pPr>
        <w:ind w:left="6"/>
        <w:spacing w:after="0"/>
        <w:rPr>
          <w:sz w:val="20"/>
          <w:szCs w:val="20"/>
          <w:color w:val="auto"/>
        </w:rPr>
      </w:pPr>
      <w:r>
        <w:rPr>
          <w:rFonts w:ascii="Arial" w:cs="Arial" w:eastAsia="Arial" w:hAnsi="Arial"/>
          <w:sz w:val="18"/>
          <w:szCs w:val="18"/>
          <w:color w:val="131413"/>
        </w:rPr>
        <w:t>Sampling design and data collection</w:t>
      </w:r>
    </w:p>
    <w:p>
      <w:pPr>
        <w:spacing w:after="0" w:line="25" w:lineRule="exact"/>
        <w:rPr>
          <w:sz w:val="20"/>
          <w:szCs w:val="20"/>
          <w:color w:val="auto"/>
        </w:rPr>
      </w:pPr>
    </w:p>
    <w:p>
      <w:pPr>
        <w:jc w:val="both"/>
        <w:ind w:left="6"/>
        <w:spacing w:after="0" w:line="24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Fourteen villages were selected from the distribution range of the three species using a random sampling scheme. For the selected villages, selection of informants was stratified, based on the four major ethnic groups in the province (i.e., Bolon, Siamou, Toussian, and Fulani). Sénoufou ethnic group was not considered because they were already part of a previous study [</w:t>
      </w:r>
      <w:hyperlink w:anchor="page16">
        <w:r>
          <w:rPr>
            <w:rFonts w:ascii="Times New Roman" w:cs="Times New Roman" w:eastAsia="Times New Roman" w:hAnsi="Times New Roman"/>
            <w:sz w:val="20"/>
            <w:szCs w:val="20"/>
            <w:color w:val="0000FF"/>
          </w:rPr>
          <w:t>5</w:t>
        </w:r>
      </w:hyperlink>
      <w:r>
        <w:rPr>
          <w:rFonts w:ascii="Times New Roman" w:cs="Times New Roman" w:eastAsia="Times New Roman" w:hAnsi="Times New Roman"/>
          <w:sz w:val="20"/>
          <w:szCs w:val="20"/>
          <w:color w:val="131413"/>
        </w:rPr>
        <w:t>]. Among these communities, Fulani are nomadic (non-residents) and the other three groups are indigenous. Eighty-four infor-mants equally distributed between men and women and grouped into three age categories (young: &lt; 20 years old, adults: 20</w:t>
      </w:r>
      <w:r>
        <w:rPr>
          <w:rFonts w:ascii="Arial" w:cs="Arial" w:eastAsia="Arial" w:hAnsi="Arial"/>
          <w:sz w:val="20"/>
          <w:szCs w:val="20"/>
          <w:color w:val="131413"/>
        </w:rPr>
        <w:t>–</w:t>
      </w:r>
      <w:r>
        <w:rPr>
          <w:rFonts w:ascii="Times New Roman" w:cs="Times New Roman" w:eastAsia="Times New Roman" w:hAnsi="Times New Roman"/>
          <w:sz w:val="20"/>
          <w:szCs w:val="20"/>
          <w:color w:val="131413"/>
        </w:rPr>
        <w:t>50 years old, and old persons: &gt; 50 years) [</w:t>
      </w:r>
      <w:hyperlink w:anchor="page16">
        <w:r>
          <w:rPr>
            <w:rFonts w:ascii="Times New Roman" w:cs="Times New Roman" w:eastAsia="Times New Roman" w:hAnsi="Times New Roman"/>
            <w:sz w:val="20"/>
            <w:szCs w:val="20"/>
            <w:color w:val="0000FF"/>
          </w:rPr>
          <w:t>43</w:t>
        </w:r>
      </w:hyperlink>
      <w:r>
        <w:rPr>
          <w:rFonts w:ascii="Times New Roman" w:cs="Times New Roman" w:eastAsia="Times New Roman" w:hAnsi="Times New Roman"/>
          <w:sz w:val="20"/>
          <w:szCs w:val="20"/>
          <w:color w:val="131413"/>
        </w:rPr>
        <w:t>] were randomly selected from each ethnic group, making a total sample size of n = 336 interviewees. Individual semi-structured interviews were conducted using a</w:t>
      </w:r>
    </w:p>
    <w:p>
      <w:pPr>
        <w:spacing w:after="0" w:line="20" w:lineRule="exact"/>
        <w:rPr>
          <w:sz w:val="20"/>
          <w:szCs w:val="20"/>
          <w:color w:val="auto"/>
        </w:rPr>
      </w:pPr>
      <w:r>
        <w:rPr>
          <w:sz w:val="20"/>
          <w:szCs w:val="20"/>
          <w:color w:val="auto"/>
        </w:rPr>
        <w:br w:type="column"/>
      </w:r>
    </w:p>
    <w:p>
      <w:pPr>
        <w:spacing w:after="0" w:line="284" w:lineRule="exact"/>
        <w:rPr>
          <w:sz w:val="20"/>
          <w:szCs w:val="20"/>
          <w:color w:val="auto"/>
        </w:rPr>
      </w:pPr>
    </w:p>
    <w:p>
      <w:pPr>
        <w:jc w:val="both"/>
        <w:spacing w:after="0" w:line="249" w:lineRule="auto"/>
        <w:rPr>
          <w:rFonts w:ascii="Arial" w:cs="Arial" w:eastAsia="Arial" w:hAnsi="Arial"/>
          <w:sz w:val="20"/>
          <w:szCs w:val="20"/>
          <w:color w:val="131413"/>
        </w:rPr>
      </w:pPr>
      <w:r>
        <w:rPr>
          <w:rFonts w:ascii="Times New Roman" w:cs="Times New Roman" w:eastAsia="Times New Roman" w:hAnsi="Times New Roman"/>
          <w:sz w:val="20"/>
          <w:szCs w:val="20"/>
          <w:color w:val="131413"/>
        </w:rPr>
        <w:t>questionnaire to collect data from informants about which of the IOS, they knew about, the different uses they knew and practiced for each species, and the used plant parts. Questions were also related to the infor-mant</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s actions toward the conservation of each species. The responses could be </w:t>
      </w:r>
      <w:r>
        <w:rPr>
          <w:rFonts w:ascii="Arial" w:cs="Arial" w:eastAsia="Arial" w:hAnsi="Arial"/>
          <w:sz w:val="20"/>
          <w:szCs w:val="20"/>
          <w:color w:val="131413"/>
        </w:rPr>
        <w:t>“</w:t>
      </w:r>
      <w:r>
        <w:rPr>
          <w:rFonts w:ascii="Times New Roman" w:cs="Times New Roman" w:eastAsia="Times New Roman" w:hAnsi="Times New Roman"/>
          <w:sz w:val="20"/>
          <w:szCs w:val="20"/>
          <w:color w:val="131413"/>
        </w:rPr>
        <w:t>no action of conservation,</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w:t>
      </w:r>
      <w:r>
        <w:rPr>
          <w:rFonts w:ascii="Arial" w:cs="Arial" w:eastAsia="Arial" w:hAnsi="Arial"/>
          <w:sz w:val="20"/>
          <w:szCs w:val="20"/>
          <w:color w:val="131413"/>
        </w:rPr>
        <w:t>“</w:t>
      </w:r>
      <w:r>
        <w:rPr>
          <w:rFonts w:ascii="Times New Roman" w:cs="Times New Roman" w:eastAsia="Times New Roman" w:hAnsi="Times New Roman"/>
          <w:sz w:val="20"/>
          <w:szCs w:val="20"/>
          <w:color w:val="131413"/>
        </w:rPr>
        <w:t>banning tree cutting,</w:t>
      </w:r>
      <w:r>
        <w:rPr>
          <w:rFonts w:ascii="Arial" w:cs="Arial" w:eastAsia="Arial" w:hAnsi="Arial"/>
          <w:sz w:val="20"/>
          <w:szCs w:val="20"/>
          <w:color w:val="131413"/>
        </w:rPr>
        <w:t>” “</w:t>
      </w:r>
      <w:r>
        <w:rPr>
          <w:rFonts w:ascii="Times New Roman" w:cs="Times New Roman" w:eastAsia="Times New Roman" w:hAnsi="Times New Roman"/>
          <w:sz w:val="20"/>
          <w:szCs w:val="20"/>
          <w:color w:val="131413"/>
        </w:rPr>
        <w:t>assisted natural regeneration,</w:t>
      </w:r>
      <w:r>
        <w:rPr>
          <w:rFonts w:ascii="Arial" w:cs="Arial" w:eastAsia="Arial" w:hAnsi="Arial"/>
          <w:sz w:val="20"/>
          <w:szCs w:val="20"/>
          <w:color w:val="131413"/>
        </w:rPr>
        <w:t xml:space="preserve">” </w:t>
      </w:r>
      <w:r>
        <w:rPr>
          <w:rFonts w:ascii="Times New Roman" w:cs="Times New Roman" w:eastAsia="Times New Roman" w:hAnsi="Times New Roman"/>
          <w:sz w:val="20"/>
          <w:szCs w:val="20"/>
          <w:color w:val="131413"/>
        </w:rPr>
        <w:t>or</w:t>
      </w:r>
      <w:r>
        <w:rPr>
          <w:rFonts w:ascii="Arial" w:cs="Arial" w:eastAsia="Arial" w:hAnsi="Arial"/>
          <w:sz w:val="20"/>
          <w:szCs w:val="20"/>
          <w:color w:val="131413"/>
        </w:rPr>
        <w:t xml:space="preserve"> “</w:t>
      </w:r>
      <w:r>
        <w:rPr>
          <w:rFonts w:ascii="Times New Roman" w:cs="Times New Roman" w:eastAsia="Times New Roman" w:hAnsi="Times New Roman"/>
          <w:sz w:val="20"/>
          <w:szCs w:val="20"/>
          <w:color w:val="131413"/>
        </w:rPr>
        <w:t>tree planting</w:t>
      </w:r>
      <w:r>
        <w:rPr>
          <w:rFonts w:ascii="Arial" w:cs="Arial" w:eastAsia="Arial" w:hAnsi="Arial"/>
          <w:sz w:val="20"/>
          <w:szCs w:val="20"/>
          <w:color w:val="131413"/>
        </w:rPr>
        <w:t xml:space="preserve">” </w:t>
      </w:r>
      <w:r>
        <w:rPr>
          <w:rFonts w:ascii="Times New Roman" w:cs="Times New Roman" w:eastAsia="Times New Roman" w:hAnsi="Times New Roman"/>
          <w:sz w:val="20"/>
          <w:szCs w:val="20"/>
          <w:color w:val="131413"/>
        </w:rPr>
        <w:t>following Balima et al. [</w:t>
      </w:r>
      <w:hyperlink w:anchor="page16">
        <w:r>
          <w:rPr>
            <w:rFonts w:ascii="Times New Roman" w:cs="Times New Roman" w:eastAsia="Times New Roman" w:hAnsi="Times New Roman"/>
            <w:sz w:val="20"/>
            <w:szCs w:val="20"/>
            <w:color w:val="0000FF"/>
          </w:rPr>
          <w:t>31</w:t>
        </w:r>
      </w:hyperlink>
      <w:r>
        <w:rPr>
          <w:rFonts w:ascii="Times New Roman" w:cs="Times New Roman" w:eastAsia="Times New Roman" w:hAnsi="Times New Roman"/>
          <w:sz w:val="20"/>
          <w:szCs w:val="20"/>
          <w:color w:val="131413"/>
        </w:rPr>
        <w:t>].</w:t>
      </w:r>
      <w:r>
        <w:rPr>
          <w:rFonts w:ascii="Arial" w:cs="Arial" w:eastAsia="Arial" w:hAnsi="Arial"/>
          <w:sz w:val="20"/>
          <w:szCs w:val="20"/>
          <w:color w:val="131413"/>
        </w:rPr>
        <w:t xml:space="preserve"> </w:t>
      </w:r>
      <w:r>
        <w:rPr>
          <w:rFonts w:ascii="Times New Roman" w:cs="Times New Roman" w:eastAsia="Times New Roman" w:hAnsi="Times New Roman"/>
          <w:sz w:val="20"/>
          <w:szCs w:val="20"/>
          <w:color w:val="131413"/>
        </w:rPr>
        <w:t>Finally, infor-mants were asked about their ability to recognize par-ticular tree morphotypes (i.e., plus trees) with regards to their interesting traits for seed oil production, and if so, the criteria they used for such selection. Informants were also asked whether market opportunities exist for each of the three IOS products in their village.</w:t>
      </w:r>
    </w:p>
    <w:p>
      <w:pPr>
        <w:spacing w:after="0" w:line="264" w:lineRule="exact"/>
        <w:rPr>
          <w:sz w:val="20"/>
          <w:szCs w:val="20"/>
          <w:color w:val="auto"/>
        </w:rPr>
      </w:pPr>
    </w:p>
    <w:p>
      <w:pPr>
        <w:spacing w:after="0"/>
        <w:rPr>
          <w:sz w:val="20"/>
          <w:szCs w:val="20"/>
          <w:color w:val="auto"/>
        </w:rPr>
      </w:pPr>
      <w:r>
        <w:rPr>
          <w:rFonts w:ascii="Arial" w:cs="Arial" w:eastAsia="Arial" w:hAnsi="Arial"/>
          <w:sz w:val="18"/>
          <w:szCs w:val="18"/>
          <w:color w:val="131413"/>
        </w:rPr>
        <w:t>Data processing and analysis</w:t>
      </w:r>
    </w:p>
    <w:p>
      <w:pPr>
        <w:spacing w:after="0" w:line="25" w:lineRule="exact"/>
        <w:rPr>
          <w:sz w:val="20"/>
          <w:szCs w:val="20"/>
          <w:color w:val="auto"/>
        </w:rPr>
      </w:pPr>
    </w:p>
    <w:p>
      <w:pPr>
        <w:jc w:val="both"/>
        <w:spacing w:after="0" w:line="24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First, a preference for IOS by rural communities was captured through the calculation of the actual UV index (mean of the number of distinct actual uses reported per informant). It was assumed that a group with high UV for a species prefers that species more than a group with low UV; similarly, a species with high UV is more pre-ferred than a species with low UV [</w:t>
      </w:r>
      <w:hyperlink w:anchor="page16">
        <w:r>
          <w:rPr>
            <w:rFonts w:ascii="Times New Roman" w:cs="Times New Roman" w:eastAsia="Times New Roman" w:hAnsi="Times New Roman"/>
            <w:sz w:val="20"/>
            <w:szCs w:val="20"/>
            <w:color w:val="0000FF"/>
          </w:rPr>
          <w:t>48</w:t>
        </w:r>
      </w:hyperlink>
      <w:r>
        <w:rPr>
          <w:rFonts w:ascii="Times New Roman" w:cs="Times New Roman" w:eastAsia="Times New Roman" w:hAnsi="Times New Roman"/>
          <w:sz w:val="20"/>
          <w:szCs w:val="20"/>
          <w:color w:val="131413"/>
        </w:rPr>
        <w:t>]. UV is a measure of species relative importance that combines species ver-satility (the number of distinct uses of a species) and popularity (the number of people who recognize a spe-cies as being useful) [</w:t>
      </w:r>
      <w:hyperlink w:anchor="page16">
        <w:r>
          <w:rPr>
            <w:rFonts w:ascii="Times New Roman" w:cs="Times New Roman" w:eastAsia="Times New Roman" w:hAnsi="Times New Roman"/>
            <w:sz w:val="20"/>
            <w:szCs w:val="20"/>
            <w:color w:val="0000FF"/>
          </w:rPr>
          <w:t>49</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50</w:t>
        </w:r>
      </w:hyperlink>
      <w:r>
        <w:rPr>
          <w:rFonts w:ascii="Times New Roman" w:cs="Times New Roman" w:eastAsia="Times New Roman" w:hAnsi="Times New Roman"/>
          <w:sz w:val="20"/>
          <w:szCs w:val="20"/>
          <w:color w:val="131413"/>
        </w:rPr>
        <w:t xml:space="preserve">]. Thus, the preferences of in-formants for each species were measured based on their actual UV. We distinguished between theoretical (prac-ticed and not practiced uses) and actual (practiced) uses, hence, theoretical and actual UV. We further examined for each species the correlation between theoretical UV and actual UV. Next, a four-scale scoring system was used for the attitudes toward IOS conservation as follow: </w:t>
      </w:r>
      <w:r>
        <w:rPr>
          <w:rFonts w:ascii="Arial" w:cs="Arial" w:eastAsia="Arial" w:hAnsi="Arial"/>
          <w:sz w:val="20"/>
          <w:szCs w:val="20"/>
          <w:color w:val="131413"/>
        </w:rPr>
        <w:t>“</w:t>
      </w:r>
      <w:r>
        <w:rPr>
          <w:rFonts w:ascii="Times New Roman" w:cs="Times New Roman" w:eastAsia="Times New Roman" w:hAnsi="Times New Roman"/>
          <w:sz w:val="20"/>
          <w:szCs w:val="20"/>
          <w:color w:val="131413"/>
        </w:rPr>
        <w:t>no action of conservation</w:t>
      </w:r>
      <w:r>
        <w:rPr>
          <w:rFonts w:ascii="Arial" w:cs="Arial" w:eastAsia="Arial" w:hAnsi="Arial"/>
          <w:sz w:val="20"/>
          <w:szCs w:val="20"/>
          <w:color w:val="131413"/>
        </w:rPr>
        <w:t xml:space="preserve">” </w:t>
      </w:r>
      <w:r>
        <w:rPr>
          <w:rFonts w:ascii="Times New Roman" w:cs="Times New Roman" w:eastAsia="Times New Roman" w:hAnsi="Times New Roman"/>
          <w:sz w:val="20"/>
          <w:szCs w:val="20"/>
          <w:color w:val="131413"/>
        </w:rPr>
        <w:t>(score = 0);</w:t>
      </w:r>
      <w:r>
        <w:rPr>
          <w:rFonts w:ascii="Arial" w:cs="Arial" w:eastAsia="Arial" w:hAnsi="Arial"/>
          <w:sz w:val="20"/>
          <w:szCs w:val="20"/>
          <w:color w:val="131413"/>
        </w:rPr>
        <w:t xml:space="preserve"> “</w:t>
      </w:r>
      <w:r>
        <w:rPr>
          <w:rFonts w:ascii="Times New Roman" w:cs="Times New Roman" w:eastAsia="Times New Roman" w:hAnsi="Times New Roman"/>
          <w:sz w:val="20"/>
          <w:szCs w:val="20"/>
          <w:color w:val="131413"/>
        </w:rPr>
        <w:t>banning tree</w:t>
      </w:r>
    </w:p>
    <w:p>
      <w:pPr>
        <w:sectPr>
          <w:pgSz w:w="11900" w:h="15817" w:orient="portrait"/>
          <w:cols w:equalWidth="0" w:num="2">
            <w:col w:w="4686" w:space="280"/>
            <w:col w:w="4680"/>
          </w:cols>
          <w:pgMar w:left="1134" w:top="621" w:right="1126" w:bottom="577" w:gutter="0" w:footer="0" w:header="0"/>
          <w:type w:val="continuous"/>
        </w:sectPr>
      </w:pPr>
    </w:p>
    <w:bookmarkStart w:id="4" w:name="page5"/>
    <w:bookmarkEnd w:id="4"/>
    <w:p>
      <w:pPr>
        <w:spacing w:after="0"/>
        <w:tabs>
          <w:tab w:leader="none" w:pos="4380" w:val="left"/>
          <w:tab w:leader="none" w:pos="8760" w:val="left"/>
        </w:tabs>
        <w:rPr>
          <w:sz w:val="20"/>
          <w:szCs w:val="20"/>
          <w:color w:val="auto"/>
        </w:rPr>
      </w:pPr>
      <w:r>
        <w:rPr>
          <w:rFonts w:ascii="Arial" w:cs="Arial" w:eastAsia="Arial" w:hAnsi="Arial"/>
          <w:sz w:val="16"/>
          <w:szCs w:val="16"/>
          <w:color w:val="131413"/>
        </w:rPr>
        <w:t>Tiétiambou et al. Journal of Ethnobiology and Ethnomedicine</w:t>
      </w:r>
      <w:r>
        <w:rPr>
          <w:sz w:val="20"/>
          <w:szCs w:val="20"/>
          <w:color w:val="auto"/>
        </w:rPr>
        <w:tab/>
      </w:r>
      <w:r>
        <w:rPr>
          <w:rFonts w:ascii="Arial" w:cs="Arial" w:eastAsia="Arial" w:hAnsi="Arial"/>
          <w:sz w:val="16"/>
          <w:szCs w:val="16"/>
          <w:color w:val="131413"/>
        </w:rPr>
        <w:t>(2020) 16:43</w:t>
      </w:r>
      <w:r>
        <w:rPr>
          <w:sz w:val="20"/>
          <w:szCs w:val="20"/>
          <w:color w:val="auto"/>
        </w:rPr>
        <w:tab/>
      </w:r>
      <w:r>
        <w:rPr>
          <w:rFonts w:ascii="Arial" w:cs="Arial" w:eastAsia="Arial" w:hAnsi="Arial"/>
          <w:sz w:val="15"/>
          <w:szCs w:val="15"/>
          <w:color w:val="131413"/>
        </w:rPr>
        <w:t>Page 5 of 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-15875</wp:posOffset>
            </wp:positionH>
            <wp:positionV relativeFrom="paragraph">
              <wp:posOffset>596900</wp:posOffset>
            </wp:positionV>
            <wp:extent cx="6145530" cy="45942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extLst>
                    </a:blip>
                    <a:srcRect/>
                    <a:stretch>
                      <a:fillRect/>
                    </a:stretch>
                  </pic:blipFill>
                  <pic:spPr bwMode="auto">
                    <a:xfrm>
                      <a:off x="0" y="0"/>
                      <a:ext cx="6145530" cy="4594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120"/>
        <w:spacing w:after="0"/>
        <w:rPr>
          <w:sz w:val="20"/>
          <w:szCs w:val="20"/>
          <w:color w:val="auto"/>
        </w:rPr>
      </w:pPr>
      <w:r>
        <w:rPr>
          <w:rFonts w:ascii="Arial" w:cs="Arial" w:eastAsia="Arial" w:hAnsi="Arial"/>
          <w:sz w:val="16"/>
          <w:szCs w:val="16"/>
          <w:color w:val="131413"/>
        </w:rPr>
        <w:t>Fig. 2 Geographical location of the study area</w:t>
      </w:r>
    </w:p>
    <w:p>
      <w:pPr>
        <w:sectPr>
          <w:pgSz w:w="11900" w:h="15817" w:orient="portrait"/>
          <w:cols w:equalWidth="0" w:num="1">
            <w:col w:w="9640"/>
          </w:cols>
          <w:pgMar w:left="1140" w:top="621" w:right="1126" w:bottom="574" w:gutter="0" w:footer="0" w:header="0"/>
        </w:sectPr>
      </w:pPr>
    </w:p>
    <w:p>
      <w:pPr>
        <w:spacing w:after="0" w:line="200" w:lineRule="exact"/>
        <w:rPr>
          <w:sz w:val="20"/>
          <w:szCs w:val="20"/>
          <w:color w:val="auto"/>
        </w:rPr>
      </w:pPr>
    </w:p>
    <w:p>
      <w:pPr>
        <w:spacing w:after="0" w:line="335" w:lineRule="exact"/>
        <w:rPr>
          <w:sz w:val="20"/>
          <w:szCs w:val="20"/>
          <w:color w:val="auto"/>
        </w:rPr>
      </w:pPr>
    </w:p>
    <w:p>
      <w:pPr>
        <w:jc w:val="both"/>
        <w:spacing w:after="0" w:line="249" w:lineRule="auto"/>
        <w:rPr>
          <w:rFonts w:ascii="Times New Roman" w:cs="Times New Roman" w:eastAsia="Times New Roman" w:hAnsi="Times New Roman"/>
          <w:sz w:val="20"/>
          <w:szCs w:val="20"/>
          <w:color w:val="0000FF"/>
        </w:rPr>
      </w:pPr>
      <w:r>
        <w:rPr>
          <w:rFonts w:ascii="Times New Roman" w:cs="Times New Roman" w:eastAsia="Times New Roman" w:hAnsi="Times New Roman"/>
          <w:sz w:val="20"/>
          <w:szCs w:val="20"/>
          <w:color w:val="131413"/>
        </w:rPr>
        <w:t>cutting</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(score = 1), </w:t>
      </w:r>
      <w:r>
        <w:rPr>
          <w:rFonts w:ascii="Arial" w:cs="Arial" w:eastAsia="Arial" w:hAnsi="Arial"/>
          <w:sz w:val="20"/>
          <w:szCs w:val="20"/>
          <w:color w:val="131413"/>
        </w:rPr>
        <w:t>“</w:t>
      </w:r>
      <w:r>
        <w:rPr>
          <w:rFonts w:ascii="Times New Roman" w:cs="Times New Roman" w:eastAsia="Times New Roman" w:hAnsi="Times New Roman"/>
          <w:sz w:val="20"/>
          <w:szCs w:val="20"/>
          <w:color w:val="131413"/>
        </w:rPr>
        <w:t>assisted natural regeneration</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(score = 2), and </w:t>
      </w:r>
      <w:r>
        <w:rPr>
          <w:rFonts w:ascii="Arial" w:cs="Arial" w:eastAsia="Arial" w:hAnsi="Arial"/>
          <w:sz w:val="20"/>
          <w:szCs w:val="20"/>
          <w:color w:val="131413"/>
        </w:rPr>
        <w:t>“</w:t>
      </w:r>
      <w:r>
        <w:rPr>
          <w:rFonts w:ascii="Times New Roman" w:cs="Times New Roman" w:eastAsia="Times New Roman" w:hAnsi="Times New Roman"/>
          <w:sz w:val="20"/>
          <w:szCs w:val="20"/>
          <w:color w:val="131413"/>
        </w:rPr>
        <w:t>planting trees</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(score = 3) (hence, ordinal data). Finally, the aptitude for tree selection was considered as a binary response variable (Yes = 1, No = 0). A Poisson generalized linear mixed model [</w:t>
      </w:r>
      <w:hyperlink w:anchor="page16">
        <w:r>
          <w:rPr>
            <w:rFonts w:ascii="Times New Roman" w:cs="Times New Roman" w:eastAsia="Times New Roman" w:hAnsi="Times New Roman"/>
            <w:sz w:val="20"/>
            <w:szCs w:val="20"/>
            <w:color w:val="0000FF"/>
          </w:rPr>
          <w:t>51</w:t>
        </w:r>
      </w:hyperlink>
      <w:r>
        <w:rPr>
          <w:rFonts w:ascii="Times New Roman" w:cs="Times New Roman" w:eastAsia="Times New Roman" w:hAnsi="Times New Roman"/>
          <w:sz w:val="20"/>
          <w:szCs w:val="20"/>
          <w:color w:val="131413"/>
        </w:rPr>
        <w:t>], an ordinal logistic mixed model [</w:t>
      </w:r>
      <w:hyperlink w:anchor="page16">
        <w:r>
          <w:rPr>
            <w:rFonts w:ascii="Times New Roman" w:cs="Times New Roman" w:eastAsia="Times New Roman" w:hAnsi="Times New Roman"/>
            <w:sz w:val="20"/>
            <w:szCs w:val="20"/>
            <w:color w:val="0000FF"/>
          </w:rPr>
          <w:t>52</w:t>
        </w:r>
      </w:hyperlink>
      <w:r>
        <w:rPr>
          <w:rFonts w:ascii="Times New Roman" w:cs="Times New Roman" w:eastAsia="Times New Roman" w:hAnsi="Times New Roman"/>
          <w:sz w:val="20"/>
          <w:szCs w:val="20"/>
          <w:color w:val="131413"/>
        </w:rPr>
        <w:t>], and binomial logistic mixed model [</w:t>
      </w:r>
      <w:hyperlink w:anchor="page16">
        <w:r>
          <w:rPr>
            <w:rFonts w:ascii="Times New Roman" w:cs="Times New Roman" w:eastAsia="Times New Roman" w:hAnsi="Times New Roman"/>
            <w:sz w:val="20"/>
            <w:szCs w:val="20"/>
            <w:color w:val="0000FF"/>
          </w:rPr>
          <w:t>51</w:t>
        </w:r>
      </w:hyperlink>
      <w:r>
        <w:rPr>
          <w:rFonts w:ascii="Times New Roman" w:cs="Times New Roman" w:eastAsia="Times New Roman" w:hAnsi="Times New Roman"/>
          <w:sz w:val="20"/>
          <w:szCs w:val="20"/>
          <w:color w:val="131413"/>
        </w:rPr>
        <w:t xml:space="preserve">] were used to examine the effect of ex-planatory factors on the preference, attitudes toward conservation, and ability to identify plus trees, respect-ively, based on the multiple hypotheses diagram in Fig. </w:t>
      </w:r>
      <w:hyperlink w:anchor="page16">
        <w:r>
          <w:rPr>
            <w:rFonts w:ascii="Times New Roman" w:cs="Times New Roman" w:eastAsia="Times New Roman" w:hAnsi="Times New Roman"/>
            <w:sz w:val="20"/>
            <w:szCs w:val="20"/>
            <w:color w:val="0000FF"/>
          </w:rPr>
          <w:t>1</w:t>
        </w:r>
      </w:hyperlink>
      <w:r>
        <w:rPr>
          <w:rFonts w:ascii="Times New Roman" w:cs="Times New Roman" w:eastAsia="Times New Roman" w:hAnsi="Times New Roman"/>
          <w:sz w:val="20"/>
          <w:szCs w:val="20"/>
          <w:color w:val="131413"/>
        </w:rPr>
        <w:t>.</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131413"/>
        </w:rPr>
        <w:t>All factors in Fig.</w:t>
      </w:r>
      <w:r>
        <w:rPr>
          <w:rFonts w:ascii="Times New Roman" w:cs="Times New Roman" w:eastAsia="Times New Roman" w:hAnsi="Times New Roman"/>
          <w:sz w:val="20"/>
          <w:szCs w:val="20"/>
          <w:color w:val="0000FF"/>
        </w:rPr>
        <w:t xml:space="preserve"> </w:t>
      </w:r>
      <w:hyperlink w:anchor="page16">
        <w:r>
          <w:rPr>
            <w:rFonts w:ascii="Times New Roman" w:cs="Times New Roman" w:eastAsia="Times New Roman" w:hAnsi="Times New Roman"/>
            <w:sz w:val="20"/>
            <w:szCs w:val="20"/>
            <w:color w:val="0000FF"/>
          </w:rPr>
          <w:t xml:space="preserve">1 </w:t>
        </w:r>
      </w:hyperlink>
      <w:r>
        <w:rPr>
          <w:rFonts w:ascii="Times New Roman" w:cs="Times New Roman" w:eastAsia="Times New Roman" w:hAnsi="Times New Roman"/>
          <w:sz w:val="20"/>
          <w:szCs w:val="20"/>
          <w:color w:val="131413"/>
        </w:rPr>
        <w:t>were</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131413"/>
        </w:rPr>
        <w:t>considered fixed, and the vil-lage was included as a random factor because the stud-ied villages were selected randomly. This random effect was used as a measure of variation across geographical locations, after controlling for all other sources of vari-ation. The model containing all explanatory variables and the random factor was first established. Then, the parsimonious model was selected using backward elim-ination based on likelihood ratio tests. By including the village as a random factor in the model, it was assumed that the fluctuation around the intercept, for each vil-lage, was normally distributed with a certain variance.</w:t>
      </w:r>
    </w:p>
    <w:p>
      <w:pPr>
        <w:spacing w:after="0" w:line="20" w:lineRule="exact"/>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br w:type="column"/>
      </w:r>
    </w:p>
    <w:p>
      <w:pPr>
        <w:spacing w:after="0" w:line="200" w:lineRule="exact"/>
        <w:rPr>
          <w:rFonts w:ascii="Times New Roman" w:cs="Times New Roman" w:eastAsia="Times New Roman" w:hAnsi="Times New Roman"/>
          <w:sz w:val="20"/>
          <w:szCs w:val="20"/>
          <w:color w:val="131413"/>
        </w:rPr>
      </w:pPr>
    </w:p>
    <w:p>
      <w:pPr>
        <w:spacing w:after="0" w:line="315" w:lineRule="exact"/>
        <w:rPr>
          <w:rFonts w:ascii="Times New Roman" w:cs="Times New Roman" w:eastAsia="Times New Roman" w:hAnsi="Times New Roman"/>
          <w:sz w:val="20"/>
          <w:szCs w:val="20"/>
          <w:color w:val="131413"/>
        </w:rPr>
      </w:pPr>
    </w:p>
    <w:p>
      <w:pPr>
        <w:jc w:val="both"/>
        <w:spacing w:after="0" w:line="236"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Thus, the higher the variance, the greater the differences among villages. The marginal and the conditional R</w:t>
      </w:r>
      <w:r>
        <w:rPr>
          <w:rFonts w:ascii="Times New Roman" w:cs="Times New Roman" w:eastAsia="Times New Roman" w:hAnsi="Times New Roman"/>
          <w:sz w:val="26"/>
          <w:szCs w:val="26"/>
          <w:color w:val="131413"/>
          <w:vertAlign w:val="superscript"/>
        </w:rPr>
        <w:t>2</w:t>
      </w:r>
      <w:r>
        <w:rPr>
          <w:rFonts w:ascii="Times New Roman" w:cs="Times New Roman" w:eastAsia="Times New Roman" w:hAnsi="Times New Roman"/>
          <w:sz w:val="20"/>
          <w:szCs w:val="20"/>
          <w:color w:val="131413"/>
        </w:rPr>
        <w:t xml:space="preserve"> were extracted to compare the effect of the random fac-tor to the fixed ones. Comparable values of marginal and conditional R</w:t>
      </w:r>
      <w:r>
        <w:rPr>
          <w:rFonts w:ascii="Times New Roman" w:cs="Times New Roman" w:eastAsia="Times New Roman" w:hAnsi="Times New Roman"/>
          <w:sz w:val="26"/>
          <w:szCs w:val="26"/>
          <w:color w:val="131413"/>
          <w:vertAlign w:val="superscript"/>
        </w:rPr>
        <w:t>2</w:t>
      </w:r>
      <w:r>
        <w:rPr>
          <w:rFonts w:ascii="Times New Roman" w:cs="Times New Roman" w:eastAsia="Times New Roman" w:hAnsi="Times New Roman"/>
          <w:sz w:val="20"/>
          <w:szCs w:val="20"/>
          <w:color w:val="131413"/>
        </w:rPr>
        <w:t xml:space="preserve"> indicated that most of the variation ex-plained in the models was due to fixed factors, rather than by village random effects. All statistical analyses were carried out with the R statistical software 3.3.0 [</w:t>
      </w:r>
      <w:hyperlink w:anchor="page16">
        <w:r>
          <w:rPr>
            <w:rFonts w:ascii="Times New Roman" w:cs="Times New Roman" w:eastAsia="Times New Roman" w:hAnsi="Times New Roman"/>
            <w:sz w:val="20"/>
            <w:szCs w:val="20"/>
            <w:color w:val="0000FF"/>
          </w:rPr>
          <w:t>53</w:t>
        </w:r>
      </w:hyperlink>
      <w:r>
        <w:rPr>
          <w:rFonts w:ascii="Times New Roman" w:cs="Times New Roman" w:eastAsia="Times New Roman" w:hAnsi="Times New Roman"/>
          <w:sz w:val="20"/>
          <w:szCs w:val="20"/>
          <w:color w:val="131413"/>
        </w:rPr>
        <w:t xml:space="preserve">]. The ordered logistic regression models were per-formed using the </w:t>
      </w:r>
      <w:r>
        <w:rPr>
          <w:rFonts w:ascii="Arial" w:cs="Arial" w:eastAsia="Arial" w:hAnsi="Arial"/>
          <w:sz w:val="20"/>
          <w:szCs w:val="20"/>
          <w:color w:val="131413"/>
        </w:rPr>
        <w:t>“</w:t>
      </w:r>
      <w:r>
        <w:rPr>
          <w:rFonts w:ascii="Times New Roman" w:cs="Times New Roman" w:eastAsia="Times New Roman" w:hAnsi="Times New Roman"/>
          <w:sz w:val="20"/>
          <w:szCs w:val="20"/>
          <w:color w:val="131413"/>
        </w:rPr>
        <w:t>ordinal</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package [</w:t>
      </w:r>
      <w:hyperlink w:anchor="page16">
        <w:r>
          <w:rPr>
            <w:rFonts w:ascii="Times New Roman" w:cs="Times New Roman" w:eastAsia="Times New Roman" w:hAnsi="Times New Roman"/>
            <w:sz w:val="20"/>
            <w:szCs w:val="20"/>
            <w:color w:val="0000FF"/>
          </w:rPr>
          <w:t>54</w:t>
        </w:r>
      </w:hyperlink>
      <w:r>
        <w:rPr>
          <w:rFonts w:ascii="Times New Roman" w:cs="Times New Roman" w:eastAsia="Times New Roman" w:hAnsi="Times New Roman"/>
          <w:sz w:val="20"/>
          <w:szCs w:val="20"/>
          <w:color w:val="131413"/>
        </w:rPr>
        <w:t xml:space="preserve">]. The mixed Poisson and binomial logistic GLMM were performed using the </w:t>
      </w:r>
      <w:r>
        <w:rPr>
          <w:rFonts w:ascii="Arial" w:cs="Arial" w:eastAsia="Arial" w:hAnsi="Arial"/>
          <w:sz w:val="20"/>
          <w:szCs w:val="20"/>
          <w:color w:val="131413"/>
        </w:rPr>
        <w:t>“</w:t>
      </w:r>
      <w:r>
        <w:rPr>
          <w:rFonts w:ascii="Times New Roman" w:cs="Times New Roman" w:eastAsia="Times New Roman" w:hAnsi="Times New Roman"/>
          <w:sz w:val="20"/>
          <w:szCs w:val="20"/>
          <w:color w:val="131413"/>
        </w:rPr>
        <w:t>lme4</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package [</w:t>
      </w:r>
      <w:hyperlink w:anchor="page16">
        <w:r>
          <w:rPr>
            <w:rFonts w:ascii="Times New Roman" w:cs="Times New Roman" w:eastAsia="Times New Roman" w:hAnsi="Times New Roman"/>
            <w:sz w:val="20"/>
            <w:szCs w:val="20"/>
            <w:color w:val="0000FF"/>
          </w:rPr>
          <w:t>55</w:t>
        </w:r>
      </w:hyperlink>
      <w:r>
        <w:rPr>
          <w:rFonts w:ascii="Times New Roman" w:cs="Times New Roman" w:eastAsia="Times New Roman" w:hAnsi="Times New Roman"/>
          <w:sz w:val="20"/>
          <w:szCs w:val="20"/>
          <w:color w:val="131413"/>
        </w:rPr>
        <w:t>].</w:t>
      </w:r>
    </w:p>
    <w:p>
      <w:pPr>
        <w:spacing w:after="0" w:line="249" w:lineRule="exact"/>
        <w:rPr>
          <w:rFonts w:ascii="Times New Roman" w:cs="Times New Roman" w:eastAsia="Times New Roman" w:hAnsi="Times New Roman"/>
          <w:sz w:val="20"/>
          <w:szCs w:val="20"/>
          <w:color w:val="131413"/>
        </w:rPr>
      </w:pPr>
    </w:p>
    <w:p>
      <w:pPr>
        <w:spacing w:after="0"/>
        <w:rPr>
          <w:sz w:val="20"/>
          <w:szCs w:val="20"/>
          <w:color w:val="auto"/>
        </w:rPr>
      </w:pPr>
      <w:r>
        <w:rPr>
          <w:rFonts w:ascii="Arial" w:cs="Arial" w:eastAsia="Arial" w:hAnsi="Arial"/>
          <w:sz w:val="21"/>
          <w:szCs w:val="21"/>
          <w:color w:val="131413"/>
        </w:rPr>
        <w:t>Results</w:t>
      </w:r>
    </w:p>
    <w:p>
      <w:pPr>
        <w:spacing w:after="0" w:line="26" w:lineRule="exact"/>
        <w:rPr>
          <w:rFonts w:ascii="Times New Roman" w:cs="Times New Roman" w:eastAsia="Times New Roman" w:hAnsi="Times New Roman"/>
          <w:sz w:val="20"/>
          <w:szCs w:val="20"/>
          <w:color w:val="131413"/>
        </w:rPr>
      </w:pPr>
    </w:p>
    <w:p>
      <w:pPr>
        <w:spacing w:after="0"/>
        <w:rPr>
          <w:sz w:val="20"/>
          <w:szCs w:val="20"/>
          <w:color w:val="auto"/>
        </w:rPr>
      </w:pPr>
      <w:r>
        <w:rPr>
          <w:rFonts w:ascii="Arial" w:cs="Arial" w:eastAsia="Arial" w:hAnsi="Arial"/>
          <w:sz w:val="18"/>
          <w:szCs w:val="18"/>
          <w:color w:val="131413"/>
        </w:rPr>
        <w:t>Factors explaining the actual UV of IOS</w:t>
      </w:r>
    </w:p>
    <w:p>
      <w:pPr>
        <w:spacing w:after="0" w:line="25" w:lineRule="exact"/>
        <w:rPr>
          <w:rFonts w:ascii="Times New Roman" w:cs="Times New Roman" w:eastAsia="Times New Roman" w:hAnsi="Times New Roman"/>
          <w:sz w:val="20"/>
          <w:szCs w:val="20"/>
          <w:color w:val="131413"/>
        </w:rPr>
      </w:pPr>
    </w:p>
    <w:p>
      <w:pPr>
        <w:jc w:val="both"/>
        <w:spacing w:after="0" w:line="24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Carapa procera was the most known species (79% of in-formants, Fig. </w:t>
      </w:r>
      <w:hyperlink w:anchor="page16">
        <w:r>
          <w:rPr>
            <w:rFonts w:ascii="Times New Roman" w:cs="Times New Roman" w:eastAsia="Times New Roman" w:hAnsi="Times New Roman"/>
            <w:sz w:val="20"/>
            <w:szCs w:val="20"/>
            <w:color w:val="0000FF"/>
          </w:rPr>
          <w:t>3</w:t>
        </w:r>
      </w:hyperlink>
      <w:r>
        <w:rPr>
          <w:rFonts w:ascii="Times New Roman" w:cs="Times New Roman" w:eastAsia="Times New Roman" w:hAnsi="Times New Roman"/>
          <w:sz w:val="20"/>
          <w:szCs w:val="20"/>
          <w:color w:val="131413"/>
        </w:rPr>
        <w:t xml:space="preserve">a) whereas P. butyracea was the least known (3%). However, theoretical knowledge on the uses of L. lanceolata was higher than that of C. procera and P. butyracea (Fig. </w:t>
      </w:r>
      <w:hyperlink w:anchor="page16">
        <w:r>
          <w:rPr>
            <w:rFonts w:ascii="Times New Roman" w:cs="Times New Roman" w:eastAsia="Times New Roman" w:hAnsi="Times New Roman"/>
            <w:sz w:val="20"/>
            <w:szCs w:val="20"/>
            <w:color w:val="0000FF"/>
          </w:rPr>
          <w:t>3</w:t>
        </w:r>
      </w:hyperlink>
      <w:r>
        <w:rPr>
          <w:rFonts w:ascii="Times New Roman" w:cs="Times New Roman" w:eastAsia="Times New Roman" w:hAnsi="Times New Roman"/>
          <w:sz w:val="20"/>
          <w:szCs w:val="20"/>
          <w:color w:val="131413"/>
        </w:rPr>
        <w:t>b). The actual UV was significantly (p = 0.002, Poisson GLM) higher for C. procera (0.61 ± 0.06) and L. lanceolata (0.44 ± 0.03), the UV of which were &gt;</w:t>
      </w:r>
    </w:p>
    <w:p>
      <w:pPr>
        <w:sectPr>
          <w:pgSz w:w="11900" w:h="15817" w:orient="portrait"/>
          <w:cols w:equalWidth="0" w:num="2">
            <w:col w:w="4680" w:space="280"/>
            <w:col w:w="4680"/>
          </w:cols>
          <w:pgMar w:left="1140" w:top="621" w:right="1126" w:bottom="574" w:gutter="0" w:footer="0" w:header="0"/>
          <w:type w:val="continuous"/>
        </w:sectPr>
      </w:pPr>
    </w:p>
    <w:bookmarkStart w:id="5" w:name="page6"/>
    <w:bookmarkEnd w:id="5"/>
    <w:p>
      <w:pPr>
        <w:spacing w:after="0"/>
        <w:tabs>
          <w:tab w:leader="none" w:pos="4380" w:val="left"/>
          <w:tab w:leader="none" w:pos="8760" w:val="left"/>
        </w:tabs>
        <w:rPr>
          <w:sz w:val="20"/>
          <w:szCs w:val="20"/>
          <w:color w:val="auto"/>
        </w:rPr>
      </w:pPr>
      <w:r>
        <w:rPr>
          <w:rFonts w:ascii="Arial" w:cs="Arial" w:eastAsia="Arial" w:hAnsi="Arial"/>
          <w:sz w:val="16"/>
          <w:szCs w:val="16"/>
          <w:color w:val="131413"/>
        </w:rPr>
        <w:t>Tiétiambou et al. Journal of Ethnobiology and Ethnomedicine</w:t>
      </w:r>
      <w:r>
        <w:rPr>
          <w:sz w:val="20"/>
          <w:szCs w:val="20"/>
          <w:color w:val="auto"/>
        </w:rPr>
        <w:tab/>
      </w:r>
      <w:r>
        <w:rPr>
          <w:rFonts w:ascii="Arial" w:cs="Arial" w:eastAsia="Arial" w:hAnsi="Arial"/>
          <w:sz w:val="16"/>
          <w:szCs w:val="16"/>
          <w:color w:val="131413"/>
        </w:rPr>
        <w:t>(2020) 16:43</w:t>
      </w:r>
      <w:r>
        <w:rPr>
          <w:sz w:val="20"/>
          <w:szCs w:val="20"/>
          <w:color w:val="auto"/>
        </w:rPr>
        <w:tab/>
      </w:r>
      <w:r>
        <w:rPr>
          <w:rFonts w:ascii="Arial" w:cs="Arial" w:eastAsia="Arial" w:hAnsi="Arial"/>
          <w:sz w:val="15"/>
          <w:szCs w:val="15"/>
          <w:color w:val="131413"/>
        </w:rPr>
        <w:t>Page 6 of 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-15875</wp:posOffset>
            </wp:positionH>
            <wp:positionV relativeFrom="paragraph">
              <wp:posOffset>596900</wp:posOffset>
            </wp:positionV>
            <wp:extent cx="6145530" cy="22828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extLst>
                    </a:blip>
                    <a:srcRect/>
                    <a:stretch>
                      <a:fillRect/>
                    </a:stretch>
                  </pic:blipFill>
                  <pic:spPr bwMode="auto">
                    <a:xfrm>
                      <a:off x="0" y="0"/>
                      <a:ext cx="6145530" cy="2282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120"/>
        <w:spacing w:after="0"/>
        <w:rPr>
          <w:sz w:val="20"/>
          <w:szCs w:val="20"/>
          <w:color w:val="auto"/>
        </w:rPr>
      </w:pPr>
      <w:r>
        <w:rPr>
          <w:rFonts w:ascii="Arial" w:cs="Arial" w:eastAsia="Arial" w:hAnsi="Arial"/>
          <w:sz w:val="16"/>
          <w:szCs w:val="16"/>
          <w:color w:val="131413"/>
        </w:rPr>
        <w:t>Fig. 3 Proportion of informants who knew the three IOS (a), and traditional theoretical knowledge of their uses (b)</w:t>
      </w:r>
    </w:p>
    <w:p>
      <w:pPr>
        <w:sectPr>
          <w:pgSz w:w="11900" w:h="15817" w:orient="portrait"/>
          <w:cols w:equalWidth="0" w:num="1">
            <w:col w:w="9640"/>
          </w:cols>
          <w:pgMar w:left="1140" w:top="623" w:right="1126" w:bottom="581" w:gutter="0" w:footer="0" w:header="0"/>
        </w:sectPr>
      </w:pPr>
    </w:p>
    <w:p>
      <w:pPr>
        <w:spacing w:after="0" w:line="334"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131413"/>
        </w:rPr>
        <w:t>15 and 11 times higher, respectively, than that of P. butyr-acea (0.04 ± 0.01). There were also positive and significant (p = 0.001) correlations between theoretical and actual UV for each IOS: 0.43, 0.85 and 1.00 for C. procera, L. lan-ceolata, and P. butyracea, respectively.</w:t>
      </w:r>
    </w:p>
    <w:p>
      <w:pPr>
        <w:spacing w:after="0" w:line="17" w:lineRule="exact"/>
        <w:rPr>
          <w:sz w:val="20"/>
          <w:szCs w:val="20"/>
          <w:color w:val="auto"/>
        </w:rPr>
      </w:pPr>
    </w:p>
    <w:p>
      <w:pPr>
        <w:jc w:val="both"/>
        <w:ind w:firstLine="160"/>
        <w:spacing w:after="0" w:line="257"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Univariate models indicated significant effects of gender and ethnic group on UV of C. procera; gender, age, residence status, and ethnic group on UV of L. lanceolate; and resi-dence status on UV of P. butyracea (Fig. </w:t>
      </w:r>
      <w:hyperlink w:anchor="page16">
        <w:r>
          <w:rPr>
            <w:rFonts w:ascii="Times New Roman" w:cs="Times New Roman" w:eastAsia="Times New Roman" w:hAnsi="Times New Roman"/>
            <w:sz w:val="19"/>
            <w:szCs w:val="19"/>
            <w:color w:val="0000FF"/>
          </w:rPr>
          <w:t>4</w:t>
        </w:r>
      </w:hyperlink>
      <w:r>
        <w:rPr>
          <w:rFonts w:ascii="Times New Roman" w:cs="Times New Roman" w:eastAsia="Times New Roman" w:hAnsi="Times New Roman"/>
          <w:sz w:val="19"/>
          <w:szCs w:val="19"/>
          <w:color w:val="131413"/>
        </w:rPr>
        <w:t xml:space="preserve">). The parsimoni-ous model from the model selection procedure indicated that socio-demographic factors associated with the actual UV were species-specific (Table </w:t>
      </w:r>
      <w:hyperlink w:anchor="page16">
        <w:r>
          <w:rPr>
            <w:rFonts w:ascii="Times New Roman" w:cs="Times New Roman" w:eastAsia="Times New Roman" w:hAnsi="Times New Roman"/>
            <w:sz w:val="19"/>
            <w:szCs w:val="19"/>
            <w:color w:val="0000FF"/>
          </w:rPr>
          <w:t>1</w:t>
        </w:r>
      </w:hyperlink>
      <w:r>
        <w:rPr>
          <w:rFonts w:ascii="Times New Roman" w:cs="Times New Roman" w:eastAsia="Times New Roman" w:hAnsi="Times New Roman"/>
          <w:sz w:val="19"/>
          <w:szCs w:val="19"/>
          <w:color w:val="131413"/>
        </w:rPr>
        <w:t xml:space="preserve">). Only gender was signifi-cantly associated with the actual UV of C. procera, whereas informant age and ethnic group in addition to gender were significantly associated with the actual UV of L. lanceolata (Table </w:t>
      </w:r>
      <w:hyperlink w:anchor="page16">
        <w:r>
          <w:rPr>
            <w:rFonts w:ascii="Times New Roman" w:cs="Times New Roman" w:eastAsia="Times New Roman" w:hAnsi="Times New Roman"/>
            <w:sz w:val="19"/>
            <w:szCs w:val="19"/>
            <w:color w:val="0000FF"/>
          </w:rPr>
          <w:t>1</w:t>
        </w:r>
      </w:hyperlink>
      <w:r>
        <w:rPr>
          <w:rFonts w:ascii="Times New Roman" w:cs="Times New Roman" w:eastAsia="Times New Roman" w:hAnsi="Times New Roman"/>
          <w:sz w:val="19"/>
          <w:szCs w:val="19"/>
          <w:color w:val="131413"/>
        </w:rPr>
        <w:t xml:space="preserve">). Only residence status was associated with the ac-tual UV of P. butyracea (Table </w:t>
      </w:r>
      <w:hyperlink w:anchor="page16">
        <w:r>
          <w:rPr>
            <w:rFonts w:ascii="Times New Roman" w:cs="Times New Roman" w:eastAsia="Times New Roman" w:hAnsi="Times New Roman"/>
            <w:sz w:val="19"/>
            <w:szCs w:val="19"/>
            <w:color w:val="0000FF"/>
          </w:rPr>
          <w:t>1</w:t>
        </w:r>
      </w:hyperlink>
      <w:r>
        <w:rPr>
          <w:rFonts w:ascii="Times New Roman" w:cs="Times New Roman" w:eastAsia="Times New Roman" w:hAnsi="Times New Roman"/>
          <w:sz w:val="19"/>
          <w:szCs w:val="19"/>
          <w:color w:val="131413"/>
        </w:rPr>
        <w:t xml:space="preserve">). Where a gender effect was significant, men had lower actual UV (Table 1 and Fig. </w:t>
      </w:r>
      <w:hyperlink w:anchor="page16">
        <w:r>
          <w:rPr>
            <w:rFonts w:ascii="Times New Roman" w:cs="Times New Roman" w:eastAsia="Times New Roman" w:hAnsi="Times New Roman"/>
            <w:sz w:val="19"/>
            <w:szCs w:val="19"/>
            <w:color w:val="0000FF"/>
          </w:rPr>
          <w:t>4</w:t>
        </w:r>
      </w:hyperlink>
      <w:r>
        <w:rPr>
          <w:rFonts w:ascii="Times New Roman" w:cs="Times New Roman" w:eastAsia="Times New Roman" w:hAnsi="Times New Roman"/>
          <w:sz w:val="19"/>
          <w:szCs w:val="19"/>
          <w:color w:val="131413"/>
        </w:rPr>
        <w:t xml:space="preserve">a, b, c). Where age exhibited a significant effect, younger infor-mants had lower actual UV compared to adult and old infor-mants, who had similar actual UV (Table </w:t>
      </w:r>
      <w:hyperlink w:anchor="page16">
        <w:r>
          <w:rPr>
            <w:rFonts w:ascii="Times New Roman" w:cs="Times New Roman" w:eastAsia="Times New Roman" w:hAnsi="Times New Roman"/>
            <w:sz w:val="19"/>
            <w:szCs w:val="19"/>
            <w:color w:val="0000FF"/>
          </w:rPr>
          <w:t>1</w:t>
        </w:r>
        <w:r>
          <w:rPr>
            <w:rFonts w:ascii="Times New Roman" w:cs="Times New Roman" w:eastAsia="Times New Roman" w:hAnsi="Times New Roman"/>
            <w:sz w:val="19"/>
            <w:szCs w:val="19"/>
            <w:color w:val="131413"/>
          </w:rPr>
          <w:t xml:space="preserve"> </w:t>
        </w:r>
      </w:hyperlink>
      <w:r>
        <w:rPr>
          <w:rFonts w:ascii="Times New Roman" w:cs="Times New Roman" w:eastAsia="Times New Roman" w:hAnsi="Times New Roman"/>
          <w:sz w:val="19"/>
          <w:szCs w:val="19"/>
          <w:color w:val="131413"/>
        </w:rPr>
        <w:t xml:space="preserve">and Fig. </w:t>
      </w:r>
      <w:hyperlink w:anchor="page16">
        <w:r>
          <w:rPr>
            <w:rFonts w:ascii="Times New Roman" w:cs="Times New Roman" w:eastAsia="Times New Roman" w:hAnsi="Times New Roman"/>
            <w:sz w:val="19"/>
            <w:szCs w:val="19"/>
            <w:color w:val="0000FF"/>
          </w:rPr>
          <w:t>4</w:t>
        </w:r>
      </w:hyperlink>
      <w:r>
        <w:rPr>
          <w:rFonts w:ascii="Times New Roman" w:cs="Times New Roman" w:eastAsia="Times New Roman" w:hAnsi="Times New Roman"/>
          <w:sz w:val="19"/>
          <w:szCs w:val="19"/>
          <w:color w:val="131413"/>
        </w:rPr>
        <w:t xml:space="preserve">d, e, f). Where residence status had a significant effect, indigenous informants had higher actual UV (Table </w:t>
      </w:r>
      <w:hyperlink w:anchor="page16">
        <w:r>
          <w:rPr>
            <w:rFonts w:ascii="Times New Roman" w:cs="Times New Roman" w:eastAsia="Times New Roman" w:hAnsi="Times New Roman"/>
            <w:sz w:val="19"/>
            <w:szCs w:val="19"/>
            <w:color w:val="0000FF"/>
          </w:rPr>
          <w:t>1</w:t>
        </w:r>
        <w:r>
          <w:rPr>
            <w:rFonts w:ascii="Times New Roman" w:cs="Times New Roman" w:eastAsia="Times New Roman" w:hAnsi="Times New Roman"/>
            <w:sz w:val="19"/>
            <w:szCs w:val="19"/>
            <w:color w:val="131413"/>
          </w:rPr>
          <w:t xml:space="preserve"> </w:t>
        </w:r>
      </w:hyperlink>
      <w:r>
        <w:rPr>
          <w:rFonts w:ascii="Times New Roman" w:cs="Times New Roman" w:eastAsia="Times New Roman" w:hAnsi="Times New Roman"/>
          <w:sz w:val="19"/>
          <w:szCs w:val="19"/>
          <w:color w:val="131413"/>
        </w:rPr>
        <w:t xml:space="preserve">and Fig. </w:t>
      </w:r>
      <w:hyperlink w:anchor="page16">
        <w:r>
          <w:rPr>
            <w:rFonts w:ascii="Times New Roman" w:cs="Times New Roman" w:eastAsia="Times New Roman" w:hAnsi="Times New Roman"/>
            <w:sz w:val="19"/>
            <w:szCs w:val="19"/>
            <w:color w:val="0000FF"/>
          </w:rPr>
          <w:t>4</w:t>
        </w:r>
      </w:hyperlink>
      <w:r>
        <w:rPr>
          <w:rFonts w:ascii="Times New Roman" w:cs="Times New Roman" w:eastAsia="Times New Roman" w:hAnsi="Times New Roman"/>
          <w:sz w:val="19"/>
          <w:szCs w:val="19"/>
          <w:color w:val="131413"/>
        </w:rPr>
        <w:t xml:space="preserve">g, h, i). Concerning ethnic groups, informants from the Siamou eth-nic group had the highest UV whereas Bolon had the lowest UV (Table 1 and Fig. </w:t>
      </w:r>
      <w:hyperlink w:anchor="page16">
        <w:r>
          <w:rPr>
            <w:rFonts w:ascii="Times New Roman" w:cs="Times New Roman" w:eastAsia="Times New Roman" w:hAnsi="Times New Roman"/>
            <w:sz w:val="19"/>
            <w:szCs w:val="19"/>
            <w:color w:val="0000FF"/>
          </w:rPr>
          <w:t>4</w:t>
        </w:r>
      </w:hyperlink>
      <w:r>
        <w:rPr>
          <w:rFonts w:ascii="Times New Roman" w:cs="Times New Roman" w:eastAsia="Times New Roman" w:hAnsi="Times New Roman"/>
          <w:sz w:val="19"/>
          <w:szCs w:val="19"/>
          <w:color w:val="131413"/>
        </w:rPr>
        <w:t>j, k, l). Values of conditional and mar-ginal R</w:t>
      </w:r>
      <w:r>
        <w:rPr>
          <w:rFonts w:ascii="Times New Roman" w:cs="Times New Roman" w:eastAsia="Times New Roman" w:hAnsi="Times New Roman"/>
          <w:sz w:val="25"/>
          <w:szCs w:val="25"/>
          <w:color w:val="131413"/>
          <w:vertAlign w:val="superscript"/>
        </w:rPr>
        <w:t>2</w:t>
      </w:r>
      <w:r>
        <w:rPr>
          <w:rFonts w:ascii="Times New Roman" w:cs="Times New Roman" w:eastAsia="Times New Roman" w:hAnsi="Times New Roman"/>
          <w:sz w:val="19"/>
          <w:szCs w:val="19"/>
          <w:color w:val="131413"/>
        </w:rPr>
        <w:t xml:space="preserve"> showed that contrary to L. lanceolata (comparable values) for which the random effect of the village was negli-gible, for the other two species, there was greater variation among villages (large differences between both R</w:t>
      </w:r>
      <w:r>
        <w:rPr>
          <w:rFonts w:ascii="Times New Roman" w:cs="Times New Roman" w:eastAsia="Times New Roman" w:hAnsi="Times New Roman"/>
          <w:sz w:val="25"/>
          <w:szCs w:val="25"/>
          <w:color w:val="131413"/>
          <w:vertAlign w:val="superscript"/>
        </w:rPr>
        <w:t>2</w:t>
      </w:r>
      <w:r>
        <w:rPr>
          <w:rFonts w:ascii="Times New Roman" w:cs="Times New Roman" w:eastAsia="Times New Roman" w:hAnsi="Times New Roman"/>
          <w:sz w:val="19"/>
          <w:szCs w:val="19"/>
          <w:color w:val="131413"/>
        </w:rPr>
        <w:t xml:space="preserve">) with re-spect to the actual UV (Table </w:t>
      </w:r>
      <w:hyperlink w:anchor="page16">
        <w:r>
          <w:rPr>
            <w:rFonts w:ascii="Times New Roman" w:cs="Times New Roman" w:eastAsia="Times New Roman" w:hAnsi="Times New Roman"/>
            <w:sz w:val="19"/>
            <w:szCs w:val="19"/>
            <w:color w:val="0000FF"/>
          </w:rPr>
          <w:t>1</w:t>
        </w:r>
      </w:hyperlink>
      <w:r>
        <w:rPr>
          <w:rFonts w:ascii="Times New Roman" w:cs="Times New Roman" w:eastAsia="Times New Roman" w:hAnsi="Times New Roman"/>
          <w:sz w:val="19"/>
          <w:szCs w:val="19"/>
          <w:color w:val="131413"/>
        </w:rPr>
        <w:t>), reflecting the effect of geo-graphical location.</w:t>
      </w:r>
    </w:p>
    <w:p>
      <w:pPr>
        <w:spacing w:after="0" w:line="263" w:lineRule="exact"/>
        <w:rPr>
          <w:rFonts w:ascii="Times New Roman" w:cs="Times New Roman" w:eastAsia="Times New Roman" w:hAnsi="Times New Roman"/>
          <w:sz w:val="19"/>
          <w:szCs w:val="19"/>
          <w:color w:val="131413"/>
        </w:rPr>
      </w:pPr>
    </w:p>
    <w:p>
      <w:pPr>
        <w:ind w:right="420"/>
        <w:spacing w:after="0" w:line="279" w:lineRule="auto"/>
        <w:rPr>
          <w:sz w:val="20"/>
          <w:szCs w:val="20"/>
          <w:color w:val="auto"/>
        </w:rPr>
      </w:pPr>
      <w:r>
        <w:rPr>
          <w:rFonts w:ascii="Arial" w:cs="Arial" w:eastAsia="Arial" w:hAnsi="Arial"/>
          <w:sz w:val="18"/>
          <w:szCs w:val="18"/>
          <w:color w:val="131413"/>
        </w:rPr>
        <w:t>Factors affecting local people’s attitudes towards IOS conservation</w:t>
      </w:r>
    </w:p>
    <w:p>
      <w:pPr>
        <w:spacing w:after="0" w:line="1"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18"/>
          <w:szCs w:val="18"/>
          <w:color w:val="131413"/>
        </w:rPr>
        <w:t>Overall pattern of conservation practices</w:t>
      </w:r>
    </w:p>
    <w:p>
      <w:pPr>
        <w:spacing w:after="0" w:line="22" w:lineRule="exact"/>
        <w:rPr>
          <w:rFonts w:ascii="Times New Roman" w:cs="Times New Roman" w:eastAsia="Times New Roman" w:hAnsi="Times New Roman"/>
          <w:sz w:val="19"/>
          <w:szCs w:val="19"/>
          <w:color w:val="131413"/>
        </w:rPr>
      </w:pPr>
    </w:p>
    <w:p>
      <w:pPr>
        <w:spacing w:after="0" w:line="238" w:lineRule="auto"/>
        <w:rPr>
          <w:sz w:val="20"/>
          <w:szCs w:val="20"/>
          <w:color w:val="auto"/>
        </w:rPr>
      </w:pPr>
      <w:r>
        <w:rPr>
          <w:rFonts w:ascii="Times New Roman" w:cs="Times New Roman" w:eastAsia="Times New Roman" w:hAnsi="Times New Roman"/>
          <w:sz w:val="20"/>
          <w:szCs w:val="20"/>
          <w:color w:val="131413"/>
        </w:rPr>
        <w:t>No conservation measure was recorded for P. butyracea in Kénédougou province. Tree planting was not</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314" w:lineRule="exact"/>
        <w:rPr>
          <w:rFonts w:ascii="Times New Roman" w:cs="Times New Roman" w:eastAsia="Times New Roman" w:hAnsi="Times New Roman"/>
          <w:sz w:val="19"/>
          <w:szCs w:val="19"/>
          <w:color w:val="131413"/>
        </w:rPr>
      </w:pPr>
    </w:p>
    <w:p>
      <w:pPr>
        <w:jc w:val="both"/>
        <w:spacing w:after="0" w:line="24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recorded for any species (Fig. </w:t>
      </w:r>
      <w:hyperlink w:anchor="page16">
        <w:r>
          <w:rPr>
            <w:rFonts w:ascii="Times New Roman" w:cs="Times New Roman" w:eastAsia="Times New Roman" w:hAnsi="Times New Roman"/>
            <w:sz w:val="20"/>
            <w:szCs w:val="20"/>
            <w:color w:val="0000FF"/>
          </w:rPr>
          <w:t>5</w:t>
        </w:r>
      </w:hyperlink>
      <w:r>
        <w:rPr>
          <w:rFonts w:ascii="Times New Roman" w:cs="Times New Roman" w:eastAsia="Times New Roman" w:hAnsi="Times New Roman"/>
          <w:sz w:val="20"/>
          <w:szCs w:val="20"/>
          <w:color w:val="131413"/>
        </w:rPr>
        <w:t xml:space="preserve">). Only ANR and banning of tree cutting were practiced for C. procera and L. lan-ceolata. People were relatively similarly engaged in ANR for L. lanceolata (15%) and C. procera (13%). However, they were more inclined to ban tree cutting for L. lan-ceolata (18%) than for C. procera (only 3%). Overall, whereas no conservation practice was recorded for P. butyracea, L. lanceolata received relatively better conser-vation attitudes than C. procera (Fig. </w:t>
      </w:r>
      <w:hyperlink w:anchor="page16">
        <w:r>
          <w:rPr>
            <w:rFonts w:ascii="Times New Roman" w:cs="Times New Roman" w:eastAsia="Times New Roman" w:hAnsi="Times New Roman"/>
            <w:sz w:val="20"/>
            <w:szCs w:val="20"/>
            <w:color w:val="0000FF"/>
          </w:rPr>
          <w:t>5</w:t>
        </w:r>
      </w:hyperlink>
      <w:r>
        <w:rPr>
          <w:rFonts w:ascii="Times New Roman" w:cs="Times New Roman" w:eastAsia="Times New Roman" w:hAnsi="Times New Roman"/>
          <w:sz w:val="20"/>
          <w:szCs w:val="20"/>
          <w:color w:val="131413"/>
        </w:rPr>
        <w:t>).</w:t>
      </w:r>
    </w:p>
    <w:p>
      <w:pPr>
        <w:spacing w:after="0" w:line="272" w:lineRule="exact"/>
        <w:rPr>
          <w:sz w:val="20"/>
          <w:szCs w:val="20"/>
          <w:color w:val="auto"/>
        </w:rPr>
      </w:pPr>
    </w:p>
    <w:p>
      <w:pPr>
        <w:spacing w:after="0"/>
        <w:rPr>
          <w:sz w:val="20"/>
          <w:szCs w:val="20"/>
          <w:color w:val="auto"/>
        </w:rPr>
      </w:pPr>
      <w:r>
        <w:rPr>
          <w:rFonts w:ascii="Arial" w:cs="Arial" w:eastAsia="Arial" w:hAnsi="Arial"/>
          <w:sz w:val="18"/>
          <w:szCs w:val="18"/>
          <w:color w:val="131413"/>
        </w:rPr>
        <w:t>Factors affecting conservation attitudes towards IOS</w:t>
      </w:r>
    </w:p>
    <w:p>
      <w:pPr>
        <w:spacing w:after="0" w:line="23" w:lineRule="exact"/>
        <w:rPr>
          <w:sz w:val="20"/>
          <w:szCs w:val="20"/>
          <w:color w:val="auto"/>
        </w:rPr>
      </w:pPr>
    </w:p>
    <w:p>
      <w:pPr>
        <w:jc w:val="both"/>
        <w:spacing w:after="0" w:line="244"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This analysis was done only for C. procera and L. lanceo-lata because no conservation measure was recorded for P. butyracea. Univariate models indicated significant ef-fects of age, residence status, and ethnic group on the score of conservation attitude for C. procera, whereas age, residence status, gender, and ethnic group had a sig-nificant effect on the score of conservation attitude for L. lanceolata (Fig. </w:t>
      </w:r>
      <w:hyperlink w:anchor="page16">
        <w:r>
          <w:rPr>
            <w:rFonts w:ascii="Times New Roman" w:cs="Times New Roman" w:eastAsia="Times New Roman" w:hAnsi="Times New Roman"/>
            <w:sz w:val="20"/>
            <w:szCs w:val="20"/>
            <w:color w:val="0000FF"/>
          </w:rPr>
          <w:t>6</w:t>
        </w:r>
      </w:hyperlink>
      <w:r>
        <w:rPr>
          <w:rFonts w:ascii="Times New Roman" w:cs="Times New Roman" w:eastAsia="Times New Roman" w:hAnsi="Times New Roman"/>
          <w:sz w:val="20"/>
          <w:szCs w:val="20"/>
          <w:color w:val="131413"/>
        </w:rPr>
        <w:t xml:space="preserve">). The parsimonious model from the model selection procedure indicated that the socio-economic factors associated with conservation attitudes toward C. procera and L. lanceolata were not the same (Table </w:t>
      </w:r>
      <w:hyperlink w:anchor="page16">
        <w:r>
          <w:rPr>
            <w:rFonts w:ascii="Times New Roman" w:cs="Times New Roman" w:eastAsia="Times New Roman" w:hAnsi="Times New Roman"/>
            <w:sz w:val="20"/>
            <w:szCs w:val="20"/>
            <w:color w:val="0000FF"/>
          </w:rPr>
          <w:t>2</w:t>
        </w:r>
      </w:hyperlink>
      <w:r>
        <w:rPr>
          <w:rFonts w:ascii="Times New Roman" w:cs="Times New Roman" w:eastAsia="Times New Roman" w:hAnsi="Times New Roman"/>
          <w:sz w:val="20"/>
          <w:szCs w:val="20"/>
          <w:color w:val="131413"/>
        </w:rPr>
        <w:t>). Age of informants, residence status, and oil market opportunities were identified as significant fac-tors influencing conservation attitude toward C. procera. Adult and old informants showed similar and better conservation attitudes for C. procera than young infor-mants (est.</w:t>
      </w:r>
      <w:r>
        <w:rPr>
          <w:rFonts w:ascii="Times New Roman" w:cs="Times New Roman" w:eastAsia="Times New Roman" w:hAnsi="Times New Roman"/>
          <w:sz w:val="26"/>
          <w:szCs w:val="26"/>
          <w:color w:val="131413"/>
          <w:vertAlign w:val="subscript"/>
        </w:rPr>
        <w:t>Young</w:t>
      </w:r>
      <w:r>
        <w:rPr>
          <w:rFonts w:ascii="Times New Roman" w:cs="Times New Roman" w:eastAsia="Times New Roman" w:hAnsi="Times New Roman"/>
          <w:sz w:val="20"/>
          <w:szCs w:val="20"/>
          <w:color w:val="131413"/>
        </w:rPr>
        <w:t xml:space="preserve"> = </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1.90, p = 0.006). Informants in vil-lages with market opportunities for C. procera oil showed better conservation attitudes (est. = 5.35, p = 0.027) than informants in villages with no market oppor-tunities (Table </w:t>
      </w:r>
      <w:hyperlink w:anchor="page16">
        <w:r>
          <w:rPr>
            <w:rFonts w:ascii="Times New Roman" w:cs="Times New Roman" w:eastAsia="Times New Roman" w:hAnsi="Times New Roman"/>
            <w:sz w:val="20"/>
            <w:szCs w:val="20"/>
            <w:color w:val="0000FF"/>
          </w:rPr>
          <w:t>2</w:t>
        </w:r>
      </w:hyperlink>
      <w:r>
        <w:rPr>
          <w:rFonts w:ascii="Times New Roman" w:cs="Times New Roman" w:eastAsia="Times New Roman" w:hAnsi="Times New Roman"/>
          <w:sz w:val="20"/>
          <w:szCs w:val="20"/>
          <w:color w:val="131413"/>
        </w:rPr>
        <w:t>). Similarly, indigenous informants had better conservation attitudes (est.</w:t>
      </w:r>
      <w:r>
        <w:rPr>
          <w:rFonts w:ascii="Times New Roman" w:cs="Times New Roman" w:eastAsia="Times New Roman" w:hAnsi="Times New Roman"/>
          <w:sz w:val="26"/>
          <w:szCs w:val="26"/>
          <w:color w:val="131413"/>
          <w:vertAlign w:val="subscript"/>
        </w:rPr>
        <w:t>Indigenous</w:t>
      </w:r>
      <w:r>
        <w:rPr>
          <w:rFonts w:ascii="Times New Roman" w:cs="Times New Roman" w:eastAsia="Times New Roman" w:hAnsi="Times New Roman"/>
          <w:sz w:val="20"/>
          <w:szCs w:val="20"/>
          <w:color w:val="131413"/>
        </w:rPr>
        <w:t xml:space="preserve"> = 2.90, p = 0.001) for C. procera than non-residents. Concerning L. lanceolata, only age and gender were significantly asso-ciated with conservation attitudes for this species. As for C. procera, adult and older informants had a better con-servation attitude for L. lanceolata than younger</w:t>
      </w:r>
    </w:p>
    <w:p>
      <w:pPr>
        <w:sectPr>
          <w:pgSz w:w="11900" w:h="15817" w:orient="portrait"/>
          <w:cols w:equalWidth="0" w:num="2">
            <w:col w:w="4680" w:space="280"/>
            <w:col w:w="4680"/>
          </w:cols>
          <w:pgMar w:left="1140" w:top="623" w:right="1126" w:bottom="581" w:gutter="0" w:footer="0" w:header="0"/>
          <w:type w:val="continuous"/>
        </w:sectPr>
      </w:pPr>
    </w:p>
    <w:bookmarkStart w:id="6" w:name="page7"/>
    <w:bookmarkEnd w:id="6"/>
    <w:p>
      <w:pPr>
        <w:spacing w:after="0"/>
        <w:tabs>
          <w:tab w:leader="none" w:pos="4380" w:val="left"/>
          <w:tab w:leader="none" w:pos="8760" w:val="left"/>
        </w:tabs>
        <w:rPr>
          <w:sz w:val="20"/>
          <w:szCs w:val="20"/>
          <w:color w:val="auto"/>
        </w:rPr>
      </w:pPr>
      <w:r>
        <w:rPr>
          <w:rFonts w:ascii="Arial" w:cs="Arial" w:eastAsia="Arial" w:hAnsi="Arial"/>
          <w:sz w:val="16"/>
          <w:szCs w:val="16"/>
          <w:color w:val="131413"/>
        </w:rPr>
        <w:t>Tiétiambou et al. Journal of Ethnobiology and Ethnomedicine</w:t>
      </w:r>
      <w:r>
        <w:rPr>
          <w:sz w:val="20"/>
          <w:szCs w:val="20"/>
          <w:color w:val="auto"/>
        </w:rPr>
        <w:tab/>
      </w:r>
      <w:r>
        <w:rPr>
          <w:rFonts w:ascii="Arial" w:cs="Arial" w:eastAsia="Arial" w:hAnsi="Arial"/>
          <w:sz w:val="16"/>
          <w:szCs w:val="16"/>
          <w:color w:val="131413"/>
        </w:rPr>
        <w:t>(2020) 16:43</w:t>
      </w:r>
      <w:r>
        <w:rPr>
          <w:sz w:val="20"/>
          <w:szCs w:val="20"/>
          <w:color w:val="auto"/>
        </w:rPr>
        <w:tab/>
      </w:r>
      <w:r>
        <w:rPr>
          <w:rFonts w:ascii="Arial" w:cs="Arial" w:eastAsia="Arial" w:hAnsi="Arial"/>
          <w:sz w:val="15"/>
          <w:szCs w:val="15"/>
          <w:color w:val="131413"/>
        </w:rPr>
        <w:t>Page 7 of 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-15875</wp:posOffset>
            </wp:positionH>
            <wp:positionV relativeFrom="paragraph">
              <wp:posOffset>596900</wp:posOffset>
            </wp:positionV>
            <wp:extent cx="6145530" cy="79089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extLst>
                    </a:blip>
                    <a:srcRect/>
                    <a:stretch>
                      <a:fillRect/>
                    </a:stretch>
                  </pic:blipFill>
                  <pic:spPr bwMode="auto">
                    <a:xfrm>
                      <a:off x="0" y="0"/>
                      <a:ext cx="6145530" cy="7908925"/>
                    </a:xfrm>
                    <a:prstGeom prst="rect">
                      <a:avLst/>
                    </a:prstGeom>
                    <a:noFill/>
                  </pic:spPr>
                </pic:pic>
              </a:graphicData>
            </a:graphic>
          </wp:anchor>
        </w:drawing>
      </w:r>
    </w:p>
    <w:p>
      <w:pPr>
        <w:sectPr>
          <w:pgSz w:w="11900" w:h="15817" w:orient="portrait"/>
          <w:cols w:equalWidth="0" w:num="1">
            <w:col w:w="9640"/>
          </w:cols>
          <w:pgMar w:left="1140" w:top="621" w:right="112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120"/>
        <w:spacing w:after="0"/>
        <w:rPr>
          <w:sz w:val="20"/>
          <w:szCs w:val="20"/>
          <w:color w:val="auto"/>
        </w:rPr>
      </w:pPr>
      <w:r>
        <w:rPr>
          <w:rFonts w:ascii="Arial" w:cs="Arial" w:eastAsia="Arial" w:hAnsi="Arial"/>
          <w:sz w:val="14"/>
          <w:szCs w:val="14"/>
          <w:color w:val="131413"/>
        </w:rPr>
        <w:t>Fig. 4 Relationship between actual UV of IOS and informants’ gender, age, ethnic group, and residence status</w:t>
      </w:r>
    </w:p>
    <w:p>
      <w:pPr>
        <w:sectPr>
          <w:pgSz w:w="11900" w:h="15817" w:orient="portrait"/>
          <w:cols w:equalWidth="0" w:num="1">
            <w:col w:w="9640"/>
          </w:cols>
          <w:pgMar w:left="1140" w:top="621" w:right="1126" w:bottom="1440" w:gutter="0" w:footer="0" w:header="0"/>
          <w:type w:val="continuous"/>
        </w:sectPr>
      </w:pPr>
    </w:p>
    <w:bookmarkStart w:id="7" w:name="page8"/>
    <w:bookmarkEnd w:id="7"/>
    <w:p>
      <w:pPr>
        <w:ind w:left="6"/>
        <w:spacing w:after="0"/>
        <w:tabs>
          <w:tab w:leader="none" w:pos="4386" w:val="left"/>
          <w:tab w:leader="none" w:pos="8766" w:val="left"/>
        </w:tabs>
        <w:rPr>
          <w:sz w:val="20"/>
          <w:szCs w:val="20"/>
          <w:color w:val="auto"/>
        </w:rPr>
      </w:pPr>
      <w:r>
        <w:rPr>
          <w:rFonts w:ascii="Arial" w:cs="Arial" w:eastAsia="Arial" w:hAnsi="Arial"/>
          <w:sz w:val="16"/>
          <w:szCs w:val="16"/>
          <w:color w:val="131413"/>
        </w:rPr>
        <w:t>Tiétiambou et al. Journal of Ethnobiology and Ethnomedicine</w:t>
      </w:r>
      <w:r>
        <w:rPr>
          <w:sz w:val="20"/>
          <w:szCs w:val="20"/>
          <w:color w:val="auto"/>
        </w:rPr>
        <w:tab/>
      </w:r>
      <w:r>
        <w:rPr>
          <w:rFonts w:ascii="Arial" w:cs="Arial" w:eastAsia="Arial" w:hAnsi="Arial"/>
          <w:sz w:val="16"/>
          <w:szCs w:val="16"/>
          <w:color w:val="131413"/>
        </w:rPr>
        <w:t>(2020) 16:43</w:t>
      </w:r>
      <w:r>
        <w:rPr>
          <w:sz w:val="20"/>
          <w:szCs w:val="20"/>
          <w:color w:val="auto"/>
        </w:rPr>
        <w:tab/>
      </w:r>
      <w:r>
        <w:rPr>
          <w:rFonts w:ascii="Arial" w:cs="Arial" w:eastAsia="Arial" w:hAnsi="Arial"/>
          <w:sz w:val="15"/>
          <w:szCs w:val="15"/>
          <w:color w:val="131413"/>
        </w:rPr>
        <w:t>Page 8 of 16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6" w:right="380"/>
        <w:spacing w:after="0" w:line="251" w:lineRule="auto"/>
        <w:rPr>
          <w:sz w:val="20"/>
          <w:szCs w:val="20"/>
          <w:color w:val="auto"/>
        </w:rPr>
      </w:pPr>
      <w:r>
        <w:rPr>
          <w:rFonts w:ascii="Arial" w:cs="Arial" w:eastAsia="Arial" w:hAnsi="Arial"/>
          <w:sz w:val="18"/>
          <w:szCs w:val="18"/>
          <w:color w:val="131413"/>
        </w:rPr>
        <w:t>Table 1 Socio-demographic factors associated with actual use-value UV of the three IOS: summary of the parsimonious Poisson generalized mixed model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17780</wp:posOffset>
                </wp:positionV>
                <wp:extent cx="611949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9495" cy="4763"/>
                        </a:xfrm>
                        <a:prstGeom prst="line">
                          <a:avLst/>
                        </a:prstGeom>
                        <a:solidFill>
                          <a:srgbClr val="FFFFFF"/>
                        </a:solidFill>
                        <a:ln w="14134">
                          <a:solidFill>
                            <a:srgbClr val="131413"/>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pt" to="481.85pt,1.4pt" o:allowincell="f" strokecolor="#131413" strokeweight="1.1129pt"/>
            </w:pict>
          </mc:Fallback>
        </mc:AlternateContent>
        <mc:AlternateContent>
          <mc:Choice Requires="wps">
            <w:drawing>
              <wp:anchor simplePos="0" relativeHeight="251657728" behindDoc="1" locked="0" layoutInCell="0" allowOverlap="1">
                <wp:simplePos x="0" y="0"/>
                <wp:positionH relativeFrom="column">
                  <wp:posOffset>6113145</wp:posOffset>
                </wp:positionH>
                <wp:positionV relativeFrom="paragraph">
                  <wp:posOffset>17780</wp:posOffset>
                </wp:positionV>
                <wp:extent cx="1270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34">
                          <a:solidFill>
                            <a:srgbClr val="131413"/>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1.35pt,1.4pt" to="482.35pt,1.4pt" o:allowincell="f" strokecolor="#131413" strokeweight="0.1129pt"/>
            </w:pict>
          </mc:Fallback>
        </mc:AlternateContent>
      </w:r>
    </w:p>
    <w:p>
      <w:pPr>
        <w:spacing w:after="0" w:line="46" w:lineRule="exact"/>
        <w:rPr>
          <w:sz w:val="20"/>
          <w:szCs w:val="20"/>
          <w:color w:val="auto"/>
        </w:rPr>
      </w:pPr>
    </w:p>
    <w:tbl>
      <w:tblPr>
        <w:tblLayout w:type="fixed"/>
        <w:tblInd w:w="6" w:type="dxa"/>
        <w:tblCellMar>
          <w:top w:w="0" w:type="dxa"/>
          <w:left w:w="0" w:type="dxa"/>
          <w:bottom w:w="0" w:type="dxa"/>
          <w:right w:w="0" w:type="dxa"/>
        </w:tblCellMar>
      </w:tblPr>
      <w:tr>
        <w:trPr>
          <w:trHeight w:val="184"/>
        </w:trPr>
        <w:tc>
          <w:tcPr>
            <w:tcW w:w="2240" w:type="dxa"/>
            <w:vAlign w:val="bottom"/>
            <w:gridSpan w:val="2"/>
          </w:tcPr>
          <w:p>
            <w:pPr>
              <w:spacing w:after="0"/>
              <w:rPr>
                <w:sz w:val="20"/>
                <w:szCs w:val="20"/>
                <w:color w:val="auto"/>
              </w:rPr>
            </w:pPr>
            <w:r>
              <w:rPr>
                <w:rFonts w:ascii="Arial" w:cs="Arial" w:eastAsia="Arial" w:hAnsi="Arial"/>
                <w:sz w:val="16"/>
                <w:szCs w:val="16"/>
                <w:color w:val="auto"/>
              </w:rPr>
              <w:t>Terms of the model</w:t>
            </w:r>
          </w:p>
        </w:tc>
        <w:tc>
          <w:tcPr>
            <w:tcW w:w="920" w:type="dxa"/>
            <w:vAlign w:val="bottom"/>
          </w:tcPr>
          <w:p>
            <w:pPr>
              <w:spacing w:after="0"/>
              <w:rPr>
                <w:sz w:val="20"/>
                <w:szCs w:val="20"/>
                <w:color w:val="auto"/>
              </w:rPr>
            </w:pPr>
            <w:r>
              <w:rPr>
                <w:rFonts w:ascii="Arial" w:cs="Arial" w:eastAsia="Arial" w:hAnsi="Arial"/>
                <w:sz w:val="16"/>
                <w:szCs w:val="16"/>
                <w:color w:val="auto"/>
              </w:rPr>
              <w:t>C. procera</w:t>
            </w:r>
          </w:p>
        </w:tc>
        <w:tc>
          <w:tcPr>
            <w:tcW w:w="74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L. lanceolata</w:t>
            </w:r>
          </w:p>
        </w:tc>
        <w:tc>
          <w:tcPr>
            <w:tcW w:w="700" w:type="dxa"/>
            <w:vAlign w:val="bottom"/>
          </w:tcPr>
          <w:p>
            <w:pPr>
              <w:spacing w:after="0"/>
              <w:rPr>
                <w:sz w:val="16"/>
                <w:szCs w:val="16"/>
                <w:color w:val="auto"/>
              </w:rPr>
            </w:pPr>
          </w:p>
        </w:tc>
        <w:tc>
          <w:tcPr>
            <w:tcW w:w="540" w:type="dxa"/>
            <w:vAlign w:val="bottom"/>
          </w:tcPr>
          <w:p>
            <w:pPr>
              <w:spacing w:after="0"/>
              <w:rPr>
                <w:sz w:val="16"/>
                <w:szCs w:val="16"/>
                <w:color w:val="auto"/>
              </w:rPr>
            </w:pPr>
          </w:p>
        </w:tc>
        <w:tc>
          <w:tcPr>
            <w:tcW w:w="1380" w:type="dxa"/>
            <w:vAlign w:val="bottom"/>
            <w:gridSpan w:val="2"/>
          </w:tcPr>
          <w:p>
            <w:pPr>
              <w:ind w:left="360"/>
              <w:spacing w:after="0"/>
              <w:rPr>
                <w:sz w:val="20"/>
                <w:szCs w:val="20"/>
                <w:color w:val="auto"/>
              </w:rPr>
            </w:pPr>
            <w:r>
              <w:rPr>
                <w:rFonts w:ascii="Arial" w:cs="Arial" w:eastAsia="Arial" w:hAnsi="Arial"/>
                <w:sz w:val="16"/>
                <w:szCs w:val="16"/>
                <w:color w:val="auto"/>
              </w:rPr>
              <w:t>P. butyracea</w:t>
            </w:r>
          </w:p>
        </w:tc>
        <w:tc>
          <w:tcPr>
            <w:tcW w:w="720" w:type="dxa"/>
            <w:vAlign w:val="bottom"/>
          </w:tcPr>
          <w:p>
            <w:pPr>
              <w:spacing w:after="0"/>
              <w:rPr>
                <w:sz w:val="16"/>
                <w:szCs w:val="16"/>
                <w:color w:val="auto"/>
              </w:rPr>
            </w:pPr>
          </w:p>
        </w:tc>
        <w:tc>
          <w:tcPr>
            <w:tcW w:w="540" w:type="dxa"/>
            <w:vAlign w:val="bottom"/>
          </w:tcPr>
          <w:p>
            <w:pPr>
              <w:spacing w:after="0"/>
              <w:rPr>
                <w:sz w:val="16"/>
                <w:szCs w:val="16"/>
                <w:color w:val="auto"/>
              </w:rPr>
            </w:pPr>
          </w:p>
        </w:tc>
      </w:tr>
      <w:tr>
        <w:trPr>
          <w:trHeight w:val="33"/>
        </w:trPr>
        <w:tc>
          <w:tcPr>
            <w:tcW w:w="140" w:type="dxa"/>
            <w:vAlign w:val="bottom"/>
          </w:tcPr>
          <w:p>
            <w:pPr>
              <w:spacing w:after="0"/>
              <w:rPr>
                <w:sz w:val="2"/>
                <w:szCs w:val="2"/>
                <w:color w:val="auto"/>
              </w:rPr>
            </w:pPr>
          </w:p>
        </w:tc>
        <w:tc>
          <w:tcPr>
            <w:tcW w:w="2100" w:type="dxa"/>
            <w:vAlign w:val="bottom"/>
          </w:tcPr>
          <w:p>
            <w:pPr>
              <w:spacing w:after="0"/>
              <w:rPr>
                <w:sz w:val="2"/>
                <w:szCs w:val="2"/>
                <w:color w:val="auto"/>
              </w:rPr>
            </w:pPr>
          </w:p>
        </w:tc>
        <w:tc>
          <w:tcPr>
            <w:tcW w:w="920" w:type="dxa"/>
            <w:vAlign w:val="bottom"/>
            <w:tcBorders>
              <w:bottom w:val="single" w:sz="8" w:color="131413"/>
            </w:tcBorders>
          </w:tcPr>
          <w:p>
            <w:pPr>
              <w:spacing w:after="0"/>
              <w:rPr>
                <w:sz w:val="2"/>
                <w:szCs w:val="2"/>
                <w:color w:val="auto"/>
              </w:rPr>
            </w:pPr>
          </w:p>
        </w:tc>
        <w:tc>
          <w:tcPr>
            <w:tcW w:w="740" w:type="dxa"/>
            <w:vAlign w:val="bottom"/>
            <w:tcBorders>
              <w:bottom w:val="single" w:sz="8" w:color="131413"/>
            </w:tcBorders>
          </w:tcPr>
          <w:p>
            <w:pPr>
              <w:spacing w:after="0"/>
              <w:rPr>
                <w:sz w:val="2"/>
                <w:szCs w:val="2"/>
                <w:color w:val="auto"/>
              </w:rPr>
            </w:pPr>
          </w:p>
        </w:tc>
        <w:tc>
          <w:tcPr>
            <w:tcW w:w="520" w:type="dxa"/>
            <w:vAlign w:val="bottom"/>
            <w:tcBorders>
              <w:bottom w:val="single" w:sz="8" w:color="131413"/>
            </w:tcBorders>
          </w:tcPr>
          <w:p>
            <w:pPr>
              <w:spacing w:after="0"/>
              <w:rPr>
                <w:sz w:val="2"/>
                <w:szCs w:val="2"/>
                <w:color w:val="auto"/>
              </w:rPr>
            </w:pPr>
          </w:p>
        </w:tc>
        <w:tc>
          <w:tcPr>
            <w:tcW w:w="380" w:type="dxa"/>
            <w:vAlign w:val="bottom"/>
          </w:tcPr>
          <w:p>
            <w:pPr>
              <w:spacing w:after="0"/>
              <w:rPr>
                <w:sz w:val="2"/>
                <w:szCs w:val="2"/>
                <w:color w:val="auto"/>
              </w:rPr>
            </w:pPr>
          </w:p>
        </w:tc>
        <w:tc>
          <w:tcPr>
            <w:tcW w:w="960" w:type="dxa"/>
            <w:vAlign w:val="bottom"/>
            <w:tcBorders>
              <w:bottom w:val="single" w:sz="8" w:color="131413"/>
            </w:tcBorders>
          </w:tcPr>
          <w:p>
            <w:pPr>
              <w:spacing w:after="0"/>
              <w:rPr>
                <w:sz w:val="2"/>
                <w:szCs w:val="2"/>
                <w:color w:val="auto"/>
              </w:rPr>
            </w:pPr>
          </w:p>
        </w:tc>
        <w:tc>
          <w:tcPr>
            <w:tcW w:w="700" w:type="dxa"/>
            <w:vAlign w:val="bottom"/>
            <w:tcBorders>
              <w:bottom w:val="single" w:sz="8" w:color="131413"/>
            </w:tcBorders>
          </w:tcPr>
          <w:p>
            <w:pPr>
              <w:spacing w:after="0"/>
              <w:rPr>
                <w:sz w:val="2"/>
                <w:szCs w:val="2"/>
                <w:color w:val="auto"/>
              </w:rPr>
            </w:pPr>
          </w:p>
        </w:tc>
        <w:tc>
          <w:tcPr>
            <w:tcW w:w="540" w:type="dxa"/>
            <w:vAlign w:val="bottom"/>
            <w:tcBorders>
              <w:bottom w:val="single" w:sz="8" w:color="131413"/>
            </w:tcBorders>
          </w:tcPr>
          <w:p>
            <w:pPr>
              <w:spacing w:after="0"/>
              <w:rPr>
                <w:sz w:val="2"/>
                <w:szCs w:val="2"/>
                <w:color w:val="auto"/>
              </w:rPr>
            </w:pPr>
          </w:p>
        </w:tc>
        <w:tc>
          <w:tcPr>
            <w:tcW w:w="360" w:type="dxa"/>
            <w:vAlign w:val="bottom"/>
          </w:tcPr>
          <w:p>
            <w:pPr>
              <w:spacing w:after="0"/>
              <w:rPr>
                <w:sz w:val="2"/>
                <w:szCs w:val="2"/>
                <w:color w:val="auto"/>
              </w:rPr>
            </w:pPr>
          </w:p>
        </w:tc>
        <w:tc>
          <w:tcPr>
            <w:tcW w:w="1020" w:type="dxa"/>
            <w:vAlign w:val="bottom"/>
            <w:tcBorders>
              <w:bottom w:val="single" w:sz="8" w:color="131413"/>
            </w:tcBorders>
          </w:tcPr>
          <w:p>
            <w:pPr>
              <w:spacing w:after="0"/>
              <w:rPr>
                <w:sz w:val="2"/>
                <w:szCs w:val="2"/>
                <w:color w:val="auto"/>
              </w:rPr>
            </w:pPr>
          </w:p>
        </w:tc>
        <w:tc>
          <w:tcPr>
            <w:tcW w:w="720" w:type="dxa"/>
            <w:vAlign w:val="bottom"/>
            <w:tcBorders>
              <w:bottom w:val="single" w:sz="8" w:color="131413"/>
            </w:tcBorders>
          </w:tcPr>
          <w:p>
            <w:pPr>
              <w:spacing w:after="0"/>
              <w:rPr>
                <w:sz w:val="2"/>
                <w:szCs w:val="2"/>
                <w:color w:val="auto"/>
              </w:rPr>
            </w:pPr>
          </w:p>
        </w:tc>
        <w:tc>
          <w:tcPr>
            <w:tcW w:w="540" w:type="dxa"/>
            <w:vAlign w:val="bottom"/>
            <w:tcBorders>
              <w:bottom w:val="single" w:sz="8" w:color="131413"/>
            </w:tcBorders>
          </w:tcPr>
          <w:p>
            <w:pPr>
              <w:spacing w:after="0"/>
              <w:rPr>
                <w:sz w:val="2"/>
                <w:szCs w:val="2"/>
                <w:color w:val="auto"/>
              </w:rPr>
            </w:pPr>
          </w:p>
        </w:tc>
      </w:tr>
      <w:tr>
        <w:trPr>
          <w:trHeight w:val="208"/>
        </w:trPr>
        <w:tc>
          <w:tcPr>
            <w:tcW w:w="140" w:type="dxa"/>
            <w:vAlign w:val="bottom"/>
          </w:tcPr>
          <w:p>
            <w:pPr>
              <w:spacing w:after="0"/>
              <w:rPr>
                <w:sz w:val="18"/>
                <w:szCs w:val="18"/>
                <w:color w:val="auto"/>
              </w:rPr>
            </w:pPr>
          </w:p>
        </w:tc>
        <w:tc>
          <w:tcPr>
            <w:tcW w:w="2100" w:type="dxa"/>
            <w:vAlign w:val="bottom"/>
          </w:tcPr>
          <w:p>
            <w:pPr>
              <w:spacing w:after="0"/>
              <w:rPr>
                <w:sz w:val="18"/>
                <w:szCs w:val="18"/>
                <w:color w:val="auto"/>
              </w:rPr>
            </w:pPr>
          </w:p>
        </w:tc>
        <w:tc>
          <w:tcPr>
            <w:tcW w:w="920" w:type="dxa"/>
            <w:vAlign w:val="bottom"/>
          </w:tcPr>
          <w:p>
            <w:pPr>
              <w:spacing w:after="0"/>
              <w:rPr>
                <w:sz w:val="20"/>
                <w:szCs w:val="20"/>
                <w:color w:val="auto"/>
              </w:rPr>
            </w:pPr>
            <w:r>
              <w:rPr>
                <w:rFonts w:ascii="Arial" w:cs="Arial" w:eastAsia="Arial" w:hAnsi="Arial"/>
                <w:sz w:val="16"/>
                <w:szCs w:val="16"/>
                <w:color w:val="auto"/>
              </w:rPr>
              <w:t>est. (se)</w:t>
            </w:r>
          </w:p>
        </w:tc>
        <w:tc>
          <w:tcPr>
            <w:tcW w:w="740" w:type="dxa"/>
            <w:vAlign w:val="bottom"/>
          </w:tcPr>
          <w:p>
            <w:pPr>
              <w:ind w:left="200"/>
              <w:spacing w:after="0"/>
              <w:rPr>
                <w:sz w:val="20"/>
                <w:szCs w:val="20"/>
                <w:color w:val="auto"/>
              </w:rPr>
            </w:pPr>
            <w:r>
              <w:rPr>
                <w:rFonts w:ascii="Arial" w:cs="Arial" w:eastAsia="Arial" w:hAnsi="Arial"/>
                <w:sz w:val="16"/>
                <w:szCs w:val="16"/>
                <w:color w:val="auto"/>
              </w:rPr>
              <w:t>Z</w:t>
            </w:r>
          </w:p>
        </w:tc>
        <w:tc>
          <w:tcPr>
            <w:tcW w:w="520" w:type="dxa"/>
            <w:vAlign w:val="bottom"/>
          </w:tcPr>
          <w:p>
            <w:pPr>
              <w:ind w:left="180"/>
              <w:spacing w:after="0"/>
              <w:rPr>
                <w:sz w:val="20"/>
                <w:szCs w:val="20"/>
                <w:color w:val="auto"/>
              </w:rPr>
            </w:pPr>
            <w:r>
              <w:rPr>
                <w:rFonts w:ascii="Arial" w:cs="Arial" w:eastAsia="Arial" w:hAnsi="Arial"/>
                <w:sz w:val="16"/>
                <w:szCs w:val="16"/>
                <w:color w:val="auto"/>
              </w:rPr>
              <w:t>p.</w:t>
            </w: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est. (se)</w:t>
            </w:r>
          </w:p>
        </w:tc>
        <w:tc>
          <w:tcPr>
            <w:tcW w:w="700" w:type="dxa"/>
            <w:vAlign w:val="bottom"/>
          </w:tcPr>
          <w:p>
            <w:pPr>
              <w:ind w:left="160"/>
              <w:spacing w:after="0"/>
              <w:rPr>
                <w:sz w:val="20"/>
                <w:szCs w:val="20"/>
                <w:color w:val="auto"/>
              </w:rPr>
            </w:pPr>
            <w:r>
              <w:rPr>
                <w:rFonts w:ascii="Arial" w:cs="Arial" w:eastAsia="Arial" w:hAnsi="Arial"/>
                <w:sz w:val="16"/>
                <w:szCs w:val="16"/>
                <w:color w:val="auto"/>
              </w:rPr>
              <w:t>Z</w:t>
            </w:r>
          </w:p>
        </w:tc>
        <w:tc>
          <w:tcPr>
            <w:tcW w:w="540" w:type="dxa"/>
            <w:vAlign w:val="bottom"/>
          </w:tcPr>
          <w:p>
            <w:pPr>
              <w:ind w:left="200"/>
              <w:spacing w:after="0"/>
              <w:rPr>
                <w:sz w:val="20"/>
                <w:szCs w:val="20"/>
                <w:color w:val="auto"/>
              </w:rPr>
            </w:pPr>
            <w:r>
              <w:rPr>
                <w:rFonts w:ascii="Arial" w:cs="Arial" w:eastAsia="Arial" w:hAnsi="Arial"/>
                <w:sz w:val="16"/>
                <w:szCs w:val="16"/>
                <w:color w:val="auto"/>
              </w:rPr>
              <w:t>p.</w:t>
            </w:r>
          </w:p>
        </w:tc>
        <w:tc>
          <w:tcPr>
            <w:tcW w:w="1380" w:type="dxa"/>
            <w:vAlign w:val="bottom"/>
            <w:gridSpan w:val="2"/>
          </w:tcPr>
          <w:p>
            <w:pPr>
              <w:ind w:left="360"/>
              <w:spacing w:after="0"/>
              <w:rPr>
                <w:sz w:val="20"/>
                <w:szCs w:val="20"/>
                <w:color w:val="auto"/>
              </w:rPr>
            </w:pPr>
            <w:r>
              <w:rPr>
                <w:rFonts w:ascii="Arial" w:cs="Arial" w:eastAsia="Arial" w:hAnsi="Arial"/>
                <w:sz w:val="16"/>
                <w:szCs w:val="16"/>
                <w:color w:val="auto"/>
              </w:rPr>
              <w:t>est. (se)</w:t>
            </w:r>
          </w:p>
        </w:tc>
        <w:tc>
          <w:tcPr>
            <w:tcW w:w="720" w:type="dxa"/>
            <w:vAlign w:val="bottom"/>
          </w:tcPr>
          <w:p>
            <w:pPr>
              <w:ind w:left="180"/>
              <w:spacing w:after="0"/>
              <w:rPr>
                <w:sz w:val="20"/>
                <w:szCs w:val="20"/>
                <w:color w:val="auto"/>
              </w:rPr>
            </w:pPr>
            <w:r>
              <w:rPr>
                <w:rFonts w:ascii="Arial" w:cs="Arial" w:eastAsia="Arial" w:hAnsi="Arial"/>
                <w:sz w:val="16"/>
                <w:szCs w:val="16"/>
                <w:color w:val="auto"/>
              </w:rPr>
              <w:t>Z</w:t>
            </w:r>
          </w:p>
        </w:tc>
        <w:tc>
          <w:tcPr>
            <w:tcW w:w="540" w:type="dxa"/>
            <w:vAlign w:val="bottom"/>
          </w:tcPr>
          <w:p>
            <w:pPr>
              <w:ind w:left="200"/>
              <w:spacing w:after="0"/>
              <w:rPr>
                <w:sz w:val="20"/>
                <w:szCs w:val="20"/>
                <w:color w:val="auto"/>
              </w:rPr>
            </w:pPr>
            <w:r>
              <w:rPr>
                <w:rFonts w:ascii="Arial" w:cs="Arial" w:eastAsia="Arial" w:hAnsi="Arial"/>
                <w:sz w:val="16"/>
                <w:szCs w:val="16"/>
                <w:color w:val="auto"/>
              </w:rPr>
              <w:t>p.</w:t>
            </w:r>
          </w:p>
        </w:tc>
      </w:tr>
      <w:tr>
        <w:trPr>
          <w:trHeight w:val="35"/>
        </w:trPr>
        <w:tc>
          <w:tcPr>
            <w:tcW w:w="2240" w:type="dxa"/>
            <w:vAlign w:val="bottom"/>
            <w:tcBorders>
              <w:bottom w:val="single" w:sz="8" w:color="131413"/>
            </w:tcBorders>
            <w:gridSpan w:val="2"/>
          </w:tcPr>
          <w:p>
            <w:pPr>
              <w:spacing w:after="0"/>
              <w:rPr>
                <w:sz w:val="3"/>
                <w:szCs w:val="3"/>
                <w:color w:val="auto"/>
              </w:rPr>
            </w:pPr>
          </w:p>
        </w:tc>
        <w:tc>
          <w:tcPr>
            <w:tcW w:w="920" w:type="dxa"/>
            <w:vAlign w:val="bottom"/>
            <w:tcBorders>
              <w:bottom w:val="single" w:sz="8" w:color="131413"/>
            </w:tcBorders>
          </w:tcPr>
          <w:p>
            <w:pPr>
              <w:spacing w:after="0"/>
              <w:rPr>
                <w:sz w:val="3"/>
                <w:szCs w:val="3"/>
                <w:color w:val="auto"/>
              </w:rPr>
            </w:pPr>
          </w:p>
        </w:tc>
        <w:tc>
          <w:tcPr>
            <w:tcW w:w="740" w:type="dxa"/>
            <w:vAlign w:val="bottom"/>
            <w:tcBorders>
              <w:bottom w:val="single" w:sz="8" w:color="131413"/>
            </w:tcBorders>
          </w:tcPr>
          <w:p>
            <w:pPr>
              <w:spacing w:after="0"/>
              <w:rPr>
                <w:sz w:val="3"/>
                <w:szCs w:val="3"/>
                <w:color w:val="auto"/>
              </w:rPr>
            </w:pPr>
          </w:p>
        </w:tc>
        <w:tc>
          <w:tcPr>
            <w:tcW w:w="520" w:type="dxa"/>
            <w:vAlign w:val="bottom"/>
            <w:tcBorders>
              <w:bottom w:val="single" w:sz="8" w:color="131413"/>
            </w:tcBorders>
          </w:tcPr>
          <w:p>
            <w:pPr>
              <w:spacing w:after="0"/>
              <w:rPr>
                <w:sz w:val="3"/>
                <w:szCs w:val="3"/>
                <w:color w:val="auto"/>
              </w:rPr>
            </w:pPr>
          </w:p>
        </w:tc>
        <w:tc>
          <w:tcPr>
            <w:tcW w:w="1340" w:type="dxa"/>
            <w:vAlign w:val="bottom"/>
            <w:tcBorders>
              <w:bottom w:val="single" w:sz="8" w:color="131413"/>
            </w:tcBorders>
            <w:gridSpan w:val="2"/>
          </w:tcPr>
          <w:p>
            <w:pPr>
              <w:spacing w:after="0"/>
              <w:rPr>
                <w:sz w:val="3"/>
                <w:szCs w:val="3"/>
                <w:color w:val="auto"/>
              </w:rPr>
            </w:pPr>
          </w:p>
        </w:tc>
        <w:tc>
          <w:tcPr>
            <w:tcW w:w="700" w:type="dxa"/>
            <w:vAlign w:val="bottom"/>
            <w:tcBorders>
              <w:bottom w:val="single" w:sz="8" w:color="131413"/>
            </w:tcBorders>
          </w:tcPr>
          <w:p>
            <w:pPr>
              <w:spacing w:after="0"/>
              <w:rPr>
                <w:sz w:val="3"/>
                <w:szCs w:val="3"/>
                <w:color w:val="auto"/>
              </w:rPr>
            </w:pPr>
          </w:p>
        </w:tc>
        <w:tc>
          <w:tcPr>
            <w:tcW w:w="540" w:type="dxa"/>
            <w:vAlign w:val="bottom"/>
            <w:tcBorders>
              <w:bottom w:val="single" w:sz="8" w:color="131413"/>
            </w:tcBorders>
          </w:tcPr>
          <w:p>
            <w:pPr>
              <w:spacing w:after="0"/>
              <w:rPr>
                <w:sz w:val="3"/>
                <w:szCs w:val="3"/>
                <w:color w:val="auto"/>
              </w:rPr>
            </w:pPr>
          </w:p>
        </w:tc>
        <w:tc>
          <w:tcPr>
            <w:tcW w:w="1380" w:type="dxa"/>
            <w:vAlign w:val="bottom"/>
            <w:tcBorders>
              <w:bottom w:val="single" w:sz="8" w:color="131413"/>
            </w:tcBorders>
            <w:gridSpan w:val="2"/>
          </w:tcPr>
          <w:p>
            <w:pPr>
              <w:spacing w:after="0"/>
              <w:rPr>
                <w:sz w:val="3"/>
                <w:szCs w:val="3"/>
                <w:color w:val="auto"/>
              </w:rPr>
            </w:pPr>
          </w:p>
        </w:tc>
        <w:tc>
          <w:tcPr>
            <w:tcW w:w="720" w:type="dxa"/>
            <w:vAlign w:val="bottom"/>
            <w:tcBorders>
              <w:bottom w:val="single" w:sz="8" w:color="131413"/>
            </w:tcBorders>
          </w:tcPr>
          <w:p>
            <w:pPr>
              <w:spacing w:after="0"/>
              <w:rPr>
                <w:sz w:val="3"/>
                <w:szCs w:val="3"/>
                <w:color w:val="auto"/>
              </w:rPr>
            </w:pPr>
          </w:p>
        </w:tc>
        <w:tc>
          <w:tcPr>
            <w:tcW w:w="540" w:type="dxa"/>
            <w:vAlign w:val="bottom"/>
            <w:tcBorders>
              <w:bottom w:val="single" w:sz="8" w:color="131413"/>
            </w:tcBorders>
          </w:tcPr>
          <w:p>
            <w:pPr>
              <w:spacing w:after="0"/>
              <w:rPr>
                <w:sz w:val="3"/>
                <w:szCs w:val="3"/>
                <w:color w:val="auto"/>
              </w:rPr>
            </w:pPr>
          </w:p>
        </w:tc>
      </w:tr>
      <w:tr>
        <w:trPr>
          <w:trHeight w:val="210"/>
        </w:trPr>
        <w:tc>
          <w:tcPr>
            <w:tcW w:w="2240" w:type="dxa"/>
            <w:vAlign w:val="bottom"/>
            <w:gridSpan w:val="2"/>
          </w:tcPr>
          <w:p>
            <w:pPr>
              <w:spacing w:after="0"/>
              <w:rPr>
                <w:sz w:val="20"/>
                <w:szCs w:val="20"/>
                <w:color w:val="auto"/>
              </w:rPr>
            </w:pPr>
            <w:r>
              <w:rPr>
                <w:rFonts w:ascii="Arial" w:cs="Arial" w:eastAsia="Arial" w:hAnsi="Arial"/>
                <w:sz w:val="16"/>
                <w:szCs w:val="16"/>
                <w:color w:val="auto"/>
              </w:rPr>
              <w:t>Intercept</w:t>
            </w:r>
          </w:p>
        </w:tc>
        <w:tc>
          <w:tcPr>
            <w:tcW w:w="920" w:type="dxa"/>
            <w:vAlign w:val="bottom"/>
          </w:tcPr>
          <w:p>
            <w:pPr>
              <w:spacing w:after="0"/>
              <w:rPr>
                <w:sz w:val="20"/>
                <w:szCs w:val="20"/>
                <w:color w:val="auto"/>
              </w:rPr>
            </w:pPr>
            <w:r>
              <w:rPr>
                <w:rFonts w:ascii="Arial" w:cs="Arial" w:eastAsia="Arial" w:hAnsi="Arial"/>
                <w:sz w:val="16"/>
                <w:szCs w:val="16"/>
                <w:color w:val="auto"/>
              </w:rPr>
              <w:t>−9.49 (2.53)</w:t>
            </w:r>
          </w:p>
        </w:tc>
        <w:tc>
          <w:tcPr>
            <w:tcW w:w="740" w:type="dxa"/>
            <w:vAlign w:val="bottom"/>
          </w:tcPr>
          <w:p>
            <w:pPr>
              <w:ind w:left="200"/>
              <w:spacing w:after="0"/>
              <w:rPr>
                <w:sz w:val="20"/>
                <w:szCs w:val="20"/>
                <w:color w:val="auto"/>
              </w:rPr>
            </w:pPr>
            <w:r>
              <w:rPr>
                <w:rFonts w:ascii="Arial" w:cs="Arial" w:eastAsia="Arial" w:hAnsi="Arial"/>
                <w:sz w:val="16"/>
                <w:szCs w:val="16"/>
                <w:color w:val="auto"/>
              </w:rPr>
              <w:t>−3.75</w:t>
            </w:r>
          </w:p>
        </w:tc>
        <w:tc>
          <w:tcPr>
            <w:tcW w:w="520" w:type="dxa"/>
            <w:vAlign w:val="bottom"/>
          </w:tcPr>
          <w:p>
            <w:pPr>
              <w:ind w:left="180"/>
              <w:spacing w:after="0"/>
              <w:rPr>
                <w:sz w:val="20"/>
                <w:szCs w:val="20"/>
                <w:color w:val="auto"/>
              </w:rPr>
            </w:pPr>
            <w:r>
              <w:rPr>
                <w:rFonts w:ascii="Arial" w:cs="Arial" w:eastAsia="Arial" w:hAnsi="Arial"/>
                <w:sz w:val="16"/>
                <w:szCs w:val="16"/>
                <w:color w:val="auto"/>
                <w:w w:val="79"/>
              </w:rPr>
              <w:t>0.001</w:t>
            </w: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−1.22 (0.37)</w:t>
            </w:r>
          </w:p>
        </w:tc>
        <w:tc>
          <w:tcPr>
            <w:tcW w:w="700" w:type="dxa"/>
            <w:vAlign w:val="bottom"/>
          </w:tcPr>
          <w:p>
            <w:pPr>
              <w:jc w:val="center"/>
              <w:spacing w:after="0"/>
              <w:rPr>
                <w:sz w:val="20"/>
                <w:szCs w:val="20"/>
                <w:color w:val="auto"/>
              </w:rPr>
            </w:pPr>
            <w:r>
              <w:rPr>
                <w:rFonts w:ascii="Arial" w:cs="Arial" w:eastAsia="Arial" w:hAnsi="Arial"/>
                <w:sz w:val="16"/>
                <w:szCs w:val="16"/>
                <w:color w:val="auto"/>
                <w:w w:val="88"/>
              </w:rPr>
              <w:t>−3.30</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0.001</w:t>
            </w:r>
          </w:p>
        </w:tc>
        <w:tc>
          <w:tcPr>
            <w:tcW w:w="1380" w:type="dxa"/>
            <w:vAlign w:val="bottom"/>
            <w:gridSpan w:val="2"/>
          </w:tcPr>
          <w:p>
            <w:pPr>
              <w:ind w:left="360"/>
              <w:spacing w:after="0"/>
              <w:rPr>
                <w:sz w:val="20"/>
                <w:szCs w:val="20"/>
                <w:color w:val="auto"/>
              </w:rPr>
            </w:pPr>
            <w:r>
              <w:rPr>
                <w:rFonts w:ascii="Arial" w:cs="Arial" w:eastAsia="Arial" w:hAnsi="Arial"/>
                <w:sz w:val="16"/>
                <w:szCs w:val="16"/>
                <w:color w:val="auto"/>
              </w:rPr>
              <w:t>−12.06 (3.34)</w:t>
            </w:r>
          </w:p>
        </w:tc>
        <w:tc>
          <w:tcPr>
            <w:tcW w:w="720" w:type="dxa"/>
            <w:vAlign w:val="bottom"/>
          </w:tcPr>
          <w:p>
            <w:pPr>
              <w:ind w:left="180"/>
              <w:spacing w:after="0"/>
              <w:rPr>
                <w:sz w:val="20"/>
                <w:szCs w:val="20"/>
                <w:color w:val="auto"/>
              </w:rPr>
            </w:pPr>
            <w:r>
              <w:rPr>
                <w:rFonts w:ascii="Arial" w:cs="Arial" w:eastAsia="Arial" w:hAnsi="Arial"/>
                <w:sz w:val="16"/>
                <w:szCs w:val="16"/>
                <w:color w:val="auto"/>
              </w:rPr>
              <w:t>−3.60</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0.001</w:t>
            </w:r>
          </w:p>
        </w:tc>
      </w:tr>
      <w:tr>
        <w:trPr>
          <w:trHeight w:val="280"/>
        </w:trPr>
        <w:tc>
          <w:tcPr>
            <w:tcW w:w="2240" w:type="dxa"/>
            <w:vAlign w:val="bottom"/>
            <w:gridSpan w:val="2"/>
          </w:tcPr>
          <w:p>
            <w:pPr>
              <w:spacing w:after="0"/>
              <w:rPr>
                <w:sz w:val="20"/>
                <w:szCs w:val="20"/>
                <w:color w:val="auto"/>
              </w:rPr>
            </w:pPr>
            <w:r>
              <w:rPr>
                <w:rFonts w:ascii="Arial" w:cs="Arial" w:eastAsia="Arial" w:hAnsi="Arial"/>
                <w:sz w:val="16"/>
                <w:szCs w:val="16"/>
                <w:color w:val="auto"/>
              </w:rPr>
              <w:t>Age (years old)</w:t>
            </w:r>
          </w:p>
        </w:tc>
        <w:tc>
          <w:tcPr>
            <w:tcW w:w="920" w:type="dxa"/>
            <w:vAlign w:val="bottom"/>
          </w:tcPr>
          <w:p>
            <w:pPr>
              <w:spacing w:after="0"/>
              <w:rPr>
                <w:sz w:val="20"/>
                <w:szCs w:val="20"/>
                <w:color w:val="auto"/>
              </w:rPr>
            </w:pPr>
            <w:r>
              <w:rPr>
                <w:rFonts w:ascii="Arial" w:cs="Arial" w:eastAsia="Arial" w:hAnsi="Arial"/>
                <w:sz w:val="16"/>
                <w:szCs w:val="16"/>
                <w:color w:val="auto"/>
              </w:rPr>
              <w:t>-</w:t>
            </w:r>
          </w:p>
        </w:tc>
        <w:tc>
          <w:tcPr>
            <w:tcW w:w="740" w:type="dxa"/>
            <w:vAlign w:val="bottom"/>
          </w:tcPr>
          <w:p>
            <w:pPr>
              <w:ind w:left="200"/>
              <w:spacing w:after="0"/>
              <w:rPr>
                <w:sz w:val="20"/>
                <w:szCs w:val="20"/>
                <w:color w:val="auto"/>
              </w:rPr>
            </w:pPr>
            <w:r>
              <w:rPr>
                <w:rFonts w:ascii="Arial" w:cs="Arial" w:eastAsia="Arial" w:hAnsi="Arial"/>
                <w:sz w:val="16"/>
                <w:szCs w:val="16"/>
                <w:color w:val="auto"/>
              </w:rPr>
              <w:t>-</w:t>
            </w:r>
          </w:p>
        </w:tc>
        <w:tc>
          <w:tcPr>
            <w:tcW w:w="520" w:type="dxa"/>
            <w:vAlign w:val="bottom"/>
          </w:tcPr>
          <w:p>
            <w:pPr>
              <w:ind w:left="180"/>
              <w:spacing w:after="0"/>
              <w:rPr>
                <w:sz w:val="20"/>
                <w:szCs w:val="20"/>
                <w:color w:val="auto"/>
              </w:rPr>
            </w:pPr>
            <w:r>
              <w:rPr>
                <w:rFonts w:ascii="Arial" w:cs="Arial" w:eastAsia="Arial" w:hAnsi="Arial"/>
                <w:sz w:val="16"/>
                <w:szCs w:val="16"/>
                <w:color w:val="auto"/>
              </w:rPr>
              <w:t>-</w:t>
            </w: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−0.03 (0.17)</w:t>
            </w:r>
          </w:p>
        </w:tc>
        <w:tc>
          <w:tcPr>
            <w:tcW w:w="700" w:type="dxa"/>
            <w:vAlign w:val="bottom"/>
          </w:tcPr>
          <w:p>
            <w:pPr>
              <w:jc w:val="center"/>
              <w:spacing w:after="0"/>
              <w:rPr>
                <w:sz w:val="20"/>
                <w:szCs w:val="20"/>
                <w:color w:val="auto"/>
              </w:rPr>
            </w:pPr>
            <w:r>
              <w:rPr>
                <w:rFonts w:ascii="Arial" w:cs="Arial" w:eastAsia="Arial" w:hAnsi="Arial"/>
                <w:sz w:val="16"/>
                <w:szCs w:val="16"/>
                <w:color w:val="auto"/>
                <w:w w:val="88"/>
              </w:rPr>
              <w:t>−0.17</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0.863</w:t>
            </w:r>
          </w:p>
        </w:tc>
        <w:tc>
          <w:tcPr>
            <w:tcW w:w="1380" w:type="dxa"/>
            <w:vAlign w:val="bottom"/>
            <w:gridSpan w:val="2"/>
          </w:tcPr>
          <w:p>
            <w:pPr>
              <w:ind w:left="360"/>
              <w:spacing w:after="0"/>
              <w:rPr>
                <w:sz w:val="20"/>
                <w:szCs w:val="20"/>
                <w:color w:val="auto"/>
              </w:rPr>
            </w:pPr>
            <w:r>
              <w:rPr>
                <w:rFonts w:ascii="Arial" w:cs="Arial" w:eastAsia="Arial" w:hAnsi="Arial"/>
                <w:sz w:val="16"/>
                <w:szCs w:val="16"/>
                <w:color w:val="auto"/>
              </w:rPr>
              <w:t>-</w:t>
            </w:r>
          </w:p>
        </w:tc>
        <w:tc>
          <w:tcPr>
            <w:tcW w:w="720" w:type="dxa"/>
            <w:vAlign w:val="bottom"/>
          </w:tcPr>
          <w:p>
            <w:pPr>
              <w:ind w:left="180"/>
              <w:spacing w:after="0"/>
              <w:rPr>
                <w:sz w:val="20"/>
                <w:szCs w:val="20"/>
                <w:color w:val="auto"/>
              </w:rPr>
            </w:pPr>
            <w:r>
              <w:rPr>
                <w:rFonts w:ascii="Arial" w:cs="Arial" w:eastAsia="Arial" w:hAnsi="Arial"/>
                <w:sz w:val="16"/>
                <w:szCs w:val="16"/>
                <w:color w:val="auto"/>
              </w:rPr>
              <w:t>-</w:t>
            </w:r>
          </w:p>
        </w:tc>
        <w:tc>
          <w:tcPr>
            <w:tcW w:w="540" w:type="dxa"/>
            <w:vAlign w:val="bottom"/>
          </w:tcPr>
          <w:p>
            <w:pPr>
              <w:ind w:left="200"/>
              <w:spacing w:after="0"/>
              <w:rPr>
                <w:sz w:val="20"/>
                <w:szCs w:val="20"/>
                <w:color w:val="auto"/>
              </w:rPr>
            </w:pPr>
            <w:r>
              <w:rPr>
                <w:rFonts w:ascii="Arial" w:cs="Arial" w:eastAsia="Arial" w:hAnsi="Arial"/>
                <w:sz w:val="16"/>
                <w:szCs w:val="16"/>
                <w:color w:val="auto"/>
              </w:rPr>
              <w:t>-</w:t>
            </w:r>
          </w:p>
        </w:tc>
      </w:tr>
      <w:tr>
        <w:trPr>
          <w:trHeight w:val="278"/>
        </w:trPr>
        <w:tc>
          <w:tcPr>
            <w:tcW w:w="140" w:type="dxa"/>
            <w:vAlign w:val="bottom"/>
          </w:tcPr>
          <w:p>
            <w:pPr>
              <w:spacing w:after="0"/>
              <w:rPr>
                <w:sz w:val="24"/>
                <w:szCs w:val="24"/>
                <w:color w:val="auto"/>
              </w:rPr>
            </w:pPr>
          </w:p>
        </w:tc>
        <w:tc>
          <w:tcPr>
            <w:tcW w:w="2100" w:type="dxa"/>
            <w:vAlign w:val="bottom"/>
          </w:tcPr>
          <w:p>
            <w:pPr>
              <w:ind w:left="20"/>
              <w:spacing w:after="0"/>
              <w:rPr>
                <w:sz w:val="20"/>
                <w:szCs w:val="20"/>
                <w:color w:val="auto"/>
              </w:rPr>
            </w:pPr>
            <w:r>
              <w:rPr>
                <w:rFonts w:ascii="Arial" w:cs="Arial" w:eastAsia="Arial" w:hAnsi="Arial"/>
                <w:sz w:val="16"/>
                <w:szCs w:val="16"/>
                <w:color w:val="auto"/>
              </w:rPr>
              <w:t>Young</w:t>
            </w:r>
          </w:p>
        </w:tc>
        <w:tc>
          <w:tcPr>
            <w:tcW w:w="920" w:type="dxa"/>
            <w:vAlign w:val="bottom"/>
          </w:tcPr>
          <w:p>
            <w:pPr>
              <w:spacing w:after="0"/>
              <w:rPr>
                <w:sz w:val="20"/>
                <w:szCs w:val="20"/>
                <w:color w:val="auto"/>
              </w:rPr>
            </w:pPr>
            <w:r>
              <w:rPr>
                <w:rFonts w:ascii="Arial" w:cs="Arial" w:eastAsia="Arial" w:hAnsi="Arial"/>
                <w:sz w:val="16"/>
                <w:szCs w:val="16"/>
                <w:color w:val="auto"/>
              </w:rPr>
              <w:t>-</w:t>
            </w:r>
          </w:p>
        </w:tc>
        <w:tc>
          <w:tcPr>
            <w:tcW w:w="740" w:type="dxa"/>
            <w:vAlign w:val="bottom"/>
          </w:tcPr>
          <w:p>
            <w:pPr>
              <w:ind w:left="200"/>
              <w:spacing w:after="0"/>
              <w:rPr>
                <w:sz w:val="20"/>
                <w:szCs w:val="20"/>
                <w:color w:val="auto"/>
              </w:rPr>
            </w:pPr>
            <w:r>
              <w:rPr>
                <w:rFonts w:ascii="Arial" w:cs="Arial" w:eastAsia="Arial" w:hAnsi="Arial"/>
                <w:sz w:val="16"/>
                <w:szCs w:val="16"/>
                <w:color w:val="auto"/>
              </w:rPr>
              <w:t>-</w:t>
            </w:r>
          </w:p>
        </w:tc>
        <w:tc>
          <w:tcPr>
            <w:tcW w:w="520" w:type="dxa"/>
            <w:vAlign w:val="bottom"/>
          </w:tcPr>
          <w:p>
            <w:pPr>
              <w:ind w:left="180"/>
              <w:spacing w:after="0"/>
              <w:rPr>
                <w:sz w:val="20"/>
                <w:szCs w:val="20"/>
                <w:color w:val="auto"/>
              </w:rPr>
            </w:pPr>
            <w:r>
              <w:rPr>
                <w:rFonts w:ascii="Arial" w:cs="Arial" w:eastAsia="Arial" w:hAnsi="Arial"/>
                <w:sz w:val="16"/>
                <w:szCs w:val="16"/>
                <w:color w:val="auto"/>
              </w:rPr>
              <w:t>-</w:t>
            </w: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−1.58 (0.29)</w:t>
            </w:r>
          </w:p>
        </w:tc>
        <w:tc>
          <w:tcPr>
            <w:tcW w:w="700" w:type="dxa"/>
            <w:vAlign w:val="bottom"/>
          </w:tcPr>
          <w:p>
            <w:pPr>
              <w:jc w:val="center"/>
              <w:spacing w:after="0"/>
              <w:rPr>
                <w:sz w:val="20"/>
                <w:szCs w:val="20"/>
                <w:color w:val="auto"/>
              </w:rPr>
            </w:pPr>
            <w:r>
              <w:rPr>
                <w:rFonts w:ascii="Arial" w:cs="Arial" w:eastAsia="Arial" w:hAnsi="Arial"/>
                <w:sz w:val="16"/>
                <w:szCs w:val="16"/>
                <w:color w:val="auto"/>
                <w:w w:val="88"/>
              </w:rPr>
              <w:t>−5.38</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0.001</w:t>
            </w:r>
          </w:p>
        </w:tc>
        <w:tc>
          <w:tcPr>
            <w:tcW w:w="1380" w:type="dxa"/>
            <w:vAlign w:val="bottom"/>
            <w:gridSpan w:val="2"/>
          </w:tcPr>
          <w:p>
            <w:pPr>
              <w:ind w:left="360"/>
              <w:spacing w:after="0"/>
              <w:rPr>
                <w:sz w:val="20"/>
                <w:szCs w:val="20"/>
                <w:color w:val="auto"/>
              </w:rPr>
            </w:pPr>
            <w:r>
              <w:rPr>
                <w:rFonts w:ascii="Arial" w:cs="Arial" w:eastAsia="Arial" w:hAnsi="Arial"/>
                <w:sz w:val="16"/>
                <w:szCs w:val="16"/>
                <w:color w:val="auto"/>
              </w:rPr>
              <w:t>-</w:t>
            </w:r>
          </w:p>
        </w:tc>
        <w:tc>
          <w:tcPr>
            <w:tcW w:w="720" w:type="dxa"/>
            <w:vAlign w:val="bottom"/>
          </w:tcPr>
          <w:p>
            <w:pPr>
              <w:ind w:left="180"/>
              <w:spacing w:after="0"/>
              <w:rPr>
                <w:sz w:val="20"/>
                <w:szCs w:val="20"/>
                <w:color w:val="auto"/>
              </w:rPr>
            </w:pPr>
            <w:r>
              <w:rPr>
                <w:rFonts w:ascii="Arial" w:cs="Arial" w:eastAsia="Arial" w:hAnsi="Arial"/>
                <w:sz w:val="16"/>
                <w:szCs w:val="16"/>
                <w:color w:val="auto"/>
              </w:rPr>
              <w:t>-</w:t>
            </w:r>
          </w:p>
        </w:tc>
        <w:tc>
          <w:tcPr>
            <w:tcW w:w="540" w:type="dxa"/>
            <w:vAlign w:val="bottom"/>
          </w:tcPr>
          <w:p>
            <w:pPr>
              <w:ind w:left="200"/>
              <w:spacing w:after="0"/>
              <w:rPr>
                <w:sz w:val="20"/>
                <w:szCs w:val="20"/>
                <w:color w:val="auto"/>
              </w:rPr>
            </w:pPr>
            <w:r>
              <w:rPr>
                <w:rFonts w:ascii="Arial" w:cs="Arial" w:eastAsia="Arial" w:hAnsi="Arial"/>
                <w:sz w:val="16"/>
                <w:szCs w:val="16"/>
                <w:color w:val="auto"/>
              </w:rPr>
              <w:t>-</w:t>
            </w:r>
          </w:p>
        </w:tc>
      </w:tr>
      <w:tr>
        <w:trPr>
          <w:trHeight w:val="282"/>
        </w:trPr>
        <w:tc>
          <w:tcPr>
            <w:tcW w:w="2240" w:type="dxa"/>
            <w:vAlign w:val="bottom"/>
            <w:gridSpan w:val="2"/>
          </w:tcPr>
          <w:p>
            <w:pPr>
              <w:spacing w:after="0"/>
              <w:rPr>
                <w:sz w:val="20"/>
                <w:szCs w:val="20"/>
                <w:color w:val="auto"/>
              </w:rPr>
            </w:pPr>
            <w:r>
              <w:rPr>
                <w:rFonts w:ascii="Arial" w:cs="Arial" w:eastAsia="Arial" w:hAnsi="Arial"/>
                <w:sz w:val="16"/>
                <w:szCs w:val="16"/>
                <w:color w:val="auto"/>
              </w:rPr>
              <w:t>Gender (men)</w:t>
            </w:r>
          </w:p>
        </w:tc>
        <w:tc>
          <w:tcPr>
            <w:tcW w:w="920" w:type="dxa"/>
            <w:vAlign w:val="bottom"/>
          </w:tcPr>
          <w:p>
            <w:pPr>
              <w:spacing w:after="0"/>
              <w:rPr>
                <w:sz w:val="20"/>
                <w:szCs w:val="20"/>
                <w:color w:val="auto"/>
              </w:rPr>
            </w:pPr>
            <w:r>
              <w:rPr>
                <w:rFonts w:ascii="Arial" w:cs="Arial" w:eastAsia="Arial" w:hAnsi="Arial"/>
                <w:sz w:val="16"/>
                <w:szCs w:val="16"/>
                <w:color w:val="auto"/>
              </w:rPr>
              <w:t>−0.53 (0.14)</w:t>
            </w:r>
          </w:p>
        </w:tc>
        <w:tc>
          <w:tcPr>
            <w:tcW w:w="740" w:type="dxa"/>
            <w:vAlign w:val="bottom"/>
          </w:tcPr>
          <w:p>
            <w:pPr>
              <w:ind w:left="200"/>
              <w:spacing w:after="0"/>
              <w:rPr>
                <w:sz w:val="20"/>
                <w:szCs w:val="20"/>
                <w:color w:val="auto"/>
              </w:rPr>
            </w:pPr>
            <w:r>
              <w:rPr>
                <w:rFonts w:ascii="Arial" w:cs="Arial" w:eastAsia="Arial" w:hAnsi="Arial"/>
                <w:sz w:val="16"/>
                <w:szCs w:val="16"/>
                <w:color w:val="auto"/>
              </w:rPr>
              <w:t>−3.66</w:t>
            </w:r>
          </w:p>
        </w:tc>
        <w:tc>
          <w:tcPr>
            <w:tcW w:w="520" w:type="dxa"/>
            <w:vAlign w:val="bottom"/>
          </w:tcPr>
          <w:p>
            <w:pPr>
              <w:ind w:left="180"/>
              <w:spacing w:after="0"/>
              <w:rPr>
                <w:sz w:val="20"/>
                <w:szCs w:val="20"/>
                <w:color w:val="auto"/>
              </w:rPr>
            </w:pPr>
            <w:r>
              <w:rPr>
                <w:rFonts w:ascii="Arial" w:cs="Arial" w:eastAsia="Arial" w:hAnsi="Arial"/>
                <w:sz w:val="16"/>
                <w:szCs w:val="16"/>
                <w:color w:val="auto"/>
                <w:w w:val="79"/>
              </w:rPr>
              <w:t>0.001</w:t>
            </w: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−0.58 (0.17)</w:t>
            </w:r>
          </w:p>
        </w:tc>
        <w:tc>
          <w:tcPr>
            <w:tcW w:w="700" w:type="dxa"/>
            <w:vAlign w:val="bottom"/>
          </w:tcPr>
          <w:p>
            <w:pPr>
              <w:jc w:val="center"/>
              <w:spacing w:after="0"/>
              <w:rPr>
                <w:sz w:val="20"/>
                <w:szCs w:val="20"/>
                <w:color w:val="auto"/>
              </w:rPr>
            </w:pPr>
            <w:r>
              <w:rPr>
                <w:rFonts w:ascii="Arial" w:cs="Arial" w:eastAsia="Arial" w:hAnsi="Arial"/>
                <w:sz w:val="16"/>
                <w:szCs w:val="16"/>
                <w:color w:val="auto"/>
                <w:w w:val="88"/>
              </w:rPr>
              <w:t>−3.40</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0.001</w:t>
            </w:r>
          </w:p>
        </w:tc>
        <w:tc>
          <w:tcPr>
            <w:tcW w:w="1380" w:type="dxa"/>
            <w:vAlign w:val="bottom"/>
            <w:gridSpan w:val="2"/>
          </w:tcPr>
          <w:p>
            <w:pPr>
              <w:ind w:left="360"/>
              <w:spacing w:after="0"/>
              <w:rPr>
                <w:sz w:val="20"/>
                <w:szCs w:val="20"/>
                <w:color w:val="auto"/>
              </w:rPr>
            </w:pPr>
            <w:r>
              <w:rPr>
                <w:rFonts w:ascii="Arial" w:cs="Arial" w:eastAsia="Arial" w:hAnsi="Arial"/>
                <w:sz w:val="16"/>
                <w:szCs w:val="16"/>
                <w:color w:val="auto"/>
              </w:rPr>
              <w:t>-</w:t>
            </w:r>
          </w:p>
        </w:tc>
        <w:tc>
          <w:tcPr>
            <w:tcW w:w="720" w:type="dxa"/>
            <w:vAlign w:val="bottom"/>
          </w:tcPr>
          <w:p>
            <w:pPr>
              <w:ind w:left="180"/>
              <w:spacing w:after="0"/>
              <w:rPr>
                <w:sz w:val="20"/>
                <w:szCs w:val="20"/>
                <w:color w:val="auto"/>
              </w:rPr>
            </w:pPr>
            <w:r>
              <w:rPr>
                <w:rFonts w:ascii="Arial" w:cs="Arial" w:eastAsia="Arial" w:hAnsi="Arial"/>
                <w:sz w:val="16"/>
                <w:szCs w:val="16"/>
                <w:color w:val="auto"/>
              </w:rPr>
              <w:t>-</w:t>
            </w:r>
          </w:p>
        </w:tc>
        <w:tc>
          <w:tcPr>
            <w:tcW w:w="540" w:type="dxa"/>
            <w:vAlign w:val="bottom"/>
          </w:tcPr>
          <w:p>
            <w:pPr>
              <w:ind w:left="200"/>
              <w:spacing w:after="0"/>
              <w:rPr>
                <w:sz w:val="20"/>
                <w:szCs w:val="20"/>
                <w:color w:val="auto"/>
              </w:rPr>
            </w:pPr>
            <w:r>
              <w:rPr>
                <w:rFonts w:ascii="Arial" w:cs="Arial" w:eastAsia="Arial" w:hAnsi="Arial"/>
                <w:sz w:val="16"/>
                <w:szCs w:val="16"/>
                <w:color w:val="auto"/>
              </w:rPr>
              <w:t>-</w:t>
            </w:r>
          </w:p>
        </w:tc>
      </w:tr>
      <w:tr>
        <w:trPr>
          <w:trHeight w:val="278"/>
        </w:trPr>
        <w:tc>
          <w:tcPr>
            <w:tcW w:w="2240" w:type="dxa"/>
            <w:vAlign w:val="bottom"/>
            <w:gridSpan w:val="2"/>
          </w:tcPr>
          <w:p>
            <w:pPr>
              <w:spacing w:after="0"/>
              <w:rPr>
                <w:sz w:val="20"/>
                <w:szCs w:val="20"/>
                <w:color w:val="auto"/>
              </w:rPr>
            </w:pPr>
            <w:r>
              <w:rPr>
                <w:rFonts w:ascii="Arial" w:cs="Arial" w:eastAsia="Arial" w:hAnsi="Arial"/>
                <w:sz w:val="16"/>
                <w:szCs w:val="16"/>
                <w:color w:val="auto"/>
              </w:rPr>
              <w:t>Residence status (indigenous)</w:t>
            </w:r>
          </w:p>
        </w:tc>
        <w:tc>
          <w:tcPr>
            <w:tcW w:w="920" w:type="dxa"/>
            <w:vAlign w:val="bottom"/>
          </w:tcPr>
          <w:p>
            <w:pPr>
              <w:spacing w:after="0"/>
              <w:rPr>
                <w:sz w:val="20"/>
                <w:szCs w:val="20"/>
                <w:color w:val="auto"/>
              </w:rPr>
            </w:pPr>
            <w:r>
              <w:rPr>
                <w:rFonts w:ascii="Arial" w:cs="Arial" w:eastAsia="Arial" w:hAnsi="Arial"/>
                <w:sz w:val="16"/>
                <w:szCs w:val="16"/>
                <w:color w:val="auto"/>
              </w:rPr>
              <w:t>-</w:t>
            </w:r>
          </w:p>
        </w:tc>
        <w:tc>
          <w:tcPr>
            <w:tcW w:w="740" w:type="dxa"/>
            <w:vAlign w:val="bottom"/>
          </w:tcPr>
          <w:p>
            <w:pPr>
              <w:ind w:left="200"/>
              <w:spacing w:after="0"/>
              <w:rPr>
                <w:sz w:val="20"/>
                <w:szCs w:val="20"/>
                <w:color w:val="auto"/>
              </w:rPr>
            </w:pPr>
            <w:r>
              <w:rPr>
                <w:rFonts w:ascii="Arial" w:cs="Arial" w:eastAsia="Arial" w:hAnsi="Arial"/>
                <w:sz w:val="16"/>
                <w:szCs w:val="16"/>
                <w:color w:val="auto"/>
              </w:rPr>
              <w:t>-</w:t>
            </w:r>
          </w:p>
        </w:tc>
        <w:tc>
          <w:tcPr>
            <w:tcW w:w="520" w:type="dxa"/>
            <w:vAlign w:val="bottom"/>
          </w:tcPr>
          <w:p>
            <w:pPr>
              <w:ind w:left="180"/>
              <w:spacing w:after="0"/>
              <w:rPr>
                <w:sz w:val="20"/>
                <w:szCs w:val="20"/>
                <w:color w:val="auto"/>
              </w:rPr>
            </w:pPr>
            <w:r>
              <w:rPr>
                <w:rFonts w:ascii="Arial" w:cs="Arial" w:eastAsia="Arial" w:hAnsi="Arial"/>
                <w:sz w:val="16"/>
                <w:szCs w:val="16"/>
                <w:color w:val="auto"/>
              </w:rPr>
              <w:t>-</w:t>
            </w: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w:t>
            </w:r>
          </w:p>
        </w:tc>
        <w:tc>
          <w:tcPr>
            <w:tcW w:w="700" w:type="dxa"/>
            <w:vAlign w:val="bottom"/>
          </w:tcPr>
          <w:p>
            <w:pPr>
              <w:ind w:left="160"/>
              <w:spacing w:after="0"/>
              <w:rPr>
                <w:sz w:val="20"/>
                <w:szCs w:val="20"/>
                <w:color w:val="auto"/>
              </w:rPr>
            </w:pPr>
            <w:r>
              <w:rPr>
                <w:rFonts w:ascii="Arial" w:cs="Arial" w:eastAsia="Arial" w:hAnsi="Arial"/>
                <w:sz w:val="16"/>
                <w:szCs w:val="16"/>
                <w:color w:val="auto"/>
              </w:rPr>
              <w:t>-</w:t>
            </w:r>
          </w:p>
        </w:tc>
        <w:tc>
          <w:tcPr>
            <w:tcW w:w="540" w:type="dxa"/>
            <w:vAlign w:val="bottom"/>
          </w:tcPr>
          <w:p>
            <w:pPr>
              <w:ind w:left="200"/>
              <w:spacing w:after="0"/>
              <w:rPr>
                <w:sz w:val="20"/>
                <w:szCs w:val="20"/>
                <w:color w:val="auto"/>
              </w:rPr>
            </w:pPr>
            <w:r>
              <w:rPr>
                <w:rFonts w:ascii="Arial" w:cs="Arial" w:eastAsia="Arial" w:hAnsi="Arial"/>
                <w:sz w:val="16"/>
                <w:szCs w:val="16"/>
                <w:color w:val="auto"/>
              </w:rPr>
              <w:t>-</w:t>
            </w:r>
          </w:p>
        </w:tc>
        <w:tc>
          <w:tcPr>
            <w:tcW w:w="1380" w:type="dxa"/>
            <w:vAlign w:val="bottom"/>
            <w:gridSpan w:val="2"/>
          </w:tcPr>
          <w:p>
            <w:pPr>
              <w:ind w:left="360"/>
              <w:spacing w:after="0"/>
              <w:rPr>
                <w:sz w:val="20"/>
                <w:szCs w:val="20"/>
                <w:color w:val="auto"/>
              </w:rPr>
            </w:pPr>
            <w:r>
              <w:rPr>
                <w:rFonts w:ascii="Arial" w:cs="Arial" w:eastAsia="Arial" w:hAnsi="Arial"/>
                <w:sz w:val="16"/>
                <w:szCs w:val="16"/>
                <w:color w:val="auto"/>
              </w:rPr>
              <w:t>2.48 (1.04)</w:t>
            </w:r>
          </w:p>
        </w:tc>
        <w:tc>
          <w:tcPr>
            <w:tcW w:w="720" w:type="dxa"/>
            <w:vAlign w:val="bottom"/>
          </w:tcPr>
          <w:p>
            <w:pPr>
              <w:ind w:left="180"/>
              <w:spacing w:after="0"/>
              <w:rPr>
                <w:sz w:val="20"/>
                <w:szCs w:val="20"/>
                <w:color w:val="auto"/>
              </w:rPr>
            </w:pPr>
            <w:r>
              <w:rPr>
                <w:rFonts w:ascii="Arial" w:cs="Arial" w:eastAsia="Arial" w:hAnsi="Arial"/>
                <w:sz w:val="16"/>
                <w:szCs w:val="16"/>
                <w:color w:val="auto"/>
              </w:rPr>
              <w:t>2.39</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0.017</w:t>
            </w:r>
          </w:p>
        </w:tc>
      </w:tr>
      <w:tr>
        <w:trPr>
          <w:trHeight w:val="282"/>
        </w:trPr>
        <w:tc>
          <w:tcPr>
            <w:tcW w:w="140" w:type="dxa"/>
            <w:vAlign w:val="bottom"/>
          </w:tcPr>
          <w:p>
            <w:pPr>
              <w:spacing w:after="0"/>
              <w:rPr>
                <w:sz w:val="24"/>
                <w:szCs w:val="24"/>
                <w:color w:val="auto"/>
              </w:rPr>
            </w:pPr>
          </w:p>
        </w:tc>
        <w:tc>
          <w:tcPr>
            <w:tcW w:w="2100" w:type="dxa"/>
            <w:vAlign w:val="bottom"/>
          </w:tcPr>
          <w:p>
            <w:pPr>
              <w:jc w:val="right"/>
              <w:ind w:right="589"/>
              <w:spacing w:after="0"/>
              <w:rPr>
                <w:sz w:val="20"/>
                <w:szCs w:val="20"/>
                <w:color w:val="auto"/>
              </w:rPr>
            </w:pPr>
            <w:r>
              <w:rPr>
                <w:rFonts w:ascii="Arial" w:cs="Arial" w:eastAsia="Arial" w:hAnsi="Arial"/>
                <w:sz w:val="16"/>
                <w:szCs w:val="16"/>
                <w:color w:val="auto"/>
                <w:w w:val="95"/>
              </w:rPr>
              <w:t>Ethnic group (Fulani)</w:t>
            </w:r>
          </w:p>
        </w:tc>
        <w:tc>
          <w:tcPr>
            <w:tcW w:w="920" w:type="dxa"/>
            <w:vAlign w:val="bottom"/>
          </w:tcPr>
          <w:p>
            <w:pPr>
              <w:ind w:left="340"/>
              <w:spacing w:after="0"/>
              <w:rPr>
                <w:sz w:val="20"/>
                <w:szCs w:val="20"/>
                <w:color w:val="auto"/>
              </w:rPr>
            </w:pPr>
            <w:r>
              <w:rPr>
                <w:rFonts w:ascii="Arial" w:cs="Arial" w:eastAsia="Arial" w:hAnsi="Arial"/>
                <w:sz w:val="16"/>
                <w:szCs w:val="16"/>
                <w:color w:val="auto"/>
              </w:rPr>
              <w:t>-</w:t>
            </w:r>
          </w:p>
        </w:tc>
        <w:tc>
          <w:tcPr>
            <w:tcW w:w="740" w:type="dxa"/>
            <w:vAlign w:val="bottom"/>
          </w:tcPr>
          <w:p>
            <w:pPr>
              <w:ind w:left="340"/>
              <w:spacing w:after="0"/>
              <w:rPr>
                <w:sz w:val="20"/>
                <w:szCs w:val="20"/>
                <w:color w:val="auto"/>
              </w:rPr>
            </w:pPr>
            <w:r>
              <w:rPr>
                <w:rFonts w:ascii="Arial" w:cs="Arial" w:eastAsia="Arial" w:hAnsi="Arial"/>
                <w:sz w:val="16"/>
                <w:szCs w:val="16"/>
                <w:color w:val="auto"/>
              </w:rPr>
              <w:t>-</w:t>
            </w:r>
          </w:p>
        </w:tc>
        <w:tc>
          <w:tcPr>
            <w:tcW w:w="520" w:type="dxa"/>
            <w:vAlign w:val="bottom"/>
          </w:tcPr>
          <w:p>
            <w:pPr>
              <w:ind w:left="320"/>
              <w:spacing w:after="0"/>
              <w:rPr>
                <w:sz w:val="20"/>
                <w:szCs w:val="20"/>
                <w:color w:val="auto"/>
              </w:rPr>
            </w:pPr>
            <w:r>
              <w:rPr>
                <w:rFonts w:ascii="Arial" w:cs="Arial" w:eastAsia="Arial" w:hAnsi="Arial"/>
                <w:sz w:val="16"/>
                <w:szCs w:val="16"/>
                <w:color w:val="auto"/>
              </w:rPr>
              <w:t>-</w:t>
            </w:r>
          </w:p>
        </w:tc>
        <w:tc>
          <w:tcPr>
            <w:tcW w:w="1340" w:type="dxa"/>
            <w:vAlign w:val="bottom"/>
            <w:gridSpan w:val="2"/>
          </w:tcPr>
          <w:p>
            <w:pPr>
              <w:jc w:val="right"/>
              <w:ind w:right="260"/>
              <w:spacing w:after="0"/>
              <w:rPr>
                <w:sz w:val="20"/>
                <w:szCs w:val="20"/>
                <w:color w:val="auto"/>
              </w:rPr>
            </w:pPr>
            <w:r>
              <w:rPr>
                <w:rFonts w:ascii="Arial" w:cs="Arial" w:eastAsia="Arial" w:hAnsi="Arial"/>
                <w:sz w:val="16"/>
                <w:szCs w:val="16"/>
                <w:color w:val="auto"/>
              </w:rPr>
              <w:t>0.67 (0.38)</w:t>
            </w:r>
          </w:p>
        </w:tc>
        <w:tc>
          <w:tcPr>
            <w:tcW w:w="700" w:type="dxa"/>
            <w:vAlign w:val="bottom"/>
          </w:tcPr>
          <w:p>
            <w:pPr>
              <w:jc w:val="center"/>
              <w:spacing w:after="0"/>
              <w:rPr>
                <w:sz w:val="20"/>
                <w:szCs w:val="20"/>
                <w:color w:val="auto"/>
              </w:rPr>
            </w:pPr>
            <w:r>
              <w:rPr>
                <w:rFonts w:ascii="Arial" w:cs="Arial" w:eastAsia="Arial" w:hAnsi="Arial"/>
                <w:sz w:val="16"/>
                <w:szCs w:val="16"/>
                <w:color w:val="auto"/>
                <w:w w:val="83"/>
              </w:rPr>
              <w:t>1.78</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0.074</w:t>
            </w:r>
          </w:p>
        </w:tc>
        <w:tc>
          <w:tcPr>
            <w:tcW w:w="1380" w:type="dxa"/>
            <w:vAlign w:val="bottom"/>
            <w:gridSpan w:val="2"/>
          </w:tcPr>
          <w:p>
            <w:pPr>
              <w:jc w:val="right"/>
              <w:ind w:right="580"/>
              <w:spacing w:after="0"/>
              <w:rPr>
                <w:sz w:val="20"/>
                <w:szCs w:val="20"/>
                <w:color w:val="auto"/>
              </w:rPr>
            </w:pPr>
            <w:r>
              <w:rPr>
                <w:rFonts w:ascii="Arial" w:cs="Arial" w:eastAsia="Arial" w:hAnsi="Arial"/>
                <w:sz w:val="16"/>
                <w:szCs w:val="16"/>
                <w:color w:val="auto"/>
              </w:rPr>
              <w:t>-</w:t>
            </w:r>
          </w:p>
        </w:tc>
        <w:tc>
          <w:tcPr>
            <w:tcW w:w="720" w:type="dxa"/>
            <w:vAlign w:val="bottom"/>
          </w:tcPr>
          <w:p>
            <w:pPr>
              <w:ind w:left="340"/>
              <w:spacing w:after="0"/>
              <w:rPr>
                <w:sz w:val="20"/>
                <w:szCs w:val="20"/>
                <w:color w:val="auto"/>
              </w:rPr>
            </w:pPr>
            <w:r>
              <w:rPr>
                <w:rFonts w:ascii="Arial" w:cs="Arial" w:eastAsia="Arial" w:hAnsi="Arial"/>
                <w:sz w:val="16"/>
                <w:szCs w:val="16"/>
                <w:color w:val="auto"/>
              </w:rPr>
              <w:t>-</w:t>
            </w:r>
          </w:p>
        </w:tc>
        <w:tc>
          <w:tcPr>
            <w:tcW w:w="540" w:type="dxa"/>
            <w:vAlign w:val="bottom"/>
          </w:tcPr>
          <w:p>
            <w:pPr>
              <w:ind w:left="340"/>
              <w:spacing w:after="0"/>
              <w:rPr>
                <w:sz w:val="20"/>
                <w:szCs w:val="20"/>
                <w:color w:val="auto"/>
              </w:rPr>
            </w:pPr>
            <w:r>
              <w:rPr>
                <w:rFonts w:ascii="Arial" w:cs="Arial" w:eastAsia="Arial" w:hAnsi="Arial"/>
                <w:sz w:val="16"/>
                <w:szCs w:val="16"/>
                <w:color w:val="auto"/>
              </w:rPr>
              <w:t>-</w:t>
            </w:r>
          </w:p>
        </w:tc>
      </w:tr>
      <w:tr>
        <w:trPr>
          <w:trHeight w:val="278"/>
        </w:trPr>
        <w:tc>
          <w:tcPr>
            <w:tcW w:w="140" w:type="dxa"/>
            <w:vAlign w:val="bottom"/>
          </w:tcPr>
          <w:p>
            <w:pPr>
              <w:spacing w:after="0"/>
              <w:rPr>
                <w:sz w:val="24"/>
                <w:szCs w:val="24"/>
                <w:color w:val="auto"/>
              </w:rPr>
            </w:pPr>
          </w:p>
        </w:tc>
        <w:tc>
          <w:tcPr>
            <w:tcW w:w="2100" w:type="dxa"/>
            <w:vAlign w:val="bottom"/>
          </w:tcPr>
          <w:p>
            <w:pPr>
              <w:jc w:val="right"/>
              <w:ind w:right="589"/>
              <w:spacing w:after="0"/>
              <w:rPr>
                <w:sz w:val="20"/>
                <w:szCs w:val="20"/>
                <w:color w:val="auto"/>
              </w:rPr>
            </w:pPr>
            <w:r>
              <w:rPr>
                <w:rFonts w:ascii="Arial" w:cs="Arial" w:eastAsia="Arial" w:hAnsi="Arial"/>
                <w:sz w:val="16"/>
                <w:szCs w:val="16"/>
                <w:color w:val="auto"/>
              </w:rPr>
              <w:t>Siamou</w:t>
            </w:r>
          </w:p>
        </w:tc>
        <w:tc>
          <w:tcPr>
            <w:tcW w:w="920" w:type="dxa"/>
            <w:vAlign w:val="bottom"/>
          </w:tcPr>
          <w:p>
            <w:pPr>
              <w:spacing w:after="0"/>
              <w:rPr>
                <w:sz w:val="24"/>
                <w:szCs w:val="24"/>
                <w:color w:val="auto"/>
              </w:rPr>
            </w:pPr>
          </w:p>
        </w:tc>
        <w:tc>
          <w:tcPr>
            <w:tcW w:w="740" w:type="dxa"/>
            <w:vAlign w:val="bottom"/>
          </w:tcPr>
          <w:p>
            <w:pPr>
              <w:ind w:left="340"/>
              <w:spacing w:after="0"/>
              <w:rPr>
                <w:sz w:val="20"/>
                <w:szCs w:val="20"/>
                <w:color w:val="auto"/>
              </w:rPr>
            </w:pPr>
            <w:r>
              <w:rPr>
                <w:rFonts w:ascii="Arial" w:cs="Arial" w:eastAsia="Arial" w:hAnsi="Arial"/>
                <w:sz w:val="16"/>
                <w:szCs w:val="16"/>
                <w:color w:val="auto"/>
              </w:rPr>
              <w:t>-</w:t>
            </w:r>
          </w:p>
        </w:tc>
        <w:tc>
          <w:tcPr>
            <w:tcW w:w="520" w:type="dxa"/>
            <w:vAlign w:val="bottom"/>
          </w:tcPr>
          <w:p>
            <w:pPr>
              <w:ind w:left="320"/>
              <w:spacing w:after="0"/>
              <w:rPr>
                <w:sz w:val="20"/>
                <w:szCs w:val="20"/>
                <w:color w:val="auto"/>
              </w:rPr>
            </w:pPr>
            <w:r>
              <w:rPr>
                <w:rFonts w:ascii="Arial" w:cs="Arial" w:eastAsia="Arial" w:hAnsi="Arial"/>
                <w:sz w:val="16"/>
                <w:szCs w:val="16"/>
                <w:color w:val="auto"/>
              </w:rPr>
              <w:t>-</w:t>
            </w:r>
          </w:p>
        </w:tc>
        <w:tc>
          <w:tcPr>
            <w:tcW w:w="1340" w:type="dxa"/>
            <w:vAlign w:val="bottom"/>
            <w:gridSpan w:val="2"/>
          </w:tcPr>
          <w:p>
            <w:pPr>
              <w:jc w:val="right"/>
              <w:ind w:right="260"/>
              <w:spacing w:after="0"/>
              <w:rPr>
                <w:sz w:val="20"/>
                <w:szCs w:val="20"/>
                <w:color w:val="auto"/>
              </w:rPr>
            </w:pPr>
            <w:r>
              <w:rPr>
                <w:rFonts w:ascii="Arial" w:cs="Arial" w:eastAsia="Arial" w:hAnsi="Arial"/>
                <w:sz w:val="16"/>
                <w:szCs w:val="16"/>
                <w:color w:val="auto"/>
              </w:rPr>
              <w:t>1.60 (0.39)</w:t>
            </w:r>
          </w:p>
        </w:tc>
        <w:tc>
          <w:tcPr>
            <w:tcW w:w="700" w:type="dxa"/>
            <w:vAlign w:val="bottom"/>
          </w:tcPr>
          <w:p>
            <w:pPr>
              <w:jc w:val="center"/>
              <w:spacing w:after="0"/>
              <w:rPr>
                <w:sz w:val="20"/>
                <w:szCs w:val="20"/>
                <w:color w:val="auto"/>
              </w:rPr>
            </w:pPr>
            <w:r>
              <w:rPr>
                <w:rFonts w:ascii="Arial" w:cs="Arial" w:eastAsia="Arial" w:hAnsi="Arial"/>
                <w:sz w:val="16"/>
                <w:szCs w:val="16"/>
                <w:color w:val="auto"/>
                <w:w w:val="83"/>
              </w:rPr>
              <w:t>4.16</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0.001</w:t>
            </w:r>
          </w:p>
        </w:tc>
        <w:tc>
          <w:tcPr>
            <w:tcW w:w="1380" w:type="dxa"/>
            <w:vAlign w:val="bottom"/>
            <w:gridSpan w:val="2"/>
          </w:tcPr>
          <w:p>
            <w:pPr>
              <w:jc w:val="right"/>
              <w:ind w:right="580"/>
              <w:spacing w:after="0"/>
              <w:rPr>
                <w:sz w:val="20"/>
                <w:szCs w:val="20"/>
                <w:color w:val="auto"/>
              </w:rPr>
            </w:pPr>
            <w:r>
              <w:rPr>
                <w:rFonts w:ascii="Arial" w:cs="Arial" w:eastAsia="Arial" w:hAnsi="Arial"/>
                <w:sz w:val="16"/>
                <w:szCs w:val="16"/>
                <w:color w:val="auto"/>
              </w:rPr>
              <w:t>-</w:t>
            </w:r>
          </w:p>
        </w:tc>
        <w:tc>
          <w:tcPr>
            <w:tcW w:w="720" w:type="dxa"/>
            <w:vAlign w:val="bottom"/>
          </w:tcPr>
          <w:p>
            <w:pPr>
              <w:ind w:left="340"/>
              <w:spacing w:after="0"/>
              <w:rPr>
                <w:sz w:val="20"/>
                <w:szCs w:val="20"/>
                <w:color w:val="auto"/>
              </w:rPr>
            </w:pPr>
            <w:r>
              <w:rPr>
                <w:rFonts w:ascii="Arial" w:cs="Arial" w:eastAsia="Arial" w:hAnsi="Arial"/>
                <w:sz w:val="16"/>
                <w:szCs w:val="16"/>
                <w:color w:val="auto"/>
              </w:rPr>
              <w:t>-</w:t>
            </w:r>
          </w:p>
        </w:tc>
        <w:tc>
          <w:tcPr>
            <w:tcW w:w="540" w:type="dxa"/>
            <w:vAlign w:val="bottom"/>
          </w:tcPr>
          <w:p>
            <w:pPr>
              <w:ind w:left="340"/>
              <w:spacing w:after="0"/>
              <w:rPr>
                <w:sz w:val="20"/>
                <w:szCs w:val="20"/>
                <w:color w:val="auto"/>
              </w:rPr>
            </w:pPr>
            <w:r>
              <w:rPr>
                <w:rFonts w:ascii="Arial" w:cs="Arial" w:eastAsia="Arial" w:hAnsi="Arial"/>
                <w:sz w:val="16"/>
                <w:szCs w:val="16"/>
                <w:color w:val="auto"/>
              </w:rPr>
              <w:t>-</w:t>
            </w:r>
          </w:p>
        </w:tc>
      </w:tr>
      <w:tr>
        <w:trPr>
          <w:trHeight w:val="181"/>
        </w:trPr>
        <w:tc>
          <w:tcPr>
            <w:tcW w:w="140" w:type="dxa"/>
            <w:vAlign w:val="bottom"/>
          </w:tcPr>
          <w:p>
            <w:pPr>
              <w:spacing w:after="0"/>
              <w:rPr>
                <w:sz w:val="15"/>
                <w:szCs w:val="15"/>
                <w:color w:val="auto"/>
              </w:rPr>
            </w:pPr>
          </w:p>
        </w:tc>
        <w:tc>
          <w:tcPr>
            <w:tcW w:w="2100" w:type="dxa"/>
            <w:vAlign w:val="bottom"/>
          </w:tcPr>
          <w:p>
            <w:pPr>
              <w:spacing w:after="0"/>
              <w:rPr>
                <w:sz w:val="15"/>
                <w:szCs w:val="15"/>
                <w:color w:val="auto"/>
              </w:rPr>
            </w:pPr>
          </w:p>
        </w:tc>
        <w:tc>
          <w:tcPr>
            <w:tcW w:w="920" w:type="dxa"/>
            <w:vAlign w:val="bottom"/>
          </w:tcPr>
          <w:p>
            <w:pPr>
              <w:ind w:left="340"/>
              <w:spacing w:after="0" w:line="181" w:lineRule="exact"/>
              <w:rPr>
                <w:sz w:val="20"/>
                <w:szCs w:val="20"/>
                <w:color w:val="auto"/>
              </w:rPr>
            </w:pPr>
            <w:r>
              <w:rPr>
                <w:rFonts w:ascii="Arial" w:cs="Arial" w:eastAsia="Arial" w:hAnsi="Arial"/>
                <w:sz w:val="16"/>
                <w:szCs w:val="16"/>
                <w:color w:val="auto"/>
              </w:rPr>
              <w:t>-</w:t>
            </w:r>
          </w:p>
        </w:tc>
        <w:tc>
          <w:tcPr>
            <w:tcW w:w="740" w:type="dxa"/>
            <w:vAlign w:val="bottom"/>
          </w:tcPr>
          <w:p>
            <w:pPr>
              <w:spacing w:after="0"/>
              <w:rPr>
                <w:sz w:val="15"/>
                <w:szCs w:val="15"/>
                <w:color w:val="auto"/>
              </w:rPr>
            </w:pPr>
          </w:p>
        </w:tc>
        <w:tc>
          <w:tcPr>
            <w:tcW w:w="52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96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540" w:type="dxa"/>
            <w:vAlign w:val="bottom"/>
          </w:tcPr>
          <w:p>
            <w:pPr>
              <w:spacing w:after="0"/>
              <w:rPr>
                <w:sz w:val="15"/>
                <w:szCs w:val="15"/>
                <w:color w:val="auto"/>
              </w:rPr>
            </w:pPr>
          </w:p>
        </w:tc>
      </w:tr>
      <w:tr>
        <w:trPr>
          <w:trHeight w:val="278"/>
        </w:trPr>
        <w:tc>
          <w:tcPr>
            <w:tcW w:w="140" w:type="dxa"/>
            <w:vAlign w:val="bottom"/>
          </w:tcPr>
          <w:p>
            <w:pPr>
              <w:spacing w:after="0"/>
              <w:rPr>
                <w:sz w:val="24"/>
                <w:szCs w:val="24"/>
                <w:color w:val="auto"/>
              </w:rPr>
            </w:pPr>
          </w:p>
        </w:tc>
        <w:tc>
          <w:tcPr>
            <w:tcW w:w="2100" w:type="dxa"/>
            <w:vAlign w:val="bottom"/>
          </w:tcPr>
          <w:p>
            <w:pPr>
              <w:jc w:val="right"/>
              <w:ind w:right="589"/>
              <w:spacing w:after="0"/>
              <w:rPr>
                <w:sz w:val="20"/>
                <w:szCs w:val="20"/>
                <w:color w:val="auto"/>
              </w:rPr>
            </w:pPr>
            <w:r>
              <w:rPr>
                <w:rFonts w:ascii="Arial" w:cs="Arial" w:eastAsia="Arial" w:hAnsi="Arial"/>
                <w:sz w:val="16"/>
                <w:szCs w:val="16"/>
                <w:color w:val="auto"/>
              </w:rPr>
              <w:t>Toussiam</w:t>
            </w:r>
          </w:p>
        </w:tc>
        <w:tc>
          <w:tcPr>
            <w:tcW w:w="920" w:type="dxa"/>
            <w:vAlign w:val="bottom"/>
          </w:tcPr>
          <w:p>
            <w:pPr>
              <w:spacing w:after="0"/>
              <w:rPr>
                <w:sz w:val="24"/>
                <w:szCs w:val="24"/>
                <w:color w:val="auto"/>
              </w:rPr>
            </w:pPr>
          </w:p>
        </w:tc>
        <w:tc>
          <w:tcPr>
            <w:tcW w:w="740" w:type="dxa"/>
            <w:vAlign w:val="bottom"/>
          </w:tcPr>
          <w:p>
            <w:pPr>
              <w:ind w:left="340"/>
              <w:spacing w:after="0"/>
              <w:rPr>
                <w:sz w:val="20"/>
                <w:szCs w:val="20"/>
                <w:color w:val="auto"/>
              </w:rPr>
            </w:pPr>
            <w:r>
              <w:rPr>
                <w:rFonts w:ascii="Arial" w:cs="Arial" w:eastAsia="Arial" w:hAnsi="Arial"/>
                <w:sz w:val="16"/>
                <w:szCs w:val="16"/>
                <w:color w:val="auto"/>
              </w:rPr>
              <w:t>-</w:t>
            </w:r>
          </w:p>
        </w:tc>
        <w:tc>
          <w:tcPr>
            <w:tcW w:w="520" w:type="dxa"/>
            <w:vAlign w:val="bottom"/>
          </w:tcPr>
          <w:p>
            <w:pPr>
              <w:ind w:left="320"/>
              <w:spacing w:after="0"/>
              <w:rPr>
                <w:sz w:val="20"/>
                <w:szCs w:val="20"/>
                <w:color w:val="auto"/>
              </w:rPr>
            </w:pPr>
            <w:r>
              <w:rPr>
                <w:rFonts w:ascii="Arial" w:cs="Arial" w:eastAsia="Arial" w:hAnsi="Arial"/>
                <w:sz w:val="16"/>
                <w:szCs w:val="16"/>
                <w:color w:val="auto"/>
              </w:rPr>
              <w:t>-</w:t>
            </w:r>
          </w:p>
        </w:tc>
        <w:tc>
          <w:tcPr>
            <w:tcW w:w="1340" w:type="dxa"/>
            <w:vAlign w:val="bottom"/>
            <w:gridSpan w:val="2"/>
          </w:tcPr>
          <w:p>
            <w:pPr>
              <w:jc w:val="right"/>
              <w:ind w:right="260"/>
              <w:spacing w:after="0"/>
              <w:rPr>
                <w:sz w:val="20"/>
                <w:szCs w:val="20"/>
                <w:color w:val="auto"/>
              </w:rPr>
            </w:pPr>
            <w:r>
              <w:rPr>
                <w:rFonts w:ascii="Arial" w:cs="Arial" w:eastAsia="Arial" w:hAnsi="Arial"/>
                <w:sz w:val="16"/>
                <w:szCs w:val="16"/>
                <w:color w:val="auto"/>
              </w:rPr>
              <w:t>1.32 (0.38)</w:t>
            </w:r>
          </w:p>
        </w:tc>
        <w:tc>
          <w:tcPr>
            <w:tcW w:w="700" w:type="dxa"/>
            <w:vAlign w:val="bottom"/>
          </w:tcPr>
          <w:p>
            <w:pPr>
              <w:jc w:val="center"/>
              <w:spacing w:after="0"/>
              <w:rPr>
                <w:sz w:val="20"/>
                <w:szCs w:val="20"/>
                <w:color w:val="auto"/>
              </w:rPr>
            </w:pPr>
            <w:r>
              <w:rPr>
                <w:rFonts w:ascii="Arial" w:cs="Arial" w:eastAsia="Arial" w:hAnsi="Arial"/>
                <w:sz w:val="16"/>
                <w:szCs w:val="16"/>
                <w:color w:val="auto"/>
                <w:w w:val="83"/>
              </w:rPr>
              <w:t>3.44</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0.001</w:t>
            </w:r>
          </w:p>
        </w:tc>
        <w:tc>
          <w:tcPr>
            <w:tcW w:w="1380" w:type="dxa"/>
            <w:vAlign w:val="bottom"/>
            <w:gridSpan w:val="2"/>
          </w:tcPr>
          <w:p>
            <w:pPr>
              <w:jc w:val="right"/>
              <w:ind w:right="580"/>
              <w:spacing w:after="0"/>
              <w:rPr>
                <w:sz w:val="20"/>
                <w:szCs w:val="20"/>
                <w:color w:val="auto"/>
              </w:rPr>
            </w:pPr>
            <w:r>
              <w:rPr>
                <w:rFonts w:ascii="Arial" w:cs="Arial" w:eastAsia="Arial" w:hAnsi="Arial"/>
                <w:sz w:val="16"/>
                <w:szCs w:val="16"/>
                <w:color w:val="auto"/>
              </w:rPr>
              <w:t>-</w:t>
            </w:r>
          </w:p>
        </w:tc>
        <w:tc>
          <w:tcPr>
            <w:tcW w:w="720" w:type="dxa"/>
            <w:vAlign w:val="bottom"/>
          </w:tcPr>
          <w:p>
            <w:pPr>
              <w:ind w:left="340"/>
              <w:spacing w:after="0"/>
              <w:rPr>
                <w:sz w:val="20"/>
                <w:szCs w:val="20"/>
                <w:color w:val="auto"/>
              </w:rPr>
            </w:pPr>
            <w:r>
              <w:rPr>
                <w:rFonts w:ascii="Arial" w:cs="Arial" w:eastAsia="Arial" w:hAnsi="Arial"/>
                <w:sz w:val="16"/>
                <w:szCs w:val="16"/>
                <w:color w:val="auto"/>
              </w:rPr>
              <w:t>-</w:t>
            </w:r>
          </w:p>
        </w:tc>
        <w:tc>
          <w:tcPr>
            <w:tcW w:w="540" w:type="dxa"/>
            <w:vAlign w:val="bottom"/>
          </w:tcPr>
          <w:p>
            <w:pPr>
              <w:ind w:left="340"/>
              <w:spacing w:after="0"/>
              <w:rPr>
                <w:sz w:val="20"/>
                <w:szCs w:val="20"/>
                <w:color w:val="auto"/>
              </w:rPr>
            </w:pPr>
            <w:r>
              <w:rPr>
                <w:rFonts w:ascii="Arial" w:cs="Arial" w:eastAsia="Arial" w:hAnsi="Arial"/>
                <w:sz w:val="16"/>
                <w:szCs w:val="16"/>
                <w:color w:val="auto"/>
              </w:rPr>
              <w:t>-</w:t>
            </w:r>
          </w:p>
        </w:tc>
      </w:tr>
      <w:tr>
        <w:trPr>
          <w:trHeight w:val="182"/>
        </w:trPr>
        <w:tc>
          <w:tcPr>
            <w:tcW w:w="140" w:type="dxa"/>
            <w:vAlign w:val="bottom"/>
          </w:tcPr>
          <w:p>
            <w:pPr>
              <w:spacing w:after="0"/>
              <w:rPr>
                <w:sz w:val="15"/>
                <w:szCs w:val="15"/>
                <w:color w:val="auto"/>
              </w:rPr>
            </w:pPr>
          </w:p>
        </w:tc>
        <w:tc>
          <w:tcPr>
            <w:tcW w:w="2100" w:type="dxa"/>
            <w:vAlign w:val="bottom"/>
          </w:tcPr>
          <w:p>
            <w:pPr>
              <w:spacing w:after="0"/>
              <w:rPr>
                <w:sz w:val="15"/>
                <w:szCs w:val="15"/>
                <w:color w:val="auto"/>
              </w:rPr>
            </w:pPr>
          </w:p>
        </w:tc>
        <w:tc>
          <w:tcPr>
            <w:tcW w:w="920" w:type="dxa"/>
            <w:vAlign w:val="bottom"/>
          </w:tcPr>
          <w:p>
            <w:pPr>
              <w:ind w:left="340"/>
              <w:spacing w:after="0" w:line="182" w:lineRule="exact"/>
              <w:rPr>
                <w:sz w:val="20"/>
                <w:szCs w:val="20"/>
                <w:color w:val="auto"/>
              </w:rPr>
            </w:pPr>
            <w:r>
              <w:rPr>
                <w:rFonts w:ascii="Arial" w:cs="Arial" w:eastAsia="Arial" w:hAnsi="Arial"/>
                <w:sz w:val="16"/>
                <w:szCs w:val="16"/>
                <w:color w:val="auto"/>
              </w:rPr>
              <w:t>-</w:t>
            </w:r>
          </w:p>
        </w:tc>
        <w:tc>
          <w:tcPr>
            <w:tcW w:w="740" w:type="dxa"/>
            <w:vAlign w:val="bottom"/>
          </w:tcPr>
          <w:p>
            <w:pPr>
              <w:spacing w:after="0"/>
              <w:rPr>
                <w:sz w:val="15"/>
                <w:szCs w:val="15"/>
                <w:color w:val="auto"/>
              </w:rPr>
            </w:pPr>
          </w:p>
        </w:tc>
        <w:tc>
          <w:tcPr>
            <w:tcW w:w="52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96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540" w:type="dxa"/>
            <w:vAlign w:val="bottom"/>
          </w:tcPr>
          <w:p>
            <w:pPr>
              <w:spacing w:after="0"/>
              <w:rPr>
                <w:sz w:val="15"/>
                <w:szCs w:val="15"/>
                <w:color w:val="auto"/>
              </w:rPr>
            </w:pPr>
          </w:p>
        </w:tc>
      </w:tr>
      <w:tr>
        <w:trPr>
          <w:trHeight w:val="357"/>
        </w:trPr>
        <w:tc>
          <w:tcPr>
            <w:tcW w:w="2240" w:type="dxa"/>
            <w:vAlign w:val="bottom"/>
            <w:gridSpan w:val="2"/>
          </w:tcPr>
          <w:p>
            <w:pPr>
              <w:spacing w:after="0"/>
              <w:rPr>
                <w:sz w:val="20"/>
                <w:szCs w:val="20"/>
                <w:color w:val="auto"/>
              </w:rPr>
            </w:pPr>
            <w:r>
              <w:rPr>
                <w:rFonts w:ascii="Arial" w:cs="Arial" w:eastAsia="Arial" w:hAnsi="Arial"/>
                <w:sz w:val="31"/>
                <w:szCs w:val="31"/>
                <w:color w:val="auto"/>
                <w:vertAlign w:val="superscript"/>
              </w:rPr>
              <w:t>Var</w:t>
            </w:r>
            <w:r>
              <w:rPr>
                <w:rFonts w:ascii="Arial" w:cs="Arial" w:eastAsia="Arial" w:hAnsi="Arial"/>
                <w:sz w:val="11"/>
                <w:szCs w:val="11"/>
                <w:color w:val="auto"/>
              </w:rPr>
              <w:t xml:space="preserve"> Village</w:t>
            </w:r>
          </w:p>
        </w:tc>
        <w:tc>
          <w:tcPr>
            <w:tcW w:w="920" w:type="dxa"/>
            <w:vAlign w:val="bottom"/>
          </w:tcPr>
          <w:p>
            <w:pPr>
              <w:spacing w:after="0"/>
              <w:rPr>
                <w:sz w:val="20"/>
                <w:szCs w:val="20"/>
                <w:color w:val="auto"/>
              </w:rPr>
            </w:pPr>
            <w:r>
              <w:rPr>
                <w:rFonts w:ascii="Arial" w:cs="Arial" w:eastAsia="Arial" w:hAnsi="Arial"/>
                <w:sz w:val="16"/>
                <w:szCs w:val="16"/>
                <w:color w:val="auto"/>
              </w:rPr>
              <w:t>88.38</w:t>
            </w:r>
          </w:p>
        </w:tc>
        <w:tc>
          <w:tcPr>
            <w:tcW w:w="7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0.00</w:t>
            </w:r>
          </w:p>
        </w:tc>
        <w:tc>
          <w:tcPr>
            <w:tcW w:w="70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380" w:type="dxa"/>
            <w:vAlign w:val="bottom"/>
            <w:gridSpan w:val="2"/>
          </w:tcPr>
          <w:p>
            <w:pPr>
              <w:ind w:left="360"/>
              <w:spacing w:after="0"/>
              <w:rPr>
                <w:sz w:val="20"/>
                <w:szCs w:val="20"/>
                <w:color w:val="auto"/>
              </w:rPr>
            </w:pPr>
            <w:r>
              <w:rPr>
                <w:rFonts w:ascii="Arial" w:cs="Arial" w:eastAsia="Arial" w:hAnsi="Arial"/>
                <w:sz w:val="16"/>
                <w:szCs w:val="16"/>
                <w:color w:val="auto"/>
              </w:rPr>
              <w:t>60.22</w:t>
            </w:r>
          </w:p>
        </w:tc>
        <w:tc>
          <w:tcPr>
            <w:tcW w:w="720" w:type="dxa"/>
            <w:vAlign w:val="bottom"/>
          </w:tcPr>
          <w:p>
            <w:pPr>
              <w:spacing w:after="0"/>
              <w:rPr>
                <w:sz w:val="24"/>
                <w:szCs w:val="24"/>
                <w:color w:val="auto"/>
              </w:rPr>
            </w:pPr>
          </w:p>
        </w:tc>
        <w:tc>
          <w:tcPr>
            <w:tcW w:w="540" w:type="dxa"/>
            <w:vAlign w:val="bottom"/>
          </w:tcPr>
          <w:p>
            <w:pPr>
              <w:spacing w:after="0"/>
              <w:rPr>
                <w:sz w:val="24"/>
                <w:szCs w:val="24"/>
                <w:color w:val="auto"/>
              </w:rPr>
            </w:pPr>
          </w:p>
        </w:tc>
      </w:tr>
      <w:tr>
        <w:trPr>
          <w:trHeight w:val="232"/>
        </w:trPr>
        <w:tc>
          <w:tcPr>
            <w:tcW w:w="140" w:type="dxa"/>
            <w:vAlign w:val="bottom"/>
          </w:tcPr>
          <w:p>
            <w:pPr>
              <w:spacing w:after="0"/>
              <w:rPr>
                <w:sz w:val="20"/>
                <w:szCs w:val="20"/>
                <w:color w:val="auto"/>
              </w:rPr>
            </w:pPr>
            <w:r>
              <w:rPr>
                <w:rFonts w:ascii="Arial" w:cs="Arial" w:eastAsia="Arial" w:hAnsi="Arial"/>
                <w:sz w:val="14"/>
                <w:szCs w:val="14"/>
                <w:color w:val="auto"/>
                <w:w w:val="71"/>
              </w:rPr>
              <w:t>R</w:t>
            </w:r>
            <w:r>
              <w:rPr>
                <w:rFonts w:ascii="Arial" w:cs="Arial" w:eastAsia="Arial" w:hAnsi="Arial"/>
                <w:sz w:val="18"/>
                <w:szCs w:val="18"/>
                <w:color w:val="auto"/>
                <w:w w:val="71"/>
                <w:vertAlign w:val="superscript"/>
              </w:rPr>
              <w:t>2</w:t>
            </w:r>
          </w:p>
        </w:tc>
        <w:tc>
          <w:tcPr>
            <w:tcW w:w="2100" w:type="dxa"/>
            <w:vAlign w:val="bottom"/>
          </w:tcPr>
          <w:p>
            <w:pPr>
              <w:spacing w:after="0"/>
              <w:rPr>
                <w:sz w:val="20"/>
                <w:szCs w:val="20"/>
                <w:color w:val="auto"/>
              </w:rPr>
            </w:pPr>
            <w:r>
              <w:rPr>
                <w:rFonts w:ascii="Arial" w:cs="Arial" w:eastAsia="Arial" w:hAnsi="Arial"/>
                <w:sz w:val="11"/>
                <w:szCs w:val="11"/>
                <w:color w:val="auto"/>
              </w:rPr>
              <w:t>Marginal</w:t>
            </w:r>
          </w:p>
        </w:tc>
        <w:tc>
          <w:tcPr>
            <w:tcW w:w="920" w:type="dxa"/>
            <w:vAlign w:val="bottom"/>
          </w:tcPr>
          <w:p>
            <w:pPr>
              <w:spacing w:after="0"/>
              <w:rPr>
                <w:sz w:val="20"/>
                <w:szCs w:val="20"/>
                <w:color w:val="auto"/>
              </w:rPr>
            </w:pPr>
            <w:r>
              <w:rPr>
                <w:rFonts w:ascii="Arial" w:cs="Arial" w:eastAsia="Arial" w:hAnsi="Arial"/>
                <w:sz w:val="16"/>
                <w:szCs w:val="16"/>
                <w:color w:val="auto"/>
              </w:rPr>
              <w:t>0.07</w:t>
            </w:r>
          </w:p>
        </w:tc>
        <w:tc>
          <w:tcPr>
            <w:tcW w:w="74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42.65</w:t>
            </w:r>
          </w:p>
        </w:tc>
        <w:tc>
          <w:tcPr>
            <w:tcW w:w="70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1380" w:type="dxa"/>
            <w:vAlign w:val="bottom"/>
            <w:gridSpan w:val="2"/>
          </w:tcPr>
          <w:p>
            <w:pPr>
              <w:ind w:left="360"/>
              <w:spacing w:after="0"/>
              <w:rPr>
                <w:sz w:val="20"/>
                <w:szCs w:val="20"/>
                <w:color w:val="auto"/>
              </w:rPr>
            </w:pPr>
            <w:r>
              <w:rPr>
                <w:rFonts w:ascii="Arial" w:cs="Arial" w:eastAsia="Arial" w:hAnsi="Arial"/>
                <w:sz w:val="16"/>
                <w:szCs w:val="16"/>
                <w:color w:val="auto"/>
              </w:rPr>
              <w:t>2.13</w:t>
            </w:r>
          </w:p>
        </w:tc>
        <w:tc>
          <w:tcPr>
            <w:tcW w:w="720" w:type="dxa"/>
            <w:vAlign w:val="bottom"/>
          </w:tcPr>
          <w:p>
            <w:pPr>
              <w:spacing w:after="0"/>
              <w:rPr>
                <w:sz w:val="20"/>
                <w:szCs w:val="20"/>
                <w:color w:val="auto"/>
              </w:rPr>
            </w:pPr>
          </w:p>
        </w:tc>
        <w:tc>
          <w:tcPr>
            <w:tcW w:w="540" w:type="dxa"/>
            <w:vAlign w:val="bottom"/>
          </w:tcPr>
          <w:p>
            <w:pPr>
              <w:spacing w:after="0"/>
              <w:rPr>
                <w:sz w:val="20"/>
                <w:szCs w:val="20"/>
                <w:color w:val="auto"/>
              </w:rPr>
            </w:pPr>
          </w:p>
        </w:tc>
      </w:tr>
      <w:tr>
        <w:trPr>
          <w:trHeight w:val="280"/>
        </w:trPr>
        <w:tc>
          <w:tcPr>
            <w:tcW w:w="140" w:type="dxa"/>
            <w:vAlign w:val="bottom"/>
          </w:tcPr>
          <w:p>
            <w:pPr>
              <w:spacing w:after="0"/>
              <w:rPr>
                <w:sz w:val="20"/>
                <w:szCs w:val="20"/>
                <w:color w:val="auto"/>
              </w:rPr>
            </w:pPr>
            <w:r>
              <w:rPr>
                <w:rFonts w:ascii="Arial" w:cs="Arial" w:eastAsia="Arial" w:hAnsi="Arial"/>
                <w:sz w:val="14"/>
                <w:szCs w:val="14"/>
                <w:color w:val="auto"/>
                <w:w w:val="71"/>
              </w:rPr>
              <w:t>R</w:t>
            </w:r>
            <w:r>
              <w:rPr>
                <w:rFonts w:ascii="Arial" w:cs="Arial" w:eastAsia="Arial" w:hAnsi="Arial"/>
                <w:sz w:val="18"/>
                <w:szCs w:val="18"/>
                <w:color w:val="auto"/>
                <w:w w:val="71"/>
                <w:vertAlign w:val="superscript"/>
              </w:rPr>
              <w:t>2</w:t>
            </w:r>
          </w:p>
        </w:tc>
        <w:tc>
          <w:tcPr>
            <w:tcW w:w="2100" w:type="dxa"/>
            <w:vAlign w:val="bottom"/>
          </w:tcPr>
          <w:p>
            <w:pPr>
              <w:spacing w:after="0"/>
              <w:rPr>
                <w:sz w:val="20"/>
                <w:szCs w:val="20"/>
                <w:color w:val="auto"/>
              </w:rPr>
            </w:pPr>
            <w:r>
              <w:rPr>
                <w:rFonts w:ascii="Arial" w:cs="Arial" w:eastAsia="Arial" w:hAnsi="Arial"/>
                <w:sz w:val="11"/>
                <w:szCs w:val="11"/>
                <w:color w:val="auto"/>
              </w:rPr>
              <w:t>Conditionnel</w:t>
            </w:r>
          </w:p>
        </w:tc>
        <w:tc>
          <w:tcPr>
            <w:tcW w:w="920" w:type="dxa"/>
            <w:vAlign w:val="bottom"/>
          </w:tcPr>
          <w:p>
            <w:pPr>
              <w:spacing w:after="0"/>
              <w:rPr>
                <w:sz w:val="20"/>
                <w:szCs w:val="20"/>
                <w:color w:val="auto"/>
              </w:rPr>
            </w:pPr>
            <w:r>
              <w:rPr>
                <w:rFonts w:ascii="Arial" w:cs="Arial" w:eastAsia="Arial" w:hAnsi="Arial"/>
                <w:sz w:val="16"/>
                <w:szCs w:val="16"/>
                <w:color w:val="auto"/>
              </w:rPr>
              <w:t>90.07</w:t>
            </w:r>
          </w:p>
        </w:tc>
        <w:tc>
          <w:tcPr>
            <w:tcW w:w="7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42.65</w:t>
            </w:r>
          </w:p>
        </w:tc>
        <w:tc>
          <w:tcPr>
            <w:tcW w:w="70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380" w:type="dxa"/>
            <w:vAlign w:val="bottom"/>
            <w:gridSpan w:val="2"/>
          </w:tcPr>
          <w:p>
            <w:pPr>
              <w:ind w:left="360"/>
              <w:spacing w:after="0"/>
              <w:rPr>
                <w:sz w:val="20"/>
                <w:szCs w:val="20"/>
                <w:color w:val="auto"/>
              </w:rPr>
            </w:pPr>
            <w:r>
              <w:rPr>
                <w:rFonts w:ascii="Arial" w:cs="Arial" w:eastAsia="Arial" w:hAnsi="Arial"/>
                <w:sz w:val="16"/>
                <w:szCs w:val="16"/>
                <w:color w:val="auto"/>
              </w:rPr>
              <w:t>85.10</w:t>
            </w:r>
          </w:p>
        </w:tc>
        <w:tc>
          <w:tcPr>
            <w:tcW w:w="720" w:type="dxa"/>
            <w:vAlign w:val="bottom"/>
          </w:tcPr>
          <w:p>
            <w:pPr>
              <w:spacing w:after="0"/>
              <w:rPr>
                <w:sz w:val="24"/>
                <w:szCs w:val="24"/>
                <w:color w:val="auto"/>
              </w:rPr>
            </w:pPr>
          </w:p>
        </w:tc>
        <w:tc>
          <w:tcPr>
            <w:tcW w:w="540" w:type="dxa"/>
            <w:vAlign w:val="bottom"/>
          </w:tcPr>
          <w:p>
            <w:pPr>
              <w:spacing w:after="0"/>
              <w:rPr>
                <w:sz w:val="24"/>
                <w:szCs w:val="24"/>
                <w:color w:val="auto"/>
              </w:rPr>
            </w:pPr>
          </w:p>
        </w:tc>
      </w:tr>
      <w:tr>
        <w:trPr>
          <w:trHeight w:val="25"/>
        </w:trPr>
        <w:tc>
          <w:tcPr>
            <w:tcW w:w="140" w:type="dxa"/>
            <w:vAlign w:val="bottom"/>
            <w:tcBorders>
              <w:bottom w:val="single" w:sz="8" w:color="131413"/>
            </w:tcBorders>
          </w:tcPr>
          <w:p>
            <w:pPr>
              <w:spacing w:after="0"/>
              <w:rPr>
                <w:sz w:val="2"/>
                <w:szCs w:val="2"/>
                <w:color w:val="auto"/>
              </w:rPr>
            </w:pPr>
          </w:p>
        </w:tc>
        <w:tc>
          <w:tcPr>
            <w:tcW w:w="2100" w:type="dxa"/>
            <w:vAlign w:val="bottom"/>
            <w:tcBorders>
              <w:bottom w:val="single" w:sz="8" w:color="131413"/>
            </w:tcBorders>
          </w:tcPr>
          <w:p>
            <w:pPr>
              <w:spacing w:after="0"/>
              <w:rPr>
                <w:sz w:val="2"/>
                <w:szCs w:val="2"/>
                <w:color w:val="auto"/>
              </w:rPr>
            </w:pPr>
          </w:p>
        </w:tc>
        <w:tc>
          <w:tcPr>
            <w:tcW w:w="920" w:type="dxa"/>
            <w:vAlign w:val="bottom"/>
            <w:tcBorders>
              <w:bottom w:val="single" w:sz="8" w:color="131413"/>
            </w:tcBorders>
          </w:tcPr>
          <w:p>
            <w:pPr>
              <w:spacing w:after="0"/>
              <w:rPr>
                <w:sz w:val="2"/>
                <w:szCs w:val="2"/>
                <w:color w:val="auto"/>
              </w:rPr>
            </w:pPr>
          </w:p>
        </w:tc>
        <w:tc>
          <w:tcPr>
            <w:tcW w:w="740" w:type="dxa"/>
            <w:vAlign w:val="bottom"/>
            <w:tcBorders>
              <w:bottom w:val="single" w:sz="8" w:color="131413"/>
            </w:tcBorders>
          </w:tcPr>
          <w:p>
            <w:pPr>
              <w:spacing w:after="0"/>
              <w:rPr>
                <w:sz w:val="2"/>
                <w:szCs w:val="2"/>
                <w:color w:val="auto"/>
              </w:rPr>
            </w:pPr>
          </w:p>
        </w:tc>
        <w:tc>
          <w:tcPr>
            <w:tcW w:w="520" w:type="dxa"/>
            <w:vAlign w:val="bottom"/>
            <w:tcBorders>
              <w:bottom w:val="single" w:sz="8" w:color="131413"/>
            </w:tcBorders>
          </w:tcPr>
          <w:p>
            <w:pPr>
              <w:spacing w:after="0"/>
              <w:rPr>
                <w:sz w:val="2"/>
                <w:szCs w:val="2"/>
                <w:color w:val="auto"/>
              </w:rPr>
            </w:pPr>
          </w:p>
        </w:tc>
        <w:tc>
          <w:tcPr>
            <w:tcW w:w="380" w:type="dxa"/>
            <w:vAlign w:val="bottom"/>
            <w:tcBorders>
              <w:bottom w:val="single" w:sz="8" w:color="131413"/>
            </w:tcBorders>
          </w:tcPr>
          <w:p>
            <w:pPr>
              <w:spacing w:after="0"/>
              <w:rPr>
                <w:sz w:val="2"/>
                <w:szCs w:val="2"/>
                <w:color w:val="auto"/>
              </w:rPr>
            </w:pPr>
          </w:p>
        </w:tc>
        <w:tc>
          <w:tcPr>
            <w:tcW w:w="960" w:type="dxa"/>
            <w:vAlign w:val="bottom"/>
            <w:tcBorders>
              <w:bottom w:val="single" w:sz="8" w:color="131413"/>
            </w:tcBorders>
          </w:tcPr>
          <w:p>
            <w:pPr>
              <w:spacing w:after="0"/>
              <w:rPr>
                <w:sz w:val="2"/>
                <w:szCs w:val="2"/>
                <w:color w:val="auto"/>
              </w:rPr>
            </w:pPr>
          </w:p>
        </w:tc>
        <w:tc>
          <w:tcPr>
            <w:tcW w:w="700" w:type="dxa"/>
            <w:vAlign w:val="bottom"/>
            <w:tcBorders>
              <w:bottom w:val="single" w:sz="8" w:color="131413"/>
            </w:tcBorders>
          </w:tcPr>
          <w:p>
            <w:pPr>
              <w:spacing w:after="0"/>
              <w:rPr>
                <w:sz w:val="2"/>
                <w:szCs w:val="2"/>
                <w:color w:val="auto"/>
              </w:rPr>
            </w:pPr>
          </w:p>
        </w:tc>
        <w:tc>
          <w:tcPr>
            <w:tcW w:w="540" w:type="dxa"/>
            <w:vAlign w:val="bottom"/>
            <w:tcBorders>
              <w:bottom w:val="single" w:sz="8" w:color="131413"/>
            </w:tcBorders>
          </w:tcPr>
          <w:p>
            <w:pPr>
              <w:spacing w:after="0"/>
              <w:rPr>
                <w:sz w:val="2"/>
                <w:szCs w:val="2"/>
                <w:color w:val="auto"/>
              </w:rPr>
            </w:pPr>
          </w:p>
        </w:tc>
        <w:tc>
          <w:tcPr>
            <w:tcW w:w="360" w:type="dxa"/>
            <w:vAlign w:val="bottom"/>
            <w:tcBorders>
              <w:bottom w:val="single" w:sz="8" w:color="131413"/>
            </w:tcBorders>
          </w:tcPr>
          <w:p>
            <w:pPr>
              <w:spacing w:after="0"/>
              <w:rPr>
                <w:sz w:val="2"/>
                <w:szCs w:val="2"/>
                <w:color w:val="auto"/>
              </w:rPr>
            </w:pPr>
          </w:p>
        </w:tc>
        <w:tc>
          <w:tcPr>
            <w:tcW w:w="1020" w:type="dxa"/>
            <w:vAlign w:val="bottom"/>
            <w:tcBorders>
              <w:bottom w:val="single" w:sz="8" w:color="131413"/>
            </w:tcBorders>
          </w:tcPr>
          <w:p>
            <w:pPr>
              <w:spacing w:after="0"/>
              <w:rPr>
                <w:sz w:val="2"/>
                <w:szCs w:val="2"/>
                <w:color w:val="auto"/>
              </w:rPr>
            </w:pPr>
          </w:p>
        </w:tc>
        <w:tc>
          <w:tcPr>
            <w:tcW w:w="720" w:type="dxa"/>
            <w:vAlign w:val="bottom"/>
            <w:tcBorders>
              <w:bottom w:val="single" w:sz="8" w:color="131413"/>
            </w:tcBorders>
          </w:tcPr>
          <w:p>
            <w:pPr>
              <w:spacing w:after="0"/>
              <w:rPr>
                <w:sz w:val="2"/>
                <w:szCs w:val="2"/>
                <w:color w:val="auto"/>
              </w:rPr>
            </w:pPr>
          </w:p>
        </w:tc>
        <w:tc>
          <w:tcPr>
            <w:tcW w:w="540" w:type="dxa"/>
            <w:vAlign w:val="bottom"/>
            <w:tcBorders>
              <w:bottom w:val="single" w:sz="8" w:color="131413"/>
            </w:tcBorders>
          </w:tcPr>
          <w:p>
            <w:pPr>
              <w:spacing w:after="0"/>
              <w:rPr>
                <w:sz w:val="2"/>
                <w:szCs w:val="2"/>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-6985</wp:posOffset>
                </wp:positionV>
                <wp:extent cx="1206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2160">
                          <a:solidFill>
                            <a:srgbClr val="131413"/>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0.5499pt" to="0.5pt,-0.5499pt" o:allowincell="f" strokecolor="#131413" strokeweight="0.1701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-2193290</wp:posOffset>
                </wp:positionV>
                <wp:extent cx="1206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1440">
                          <a:solidFill>
                            <a:srgbClr val="131413"/>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172.6999pt" to="0.5pt,-172.6999pt" o:allowincell="f" strokecolor="#131413" strokeweight="0.1134pt"/>
            </w:pict>
          </mc:Fallback>
        </mc:AlternateContent>
        <mc:AlternateContent>
          <mc:Choice Requires="wps">
            <w:drawing>
              <wp:anchor simplePos="0" relativeHeight="251657728" behindDoc="1" locked="0" layoutInCell="0" allowOverlap="1">
                <wp:simplePos x="0" y="0"/>
                <wp:positionH relativeFrom="column">
                  <wp:posOffset>1414145</wp:posOffset>
                </wp:positionH>
                <wp:positionV relativeFrom="paragraph">
                  <wp:posOffset>-2193290</wp:posOffset>
                </wp:positionV>
                <wp:extent cx="1270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40">
                          <a:solidFill>
                            <a:srgbClr val="131413"/>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35pt,-172.6999pt" to="112.35pt,-172.6999pt" o:allowincell="f" strokecolor="#131413" strokeweight="0.1134pt"/>
            </w:pict>
          </mc:Fallback>
        </mc:AlternateContent>
        <mc:AlternateContent>
          <mc:Choice Requires="wps">
            <w:drawing>
              <wp:anchor simplePos="0" relativeHeight="251657728" behindDoc="1" locked="0" layoutInCell="0" allowOverlap="1">
                <wp:simplePos x="0" y="0"/>
                <wp:positionH relativeFrom="column">
                  <wp:posOffset>1414145</wp:posOffset>
                </wp:positionH>
                <wp:positionV relativeFrom="paragraph">
                  <wp:posOffset>-2360295</wp:posOffset>
                </wp:positionV>
                <wp:extent cx="1270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40">
                          <a:solidFill>
                            <a:srgbClr val="131413"/>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35pt,-185.8499pt" to="112.35pt,-185.8499pt" o:allowincell="f" strokecolor="#131413" strokeweight="0.1134pt"/>
            </w:pict>
          </mc:Fallback>
        </mc:AlternateContent>
        <mc:AlternateContent>
          <mc:Choice Requires="wps">
            <w:drawing>
              <wp:anchor simplePos="0" relativeHeight="251657728" behindDoc="1" locked="0" layoutInCell="0" allowOverlap="1">
                <wp:simplePos x="0" y="0"/>
                <wp:positionH relativeFrom="column">
                  <wp:posOffset>3045460</wp:posOffset>
                </wp:positionH>
                <wp:positionV relativeFrom="paragraph">
                  <wp:posOffset>-2360295</wp:posOffset>
                </wp:positionV>
                <wp:extent cx="1270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40">
                          <a:solidFill>
                            <a:srgbClr val="131413"/>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9.8pt,-185.8499pt" to="240.8pt,-185.8499pt" o:allowincell="f" strokecolor="#131413" strokeweight="0.1134pt"/>
            </w:pict>
          </mc:Fallback>
        </mc:AlternateContent>
        <mc:AlternateContent>
          <mc:Choice Requires="wps">
            <w:drawing>
              <wp:anchor simplePos="0" relativeHeight="251657728" behindDoc="1" locked="0" layoutInCell="0" allowOverlap="1">
                <wp:simplePos x="0" y="0"/>
                <wp:positionH relativeFrom="column">
                  <wp:posOffset>4676140</wp:posOffset>
                </wp:positionH>
                <wp:positionV relativeFrom="paragraph">
                  <wp:posOffset>-2360295</wp:posOffset>
                </wp:positionV>
                <wp:extent cx="1270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40">
                          <a:solidFill>
                            <a:srgbClr val="131413"/>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8.2pt,-185.8499pt" to="369.2pt,-185.8499pt" o:allowincell="f" strokecolor="#131413" strokeweight="0.1134pt"/>
            </w:pict>
          </mc:Fallback>
        </mc:AlternateContent>
        <mc:AlternateContent>
          <mc:Choice Requires="wps">
            <w:drawing>
              <wp:anchor simplePos="0" relativeHeight="251657728" behindDoc="1" locked="0" layoutInCell="0" allowOverlap="1">
                <wp:simplePos x="0" y="0"/>
                <wp:positionH relativeFrom="column">
                  <wp:posOffset>2125345</wp:posOffset>
                </wp:positionH>
                <wp:positionV relativeFrom="paragraph">
                  <wp:posOffset>-2193290</wp:posOffset>
                </wp:positionV>
                <wp:extent cx="1270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40">
                          <a:solidFill>
                            <a:srgbClr val="131413"/>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7.35pt,-172.6999pt" to="168.35pt,-172.6999pt" o:allowincell="f" strokecolor="#131413" strokeweight="0.1134pt"/>
            </w:pict>
          </mc:Fallback>
        </mc:AlternateContent>
        <mc:AlternateContent>
          <mc:Choice Requires="wps">
            <w:drawing>
              <wp:anchor simplePos="0" relativeHeight="251657728" behindDoc="1" locked="0" layoutInCell="0" allowOverlap="1">
                <wp:simplePos x="0" y="0"/>
                <wp:positionH relativeFrom="column">
                  <wp:posOffset>2591435</wp:posOffset>
                </wp:positionH>
                <wp:positionV relativeFrom="paragraph">
                  <wp:posOffset>-2193290</wp:posOffset>
                </wp:positionV>
                <wp:extent cx="1270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40">
                          <a:solidFill>
                            <a:srgbClr val="131413"/>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4.05pt,-172.6999pt" to="205.05pt,-172.6999pt" o:allowincell="f" strokecolor="#131413" strokeweight="0.1134pt"/>
            </w:pict>
          </mc:Fallback>
        </mc:AlternateContent>
        <mc:AlternateContent>
          <mc:Choice Requires="wps">
            <w:drawing>
              <wp:anchor simplePos="0" relativeHeight="251657728" behindDoc="1" locked="0" layoutInCell="0" allowOverlap="1">
                <wp:simplePos x="0" y="0"/>
                <wp:positionH relativeFrom="column">
                  <wp:posOffset>3045460</wp:posOffset>
                </wp:positionH>
                <wp:positionV relativeFrom="paragraph">
                  <wp:posOffset>-2193290</wp:posOffset>
                </wp:positionV>
                <wp:extent cx="1270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40">
                          <a:solidFill>
                            <a:srgbClr val="131413"/>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9.8pt,-172.6999pt" to="240.8pt,-172.6999pt" o:allowincell="f" strokecolor="#131413" strokeweight="0.1134pt"/>
            </w:pict>
          </mc:Fallback>
        </mc:AlternateContent>
        <mc:AlternateContent>
          <mc:Choice Requires="wps">
            <w:drawing>
              <wp:anchor simplePos="0" relativeHeight="251657728" behindDoc="1" locked="0" layoutInCell="0" allowOverlap="1">
                <wp:simplePos x="0" y="0"/>
                <wp:positionH relativeFrom="column">
                  <wp:posOffset>3756660</wp:posOffset>
                </wp:positionH>
                <wp:positionV relativeFrom="paragraph">
                  <wp:posOffset>-2193290</wp:posOffset>
                </wp:positionV>
                <wp:extent cx="12700"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40">
                          <a:solidFill>
                            <a:srgbClr val="131413"/>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8pt,-172.6999pt" to="296.8pt,-172.6999pt" o:allowincell="f" strokecolor="#131413" strokeweight="0.1134pt"/>
            </w:pict>
          </mc:Fallback>
        </mc:AlternateContent>
        <mc:AlternateContent>
          <mc:Choice Requires="wps">
            <w:drawing>
              <wp:anchor simplePos="0" relativeHeight="251657728" behindDoc="1" locked="0" layoutInCell="0" allowOverlap="1">
                <wp:simplePos x="0" y="0"/>
                <wp:positionH relativeFrom="column">
                  <wp:posOffset>4222750</wp:posOffset>
                </wp:positionH>
                <wp:positionV relativeFrom="paragraph">
                  <wp:posOffset>-2193290</wp:posOffset>
                </wp:positionV>
                <wp:extent cx="12700"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40">
                          <a:solidFill>
                            <a:srgbClr val="131413"/>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2.5pt,-172.6999pt" to="333.5pt,-172.6999pt" o:allowincell="f" strokecolor="#131413" strokeweight="0.1134pt"/>
            </w:pict>
          </mc:Fallback>
        </mc:AlternateContent>
        <mc:AlternateContent>
          <mc:Choice Requires="wps">
            <w:drawing>
              <wp:anchor simplePos="0" relativeHeight="251657728" behindDoc="1" locked="0" layoutInCell="0" allowOverlap="1">
                <wp:simplePos x="0" y="0"/>
                <wp:positionH relativeFrom="column">
                  <wp:posOffset>5436870</wp:posOffset>
                </wp:positionH>
                <wp:positionV relativeFrom="paragraph">
                  <wp:posOffset>-2193290</wp:posOffset>
                </wp:positionV>
                <wp:extent cx="1270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40">
                          <a:solidFill>
                            <a:srgbClr val="131413"/>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28.1pt,-172.6999pt" to="429.1pt,-172.6999pt" o:allowincell="f" strokecolor="#131413" strokeweight="0.1134pt"/>
            </w:pict>
          </mc:Fallback>
        </mc:AlternateContent>
        <mc:AlternateContent>
          <mc:Choice Requires="wps">
            <w:drawing>
              <wp:anchor simplePos="0" relativeHeight="251657728" behindDoc="1" locked="0" layoutInCell="0" allowOverlap="1">
                <wp:simplePos x="0" y="0"/>
                <wp:positionH relativeFrom="column">
                  <wp:posOffset>5902325</wp:posOffset>
                </wp:positionH>
                <wp:positionV relativeFrom="paragraph">
                  <wp:posOffset>-2193290</wp:posOffset>
                </wp:positionV>
                <wp:extent cx="12700"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1440">
                          <a:solidFill>
                            <a:srgbClr val="131413"/>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4.75pt,-172.6999pt" to="465.75pt,-172.6999pt" o:allowincell="f" strokecolor="#131413" strokeweight="0.1134pt"/>
            </w:pict>
          </mc:Fallback>
        </mc:AlternateContent>
      </w:r>
    </w:p>
    <w:p>
      <w:pPr>
        <w:spacing w:after="0" w:line="8" w:lineRule="exact"/>
        <w:rPr>
          <w:sz w:val="20"/>
          <w:szCs w:val="20"/>
          <w:color w:val="auto"/>
        </w:rPr>
      </w:pPr>
    </w:p>
    <w:p>
      <w:pPr>
        <w:ind w:left="6" w:right="2740"/>
        <w:spacing w:after="0" w:line="245" w:lineRule="auto"/>
        <w:rPr>
          <w:sz w:val="20"/>
          <w:szCs w:val="20"/>
          <w:color w:val="auto"/>
        </w:rPr>
      </w:pPr>
      <w:r>
        <w:rPr>
          <w:rFonts w:ascii="Arial" w:cs="Arial" w:eastAsia="Arial" w:hAnsi="Arial"/>
          <w:sz w:val="14"/>
          <w:szCs w:val="14"/>
          <w:color w:val="auto"/>
        </w:rPr>
        <w:t>Reference levels were Women for gender, Adult for age, Non-resident for residence status, and Bolon for ethnic group est. estimates, se standard error, Z Z statistics, p. p value</w:t>
      </w:r>
    </w:p>
    <w:p>
      <w:pPr>
        <w:spacing w:after="0" w:line="6" w:lineRule="exact"/>
        <w:rPr>
          <w:sz w:val="20"/>
          <w:szCs w:val="20"/>
          <w:color w:val="auto"/>
        </w:rPr>
      </w:pPr>
    </w:p>
    <w:p>
      <w:pPr>
        <w:ind w:left="6"/>
        <w:spacing w:after="0"/>
        <w:rPr>
          <w:sz w:val="20"/>
          <w:szCs w:val="20"/>
          <w:color w:val="auto"/>
        </w:rPr>
      </w:pPr>
      <w:r>
        <w:rPr>
          <w:rFonts w:ascii="Arial" w:cs="Arial" w:eastAsia="Arial" w:hAnsi="Arial"/>
          <w:sz w:val="14"/>
          <w:szCs w:val="14"/>
          <w:color w:val="auto"/>
        </w:rPr>
        <w:t>Only terms of significant factors are shown, - = non-significant terms</w:t>
      </w:r>
    </w:p>
    <w:p>
      <w:pPr>
        <w:sectPr>
          <w:pgSz w:w="11900" w:h="15817" w:orient="portrait"/>
          <w:cols w:equalWidth="0" w:num="1">
            <w:col w:w="9646"/>
          </w:cols>
          <w:pgMar w:left="1134" w:top="623" w:right="1126" w:bottom="747" w:gutter="0" w:footer="0" w:header="0"/>
        </w:sectPr>
      </w:pPr>
    </w:p>
    <w:p>
      <w:pPr>
        <w:spacing w:after="0" w:line="307" w:lineRule="exact"/>
        <w:rPr>
          <w:sz w:val="20"/>
          <w:szCs w:val="20"/>
          <w:color w:val="auto"/>
        </w:rPr>
      </w:pPr>
    </w:p>
    <w:p>
      <w:pPr>
        <w:jc w:val="both"/>
        <w:ind w:left="6"/>
        <w:spacing w:after="0" w:line="220" w:lineRule="auto"/>
        <w:rPr>
          <w:sz w:val="20"/>
          <w:szCs w:val="20"/>
          <w:color w:val="auto"/>
        </w:rPr>
      </w:pPr>
      <w:r>
        <w:rPr>
          <w:rFonts w:ascii="Times New Roman" w:cs="Times New Roman" w:eastAsia="Times New Roman" w:hAnsi="Times New Roman"/>
          <w:sz w:val="20"/>
          <w:szCs w:val="20"/>
          <w:color w:val="131413"/>
        </w:rPr>
        <w:t>informants. Women had better conservation attitudes (est.</w:t>
      </w:r>
      <w:r>
        <w:rPr>
          <w:rFonts w:ascii="Times New Roman" w:cs="Times New Roman" w:eastAsia="Times New Roman" w:hAnsi="Times New Roman"/>
          <w:sz w:val="26"/>
          <w:szCs w:val="26"/>
          <w:color w:val="131413"/>
          <w:vertAlign w:val="subscript"/>
        </w:rPr>
        <w:t>Men</w:t>
      </w:r>
      <w:r>
        <w:rPr>
          <w:rFonts w:ascii="Times New Roman" w:cs="Times New Roman" w:eastAsia="Times New Roman" w:hAnsi="Times New Roman"/>
          <w:sz w:val="20"/>
          <w:szCs w:val="20"/>
          <w:color w:val="131413"/>
        </w:rPr>
        <w:t xml:space="preserve"> = </w:t>
      </w:r>
      <w:r>
        <w:rPr>
          <w:rFonts w:ascii="Arial" w:cs="Arial" w:eastAsia="Arial" w:hAnsi="Arial"/>
          <w:sz w:val="20"/>
          <w:szCs w:val="20"/>
          <w:color w:val="131413"/>
        </w:rPr>
        <w:t>−</w:t>
      </w:r>
      <w:r>
        <w:rPr>
          <w:rFonts w:ascii="Times New Roman" w:cs="Times New Roman" w:eastAsia="Times New Roman" w:hAnsi="Times New Roman"/>
          <w:sz w:val="20"/>
          <w:szCs w:val="20"/>
          <w:color w:val="131413"/>
        </w:rPr>
        <w:t>1.45, p = 0.001) than men towards L. lanceo-lata. The among-village variation was less important for</w:t>
      </w:r>
    </w:p>
    <w:p>
      <w:pPr>
        <w:spacing w:after="0" w:line="24" w:lineRule="exact"/>
        <w:rPr>
          <w:sz w:val="20"/>
          <w:szCs w:val="20"/>
          <w:color w:val="auto"/>
        </w:rPr>
      </w:pPr>
    </w:p>
    <w:p>
      <w:pPr>
        <w:jc w:val="both"/>
        <w:ind w:left="6" w:right="20" w:hanging="6"/>
        <w:spacing w:after="0" w:line="227" w:lineRule="auto"/>
        <w:tabs>
          <w:tab w:leader="none" w:pos="233" w:val="left"/>
        </w:tabs>
        <w:numPr>
          <w:ilvl w:val="0"/>
          <w:numId w:val="2"/>
        </w:numPr>
        <w:rPr>
          <w:rFonts w:ascii="Times New Roman" w:cs="Times New Roman" w:eastAsia="Times New Roman" w:hAnsi="Times New Roman"/>
          <w:sz w:val="20"/>
          <w:szCs w:val="20"/>
          <w:color w:val="0000FF"/>
        </w:rPr>
      </w:pPr>
      <w:r>
        <w:rPr>
          <w:rFonts w:ascii="Times New Roman" w:cs="Times New Roman" w:eastAsia="Times New Roman" w:hAnsi="Times New Roman"/>
          <w:sz w:val="20"/>
          <w:szCs w:val="20"/>
          <w:color w:val="131413"/>
        </w:rPr>
        <w:t>lanceolate. This was in contrast to C. procera, which showed a significant large variation across villages (see differences between conditional and marginal R</w:t>
      </w:r>
      <w:r>
        <w:rPr>
          <w:rFonts w:ascii="Times New Roman" w:cs="Times New Roman" w:eastAsia="Times New Roman" w:hAnsi="Times New Roman"/>
          <w:sz w:val="26"/>
          <w:szCs w:val="26"/>
          <w:color w:val="131413"/>
          <w:vertAlign w:val="superscript"/>
        </w:rPr>
        <w:t>2</w:t>
      </w:r>
      <w:r>
        <w:rPr>
          <w:rFonts w:ascii="Times New Roman" w:cs="Times New Roman" w:eastAsia="Times New Roman" w:hAnsi="Times New Roman"/>
          <w:sz w:val="20"/>
          <w:szCs w:val="20"/>
          <w:color w:val="131413"/>
        </w:rPr>
        <w:t xml:space="preserve">, Table </w:t>
      </w:r>
      <w:hyperlink w:anchor="page16">
        <w:r>
          <w:rPr>
            <w:rFonts w:ascii="Times New Roman" w:cs="Times New Roman" w:eastAsia="Times New Roman" w:hAnsi="Times New Roman"/>
            <w:sz w:val="20"/>
            <w:szCs w:val="20"/>
            <w:color w:val="0000FF"/>
          </w:rPr>
          <w:t>2</w:t>
        </w:r>
      </w:hyperlink>
      <w:r>
        <w:rPr>
          <w:rFonts w:ascii="Times New Roman" w:cs="Times New Roman" w:eastAsia="Times New Roman" w:hAnsi="Times New Roman"/>
          <w:sz w:val="20"/>
          <w:szCs w:val="20"/>
          <w:color w:val="131413"/>
        </w:rPr>
        <w:t>),</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131413"/>
        </w:rPr>
        <w:t>reflecting the effect of geographical location.</w:t>
      </w:r>
    </w:p>
    <w:p>
      <w:pPr>
        <w:spacing w:after="0" w:line="200" w:lineRule="exact"/>
        <w:rPr>
          <w:sz w:val="20"/>
          <w:szCs w:val="20"/>
          <w:color w:val="auto"/>
        </w:rPr>
      </w:pPr>
    </w:p>
    <w:p>
      <w:pPr>
        <w:spacing w:after="0" w:line="294" w:lineRule="exact"/>
        <w:rPr>
          <w:sz w:val="20"/>
          <w:szCs w:val="20"/>
          <w:color w:val="auto"/>
        </w:rPr>
      </w:pPr>
    </w:p>
    <w:p>
      <w:pPr>
        <w:ind w:left="6" w:right="160"/>
        <w:spacing w:after="0" w:line="273" w:lineRule="auto"/>
        <w:rPr>
          <w:sz w:val="20"/>
          <w:szCs w:val="20"/>
          <w:color w:val="auto"/>
        </w:rPr>
      </w:pPr>
      <w:r>
        <w:rPr>
          <w:rFonts w:ascii="Arial" w:cs="Arial" w:eastAsia="Arial" w:hAnsi="Arial"/>
          <w:sz w:val="18"/>
          <w:szCs w:val="18"/>
          <w:color w:val="131413"/>
        </w:rPr>
        <w:t>Factors affecting farmers’ ability to identify plus trees of IOS</w:t>
      </w:r>
    </w:p>
    <w:p>
      <w:pPr>
        <w:jc w:val="both"/>
        <w:ind w:left="6"/>
        <w:spacing w:after="0" w:line="262"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Identification of plus trees among the three IOS was based on two criteria namely </w:t>
      </w:r>
      <w:r>
        <w:rPr>
          <w:rFonts w:ascii="Arial" w:cs="Arial" w:eastAsia="Arial" w:hAnsi="Arial"/>
          <w:sz w:val="19"/>
          <w:szCs w:val="19"/>
          <w:color w:val="131413"/>
        </w:rPr>
        <w:t>“</w:t>
      </w:r>
      <w:r>
        <w:rPr>
          <w:rFonts w:ascii="Times New Roman" w:cs="Times New Roman" w:eastAsia="Times New Roman" w:hAnsi="Times New Roman"/>
          <w:sz w:val="19"/>
          <w:szCs w:val="19"/>
          <w:color w:val="131413"/>
        </w:rPr>
        <w:t>high oil yield</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and </w:t>
      </w:r>
      <w:r>
        <w:rPr>
          <w:rFonts w:ascii="Arial" w:cs="Arial" w:eastAsia="Arial" w:hAnsi="Arial"/>
          <w:sz w:val="19"/>
          <w:szCs w:val="19"/>
          <w:color w:val="131413"/>
        </w:rPr>
        <w:t>“</w:t>
      </w:r>
      <w:r>
        <w:rPr>
          <w:rFonts w:ascii="Times New Roman" w:cs="Times New Roman" w:eastAsia="Times New Roman" w:hAnsi="Times New Roman"/>
          <w:sz w:val="19"/>
          <w:szCs w:val="19"/>
          <w:color w:val="131413"/>
        </w:rPr>
        <w:t>good oil quality,</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which were determined by oil extraction experience. Overall, </w:t>
      </w:r>
      <w:r>
        <w:rPr>
          <w:rFonts w:ascii="Arial" w:cs="Arial" w:eastAsia="Arial" w:hAnsi="Arial"/>
          <w:sz w:val="19"/>
          <w:szCs w:val="19"/>
          <w:color w:val="131413"/>
        </w:rPr>
        <w:t>“</w:t>
      </w:r>
      <w:r>
        <w:rPr>
          <w:rFonts w:ascii="Times New Roman" w:cs="Times New Roman" w:eastAsia="Times New Roman" w:hAnsi="Times New Roman"/>
          <w:sz w:val="19"/>
          <w:szCs w:val="19"/>
          <w:color w:val="131413"/>
        </w:rPr>
        <w:t>good oil quality</w:t>
      </w:r>
      <w:r>
        <w:rPr>
          <w:rFonts w:ascii="Arial" w:cs="Arial" w:eastAsia="Arial" w:hAnsi="Arial"/>
          <w:sz w:val="19"/>
          <w:szCs w:val="19"/>
          <w:color w:val="131413"/>
        </w:rPr>
        <w:t xml:space="preserve">” </w:t>
      </w:r>
      <w:r>
        <w:rPr>
          <w:rFonts w:ascii="Times New Roman" w:cs="Times New Roman" w:eastAsia="Times New Roman" w:hAnsi="Times New Roman"/>
          <w:sz w:val="19"/>
          <w:szCs w:val="19"/>
          <w:color w:val="131413"/>
        </w:rPr>
        <w:t xml:space="preserve">was the predominant criterion for the se-lection of plus trees, irrespective of the IOS (Fig. </w:t>
      </w:r>
      <w:hyperlink w:anchor="page16">
        <w:r>
          <w:rPr>
            <w:rFonts w:ascii="Times New Roman" w:cs="Times New Roman" w:eastAsia="Times New Roman" w:hAnsi="Times New Roman"/>
            <w:sz w:val="19"/>
            <w:szCs w:val="19"/>
            <w:color w:val="0000FF"/>
          </w:rPr>
          <w:t>7</w:t>
        </w:r>
      </w:hyperlink>
      <w:r>
        <w:rPr>
          <w:rFonts w:ascii="Times New Roman" w:cs="Times New Roman" w:eastAsia="Times New Roman" w:hAnsi="Times New Roman"/>
          <w:sz w:val="19"/>
          <w:szCs w:val="19"/>
          <w:color w:val="131413"/>
        </w:rPr>
        <w:t>). Most people cited the two criteria for the selection of L. lanceolata followed by C. procera. Trees of P. butyracea were less cited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wp:posOffset>
            </wp:positionH>
            <wp:positionV relativeFrom="paragraph">
              <wp:posOffset>342265</wp:posOffset>
            </wp:positionV>
            <wp:extent cx="6145530" cy="17678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extLst>
                    </a:blip>
                    <a:srcRect/>
                    <a:stretch>
                      <a:fillRect/>
                    </a:stretch>
                  </pic:blipFill>
                  <pic:spPr bwMode="auto">
                    <a:xfrm>
                      <a:off x="0" y="0"/>
                      <a:ext cx="6145530" cy="176784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87" w:lineRule="exact"/>
        <w:rPr>
          <w:sz w:val="20"/>
          <w:szCs w:val="20"/>
          <w:color w:val="auto"/>
        </w:rPr>
      </w:pPr>
    </w:p>
    <w:p>
      <w:pPr>
        <w:jc w:val="both"/>
        <w:spacing w:after="0" w:line="247"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for plus trees selection (Fig. </w:t>
      </w:r>
      <w:hyperlink w:anchor="page16">
        <w:r>
          <w:rPr>
            <w:rFonts w:ascii="Times New Roman" w:cs="Times New Roman" w:eastAsia="Times New Roman" w:hAnsi="Times New Roman"/>
            <w:sz w:val="20"/>
            <w:szCs w:val="20"/>
            <w:color w:val="0000FF"/>
          </w:rPr>
          <w:t>7</w:t>
        </w:r>
      </w:hyperlink>
      <w:r>
        <w:rPr>
          <w:rFonts w:ascii="Times New Roman" w:cs="Times New Roman" w:eastAsia="Times New Roman" w:hAnsi="Times New Roman"/>
          <w:sz w:val="20"/>
          <w:szCs w:val="20"/>
          <w:color w:val="131413"/>
        </w:rPr>
        <w:t>). Good oil quality for C. pro-cera (mainly used for medicinal purposes) was based on the oil bitterness because this was thought to determine medi-cinal efficacy. Good oil quality for L. lanceolata and P. butyr-acea (mainly used for food purposes) was based on the oil color and taste.</w:t>
      </w:r>
    </w:p>
    <w:p>
      <w:pPr>
        <w:spacing w:after="0" w:line="20" w:lineRule="exact"/>
        <w:rPr>
          <w:sz w:val="20"/>
          <w:szCs w:val="20"/>
          <w:color w:val="auto"/>
        </w:rPr>
      </w:pPr>
    </w:p>
    <w:p>
      <w:pPr>
        <w:jc w:val="both"/>
        <w:ind w:firstLine="160"/>
        <w:spacing w:after="0" w:line="24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The selection of plus trees based on high oil yield was significantly and positively associated with conservation attitudes for C. procera, indicating that the better the conservation attitude, the higher the likelihood for the informant to select plus trees based on high oil yield (Table </w:t>
      </w:r>
      <w:hyperlink w:anchor="page16">
        <w:r>
          <w:rPr>
            <w:rFonts w:ascii="Times New Roman" w:cs="Times New Roman" w:eastAsia="Times New Roman" w:hAnsi="Times New Roman"/>
            <w:sz w:val="20"/>
            <w:szCs w:val="20"/>
            <w:color w:val="0000FF"/>
          </w:rPr>
          <w:t>3</w:t>
        </w:r>
      </w:hyperlink>
      <w:r>
        <w:rPr>
          <w:rFonts w:ascii="Times New Roman" w:cs="Times New Roman" w:eastAsia="Times New Roman" w:hAnsi="Times New Roman"/>
          <w:sz w:val="20"/>
          <w:szCs w:val="20"/>
          <w:color w:val="131413"/>
        </w:rPr>
        <w:t xml:space="preserve">). The other two species did not show any sig-nificant relationship with the socio-economic factors with regard to this criterion (Table </w:t>
      </w:r>
      <w:hyperlink w:anchor="page16">
        <w:r>
          <w:rPr>
            <w:rFonts w:ascii="Times New Roman" w:cs="Times New Roman" w:eastAsia="Times New Roman" w:hAnsi="Times New Roman"/>
            <w:sz w:val="20"/>
            <w:szCs w:val="20"/>
            <w:color w:val="0000FF"/>
          </w:rPr>
          <w:t>3</w:t>
        </w:r>
      </w:hyperlink>
      <w:r>
        <w:rPr>
          <w:rFonts w:ascii="Times New Roman" w:cs="Times New Roman" w:eastAsia="Times New Roman" w:hAnsi="Times New Roman"/>
          <w:sz w:val="20"/>
          <w:szCs w:val="20"/>
          <w:color w:val="131413"/>
        </w:rPr>
        <w:t>). However, the se-lection of plus trees for C. procera based on good oil quality was significantly associated with age, gender, ac-tual UV, and residence status. Men, adults, elderly, and indigenous informants were more likely to select plus</w:t>
      </w:r>
    </w:p>
    <w:p>
      <w:pPr>
        <w:spacing w:after="0" w:line="200" w:lineRule="exact"/>
        <w:rPr>
          <w:sz w:val="20"/>
          <w:szCs w:val="20"/>
          <w:color w:val="auto"/>
        </w:rPr>
      </w:pPr>
    </w:p>
    <w:p>
      <w:pPr>
        <w:sectPr>
          <w:pgSz w:w="11900" w:h="15817" w:orient="portrait"/>
          <w:cols w:equalWidth="0" w:num="2">
            <w:col w:w="4686" w:space="280"/>
            <w:col w:w="4680"/>
          </w:cols>
          <w:pgMar w:left="1134" w:top="623" w:right="1126" w:bottom="747"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126"/>
        <w:spacing w:after="0"/>
        <w:rPr>
          <w:sz w:val="20"/>
          <w:szCs w:val="20"/>
          <w:color w:val="auto"/>
        </w:rPr>
      </w:pPr>
      <w:r>
        <w:rPr>
          <w:rFonts w:ascii="Arial" w:cs="Arial" w:eastAsia="Arial" w:hAnsi="Arial"/>
          <w:sz w:val="14"/>
          <w:szCs w:val="14"/>
          <w:color w:val="131413"/>
        </w:rPr>
        <w:t>Fig. 5 Proportion of people citing conservation practices. ANR, assisting natural regeneration</w:t>
      </w:r>
    </w:p>
    <w:p>
      <w:pPr>
        <w:sectPr>
          <w:pgSz w:w="11900" w:h="15817" w:orient="portrait"/>
          <w:cols w:equalWidth="0" w:num="1">
            <w:col w:w="9646"/>
          </w:cols>
          <w:pgMar w:left="1134" w:top="623" w:right="1126" w:bottom="747" w:gutter="0" w:footer="0" w:header="0"/>
          <w:type w:val="continuous"/>
        </w:sectPr>
      </w:pPr>
    </w:p>
    <w:bookmarkStart w:id="8" w:name="page9"/>
    <w:bookmarkEnd w:id="8"/>
    <w:p>
      <w:pPr>
        <w:spacing w:after="0"/>
        <w:tabs>
          <w:tab w:leader="none" w:pos="4380" w:val="left"/>
          <w:tab w:leader="none" w:pos="8760" w:val="left"/>
        </w:tabs>
        <w:rPr>
          <w:sz w:val="20"/>
          <w:szCs w:val="20"/>
          <w:color w:val="auto"/>
        </w:rPr>
      </w:pPr>
      <w:r>
        <w:rPr>
          <w:rFonts w:ascii="Arial" w:cs="Arial" w:eastAsia="Arial" w:hAnsi="Arial"/>
          <w:sz w:val="16"/>
          <w:szCs w:val="16"/>
          <w:color w:val="131413"/>
        </w:rPr>
        <w:t>Tiétiambou et al. Journal of Ethnobiology and Ethnomedicine</w:t>
      </w:r>
      <w:r>
        <w:rPr>
          <w:sz w:val="20"/>
          <w:szCs w:val="20"/>
          <w:color w:val="auto"/>
        </w:rPr>
        <w:tab/>
      </w:r>
      <w:r>
        <w:rPr>
          <w:rFonts w:ascii="Arial" w:cs="Arial" w:eastAsia="Arial" w:hAnsi="Arial"/>
          <w:sz w:val="16"/>
          <w:szCs w:val="16"/>
          <w:color w:val="131413"/>
        </w:rPr>
        <w:t>(2020) 16:43</w:t>
      </w:r>
      <w:r>
        <w:rPr>
          <w:sz w:val="20"/>
          <w:szCs w:val="20"/>
          <w:color w:val="auto"/>
        </w:rPr>
        <w:tab/>
      </w:r>
      <w:r>
        <w:rPr>
          <w:rFonts w:ascii="Arial" w:cs="Arial" w:eastAsia="Arial" w:hAnsi="Arial"/>
          <w:sz w:val="15"/>
          <w:szCs w:val="15"/>
          <w:color w:val="131413"/>
        </w:rPr>
        <w:t>Page 9 of 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-15875</wp:posOffset>
            </wp:positionH>
            <wp:positionV relativeFrom="paragraph">
              <wp:posOffset>596900</wp:posOffset>
            </wp:positionV>
            <wp:extent cx="6145530" cy="28454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extLst>
                    </a:blip>
                    <a:srcRect/>
                    <a:stretch>
                      <a:fillRect/>
                    </a:stretch>
                  </pic:blipFill>
                  <pic:spPr bwMode="auto">
                    <a:xfrm>
                      <a:off x="0" y="0"/>
                      <a:ext cx="6145530" cy="28454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120"/>
        <w:spacing w:after="0"/>
        <w:rPr>
          <w:sz w:val="20"/>
          <w:szCs w:val="20"/>
          <w:color w:val="auto"/>
        </w:rPr>
      </w:pPr>
      <w:r>
        <w:rPr>
          <w:rFonts w:ascii="Arial" w:cs="Arial" w:eastAsia="Arial" w:hAnsi="Arial"/>
          <w:sz w:val="16"/>
          <w:szCs w:val="16"/>
          <w:color w:val="131413"/>
        </w:rPr>
        <w:t>Fig. 6 Relationships between conservation attitude and informants’ gender, age, ethnic group, and residence status</w:t>
      </w:r>
    </w:p>
    <w:p>
      <w:pPr>
        <w:sectPr>
          <w:pgSz w:w="11900" w:h="15817" w:orient="portrait"/>
          <w:cols w:equalWidth="0" w:num="1">
            <w:col w:w="9640"/>
          </w:cols>
          <w:pgMar w:left="1140" w:top="623" w:right="1126" w:bottom="587" w:gutter="0" w:footer="0" w:header="0"/>
        </w:sectPr>
      </w:pPr>
    </w:p>
    <w:p>
      <w:pPr>
        <w:spacing w:after="0" w:line="200" w:lineRule="exact"/>
        <w:rPr>
          <w:sz w:val="20"/>
          <w:szCs w:val="20"/>
          <w:color w:val="auto"/>
        </w:rPr>
      </w:pPr>
    </w:p>
    <w:p>
      <w:pPr>
        <w:spacing w:after="0" w:line="209" w:lineRule="exact"/>
        <w:rPr>
          <w:sz w:val="20"/>
          <w:szCs w:val="20"/>
          <w:color w:val="auto"/>
        </w:rPr>
      </w:pPr>
    </w:p>
    <w:p>
      <w:pPr>
        <w:jc w:val="both"/>
        <w:spacing w:after="0" w:line="249" w:lineRule="auto"/>
        <w:rPr>
          <w:rFonts w:ascii="Times New Roman" w:cs="Times New Roman" w:eastAsia="Times New Roman" w:hAnsi="Times New Roman"/>
          <w:sz w:val="20"/>
          <w:szCs w:val="20"/>
          <w:color w:val="0000FF"/>
        </w:rPr>
      </w:pPr>
      <w:r>
        <w:rPr>
          <w:rFonts w:ascii="Times New Roman" w:cs="Times New Roman" w:eastAsia="Times New Roman" w:hAnsi="Times New Roman"/>
          <w:sz w:val="20"/>
          <w:szCs w:val="20"/>
          <w:color w:val="131413"/>
        </w:rPr>
        <w:t xml:space="preserve">trees based on good oil quality than women, young, and non-resident informants. There was a positive associ-ation between actual UV and selection of plus trees for C. procera, indicating that the higher the actual UV (i.e., the preference), the higher the ability to select plus trees based on good oil quality. For L. lanceolata, significant factors were age, gender, and actual UV. Although a similar trend was observed for gender and actual UV as for C. procera, old informants mostly selected plus trees of L. lanceolata compared to adult and young infor-mants, who showed statistically similar patterns (Table </w:t>
      </w:r>
      <w:hyperlink w:anchor="page16">
        <w:r>
          <w:rPr>
            <w:rFonts w:ascii="Times New Roman" w:cs="Times New Roman" w:eastAsia="Times New Roman" w:hAnsi="Times New Roman"/>
            <w:sz w:val="20"/>
            <w:szCs w:val="20"/>
            <w:color w:val="0000FF"/>
          </w:rPr>
          <w:t>3</w:t>
        </w:r>
      </w:hyperlink>
      <w:r>
        <w:rPr>
          <w:rFonts w:ascii="Times New Roman" w:cs="Times New Roman" w:eastAsia="Times New Roman" w:hAnsi="Times New Roman"/>
          <w:sz w:val="20"/>
          <w:szCs w:val="20"/>
          <w:color w:val="131413"/>
        </w:rPr>
        <w:t>). For</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131413"/>
        </w:rPr>
        <w:t>P. butyracea, age, residence status, and actual UV</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131413"/>
        </w:rPr>
        <w:t>showed a significant relationship with the selection of plus trees based on good oil quality. Whereas old and adult informants showed a similar trend for selection of plus trees, young informants exhibited the lowest ability to select the trees based on the oil quality criterion. Indi-genous informants had a better ability to select plus trees of P. butyracea than non-residents, and the higher</w:t>
      </w:r>
    </w:p>
    <w:p>
      <w:pPr>
        <w:spacing w:after="0" w:line="20" w:lineRule="exact"/>
        <w:rPr>
          <w:sz w:val="20"/>
          <w:szCs w:val="20"/>
          <w:color w:val="auto"/>
        </w:rPr>
      </w:pPr>
      <w:r>
        <w:rPr>
          <w:sz w:val="20"/>
          <w:szCs w:val="20"/>
          <w:color w:val="auto"/>
        </w:rPr>
        <w:br w:type="column"/>
      </w:r>
    </w:p>
    <w:p>
      <w:pPr>
        <w:spacing w:after="0" w:line="389" w:lineRule="exact"/>
        <w:rPr>
          <w:sz w:val="20"/>
          <w:szCs w:val="20"/>
          <w:color w:val="auto"/>
        </w:rPr>
      </w:pPr>
    </w:p>
    <w:p>
      <w:pPr>
        <w:jc w:val="both"/>
        <w:spacing w:after="0" w:line="236"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the preference for P. butyracea, the higher was the abil-ity to select its plus trees based on good oil quality (Table </w:t>
      </w:r>
      <w:hyperlink w:anchor="page16">
        <w:r>
          <w:rPr>
            <w:rFonts w:ascii="Times New Roman" w:cs="Times New Roman" w:eastAsia="Times New Roman" w:hAnsi="Times New Roman"/>
            <w:sz w:val="20"/>
            <w:szCs w:val="20"/>
            <w:color w:val="0000FF"/>
          </w:rPr>
          <w:t>3</w:t>
        </w:r>
      </w:hyperlink>
      <w:r>
        <w:rPr>
          <w:rFonts w:ascii="Times New Roman" w:cs="Times New Roman" w:eastAsia="Times New Roman" w:hAnsi="Times New Roman"/>
          <w:sz w:val="20"/>
          <w:szCs w:val="20"/>
          <w:color w:val="131413"/>
        </w:rPr>
        <w:t>). Comparable values of conditional and mar-ginal R</w:t>
      </w:r>
      <w:r>
        <w:rPr>
          <w:rFonts w:ascii="Times New Roman" w:cs="Times New Roman" w:eastAsia="Times New Roman" w:hAnsi="Times New Roman"/>
          <w:sz w:val="26"/>
          <w:szCs w:val="26"/>
          <w:color w:val="131413"/>
          <w:vertAlign w:val="superscript"/>
        </w:rPr>
        <w:t>2</w:t>
      </w:r>
      <w:r>
        <w:rPr>
          <w:rFonts w:ascii="Times New Roman" w:cs="Times New Roman" w:eastAsia="Times New Roman" w:hAnsi="Times New Roman"/>
          <w:sz w:val="20"/>
          <w:szCs w:val="20"/>
          <w:color w:val="131413"/>
        </w:rPr>
        <w:t xml:space="preserve"> for all IOS and selection criteria indicated that there was no or negligible variation across villages i.e., no or negligible variation across geographical locations, irrespective of the IOS (Table </w:t>
      </w:r>
      <w:hyperlink w:anchor="page16">
        <w:r>
          <w:rPr>
            <w:rFonts w:ascii="Times New Roman" w:cs="Times New Roman" w:eastAsia="Times New Roman" w:hAnsi="Times New Roman"/>
            <w:sz w:val="20"/>
            <w:szCs w:val="20"/>
            <w:color w:val="0000FF"/>
          </w:rPr>
          <w:t>3</w:t>
        </w:r>
      </w:hyperlink>
      <w:r>
        <w:rPr>
          <w:rFonts w:ascii="Times New Roman" w:cs="Times New Roman" w:eastAsia="Times New Roman" w:hAnsi="Times New Roman"/>
          <w:sz w:val="20"/>
          <w:szCs w:val="20"/>
          <w:color w:val="131413"/>
        </w:rPr>
        <w:t>).</w:t>
      </w:r>
    </w:p>
    <w:p>
      <w:pPr>
        <w:spacing w:after="0" w:line="249" w:lineRule="exact"/>
        <w:rPr>
          <w:sz w:val="20"/>
          <w:szCs w:val="20"/>
          <w:color w:val="auto"/>
        </w:rPr>
      </w:pPr>
    </w:p>
    <w:p>
      <w:pPr>
        <w:spacing w:after="0"/>
        <w:rPr>
          <w:sz w:val="20"/>
          <w:szCs w:val="20"/>
          <w:color w:val="auto"/>
        </w:rPr>
      </w:pPr>
      <w:r>
        <w:rPr>
          <w:rFonts w:ascii="Arial" w:cs="Arial" w:eastAsia="Arial" w:hAnsi="Arial"/>
          <w:sz w:val="21"/>
          <w:szCs w:val="21"/>
          <w:color w:val="131413"/>
        </w:rPr>
        <w:t>Discussion</w:t>
      </w:r>
    </w:p>
    <w:p>
      <w:pPr>
        <w:spacing w:after="0" w:line="19" w:lineRule="exact"/>
        <w:rPr>
          <w:sz w:val="20"/>
          <w:szCs w:val="20"/>
          <w:color w:val="auto"/>
        </w:rPr>
      </w:pPr>
    </w:p>
    <w:p>
      <w:pPr>
        <w:jc w:val="both"/>
        <w:spacing w:after="0" w:line="263" w:lineRule="auto"/>
        <w:rPr>
          <w:sz w:val="20"/>
          <w:szCs w:val="20"/>
          <w:color w:val="auto"/>
        </w:rPr>
      </w:pPr>
      <w:r>
        <w:rPr>
          <w:rFonts w:ascii="Times New Roman" w:cs="Times New Roman" w:eastAsia="Times New Roman" w:hAnsi="Times New Roman"/>
          <w:sz w:val="19"/>
          <w:szCs w:val="19"/>
          <w:color w:val="131413"/>
        </w:rPr>
        <w:t>This study assessed the preferences, conservation attitudes, and ability to select plus trees based on seeds</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traits of three IOS, and the relationship of these variables with informants</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socio-economic factors (age, gender, residence status, ethnic group, and existence of market opportunities in their village). We found differences in preferences, conservation attitudes, and plus tree selection across the three IOS. We also found species-specific patterns regarding socio-economic factors as-sociated with IOS preferences, conservation attitudes, and se-lection of their plus trees.</w:t>
      </w:r>
    </w:p>
    <w:p>
      <w:pPr>
        <w:spacing w:after="0" w:line="200" w:lineRule="exact"/>
        <w:rPr>
          <w:sz w:val="20"/>
          <w:szCs w:val="20"/>
          <w:color w:val="auto"/>
        </w:rPr>
      </w:pPr>
    </w:p>
    <w:p>
      <w:pPr>
        <w:sectPr>
          <w:pgSz w:w="11900" w:h="15817" w:orient="portrait"/>
          <w:cols w:equalWidth="0" w:num="2">
            <w:col w:w="4680" w:space="280"/>
            <w:col w:w="4680"/>
          </w:cols>
          <w:pgMar w:left="1140" w:top="623" w:right="1126" w:bottom="587" w:gutter="0" w:footer="0" w:header="0"/>
          <w:type w:val="continuous"/>
        </w:sectPr>
      </w:pPr>
    </w:p>
    <w:p>
      <w:pPr>
        <w:spacing w:after="0" w:line="104" w:lineRule="exact"/>
        <w:rPr>
          <w:sz w:val="20"/>
          <w:szCs w:val="20"/>
          <w:color w:val="auto"/>
        </w:rPr>
      </w:pPr>
    </w:p>
    <w:p>
      <w:pPr>
        <w:spacing w:after="0"/>
        <w:rPr>
          <w:sz w:val="20"/>
          <w:szCs w:val="20"/>
          <w:color w:val="auto"/>
        </w:rPr>
      </w:pPr>
      <w:r>
        <w:rPr>
          <w:rFonts w:ascii="Arial" w:cs="Arial" w:eastAsia="Arial" w:hAnsi="Arial"/>
          <w:sz w:val="16"/>
          <w:szCs w:val="16"/>
          <w:color w:val="131413"/>
        </w:rPr>
        <w:t>Table 2 Socio-economic factors associated with conservation attitudes of IOS: summary of the parsimonious ordinal mixed model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36195</wp:posOffset>
                </wp:positionV>
                <wp:extent cx="611949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9495" cy="4763"/>
                        </a:xfrm>
                        <a:prstGeom prst="line">
                          <a:avLst/>
                        </a:prstGeom>
                        <a:solidFill>
                          <a:srgbClr val="FFFFFF"/>
                        </a:solidFill>
                        <a:ln w="14858">
                          <a:solidFill>
                            <a:srgbClr val="131413"/>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2.85pt" to="481.55pt,2.85pt" o:allowincell="f" strokecolor="#131413" strokeweight="1.1699pt"/>
            </w:pict>
          </mc:Fallback>
        </mc:AlternateContent>
        <mc:AlternateContent>
          <mc:Choice Requires="wps">
            <w:drawing>
              <wp:anchor simplePos="0" relativeHeight="251657728" behindDoc="1" locked="0" layoutInCell="0" allowOverlap="1">
                <wp:simplePos x="0" y="0"/>
                <wp:positionH relativeFrom="column">
                  <wp:posOffset>6109335</wp:posOffset>
                </wp:positionH>
                <wp:positionV relativeFrom="paragraph">
                  <wp:posOffset>36195</wp:posOffset>
                </wp:positionV>
                <wp:extent cx="12700"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2158">
                          <a:solidFill>
                            <a:srgbClr val="131413"/>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1.05pt,2.85pt" to="482.05pt,2.85pt" o:allowincell="f" strokecolor="#131413" strokeweight="0.1699pt"/>
            </w:pict>
          </mc:Fallback>
        </mc:AlternateContent>
      </w:r>
    </w:p>
    <w:p>
      <w:pPr>
        <w:spacing w:after="0" w:line="73" w:lineRule="exact"/>
        <w:rPr>
          <w:sz w:val="20"/>
          <w:szCs w:val="20"/>
          <w:color w:val="auto"/>
        </w:rPr>
      </w:pPr>
    </w:p>
    <w:tbl>
      <w:tblPr>
        <w:tblLayout w:type="fixed"/>
        <w:tblInd w:w="0" w:type="dxa"/>
        <w:tblCellMar>
          <w:top w:w="0" w:type="dxa"/>
          <w:left w:w="0" w:type="dxa"/>
          <w:bottom w:w="0" w:type="dxa"/>
          <w:right w:w="0" w:type="dxa"/>
        </w:tblCellMar>
      </w:tblPr>
      <w:tr>
        <w:trPr>
          <w:trHeight w:val="184"/>
        </w:trPr>
        <w:tc>
          <w:tcPr>
            <w:tcW w:w="3200" w:type="dxa"/>
            <w:vAlign w:val="bottom"/>
          </w:tcPr>
          <w:p>
            <w:pPr>
              <w:spacing w:after="0"/>
              <w:rPr>
                <w:sz w:val="20"/>
                <w:szCs w:val="20"/>
                <w:color w:val="auto"/>
              </w:rPr>
            </w:pPr>
            <w:r>
              <w:rPr>
                <w:rFonts w:ascii="Arial" w:cs="Arial" w:eastAsia="Arial" w:hAnsi="Arial"/>
                <w:sz w:val="16"/>
                <w:szCs w:val="16"/>
                <w:color w:val="auto"/>
              </w:rPr>
              <w:t>Terms of the model</w:t>
            </w:r>
          </w:p>
        </w:tc>
        <w:tc>
          <w:tcPr>
            <w:tcW w:w="1100" w:type="dxa"/>
            <w:vAlign w:val="bottom"/>
          </w:tcPr>
          <w:p>
            <w:pPr>
              <w:spacing w:after="0"/>
              <w:rPr>
                <w:sz w:val="20"/>
                <w:szCs w:val="20"/>
                <w:color w:val="auto"/>
              </w:rPr>
            </w:pPr>
            <w:r>
              <w:rPr>
                <w:rFonts w:ascii="Arial" w:cs="Arial" w:eastAsia="Arial" w:hAnsi="Arial"/>
                <w:sz w:val="16"/>
                <w:szCs w:val="16"/>
                <w:color w:val="auto"/>
              </w:rPr>
              <w:t>C. procera</w:t>
            </w:r>
          </w:p>
        </w:tc>
        <w:tc>
          <w:tcPr>
            <w:tcW w:w="1060" w:type="dxa"/>
            <w:vAlign w:val="bottom"/>
          </w:tcPr>
          <w:p>
            <w:pPr>
              <w:spacing w:after="0"/>
              <w:rPr>
                <w:sz w:val="16"/>
                <w:szCs w:val="16"/>
                <w:color w:val="auto"/>
              </w:rPr>
            </w:pPr>
          </w:p>
        </w:tc>
        <w:tc>
          <w:tcPr>
            <w:tcW w:w="700" w:type="dxa"/>
            <w:vAlign w:val="bottom"/>
          </w:tcPr>
          <w:p>
            <w:pPr>
              <w:spacing w:after="0"/>
              <w:rPr>
                <w:sz w:val="16"/>
                <w:szCs w:val="16"/>
                <w:color w:val="auto"/>
              </w:rPr>
            </w:pPr>
          </w:p>
        </w:tc>
        <w:tc>
          <w:tcPr>
            <w:tcW w:w="1840" w:type="dxa"/>
            <w:vAlign w:val="bottom"/>
            <w:gridSpan w:val="2"/>
          </w:tcPr>
          <w:p>
            <w:pPr>
              <w:ind w:left="720"/>
              <w:spacing w:after="0"/>
              <w:rPr>
                <w:sz w:val="20"/>
                <w:szCs w:val="20"/>
                <w:color w:val="auto"/>
              </w:rPr>
            </w:pPr>
            <w:r>
              <w:rPr>
                <w:rFonts w:ascii="Arial" w:cs="Arial" w:eastAsia="Arial" w:hAnsi="Arial"/>
                <w:sz w:val="16"/>
                <w:szCs w:val="16"/>
                <w:color w:val="auto"/>
              </w:rPr>
              <w:t>L. lanceolata</w:t>
            </w:r>
          </w:p>
        </w:tc>
        <w:tc>
          <w:tcPr>
            <w:tcW w:w="1040" w:type="dxa"/>
            <w:vAlign w:val="bottom"/>
          </w:tcPr>
          <w:p>
            <w:pPr>
              <w:spacing w:after="0"/>
              <w:rPr>
                <w:sz w:val="16"/>
                <w:szCs w:val="16"/>
                <w:color w:val="auto"/>
              </w:rPr>
            </w:pPr>
          </w:p>
        </w:tc>
        <w:tc>
          <w:tcPr>
            <w:tcW w:w="700" w:type="dxa"/>
            <w:vAlign w:val="bottom"/>
          </w:tcPr>
          <w:p>
            <w:pPr>
              <w:spacing w:after="0"/>
              <w:rPr>
                <w:sz w:val="16"/>
                <w:szCs w:val="16"/>
                <w:color w:val="auto"/>
              </w:rPr>
            </w:pPr>
          </w:p>
        </w:tc>
      </w:tr>
      <w:tr>
        <w:trPr>
          <w:trHeight w:val="35"/>
        </w:trPr>
        <w:tc>
          <w:tcPr>
            <w:tcW w:w="3200" w:type="dxa"/>
            <w:vAlign w:val="bottom"/>
          </w:tcPr>
          <w:p>
            <w:pPr>
              <w:spacing w:after="0"/>
              <w:rPr>
                <w:sz w:val="3"/>
                <w:szCs w:val="3"/>
                <w:color w:val="auto"/>
              </w:rPr>
            </w:pPr>
          </w:p>
        </w:tc>
        <w:tc>
          <w:tcPr>
            <w:tcW w:w="1100" w:type="dxa"/>
            <w:vAlign w:val="bottom"/>
            <w:tcBorders>
              <w:bottom w:val="single" w:sz="8" w:color="131413"/>
            </w:tcBorders>
          </w:tcPr>
          <w:p>
            <w:pPr>
              <w:spacing w:after="0"/>
              <w:rPr>
                <w:sz w:val="3"/>
                <w:szCs w:val="3"/>
                <w:color w:val="auto"/>
              </w:rPr>
            </w:pPr>
          </w:p>
        </w:tc>
        <w:tc>
          <w:tcPr>
            <w:tcW w:w="1060" w:type="dxa"/>
            <w:vAlign w:val="bottom"/>
            <w:tcBorders>
              <w:bottom w:val="single" w:sz="8" w:color="131413"/>
            </w:tcBorders>
          </w:tcPr>
          <w:p>
            <w:pPr>
              <w:spacing w:after="0"/>
              <w:rPr>
                <w:sz w:val="3"/>
                <w:szCs w:val="3"/>
                <w:color w:val="auto"/>
              </w:rPr>
            </w:pPr>
          </w:p>
        </w:tc>
        <w:tc>
          <w:tcPr>
            <w:tcW w:w="700" w:type="dxa"/>
            <w:vAlign w:val="bottom"/>
            <w:tcBorders>
              <w:bottom w:val="single" w:sz="8" w:color="131413"/>
            </w:tcBorders>
          </w:tcPr>
          <w:p>
            <w:pPr>
              <w:spacing w:after="0"/>
              <w:rPr>
                <w:sz w:val="3"/>
                <w:szCs w:val="3"/>
                <w:color w:val="auto"/>
              </w:rPr>
            </w:pPr>
          </w:p>
        </w:tc>
        <w:tc>
          <w:tcPr>
            <w:tcW w:w="720" w:type="dxa"/>
            <w:vAlign w:val="bottom"/>
          </w:tcPr>
          <w:p>
            <w:pPr>
              <w:spacing w:after="0"/>
              <w:rPr>
                <w:sz w:val="3"/>
                <w:szCs w:val="3"/>
                <w:color w:val="auto"/>
              </w:rPr>
            </w:pPr>
          </w:p>
        </w:tc>
        <w:tc>
          <w:tcPr>
            <w:tcW w:w="1120" w:type="dxa"/>
            <w:vAlign w:val="bottom"/>
            <w:tcBorders>
              <w:bottom w:val="single" w:sz="8" w:color="131413"/>
            </w:tcBorders>
          </w:tcPr>
          <w:p>
            <w:pPr>
              <w:spacing w:after="0"/>
              <w:rPr>
                <w:sz w:val="3"/>
                <w:szCs w:val="3"/>
                <w:color w:val="auto"/>
              </w:rPr>
            </w:pPr>
          </w:p>
        </w:tc>
        <w:tc>
          <w:tcPr>
            <w:tcW w:w="1040" w:type="dxa"/>
            <w:vAlign w:val="bottom"/>
            <w:tcBorders>
              <w:bottom w:val="single" w:sz="8" w:color="131413"/>
            </w:tcBorders>
          </w:tcPr>
          <w:p>
            <w:pPr>
              <w:spacing w:after="0"/>
              <w:rPr>
                <w:sz w:val="3"/>
                <w:szCs w:val="3"/>
                <w:color w:val="auto"/>
              </w:rPr>
            </w:pPr>
          </w:p>
        </w:tc>
        <w:tc>
          <w:tcPr>
            <w:tcW w:w="700" w:type="dxa"/>
            <w:vAlign w:val="bottom"/>
            <w:tcBorders>
              <w:bottom w:val="single" w:sz="8" w:color="131413"/>
            </w:tcBorders>
          </w:tcPr>
          <w:p>
            <w:pPr>
              <w:spacing w:after="0"/>
              <w:rPr>
                <w:sz w:val="3"/>
                <w:szCs w:val="3"/>
                <w:color w:val="auto"/>
              </w:rPr>
            </w:pPr>
          </w:p>
        </w:tc>
      </w:tr>
      <w:tr>
        <w:trPr>
          <w:trHeight w:val="207"/>
        </w:trPr>
        <w:tc>
          <w:tcPr>
            <w:tcW w:w="3200" w:type="dxa"/>
            <w:vAlign w:val="bottom"/>
          </w:tcPr>
          <w:p>
            <w:pPr>
              <w:spacing w:after="0"/>
              <w:rPr>
                <w:sz w:val="18"/>
                <w:szCs w:val="18"/>
                <w:color w:val="auto"/>
              </w:rPr>
            </w:pPr>
          </w:p>
        </w:tc>
        <w:tc>
          <w:tcPr>
            <w:tcW w:w="1100" w:type="dxa"/>
            <w:vAlign w:val="bottom"/>
          </w:tcPr>
          <w:p>
            <w:pPr>
              <w:spacing w:after="0"/>
              <w:rPr>
                <w:sz w:val="20"/>
                <w:szCs w:val="20"/>
                <w:color w:val="auto"/>
              </w:rPr>
            </w:pPr>
            <w:r>
              <w:rPr>
                <w:rFonts w:ascii="Arial" w:cs="Arial" w:eastAsia="Arial" w:hAnsi="Arial"/>
                <w:sz w:val="16"/>
                <w:szCs w:val="16"/>
                <w:color w:val="auto"/>
              </w:rPr>
              <w:t>est. (se)</w:t>
            </w:r>
          </w:p>
        </w:tc>
        <w:tc>
          <w:tcPr>
            <w:tcW w:w="1060" w:type="dxa"/>
            <w:vAlign w:val="bottom"/>
          </w:tcPr>
          <w:p>
            <w:pPr>
              <w:ind w:left="360"/>
              <w:spacing w:after="0"/>
              <w:rPr>
                <w:sz w:val="20"/>
                <w:szCs w:val="20"/>
                <w:color w:val="auto"/>
              </w:rPr>
            </w:pPr>
            <w:r>
              <w:rPr>
                <w:rFonts w:ascii="Arial" w:cs="Arial" w:eastAsia="Arial" w:hAnsi="Arial"/>
                <w:sz w:val="16"/>
                <w:szCs w:val="16"/>
                <w:color w:val="auto"/>
              </w:rPr>
              <w:t>Z</w:t>
            </w:r>
          </w:p>
        </w:tc>
        <w:tc>
          <w:tcPr>
            <w:tcW w:w="700" w:type="dxa"/>
            <w:vAlign w:val="bottom"/>
          </w:tcPr>
          <w:p>
            <w:pPr>
              <w:ind w:left="360"/>
              <w:spacing w:after="0"/>
              <w:rPr>
                <w:sz w:val="20"/>
                <w:szCs w:val="20"/>
                <w:color w:val="auto"/>
              </w:rPr>
            </w:pPr>
            <w:r>
              <w:rPr>
                <w:rFonts w:ascii="Arial" w:cs="Arial" w:eastAsia="Arial" w:hAnsi="Arial"/>
                <w:sz w:val="16"/>
                <w:szCs w:val="16"/>
                <w:color w:val="auto"/>
              </w:rPr>
              <w:t>p.</w:t>
            </w:r>
          </w:p>
        </w:tc>
        <w:tc>
          <w:tcPr>
            <w:tcW w:w="1840" w:type="dxa"/>
            <w:vAlign w:val="bottom"/>
            <w:gridSpan w:val="2"/>
          </w:tcPr>
          <w:p>
            <w:pPr>
              <w:ind w:left="720"/>
              <w:spacing w:after="0"/>
              <w:rPr>
                <w:sz w:val="20"/>
                <w:szCs w:val="20"/>
                <w:color w:val="auto"/>
              </w:rPr>
            </w:pPr>
            <w:r>
              <w:rPr>
                <w:rFonts w:ascii="Arial" w:cs="Arial" w:eastAsia="Arial" w:hAnsi="Arial"/>
                <w:sz w:val="16"/>
                <w:szCs w:val="16"/>
                <w:color w:val="auto"/>
              </w:rPr>
              <w:t>est. (se)</w:t>
            </w:r>
          </w:p>
        </w:tc>
        <w:tc>
          <w:tcPr>
            <w:tcW w:w="1040" w:type="dxa"/>
            <w:vAlign w:val="bottom"/>
          </w:tcPr>
          <w:p>
            <w:pPr>
              <w:ind w:left="320"/>
              <w:spacing w:after="0"/>
              <w:rPr>
                <w:sz w:val="20"/>
                <w:szCs w:val="20"/>
                <w:color w:val="auto"/>
              </w:rPr>
            </w:pPr>
            <w:r>
              <w:rPr>
                <w:rFonts w:ascii="Arial" w:cs="Arial" w:eastAsia="Arial" w:hAnsi="Arial"/>
                <w:sz w:val="16"/>
                <w:szCs w:val="16"/>
                <w:color w:val="auto"/>
              </w:rPr>
              <w:t>Z</w:t>
            </w:r>
          </w:p>
        </w:tc>
        <w:tc>
          <w:tcPr>
            <w:tcW w:w="700" w:type="dxa"/>
            <w:vAlign w:val="bottom"/>
          </w:tcPr>
          <w:p>
            <w:pPr>
              <w:ind w:left="360"/>
              <w:spacing w:after="0"/>
              <w:rPr>
                <w:sz w:val="20"/>
                <w:szCs w:val="20"/>
                <w:color w:val="auto"/>
              </w:rPr>
            </w:pPr>
            <w:r>
              <w:rPr>
                <w:rFonts w:ascii="Arial" w:cs="Arial" w:eastAsia="Arial" w:hAnsi="Arial"/>
                <w:sz w:val="16"/>
                <w:szCs w:val="16"/>
                <w:color w:val="auto"/>
              </w:rPr>
              <w:t>p.</w:t>
            </w:r>
          </w:p>
        </w:tc>
      </w:tr>
      <w:tr>
        <w:trPr>
          <w:trHeight w:val="36"/>
        </w:trPr>
        <w:tc>
          <w:tcPr>
            <w:tcW w:w="3200" w:type="dxa"/>
            <w:vAlign w:val="bottom"/>
            <w:tcBorders>
              <w:bottom w:val="single" w:sz="8" w:color="131413"/>
            </w:tcBorders>
          </w:tcPr>
          <w:p>
            <w:pPr>
              <w:spacing w:after="0"/>
              <w:rPr>
                <w:sz w:val="3"/>
                <w:szCs w:val="3"/>
                <w:color w:val="auto"/>
              </w:rPr>
            </w:pPr>
          </w:p>
        </w:tc>
        <w:tc>
          <w:tcPr>
            <w:tcW w:w="1100" w:type="dxa"/>
            <w:vAlign w:val="bottom"/>
            <w:tcBorders>
              <w:bottom w:val="single" w:sz="8" w:color="131413"/>
            </w:tcBorders>
          </w:tcPr>
          <w:p>
            <w:pPr>
              <w:spacing w:after="0"/>
              <w:rPr>
                <w:sz w:val="3"/>
                <w:szCs w:val="3"/>
                <w:color w:val="auto"/>
              </w:rPr>
            </w:pPr>
          </w:p>
        </w:tc>
        <w:tc>
          <w:tcPr>
            <w:tcW w:w="1060" w:type="dxa"/>
            <w:vAlign w:val="bottom"/>
            <w:tcBorders>
              <w:bottom w:val="single" w:sz="8" w:color="131413"/>
            </w:tcBorders>
          </w:tcPr>
          <w:p>
            <w:pPr>
              <w:spacing w:after="0"/>
              <w:rPr>
                <w:sz w:val="3"/>
                <w:szCs w:val="3"/>
                <w:color w:val="auto"/>
              </w:rPr>
            </w:pPr>
          </w:p>
        </w:tc>
        <w:tc>
          <w:tcPr>
            <w:tcW w:w="700" w:type="dxa"/>
            <w:vAlign w:val="bottom"/>
            <w:tcBorders>
              <w:bottom w:val="single" w:sz="8" w:color="131413"/>
            </w:tcBorders>
          </w:tcPr>
          <w:p>
            <w:pPr>
              <w:spacing w:after="0"/>
              <w:rPr>
                <w:sz w:val="3"/>
                <w:szCs w:val="3"/>
                <w:color w:val="auto"/>
              </w:rPr>
            </w:pPr>
          </w:p>
        </w:tc>
        <w:tc>
          <w:tcPr>
            <w:tcW w:w="1840" w:type="dxa"/>
            <w:vAlign w:val="bottom"/>
            <w:tcBorders>
              <w:bottom w:val="single" w:sz="8" w:color="131413"/>
            </w:tcBorders>
            <w:gridSpan w:val="2"/>
          </w:tcPr>
          <w:p>
            <w:pPr>
              <w:spacing w:after="0"/>
              <w:rPr>
                <w:sz w:val="3"/>
                <w:szCs w:val="3"/>
                <w:color w:val="auto"/>
              </w:rPr>
            </w:pPr>
          </w:p>
        </w:tc>
        <w:tc>
          <w:tcPr>
            <w:tcW w:w="1040" w:type="dxa"/>
            <w:vAlign w:val="bottom"/>
            <w:tcBorders>
              <w:bottom w:val="single" w:sz="8" w:color="131413"/>
            </w:tcBorders>
          </w:tcPr>
          <w:p>
            <w:pPr>
              <w:spacing w:after="0"/>
              <w:rPr>
                <w:sz w:val="3"/>
                <w:szCs w:val="3"/>
                <w:color w:val="auto"/>
              </w:rPr>
            </w:pPr>
          </w:p>
        </w:tc>
        <w:tc>
          <w:tcPr>
            <w:tcW w:w="700" w:type="dxa"/>
            <w:vAlign w:val="bottom"/>
            <w:tcBorders>
              <w:bottom w:val="single" w:sz="8" w:color="131413"/>
            </w:tcBorders>
          </w:tcPr>
          <w:p>
            <w:pPr>
              <w:spacing w:after="0"/>
              <w:rPr>
                <w:sz w:val="3"/>
                <w:szCs w:val="3"/>
                <w:color w:val="auto"/>
              </w:rPr>
            </w:pPr>
          </w:p>
        </w:tc>
      </w:tr>
      <w:tr>
        <w:trPr>
          <w:trHeight w:val="207"/>
        </w:trPr>
        <w:tc>
          <w:tcPr>
            <w:tcW w:w="3200" w:type="dxa"/>
            <w:vAlign w:val="bottom"/>
          </w:tcPr>
          <w:p>
            <w:pPr>
              <w:spacing w:after="0"/>
              <w:rPr>
                <w:sz w:val="20"/>
                <w:szCs w:val="20"/>
                <w:color w:val="auto"/>
              </w:rPr>
            </w:pPr>
            <w:r>
              <w:rPr>
                <w:rFonts w:ascii="Arial" w:cs="Arial" w:eastAsia="Arial" w:hAnsi="Arial"/>
                <w:sz w:val="16"/>
                <w:szCs w:val="16"/>
                <w:color w:val="auto"/>
              </w:rPr>
              <w:t>Age (years old)</w:t>
            </w:r>
          </w:p>
        </w:tc>
        <w:tc>
          <w:tcPr>
            <w:tcW w:w="1100" w:type="dxa"/>
            <w:vAlign w:val="bottom"/>
          </w:tcPr>
          <w:p>
            <w:pPr>
              <w:spacing w:after="0"/>
              <w:rPr>
                <w:sz w:val="20"/>
                <w:szCs w:val="20"/>
                <w:color w:val="auto"/>
              </w:rPr>
            </w:pPr>
            <w:r>
              <w:rPr>
                <w:rFonts w:ascii="Arial" w:cs="Arial" w:eastAsia="Arial" w:hAnsi="Arial"/>
                <w:sz w:val="16"/>
                <w:szCs w:val="16"/>
                <w:color w:val="auto"/>
              </w:rPr>
              <w:t>−0.01 (0.57)</w:t>
            </w:r>
          </w:p>
        </w:tc>
        <w:tc>
          <w:tcPr>
            <w:tcW w:w="1060" w:type="dxa"/>
            <w:vAlign w:val="bottom"/>
          </w:tcPr>
          <w:p>
            <w:pPr>
              <w:ind w:left="360"/>
              <w:spacing w:after="0"/>
              <w:rPr>
                <w:sz w:val="20"/>
                <w:szCs w:val="20"/>
                <w:color w:val="auto"/>
              </w:rPr>
            </w:pPr>
            <w:r>
              <w:rPr>
                <w:rFonts w:ascii="Arial" w:cs="Arial" w:eastAsia="Arial" w:hAnsi="Arial"/>
                <w:sz w:val="16"/>
                <w:szCs w:val="16"/>
                <w:color w:val="auto"/>
              </w:rPr>
              <w:t>−0.01</w:t>
            </w:r>
          </w:p>
        </w:tc>
        <w:tc>
          <w:tcPr>
            <w:tcW w:w="700" w:type="dxa"/>
            <w:vAlign w:val="bottom"/>
          </w:tcPr>
          <w:p>
            <w:pPr>
              <w:ind w:left="360"/>
              <w:spacing w:after="0"/>
              <w:rPr>
                <w:sz w:val="20"/>
                <w:szCs w:val="20"/>
                <w:color w:val="auto"/>
              </w:rPr>
            </w:pPr>
            <w:r>
              <w:rPr>
                <w:rFonts w:ascii="Arial" w:cs="Arial" w:eastAsia="Arial" w:hAnsi="Arial"/>
                <w:sz w:val="16"/>
                <w:szCs w:val="16"/>
                <w:color w:val="auto"/>
                <w:w w:val="79"/>
              </w:rPr>
              <w:t>0.989</w:t>
            </w:r>
          </w:p>
        </w:tc>
        <w:tc>
          <w:tcPr>
            <w:tcW w:w="1840" w:type="dxa"/>
            <w:vAlign w:val="bottom"/>
            <w:gridSpan w:val="2"/>
          </w:tcPr>
          <w:p>
            <w:pPr>
              <w:ind w:left="720"/>
              <w:spacing w:after="0"/>
              <w:rPr>
                <w:sz w:val="20"/>
                <w:szCs w:val="20"/>
                <w:color w:val="auto"/>
              </w:rPr>
            </w:pPr>
            <w:r>
              <w:rPr>
                <w:rFonts w:ascii="Arial" w:cs="Arial" w:eastAsia="Arial" w:hAnsi="Arial"/>
                <w:sz w:val="16"/>
                <w:szCs w:val="16"/>
                <w:color w:val="auto"/>
              </w:rPr>
              <w:t>0.30 (0.22)</w:t>
            </w:r>
          </w:p>
        </w:tc>
        <w:tc>
          <w:tcPr>
            <w:tcW w:w="1040" w:type="dxa"/>
            <w:vAlign w:val="bottom"/>
          </w:tcPr>
          <w:p>
            <w:pPr>
              <w:ind w:left="320"/>
              <w:spacing w:after="0"/>
              <w:rPr>
                <w:sz w:val="20"/>
                <w:szCs w:val="20"/>
                <w:color w:val="auto"/>
              </w:rPr>
            </w:pPr>
            <w:r>
              <w:rPr>
                <w:rFonts w:ascii="Arial" w:cs="Arial" w:eastAsia="Arial" w:hAnsi="Arial"/>
                <w:sz w:val="16"/>
                <w:szCs w:val="16"/>
                <w:color w:val="auto"/>
              </w:rPr>
              <w:t>1.35</w:t>
            </w:r>
          </w:p>
        </w:tc>
        <w:tc>
          <w:tcPr>
            <w:tcW w:w="700" w:type="dxa"/>
            <w:vAlign w:val="bottom"/>
          </w:tcPr>
          <w:p>
            <w:pPr>
              <w:ind w:left="360"/>
              <w:spacing w:after="0"/>
              <w:rPr>
                <w:sz w:val="20"/>
                <w:szCs w:val="20"/>
                <w:color w:val="auto"/>
              </w:rPr>
            </w:pPr>
            <w:r>
              <w:rPr>
                <w:rFonts w:ascii="Arial" w:cs="Arial" w:eastAsia="Arial" w:hAnsi="Arial"/>
                <w:sz w:val="16"/>
                <w:szCs w:val="16"/>
                <w:color w:val="auto"/>
                <w:w w:val="79"/>
              </w:rPr>
              <w:t>0.174</w:t>
            </w:r>
          </w:p>
        </w:tc>
      </w:tr>
      <w:tr>
        <w:trPr>
          <w:trHeight w:val="280"/>
        </w:trPr>
        <w:tc>
          <w:tcPr>
            <w:tcW w:w="3200" w:type="dxa"/>
            <w:vAlign w:val="bottom"/>
          </w:tcPr>
          <w:p>
            <w:pPr>
              <w:ind w:left="160"/>
              <w:spacing w:after="0"/>
              <w:rPr>
                <w:sz w:val="20"/>
                <w:szCs w:val="20"/>
                <w:color w:val="auto"/>
              </w:rPr>
            </w:pPr>
            <w:r>
              <w:rPr>
                <w:rFonts w:ascii="Arial" w:cs="Arial" w:eastAsia="Arial" w:hAnsi="Arial"/>
                <w:sz w:val="16"/>
                <w:szCs w:val="16"/>
                <w:color w:val="auto"/>
              </w:rPr>
              <w:t>Young</w:t>
            </w:r>
          </w:p>
        </w:tc>
        <w:tc>
          <w:tcPr>
            <w:tcW w:w="1100" w:type="dxa"/>
            <w:vAlign w:val="bottom"/>
          </w:tcPr>
          <w:p>
            <w:pPr>
              <w:spacing w:after="0"/>
              <w:rPr>
                <w:sz w:val="20"/>
                <w:szCs w:val="20"/>
                <w:color w:val="auto"/>
              </w:rPr>
            </w:pPr>
            <w:r>
              <w:rPr>
                <w:rFonts w:ascii="Arial" w:cs="Arial" w:eastAsia="Arial" w:hAnsi="Arial"/>
                <w:sz w:val="16"/>
                <w:szCs w:val="16"/>
                <w:color w:val="auto"/>
              </w:rPr>
              <w:t>−1.90 (0.69)</w:t>
            </w:r>
          </w:p>
        </w:tc>
        <w:tc>
          <w:tcPr>
            <w:tcW w:w="1060" w:type="dxa"/>
            <w:vAlign w:val="bottom"/>
          </w:tcPr>
          <w:p>
            <w:pPr>
              <w:ind w:left="360"/>
              <w:spacing w:after="0"/>
              <w:rPr>
                <w:sz w:val="20"/>
                <w:szCs w:val="20"/>
                <w:color w:val="auto"/>
              </w:rPr>
            </w:pPr>
            <w:r>
              <w:rPr>
                <w:rFonts w:ascii="Arial" w:cs="Arial" w:eastAsia="Arial" w:hAnsi="Arial"/>
                <w:sz w:val="16"/>
                <w:szCs w:val="16"/>
                <w:color w:val="auto"/>
              </w:rPr>
              <w:t>−2.74</w:t>
            </w:r>
          </w:p>
        </w:tc>
        <w:tc>
          <w:tcPr>
            <w:tcW w:w="700" w:type="dxa"/>
            <w:vAlign w:val="bottom"/>
          </w:tcPr>
          <w:p>
            <w:pPr>
              <w:ind w:left="360"/>
              <w:spacing w:after="0"/>
              <w:rPr>
                <w:sz w:val="20"/>
                <w:szCs w:val="20"/>
                <w:color w:val="auto"/>
              </w:rPr>
            </w:pPr>
            <w:r>
              <w:rPr>
                <w:rFonts w:ascii="Arial" w:cs="Arial" w:eastAsia="Arial" w:hAnsi="Arial"/>
                <w:sz w:val="16"/>
                <w:szCs w:val="16"/>
                <w:color w:val="auto"/>
                <w:w w:val="79"/>
              </w:rPr>
              <w:t>0.006</w:t>
            </w:r>
          </w:p>
        </w:tc>
        <w:tc>
          <w:tcPr>
            <w:tcW w:w="1840" w:type="dxa"/>
            <w:vAlign w:val="bottom"/>
            <w:gridSpan w:val="2"/>
          </w:tcPr>
          <w:p>
            <w:pPr>
              <w:ind w:left="720"/>
              <w:spacing w:after="0"/>
              <w:rPr>
                <w:sz w:val="20"/>
                <w:szCs w:val="20"/>
                <w:color w:val="auto"/>
              </w:rPr>
            </w:pPr>
            <w:r>
              <w:rPr>
                <w:rFonts w:ascii="Arial" w:cs="Arial" w:eastAsia="Arial" w:hAnsi="Arial"/>
                <w:sz w:val="16"/>
                <w:szCs w:val="16"/>
                <w:color w:val="auto"/>
              </w:rPr>
              <w:t>−0.92 (0.23)</w:t>
            </w:r>
          </w:p>
        </w:tc>
        <w:tc>
          <w:tcPr>
            <w:tcW w:w="1040" w:type="dxa"/>
            <w:vAlign w:val="bottom"/>
          </w:tcPr>
          <w:p>
            <w:pPr>
              <w:ind w:left="320"/>
              <w:spacing w:after="0"/>
              <w:rPr>
                <w:sz w:val="20"/>
                <w:szCs w:val="20"/>
                <w:color w:val="auto"/>
              </w:rPr>
            </w:pPr>
            <w:r>
              <w:rPr>
                <w:rFonts w:ascii="Arial" w:cs="Arial" w:eastAsia="Arial" w:hAnsi="Arial"/>
                <w:sz w:val="16"/>
                <w:szCs w:val="16"/>
                <w:color w:val="auto"/>
              </w:rPr>
              <w:t>−4.03</w:t>
            </w:r>
          </w:p>
        </w:tc>
        <w:tc>
          <w:tcPr>
            <w:tcW w:w="700" w:type="dxa"/>
            <w:vAlign w:val="bottom"/>
          </w:tcPr>
          <w:p>
            <w:pPr>
              <w:ind w:left="360"/>
              <w:spacing w:after="0"/>
              <w:rPr>
                <w:sz w:val="20"/>
                <w:szCs w:val="20"/>
                <w:color w:val="auto"/>
              </w:rPr>
            </w:pPr>
            <w:r>
              <w:rPr>
                <w:rFonts w:ascii="Arial" w:cs="Arial" w:eastAsia="Arial" w:hAnsi="Arial"/>
                <w:sz w:val="16"/>
                <w:szCs w:val="16"/>
                <w:color w:val="auto"/>
                <w:w w:val="79"/>
              </w:rPr>
              <w:t>0.001</w:t>
            </w:r>
          </w:p>
        </w:tc>
      </w:tr>
      <w:tr>
        <w:trPr>
          <w:trHeight w:val="280"/>
        </w:trPr>
        <w:tc>
          <w:tcPr>
            <w:tcW w:w="3200" w:type="dxa"/>
            <w:vAlign w:val="bottom"/>
          </w:tcPr>
          <w:p>
            <w:pPr>
              <w:spacing w:after="0"/>
              <w:rPr>
                <w:sz w:val="20"/>
                <w:szCs w:val="20"/>
                <w:color w:val="auto"/>
              </w:rPr>
            </w:pPr>
            <w:r>
              <w:rPr>
                <w:rFonts w:ascii="Arial" w:cs="Arial" w:eastAsia="Arial" w:hAnsi="Arial"/>
                <w:sz w:val="16"/>
                <w:szCs w:val="16"/>
                <w:color w:val="auto"/>
              </w:rPr>
              <w:t>Residence status (indigenous)</w:t>
            </w:r>
          </w:p>
        </w:tc>
        <w:tc>
          <w:tcPr>
            <w:tcW w:w="1100" w:type="dxa"/>
            <w:vAlign w:val="bottom"/>
          </w:tcPr>
          <w:p>
            <w:pPr>
              <w:spacing w:after="0"/>
              <w:rPr>
                <w:sz w:val="20"/>
                <w:szCs w:val="20"/>
                <w:color w:val="auto"/>
              </w:rPr>
            </w:pPr>
            <w:r>
              <w:rPr>
                <w:rFonts w:ascii="Arial" w:cs="Arial" w:eastAsia="Arial" w:hAnsi="Arial"/>
                <w:sz w:val="16"/>
                <w:szCs w:val="16"/>
                <w:color w:val="auto"/>
              </w:rPr>
              <w:t>2.90 (0.66)</w:t>
            </w:r>
          </w:p>
        </w:tc>
        <w:tc>
          <w:tcPr>
            <w:tcW w:w="1060" w:type="dxa"/>
            <w:vAlign w:val="bottom"/>
          </w:tcPr>
          <w:p>
            <w:pPr>
              <w:ind w:left="360"/>
              <w:spacing w:after="0"/>
              <w:rPr>
                <w:sz w:val="20"/>
                <w:szCs w:val="20"/>
                <w:color w:val="auto"/>
              </w:rPr>
            </w:pPr>
            <w:r>
              <w:rPr>
                <w:rFonts w:ascii="Arial" w:cs="Arial" w:eastAsia="Arial" w:hAnsi="Arial"/>
                <w:sz w:val="16"/>
                <w:szCs w:val="16"/>
                <w:color w:val="auto"/>
              </w:rPr>
              <w:t>4.41</w:t>
            </w:r>
          </w:p>
        </w:tc>
        <w:tc>
          <w:tcPr>
            <w:tcW w:w="700" w:type="dxa"/>
            <w:vAlign w:val="bottom"/>
          </w:tcPr>
          <w:p>
            <w:pPr>
              <w:ind w:left="360"/>
              <w:spacing w:after="0"/>
              <w:rPr>
                <w:sz w:val="20"/>
                <w:szCs w:val="20"/>
                <w:color w:val="auto"/>
              </w:rPr>
            </w:pPr>
            <w:r>
              <w:rPr>
                <w:rFonts w:ascii="Arial" w:cs="Arial" w:eastAsia="Arial" w:hAnsi="Arial"/>
                <w:sz w:val="16"/>
                <w:szCs w:val="16"/>
                <w:color w:val="auto"/>
                <w:w w:val="79"/>
              </w:rPr>
              <w:t>0.001</w:t>
            </w:r>
          </w:p>
        </w:tc>
        <w:tc>
          <w:tcPr>
            <w:tcW w:w="1840" w:type="dxa"/>
            <w:vAlign w:val="bottom"/>
            <w:gridSpan w:val="2"/>
          </w:tcPr>
          <w:p>
            <w:pPr>
              <w:ind w:left="720"/>
              <w:spacing w:after="0"/>
              <w:rPr>
                <w:sz w:val="20"/>
                <w:szCs w:val="20"/>
                <w:color w:val="auto"/>
              </w:rPr>
            </w:pPr>
            <w:r>
              <w:rPr>
                <w:rFonts w:ascii="Arial" w:cs="Arial" w:eastAsia="Arial" w:hAnsi="Arial"/>
                <w:sz w:val="16"/>
                <w:szCs w:val="16"/>
                <w:color w:val="auto"/>
              </w:rPr>
              <w:t>-</w:t>
            </w:r>
          </w:p>
        </w:tc>
        <w:tc>
          <w:tcPr>
            <w:tcW w:w="1040" w:type="dxa"/>
            <w:vAlign w:val="bottom"/>
          </w:tcPr>
          <w:p>
            <w:pPr>
              <w:ind w:left="320"/>
              <w:spacing w:after="0"/>
              <w:rPr>
                <w:sz w:val="20"/>
                <w:szCs w:val="20"/>
                <w:color w:val="auto"/>
              </w:rPr>
            </w:pPr>
            <w:r>
              <w:rPr>
                <w:rFonts w:ascii="Arial" w:cs="Arial" w:eastAsia="Arial" w:hAnsi="Arial"/>
                <w:sz w:val="16"/>
                <w:szCs w:val="16"/>
                <w:color w:val="auto"/>
              </w:rPr>
              <w:t>-</w:t>
            </w:r>
          </w:p>
        </w:tc>
        <w:tc>
          <w:tcPr>
            <w:tcW w:w="700" w:type="dxa"/>
            <w:vAlign w:val="bottom"/>
          </w:tcPr>
          <w:p>
            <w:pPr>
              <w:ind w:left="360"/>
              <w:spacing w:after="0"/>
              <w:rPr>
                <w:sz w:val="20"/>
                <w:szCs w:val="20"/>
                <w:color w:val="auto"/>
              </w:rPr>
            </w:pPr>
            <w:r>
              <w:rPr>
                <w:rFonts w:ascii="Arial" w:cs="Arial" w:eastAsia="Arial" w:hAnsi="Arial"/>
                <w:sz w:val="16"/>
                <w:szCs w:val="16"/>
                <w:color w:val="auto"/>
              </w:rPr>
              <w:t>-</w:t>
            </w:r>
          </w:p>
        </w:tc>
      </w:tr>
      <w:tr>
        <w:trPr>
          <w:trHeight w:val="280"/>
        </w:trPr>
        <w:tc>
          <w:tcPr>
            <w:tcW w:w="3200" w:type="dxa"/>
            <w:vAlign w:val="bottom"/>
          </w:tcPr>
          <w:p>
            <w:pPr>
              <w:spacing w:after="0"/>
              <w:rPr>
                <w:sz w:val="20"/>
                <w:szCs w:val="20"/>
                <w:color w:val="auto"/>
              </w:rPr>
            </w:pPr>
            <w:r>
              <w:rPr>
                <w:rFonts w:ascii="Arial" w:cs="Arial" w:eastAsia="Arial" w:hAnsi="Arial"/>
                <w:sz w:val="16"/>
                <w:szCs w:val="16"/>
                <w:color w:val="auto"/>
              </w:rPr>
              <w:t>Existence of market opportunities (Yes)</w:t>
            </w:r>
          </w:p>
        </w:tc>
        <w:tc>
          <w:tcPr>
            <w:tcW w:w="1100" w:type="dxa"/>
            <w:vAlign w:val="bottom"/>
          </w:tcPr>
          <w:p>
            <w:pPr>
              <w:spacing w:after="0"/>
              <w:rPr>
                <w:sz w:val="20"/>
                <w:szCs w:val="20"/>
                <w:color w:val="auto"/>
              </w:rPr>
            </w:pPr>
            <w:r>
              <w:rPr>
                <w:rFonts w:ascii="Arial" w:cs="Arial" w:eastAsia="Arial" w:hAnsi="Arial"/>
                <w:sz w:val="16"/>
                <w:szCs w:val="16"/>
                <w:color w:val="auto"/>
              </w:rPr>
              <w:t>5.35 (2.42)</w:t>
            </w:r>
          </w:p>
        </w:tc>
        <w:tc>
          <w:tcPr>
            <w:tcW w:w="1060" w:type="dxa"/>
            <w:vAlign w:val="bottom"/>
          </w:tcPr>
          <w:p>
            <w:pPr>
              <w:ind w:left="360"/>
              <w:spacing w:after="0"/>
              <w:rPr>
                <w:sz w:val="20"/>
                <w:szCs w:val="20"/>
                <w:color w:val="auto"/>
              </w:rPr>
            </w:pPr>
            <w:r>
              <w:rPr>
                <w:rFonts w:ascii="Arial" w:cs="Arial" w:eastAsia="Arial" w:hAnsi="Arial"/>
                <w:sz w:val="16"/>
                <w:szCs w:val="16"/>
                <w:color w:val="auto"/>
              </w:rPr>
              <w:t>2.21</w:t>
            </w:r>
          </w:p>
        </w:tc>
        <w:tc>
          <w:tcPr>
            <w:tcW w:w="700" w:type="dxa"/>
            <w:vAlign w:val="bottom"/>
          </w:tcPr>
          <w:p>
            <w:pPr>
              <w:ind w:left="360"/>
              <w:spacing w:after="0"/>
              <w:rPr>
                <w:sz w:val="20"/>
                <w:szCs w:val="20"/>
                <w:color w:val="auto"/>
              </w:rPr>
            </w:pPr>
            <w:r>
              <w:rPr>
                <w:rFonts w:ascii="Arial" w:cs="Arial" w:eastAsia="Arial" w:hAnsi="Arial"/>
                <w:sz w:val="16"/>
                <w:szCs w:val="16"/>
                <w:color w:val="auto"/>
                <w:w w:val="79"/>
              </w:rPr>
              <w:t>0.027</w:t>
            </w:r>
          </w:p>
        </w:tc>
        <w:tc>
          <w:tcPr>
            <w:tcW w:w="1840" w:type="dxa"/>
            <w:vAlign w:val="bottom"/>
            <w:gridSpan w:val="2"/>
          </w:tcPr>
          <w:p>
            <w:pPr>
              <w:ind w:left="720"/>
              <w:spacing w:after="0"/>
              <w:rPr>
                <w:sz w:val="20"/>
                <w:szCs w:val="20"/>
                <w:color w:val="auto"/>
              </w:rPr>
            </w:pPr>
            <w:r>
              <w:rPr>
                <w:rFonts w:ascii="Arial" w:cs="Arial" w:eastAsia="Arial" w:hAnsi="Arial"/>
                <w:sz w:val="16"/>
                <w:szCs w:val="16"/>
                <w:color w:val="auto"/>
              </w:rPr>
              <w:t>-</w:t>
            </w:r>
          </w:p>
        </w:tc>
        <w:tc>
          <w:tcPr>
            <w:tcW w:w="1040" w:type="dxa"/>
            <w:vAlign w:val="bottom"/>
          </w:tcPr>
          <w:p>
            <w:pPr>
              <w:ind w:left="320"/>
              <w:spacing w:after="0"/>
              <w:rPr>
                <w:sz w:val="20"/>
                <w:szCs w:val="20"/>
                <w:color w:val="auto"/>
              </w:rPr>
            </w:pPr>
            <w:r>
              <w:rPr>
                <w:rFonts w:ascii="Arial" w:cs="Arial" w:eastAsia="Arial" w:hAnsi="Arial"/>
                <w:sz w:val="16"/>
                <w:szCs w:val="16"/>
                <w:color w:val="auto"/>
              </w:rPr>
              <w:t>-</w:t>
            </w:r>
          </w:p>
        </w:tc>
        <w:tc>
          <w:tcPr>
            <w:tcW w:w="700" w:type="dxa"/>
            <w:vAlign w:val="bottom"/>
          </w:tcPr>
          <w:p>
            <w:pPr>
              <w:ind w:left="360"/>
              <w:spacing w:after="0"/>
              <w:rPr>
                <w:sz w:val="20"/>
                <w:szCs w:val="20"/>
                <w:color w:val="auto"/>
              </w:rPr>
            </w:pPr>
            <w:r>
              <w:rPr>
                <w:rFonts w:ascii="Arial" w:cs="Arial" w:eastAsia="Arial" w:hAnsi="Arial"/>
                <w:sz w:val="16"/>
                <w:szCs w:val="16"/>
                <w:color w:val="auto"/>
              </w:rPr>
              <w:t>-</w:t>
            </w:r>
          </w:p>
        </w:tc>
      </w:tr>
      <w:tr>
        <w:trPr>
          <w:trHeight w:val="280"/>
        </w:trPr>
        <w:tc>
          <w:tcPr>
            <w:tcW w:w="3200" w:type="dxa"/>
            <w:vAlign w:val="bottom"/>
          </w:tcPr>
          <w:p>
            <w:pPr>
              <w:spacing w:after="0"/>
              <w:rPr>
                <w:sz w:val="20"/>
                <w:szCs w:val="20"/>
                <w:color w:val="auto"/>
              </w:rPr>
            </w:pPr>
            <w:r>
              <w:rPr>
                <w:rFonts w:ascii="Arial" w:cs="Arial" w:eastAsia="Arial" w:hAnsi="Arial"/>
                <w:sz w:val="16"/>
                <w:szCs w:val="16"/>
                <w:color w:val="auto"/>
              </w:rPr>
              <w:t>Gender (men)</w:t>
            </w:r>
          </w:p>
        </w:tc>
        <w:tc>
          <w:tcPr>
            <w:tcW w:w="1100" w:type="dxa"/>
            <w:vAlign w:val="bottom"/>
          </w:tcPr>
          <w:p>
            <w:pPr>
              <w:spacing w:after="0"/>
              <w:rPr>
                <w:sz w:val="20"/>
                <w:szCs w:val="20"/>
                <w:color w:val="auto"/>
              </w:rPr>
            </w:pPr>
            <w:r>
              <w:rPr>
                <w:rFonts w:ascii="Arial" w:cs="Arial" w:eastAsia="Arial" w:hAnsi="Arial"/>
                <w:sz w:val="16"/>
                <w:szCs w:val="16"/>
                <w:color w:val="auto"/>
              </w:rPr>
              <w:t>-</w:t>
            </w:r>
          </w:p>
        </w:tc>
        <w:tc>
          <w:tcPr>
            <w:tcW w:w="1060" w:type="dxa"/>
            <w:vAlign w:val="bottom"/>
          </w:tcPr>
          <w:p>
            <w:pPr>
              <w:ind w:left="360"/>
              <w:spacing w:after="0"/>
              <w:rPr>
                <w:sz w:val="20"/>
                <w:szCs w:val="20"/>
                <w:color w:val="auto"/>
              </w:rPr>
            </w:pPr>
            <w:r>
              <w:rPr>
                <w:rFonts w:ascii="Arial" w:cs="Arial" w:eastAsia="Arial" w:hAnsi="Arial"/>
                <w:sz w:val="16"/>
                <w:szCs w:val="16"/>
                <w:color w:val="auto"/>
              </w:rPr>
              <w:t>-</w:t>
            </w:r>
          </w:p>
        </w:tc>
        <w:tc>
          <w:tcPr>
            <w:tcW w:w="700" w:type="dxa"/>
            <w:vAlign w:val="bottom"/>
          </w:tcPr>
          <w:p>
            <w:pPr>
              <w:ind w:left="360"/>
              <w:spacing w:after="0"/>
              <w:rPr>
                <w:sz w:val="20"/>
                <w:szCs w:val="20"/>
                <w:color w:val="auto"/>
              </w:rPr>
            </w:pPr>
            <w:r>
              <w:rPr>
                <w:rFonts w:ascii="Arial" w:cs="Arial" w:eastAsia="Arial" w:hAnsi="Arial"/>
                <w:sz w:val="16"/>
                <w:szCs w:val="16"/>
                <w:color w:val="auto"/>
              </w:rPr>
              <w:t>-</w:t>
            </w:r>
          </w:p>
        </w:tc>
        <w:tc>
          <w:tcPr>
            <w:tcW w:w="1840" w:type="dxa"/>
            <w:vAlign w:val="bottom"/>
            <w:gridSpan w:val="2"/>
          </w:tcPr>
          <w:p>
            <w:pPr>
              <w:ind w:left="720"/>
              <w:spacing w:after="0"/>
              <w:rPr>
                <w:sz w:val="20"/>
                <w:szCs w:val="20"/>
                <w:color w:val="auto"/>
              </w:rPr>
            </w:pPr>
            <w:r>
              <w:rPr>
                <w:rFonts w:ascii="Arial" w:cs="Arial" w:eastAsia="Arial" w:hAnsi="Arial"/>
                <w:sz w:val="16"/>
                <w:szCs w:val="16"/>
                <w:color w:val="auto"/>
              </w:rPr>
              <w:t>−1.45 (0.30)</w:t>
            </w:r>
          </w:p>
        </w:tc>
        <w:tc>
          <w:tcPr>
            <w:tcW w:w="1040" w:type="dxa"/>
            <w:vAlign w:val="bottom"/>
          </w:tcPr>
          <w:p>
            <w:pPr>
              <w:ind w:left="320"/>
              <w:spacing w:after="0"/>
              <w:rPr>
                <w:sz w:val="20"/>
                <w:szCs w:val="20"/>
                <w:color w:val="auto"/>
              </w:rPr>
            </w:pPr>
            <w:r>
              <w:rPr>
                <w:rFonts w:ascii="Arial" w:cs="Arial" w:eastAsia="Arial" w:hAnsi="Arial"/>
                <w:sz w:val="16"/>
                <w:szCs w:val="16"/>
                <w:color w:val="auto"/>
              </w:rPr>
              <w:t>−4.89</w:t>
            </w:r>
          </w:p>
        </w:tc>
        <w:tc>
          <w:tcPr>
            <w:tcW w:w="700" w:type="dxa"/>
            <w:vAlign w:val="bottom"/>
          </w:tcPr>
          <w:p>
            <w:pPr>
              <w:ind w:left="360"/>
              <w:spacing w:after="0"/>
              <w:rPr>
                <w:sz w:val="20"/>
                <w:szCs w:val="20"/>
                <w:color w:val="auto"/>
              </w:rPr>
            </w:pPr>
            <w:r>
              <w:rPr>
                <w:rFonts w:ascii="Arial" w:cs="Arial" w:eastAsia="Arial" w:hAnsi="Arial"/>
                <w:sz w:val="16"/>
                <w:szCs w:val="16"/>
                <w:color w:val="auto"/>
                <w:w w:val="79"/>
              </w:rPr>
              <w:t>0.001</w:t>
            </w:r>
          </w:p>
        </w:tc>
      </w:tr>
      <w:tr>
        <w:trPr>
          <w:trHeight w:val="384"/>
        </w:trPr>
        <w:tc>
          <w:tcPr>
            <w:tcW w:w="3200" w:type="dxa"/>
            <w:vAlign w:val="bottom"/>
          </w:tcPr>
          <w:p>
            <w:pPr>
              <w:spacing w:after="0"/>
              <w:rPr>
                <w:sz w:val="20"/>
                <w:szCs w:val="20"/>
                <w:color w:val="auto"/>
              </w:rPr>
            </w:pPr>
            <w:r>
              <w:rPr>
                <w:rFonts w:ascii="Arial" w:cs="Arial" w:eastAsia="Arial" w:hAnsi="Arial"/>
                <w:sz w:val="31"/>
                <w:szCs w:val="31"/>
                <w:color w:val="auto"/>
                <w:vertAlign w:val="superscript"/>
              </w:rPr>
              <w:t>Var</w:t>
            </w:r>
            <w:r>
              <w:rPr>
                <w:rFonts w:ascii="Arial" w:cs="Arial" w:eastAsia="Arial" w:hAnsi="Arial"/>
                <w:sz w:val="11"/>
                <w:szCs w:val="11"/>
                <w:color w:val="auto"/>
              </w:rPr>
              <w:t xml:space="preserve"> Village</w:t>
            </w:r>
          </w:p>
        </w:tc>
        <w:tc>
          <w:tcPr>
            <w:tcW w:w="1100" w:type="dxa"/>
            <w:vAlign w:val="bottom"/>
          </w:tcPr>
          <w:p>
            <w:pPr>
              <w:spacing w:after="0"/>
              <w:rPr>
                <w:sz w:val="20"/>
                <w:szCs w:val="20"/>
                <w:color w:val="auto"/>
              </w:rPr>
            </w:pPr>
            <w:r>
              <w:rPr>
                <w:rFonts w:ascii="Arial" w:cs="Arial" w:eastAsia="Arial" w:hAnsi="Arial"/>
                <w:sz w:val="16"/>
                <w:szCs w:val="16"/>
                <w:color w:val="auto"/>
              </w:rPr>
              <w:t>12.37</w:t>
            </w:r>
          </w:p>
        </w:tc>
        <w:tc>
          <w:tcPr>
            <w:tcW w:w="10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840" w:type="dxa"/>
            <w:vAlign w:val="bottom"/>
            <w:gridSpan w:val="2"/>
          </w:tcPr>
          <w:p>
            <w:pPr>
              <w:ind w:left="720"/>
              <w:spacing w:after="0"/>
              <w:rPr>
                <w:sz w:val="20"/>
                <w:szCs w:val="20"/>
                <w:color w:val="auto"/>
              </w:rPr>
            </w:pPr>
            <w:r>
              <w:rPr>
                <w:rFonts w:ascii="Arial" w:cs="Arial" w:eastAsia="Arial" w:hAnsi="Arial"/>
                <w:sz w:val="16"/>
                <w:szCs w:val="16"/>
                <w:color w:val="auto"/>
              </w:rPr>
              <w:t>0.00</w:t>
            </w:r>
          </w:p>
        </w:tc>
        <w:tc>
          <w:tcPr>
            <w:tcW w:w="1040" w:type="dxa"/>
            <w:vAlign w:val="bottom"/>
          </w:tcPr>
          <w:p>
            <w:pPr>
              <w:spacing w:after="0"/>
              <w:rPr>
                <w:sz w:val="24"/>
                <w:szCs w:val="24"/>
                <w:color w:val="auto"/>
              </w:rPr>
            </w:pPr>
          </w:p>
        </w:tc>
        <w:tc>
          <w:tcPr>
            <w:tcW w:w="700" w:type="dxa"/>
            <w:vAlign w:val="bottom"/>
          </w:tcPr>
          <w:p>
            <w:pPr>
              <w:spacing w:after="0"/>
              <w:rPr>
                <w:sz w:val="24"/>
                <w:szCs w:val="24"/>
                <w:color w:val="auto"/>
              </w:rPr>
            </w:pPr>
          </w:p>
        </w:tc>
      </w:tr>
      <w:tr>
        <w:trPr>
          <w:trHeight w:val="176"/>
        </w:trPr>
        <w:tc>
          <w:tcPr>
            <w:tcW w:w="3200" w:type="dxa"/>
            <w:vAlign w:val="bottom"/>
          </w:tcPr>
          <w:p>
            <w:pPr>
              <w:spacing w:after="0" w:line="176" w:lineRule="exact"/>
              <w:rPr>
                <w:sz w:val="20"/>
                <w:szCs w:val="20"/>
                <w:color w:val="auto"/>
              </w:rPr>
            </w:pPr>
            <w:r>
              <w:rPr>
                <w:rFonts w:ascii="Arial" w:cs="Arial" w:eastAsia="Arial" w:hAnsi="Arial"/>
                <w:sz w:val="16"/>
                <w:szCs w:val="16"/>
                <w:color w:val="auto"/>
              </w:rPr>
              <w:t>Significance of village effect</w:t>
            </w:r>
          </w:p>
        </w:tc>
        <w:tc>
          <w:tcPr>
            <w:tcW w:w="1100" w:type="dxa"/>
            <w:vAlign w:val="bottom"/>
          </w:tcPr>
          <w:p>
            <w:pPr>
              <w:spacing w:after="0" w:line="176" w:lineRule="exact"/>
              <w:rPr>
                <w:sz w:val="20"/>
                <w:szCs w:val="20"/>
                <w:color w:val="auto"/>
              </w:rPr>
            </w:pPr>
            <w:r>
              <w:rPr>
                <w:rFonts w:ascii="Arial" w:cs="Arial" w:eastAsia="Arial" w:hAnsi="Arial"/>
                <w:sz w:val="16"/>
                <w:szCs w:val="16"/>
                <w:color w:val="auto"/>
              </w:rPr>
              <w:t>0.001</w:t>
            </w:r>
          </w:p>
        </w:tc>
        <w:tc>
          <w:tcPr>
            <w:tcW w:w="106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1840" w:type="dxa"/>
            <w:vAlign w:val="bottom"/>
            <w:gridSpan w:val="2"/>
          </w:tcPr>
          <w:p>
            <w:pPr>
              <w:ind w:left="720"/>
              <w:spacing w:after="0" w:line="176" w:lineRule="exact"/>
              <w:rPr>
                <w:sz w:val="20"/>
                <w:szCs w:val="20"/>
                <w:color w:val="auto"/>
              </w:rPr>
            </w:pPr>
            <w:r>
              <w:rPr>
                <w:rFonts w:ascii="Arial" w:cs="Arial" w:eastAsia="Arial" w:hAnsi="Arial"/>
                <w:sz w:val="16"/>
                <w:szCs w:val="16"/>
                <w:color w:val="auto"/>
              </w:rPr>
              <w:t>0.122</w:t>
            </w:r>
          </w:p>
        </w:tc>
        <w:tc>
          <w:tcPr>
            <w:tcW w:w="1040" w:type="dxa"/>
            <w:vAlign w:val="bottom"/>
          </w:tcPr>
          <w:p>
            <w:pPr>
              <w:spacing w:after="0"/>
              <w:rPr>
                <w:sz w:val="15"/>
                <w:szCs w:val="15"/>
                <w:color w:val="auto"/>
              </w:rPr>
            </w:pPr>
          </w:p>
        </w:tc>
        <w:tc>
          <w:tcPr>
            <w:tcW w:w="700" w:type="dxa"/>
            <w:vAlign w:val="bottom"/>
          </w:tcPr>
          <w:p>
            <w:pPr>
              <w:spacing w:after="0"/>
              <w:rPr>
                <w:sz w:val="15"/>
                <w:szCs w:val="15"/>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40005</wp:posOffset>
                </wp:positionV>
                <wp:extent cx="6125845"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25845" cy="4763"/>
                        </a:xfrm>
                        <a:prstGeom prst="line">
                          <a:avLst/>
                        </a:prstGeom>
                        <a:solidFill>
                          <a:srgbClr val="FFFFFF"/>
                        </a:solidFill>
                        <a:ln w="14859">
                          <a:solidFill>
                            <a:srgbClr val="131413"/>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3.15pt" to="482.05pt,3.15pt" o:allowincell="f" strokecolor="#131413" strokeweight="1.17pt"/>
            </w:pict>
          </mc:Fallback>
        </mc:AlternateContent>
        <mc:AlternateContent>
          <mc:Choice Requires="wps">
            <w:drawing>
              <wp:anchor simplePos="0" relativeHeight="251657728" behindDoc="1" locked="0" layoutInCell="0" allowOverlap="1">
                <wp:simplePos x="0" y="0"/>
                <wp:positionH relativeFrom="column">
                  <wp:posOffset>-10160</wp:posOffset>
                </wp:positionH>
                <wp:positionV relativeFrom="paragraph">
                  <wp:posOffset>40005</wp:posOffset>
                </wp:positionV>
                <wp:extent cx="12065"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2159">
                          <a:solidFill>
                            <a:srgbClr val="131413"/>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7999pt,3.15pt" to="0.15pt,3.15pt" o:allowincell="f" strokecolor="#131413" strokeweight="0.17pt"/>
            </w:pict>
          </mc:Fallback>
        </mc:AlternateContent>
        <mc:AlternateContent>
          <mc:Choice Requires="wps">
            <w:drawing>
              <wp:anchor simplePos="0" relativeHeight="251657728" behindDoc="1" locked="0" layoutInCell="0" allowOverlap="1">
                <wp:simplePos x="0" y="0"/>
                <wp:positionH relativeFrom="column">
                  <wp:posOffset>-10160</wp:posOffset>
                </wp:positionH>
                <wp:positionV relativeFrom="paragraph">
                  <wp:posOffset>-1205865</wp:posOffset>
                </wp:positionV>
                <wp:extent cx="12065"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2160">
                          <a:solidFill>
                            <a:srgbClr val="131413"/>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7999pt,-94.9499pt" to="0.15pt,-94.9499pt" o:allowincell="f" strokecolor="#131413" strokeweight="0.1701pt"/>
            </w:pict>
          </mc:Fallback>
        </mc:AlternateContent>
        <mc:AlternateContent>
          <mc:Choice Requires="wps">
            <w:drawing>
              <wp:anchor simplePos="0" relativeHeight="251657728" behindDoc="1" locked="0" layoutInCell="0" allowOverlap="1">
                <wp:simplePos x="0" y="0"/>
                <wp:positionH relativeFrom="column">
                  <wp:posOffset>2021205</wp:posOffset>
                </wp:positionH>
                <wp:positionV relativeFrom="paragraph">
                  <wp:posOffset>-1205865</wp:posOffset>
                </wp:positionV>
                <wp:extent cx="1270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2160">
                          <a:solidFill>
                            <a:srgbClr val="131413"/>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9.15pt,-94.9499pt" to="160.15pt,-94.9499pt" o:allowincell="f" strokecolor="#131413" strokeweight="0.1701pt"/>
            </w:pict>
          </mc:Fallback>
        </mc:AlternateContent>
        <mc:AlternateContent>
          <mc:Choice Requires="wps">
            <w:drawing>
              <wp:anchor simplePos="0" relativeHeight="251657728" behindDoc="1" locked="0" layoutInCell="0" allowOverlap="1">
                <wp:simplePos x="0" y="0"/>
                <wp:positionH relativeFrom="column">
                  <wp:posOffset>2021205</wp:posOffset>
                </wp:positionH>
                <wp:positionV relativeFrom="paragraph">
                  <wp:posOffset>-1372870</wp:posOffset>
                </wp:positionV>
                <wp:extent cx="12700"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2160">
                          <a:solidFill>
                            <a:srgbClr val="131413"/>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9.15pt,-108.0999pt" to="160.15pt,-108.0999pt" o:allowincell="f" strokecolor="#131413" strokeweight="0.1701pt"/>
            </w:pict>
          </mc:Fallback>
        </mc:AlternateContent>
        <mc:AlternateContent>
          <mc:Choice Requires="wps">
            <w:drawing>
              <wp:anchor simplePos="0" relativeHeight="251657728" behindDoc="1" locked="0" layoutInCell="0" allowOverlap="1">
                <wp:simplePos x="0" y="0"/>
                <wp:positionH relativeFrom="column">
                  <wp:posOffset>4293870</wp:posOffset>
                </wp:positionH>
                <wp:positionV relativeFrom="paragraph">
                  <wp:posOffset>-1372870</wp:posOffset>
                </wp:positionV>
                <wp:extent cx="12700"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2160">
                          <a:solidFill>
                            <a:srgbClr val="131413"/>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8.1pt,-108.0999pt" to="339.1pt,-108.0999pt" o:allowincell="f" strokecolor="#131413" strokeweight="0.1701pt"/>
            </w:pict>
          </mc:Fallback>
        </mc:AlternateContent>
        <mc:AlternateContent>
          <mc:Choice Requires="wps">
            <w:drawing>
              <wp:anchor simplePos="0" relativeHeight="251657728" behindDoc="1" locked="0" layoutInCell="0" allowOverlap="1">
                <wp:simplePos x="0" y="0"/>
                <wp:positionH relativeFrom="column">
                  <wp:posOffset>2946400</wp:posOffset>
                </wp:positionH>
                <wp:positionV relativeFrom="paragraph">
                  <wp:posOffset>-1205865</wp:posOffset>
                </wp:positionV>
                <wp:extent cx="12700"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2160">
                          <a:solidFill>
                            <a:srgbClr val="131413"/>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2pt,-94.9499pt" to="233pt,-94.9499pt" o:allowincell="f" strokecolor="#131413" strokeweight="0.1701pt"/>
            </w:pict>
          </mc:Fallback>
        </mc:AlternateContent>
        <mc:AlternateContent>
          <mc:Choice Requires="wps">
            <w:drawing>
              <wp:anchor simplePos="0" relativeHeight="251657728" behindDoc="1" locked="0" layoutInCell="0" allowOverlap="1">
                <wp:simplePos x="0" y="0"/>
                <wp:positionH relativeFrom="column">
                  <wp:posOffset>3625215</wp:posOffset>
                </wp:positionH>
                <wp:positionV relativeFrom="paragraph">
                  <wp:posOffset>-1205865</wp:posOffset>
                </wp:positionV>
                <wp:extent cx="12700"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2160">
                          <a:solidFill>
                            <a:srgbClr val="131413"/>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5.45pt,-94.9499pt" to="286.45pt,-94.9499pt" o:allowincell="f" strokecolor="#131413" strokeweight="0.1701pt"/>
            </w:pict>
          </mc:Fallback>
        </mc:AlternateContent>
        <mc:AlternateContent>
          <mc:Choice Requires="wps">
            <w:drawing>
              <wp:anchor simplePos="0" relativeHeight="251657728" behindDoc="1" locked="0" layoutInCell="0" allowOverlap="1">
                <wp:simplePos x="0" y="0"/>
                <wp:positionH relativeFrom="column">
                  <wp:posOffset>4293870</wp:posOffset>
                </wp:positionH>
                <wp:positionV relativeFrom="paragraph">
                  <wp:posOffset>-1205865</wp:posOffset>
                </wp:positionV>
                <wp:extent cx="12700"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2160">
                          <a:solidFill>
                            <a:srgbClr val="131413"/>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8.1pt,-94.9499pt" to="339.1pt,-94.9499pt" o:allowincell="f" strokecolor="#131413" strokeweight="0.1701pt"/>
            </w:pict>
          </mc:Fallback>
        </mc:AlternateContent>
        <mc:AlternateContent>
          <mc:Choice Requires="wps">
            <w:drawing>
              <wp:anchor simplePos="0" relativeHeight="251657728" behindDoc="1" locked="0" layoutInCell="0" allowOverlap="1">
                <wp:simplePos x="0" y="0"/>
                <wp:positionH relativeFrom="column">
                  <wp:posOffset>5219065</wp:posOffset>
                </wp:positionH>
                <wp:positionV relativeFrom="paragraph">
                  <wp:posOffset>-1205865</wp:posOffset>
                </wp:positionV>
                <wp:extent cx="12700"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2160">
                          <a:solidFill>
                            <a:srgbClr val="131413"/>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0.95pt,-94.9499pt" to="411.95pt,-94.9499pt" o:allowincell="f" strokecolor="#131413" strokeweight="0.1701pt"/>
            </w:pict>
          </mc:Fallback>
        </mc:AlternateContent>
        <mc:AlternateContent>
          <mc:Choice Requires="wps">
            <w:drawing>
              <wp:anchor simplePos="0" relativeHeight="251657728" behindDoc="1" locked="0" layoutInCell="0" allowOverlap="1">
                <wp:simplePos x="0" y="0"/>
                <wp:positionH relativeFrom="column">
                  <wp:posOffset>5898515</wp:posOffset>
                </wp:positionH>
                <wp:positionV relativeFrom="paragraph">
                  <wp:posOffset>-1205865</wp:posOffset>
                </wp:positionV>
                <wp:extent cx="12700"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2160">
                          <a:solidFill>
                            <a:srgbClr val="131413"/>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4.45pt,-94.9499pt" to="465.45pt,-94.9499pt" o:allowincell="f" strokecolor="#131413" strokeweight="0.1701pt"/>
            </w:pict>
          </mc:Fallback>
        </mc:AlternateContent>
      </w:r>
    </w:p>
    <w:p>
      <w:pPr>
        <w:sectPr>
          <w:pgSz w:w="11900" w:h="15817" w:orient="portrait"/>
          <w:cols w:equalWidth="0" w:num="1">
            <w:col w:w="9640"/>
          </w:cols>
          <w:pgMar w:left="1140" w:top="623" w:right="1126" w:bottom="587" w:gutter="0" w:footer="0" w:header="0"/>
          <w:type w:val="continuous"/>
        </w:sectPr>
      </w:pPr>
    </w:p>
    <w:p>
      <w:pPr>
        <w:spacing w:after="0" w:line="104" w:lineRule="exact"/>
        <w:rPr>
          <w:sz w:val="20"/>
          <w:szCs w:val="20"/>
          <w:color w:val="auto"/>
        </w:rPr>
      </w:pPr>
    </w:p>
    <w:p>
      <w:pPr>
        <w:ind w:right="2380"/>
        <w:spacing w:after="0" w:line="249" w:lineRule="auto"/>
        <w:rPr>
          <w:sz w:val="20"/>
          <w:szCs w:val="20"/>
          <w:color w:val="auto"/>
        </w:rPr>
      </w:pPr>
      <w:r>
        <w:rPr>
          <w:rFonts w:ascii="Arial" w:cs="Arial" w:eastAsia="Arial" w:hAnsi="Arial"/>
          <w:sz w:val="14"/>
          <w:szCs w:val="14"/>
          <w:color w:val="auto"/>
        </w:rPr>
        <w:t>Reference levels were Adult for age, Non-residents for residence status, No for market opportunities, and Women for gender est. estimates, se standard error, Z Z statistics, p. p value, - = non-significant terms Only terms of significant factors are shown</w:t>
      </w:r>
    </w:p>
    <w:p>
      <w:pPr>
        <w:sectPr>
          <w:pgSz w:w="11900" w:h="15817" w:orient="portrait"/>
          <w:cols w:equalWidth="0" w:num="1">
            <w:col w:w="9640"/>
          </w:cols>
          <w:pgMar w:left="1140" w:top="623" w:right="1126" w:bottom="587" w:gutter="0" w:footer="0" w:header="0"/>
          <w:type w:val="continuous"/>
        </w:sectPr>
      </w:pPr>
    </w:p>
    <w:bookmarkStart w:id="9" w:name="page10"/>
    <w:bookmarkEnd w:id="9"/>
    <w:p>
      <w:pPr>
        <w:spacing w:after="0"/>
        <w:tabs>
          <w:tab w:leader="none" w:pos="4380" w:val="left"/>
          <w:tab w:leader="none" w:pos="8680" w:val="left"/>
        </w:tabs>
        <w:rPr>
          <w:sz w:val="20"/>
          <w:szCs w:val="20"/>
          <w:color w:val="auto"/>
        </w:rPr>
      </w:pPr>
      <w:r>
        <w:rPr>
          <w:rFonts w:ascii="Arial" w:cs="Arial" w:eastAsia="Arial" w:hAnsi="Arial"/>
          <w:sz w:val="16"/>
          <w:szCs w:val="16"/>
          <w:color w:val="131413"/>
        </w:rPr>
        <w:t>Tiétiambou et al. Journal of Ethnobiology and Ethnomedicine</w:t>
      </w:r>
      <w:r>
        <w:rPr>
          <w:sz w:val="20"/>
          <w:szCs w:val="20"/>
          <w:color w:val="auto"/>
        </w:rPr>
        <w:tab/>
      </w:r>
      <w:r>
        <w:rPr>
          <w:rFonts w:ascii="Arial" w:cs="Arial" w:eastAsia="Arial" w:hAnsi="Arial"/>
          <w:sz w:val="16"/>
          <w:szCs w:val="16"/>
          <w:color w:val="131413"/>
        </w:rPr>
        <w:t>(2020) 16:43</w:t>
      </w:r>
      <w:r>
        <w:rPr>
          <w:sz w:val="20"/>
          <w:szCs w:val="20"/>
          <w:color w:val="auto"/>
        </w:rPr>
        <w:tab/>
      </w:r>
      <w:r>
        <w:rPr>
          <w:rFonts w:ascii="Arial" w:cs="Arial" w:eastAsia="Arial" w:hAnsi="Arial"/>
          <w:sz w:val="15"/>
          <w:szCs w:val="15"/>
          <w:color w:val="131413"/>
        </w:rPr>
        <w:t>Page 10 of 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-15875</wp:posOffset>
            </wp:positionH>
            <wp:positionV relativeFrom="paragraph">
              <wp:posOffset>596900</wp:posOffset>
            </wp:positionV>
            <wp:extent cx="6145530" cy="223520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extLst>
                    </a:blip>
                    <a:srcRect/>
                    <a:stretch>
                      <a:fillRect/>
                    </a:stretch>
                  </pic:blipFill>
                  <pic:spPr bwMode="auto">
                    <a:xfrm>
                      <a:off x="0" y="0"/>
                      <a:ext cx="6145530" cy="2235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120"/>
        <w:spacing w:after="0"/>
        <w:rPr>
          <w:sz w:val="20"/>
          <w:szCs w:val="20"/>
          <w:color w:val="auto"/>
        </w:rPr>
      </w:pPr>
      <w:r>
        <w:rPr>
          <w:rFonts w:ascii="Arial" w:cs="Arial" w:eastAsia="Arial" w:hAnsi="Arial"/>
          <w:sz w:val="16"/>
          <w:szCs w:val="16"/>
          <w:color w:val="131413"/>
        </w:rPr>
        <w:t>Fig. 7 Variation of selection criteria of plus trees among the three IOS</w:t>
      </w:r>
    </w:p>
    <w:p>
      <w:pPr>
        <w:sectPr>
          <w:pgSz w:w="11900" w:h="15817" w:orient="portrait"/>
          <w:cols w:equalWidth="0" w:num="1">
            <w:col w:w="9640"/>
          </w:cols>
          <w:pgMar w:left="1140" w:top="623" w:right="1126" w:bottom="605" w:gutter="0" w:footer="0" w:header="0"/>
        </w:sectPr>
      </w:pPr>
    </w:p>
    <w:p>
      <w:pPr>
        <w:spacing w:after="0" w:line="200" w:lineRule="exact"/>
        <w:rPr>
          <w:sz w:val="20"/>
          <w:szCs w:val="20"/>
          <w:color w:val="auto"/>
        </w:rPr>
      </w:pPr>
    </w:p>
    <w:p>
      <w:pPr>
        <w:spacing w:after="0" w:line="216" w:lineRule="exact"/>
        <w:rPr>
          <w:sz w:val="20"/>
          <w:szCs w:val="20"/>
          <w:color w:val="auto"/>
        </w:rPr>
      </w:pPr>
    </w:p>
    <w:p>
      <w:pPr>
        <w:spacing w:after="0"/>
        <w:rPr>
          <w:sz w:val="20"/>
          <w:szCs w:val="20"/>
          <w:color w:val="auto"/>
        </w:rPr>
      </w:pPr>
      <w:r>
        <w:rPr>
          <w:rFonts w:ascii="Arial" w:cs="Arial" w:eastAsia="Arial" w:hAnsi="Arial"/>
          <w:sz w:val="18"/>
          <w:szCs w:val="18"/>
          <w:color w:val="131413"/>
        </w:rPr>
        <w:t>Preferences, conservation attitudes, and tree selection:</w:t>
      </w:r>
    </w:p>
    <w:p>
      <w:pPr>
        <w:spacing w:after="0" w:line="33" w:lineRule="exact"/>
        <w:rPr>
          <w:sz w:val="20"/>
          <w:szCs w:val="20"/>
          <w:color w:val="auto"/>
        </w:rPr>
      </w:pPr>
    </w:p>
    <w:p>
      <w:pPr>
        <w:spacing w:after="0"/>
        <w:rPr>
          <w:sz w:val="20"/>
          <w:szCs w:val="20"/>
          <w:color w:val="auto"/>
        </w:rPr>
      </w:pPr>
      <w:r>
        <w:rPr>
          <w:rFonts w:ascii="Arial" w:cs="Arial" w:eastAsia="Arial" w:hAnsi="Arial"/>
          <w:sz w:val="18"/>
          <w:szCs w:val="18"/>
          <w:color w:val="131413"/>
        </w:rPr>
        <w:t>differences among the three IOS</w:t>
      </w:r>
    </w:p>
    <w:p>
      <w:pPr>
        <w:spacing w:after="0" w:line="25" w:lineRule="exact"/>
        <w:rPr>
          <w:sz w:val="20"/>
          <w:szCs w:val="20"/>
          <w:color w:val="auto"/>
        </w:rPr>
      </w:pPr>
    </w:p>
    <w:p>
      <w:pPr>
        <w:jc w:val="both"/>
        <w:spacing w:after="0" w:line="24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A preference for C. procera followed by L. lanceolata and P. butyracea has also been reported in previous studies that focused on their UV [</w:t>
      </w:r>
      <w:hyperlink w:anchor="page16">
        <w:r>
          <w:rPr>
            <w:rFonts w:ascii="Times New Roman" w:cs="Times New Roman" w:eastAsia="Times New Roman" w:hAnsi="Times New Roman"/>
            <w:sz w:val="20"/>
            <w:szCs w:val="20"/>
            <w:color w:val="0000FF"/>
          </w:rPr>
          <w:t>5</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43</w:t>
        </w:r>
      </w:hyperlink>
      <w:r>
        <w:rPr>
          <w:rFonts w:ascii="Times New Roman" w:cs="Times New Roman" w:eastAsia="Times New Roman" w:hAnsi="Times New Roman"/>
          <w:sz w:val="20"/>
          <w:szCs w:val="20"/>
          <w:color w:val="131413"/>
        </w:rPr>
        <w:t>]. Actually, the most well-known and cited species are those that are most often used and prioritized by communities [</w:t>
      </w:r>
      <w:hyperlink w:anchor="page16">
        <w:r>
          <w:rPr>
            <w:rFonts w:ascii="Times New Roman" w:cs="Times New Roman" w:eastAsia="Times New Roman" w:hAnsi="Times New Roman"/>
            <w:sz w:val="20"/>
            <w:szCs w:val="20"/>
            <w:color w:val="0000FF"/>
          </w:rPr>
          <w:t>56</w:t>
        </w:r>
      </w:hyperlink>
      <w:r>
        <w:rPr>
          <w:rFonts w:ascii="Times New Roman" w:cs="Times New Roman" w:eastAsia="Times New Roman" w:hAnsi="Times New Roman"/>
          <w:sz w:val="20"/>
          <w:szCs w:val="20"/>
          <w:color w:val="131413"/>
        </w:rPr>
        <w:t>]. The preference for C. procera suggests that it probably has a better potential to improve the livelihoods of local communities than the other two IOS. We found a posi-tive correlation between preferences and conservation</w:t>
      </w:r>
    </w:p>
    <w:p>
      <w:pPr>
        <w:spacing w:after="0" w:line="20" w:lineRule="exact"/>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br w:type="column"/>
      </w:r>
    </w:p>
    <w:p>
      <w:pPr>
        <w:spacing w:after="0" w:line="388" w:lineRule="exact"/>
        <w:rPr>
          <w:rFonts w:ascii="Times New Roman" w:cs="Times New Roman" w:eastAsia="Times New Roman" w:hAnsi="Times New Roman"/>
          <w:sz w:val="20"/>
          <w:szCs w:val="20"/>
          <w:color w:val="131413"/>
        </w:rPr>
      </w:pPr>
    </w:p>
    <w:p>
      <w:pPr>
        <w:jc w:val="both"/>
        <w:spacing w:after="0" w:line="24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attitudes for C. procera. This was consistent with our prediction that species with higher actual UV receive better conservation actions from users [</w:t>
      </w:r>
      <w:hyperlink w:anchor="page16">
        <w:r>
          <w:rPr>
            <w:rFonts w:ascii="Times New Roman" w:cs="Times New Roman" w:eastAsia="Times New Roman" w:hAnsi="Times New Roman"/>
            <w:sz w:val="20"/>
            <w:szCs w:val="20"/>
            <w:color w:val="0000FF"/>
          </w:rPr>
          <w:t>26</w:t>
        </w:r>
      </w:hyperlink>
      <w:r>
        <w:rPr>
          <w:rFonts w:ascii="Times New Roman" w:cs="Times New Roman" w:eastAsia="Times New Roman" w:hAnsi="Times New Roman"/>
          <w:sz w:val="20"/>
          <w:szCs w:val="20"/>
          <w:color w:val="131413"/>
        </w:rPr>
        <w:t>] in order to ensure their long-term usage and benefits. However, this expectation was not confirmed for L. lanceolata because its conservation attitude was not significantly correlated with UV. Furthermore, L. lanceolata despite having lower UV (0.44 ± 0.03 vs. 0.61 ± 0.06), received slightly better conservation attitudes than C. procera. The reason could be linked to the differences in the uses of the spe-cies by local people. Indeed, oil from C. procera seeds is</w:t>
      </w:r>
    </w:p>
    <w:p>
      <w:pPr>
        <w:spacing w:after="0" w:line="200" w:lineRule="exact"/>
        <w:rPr>
          <w:rFonts w:ascii="Times New Roman" w:cs="Times New Roman" w:eastAsia="Times New Roman" w:hAnsi="Times New Roman"/>
          <w:sz w:val="20"/>
          <w:szCs w:val="20"/>
          <w:color w:val="131413"/>
        </w:rPr>
      </w:pPr>
    </w:p>
    <w:p>
      <w:pPr>
        <w:sectPr>
          <w:pgSz w:w="11900" w:h="15817" w:orient="portrait"/>
          <w:cols w:equalWidth="0" w:num="2">
            <w:col w:w="4680" w:space="280"/>
            <w:col w:w="4680"/>
          </w:cols>
          <w:pgMar w:left="1140" w:top="623" w:right="1126" w:bottom="605" w:gutter="0" w:footer="0" w:header="0"/>
          <w:type w:val="continuous"/>
        </w:sectPr>
      </w:pPr>
    </w:p>
    <w:p>
      <w:pPr>
        <w:spacing w:after="0" w:line="237" w:lineRule="exact"/>
        <w:rPr>
          <w:rFonts w:ascii="Times New Roman" w:cs="Times New Roman" w:eastAsia="Times New Roman" w:hAnsi="Times New Roman"/>
          <w:sz w:val="20"/>
          <w:szCs w:val="20"/>
          <w:color w:val="131413"/>
        </w:rPr>
      </w:pPr>
    </w:p>
    <w:p>
      <w:pPr>
        <w:ind w:right="540"/>
        <w:spacing w:after="0" w:line="251" w:lineRule="auto"/>
        <w:rPr>
          <w:sz w:val="20"/>
          <w:szCs w:val="20"/>
          <w:color w:val="auto"/>
        </w:rPr>
      </w:pPr>
      <w:r>
        <w:rPr>
          <w:rFonts w:ascii="Arial" w:cs="Arial" w:eastAsia="Arial" w:hAnsi="Arial"/>
          <w:sz w:val="18"/>
          <w:szCs w:val="18"/>
          <w:color w:val="131413"/>
        </w:rPr>
        <w:t>Table 3 Socio-economic factors associated with informants’ ability to identify plus trees of IOS: summary of the parsimonious binomial model</w:t>
      </w:r>
    </w:p>
    <w:p>
      <w:pPr>
        <w:spacing w:after="0" w:line="20" w:lineRule="exact"/>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17780</wp:posOffset>
                </wp:positionV>
                <wp:extent cx="6119495"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9495" cy="4763"/>
                        </a:xfrm>
                        <a:prstGeom prst="line">
                          <a:avLst/>
                        </a:prstGeom>
                        <a:solidFill>
                          <a:srgbClr val="FFFFFF"/>
                        </a:solidFill>
                        <a:ln w="14859">
                          <a:solidFill>
                            <a:srgbClr val="131413"/>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1.4pt" to="481.55pt,1.4pt" o:allowincell="f" strokecolor="#131413" strokeweight="1.17pt"/>
            </w:pict>
          </mc:Fallback>
        </mc:AlternateContent>
        <mc:AlternateContent>
          <mc:Choice Requires="wps">
            <w:drawing>
              <wp:anchor simplePos="0" relativeHeight="251657728" behindDoc="1" locked="0" layoutInCell="0" allowOverlap="1">
                <wp:simplePos x="0" y="0"/>
                <wp:positionH relativeFrom="column">
                  <wp:posOffset>6109335</wp:posOffset>
                </wp:positionH>
                <wp:positionV relativeFrom="paragraph">
                  <wp:posOffset>17780</wp:posOffset>
                </wp:positionV>
                <wp:extent cx="12700"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2159">
                          <a:solidFill>
                            <a:srgbClr val="131413"/>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1.05pt,1.4pt" to="482.05pt,1.4pt" o:allowincell="f" strokecolor="#131413" strokeweight="0.17pt"/>
            </w:pict>
          </mc:Fallback>
        </mc:AlternateContent>
      </w:r>
    </w:p>
    <w:p>
      <w:pPr>
        <w:spacing w:after="0" w:line="44" w:lineRule="exact"/>
        <w:rPr>
          <w:rFonts w:ascii="Times New Roman" w:cs="Times New Roman" w:eastAsia="Times New Roman" w:hAnsi="Times New Roman"/>
          <w:sz w:val="20"/>
          <w:szCs w:val="20"/>
          <w:color w:val="131413"/>
        </w:rPr>
      </w:pPr>
    </w:p>
    <w:tbl>
      <w:tblPr>
        <w:tblLayout w:type="fixed"/>
        <w:tblInd w:w="0" w:type="dxa"/>
        <w:tblCellMar>
          <w:top w:w="0" w:type="dxa"/>
          <w:left w:w="0" w:type="dxa"/>
          <w:bottom w:w="0" w:type="dxa"/>
          <w:right w:w="0" w:type="dxa"/>
        </w:tblCellMar>
      </w:tblPr>
      <w:tr>
        <w:trPr>
          <w:trHeight w:val="184"/>
        </w:trPr>
        <w:tc>
          <w:tcPr>
            <w:tcW w:w="120" w:type="dxa"/>
            <w:vAlign w:val="bottom"/>
          </w:tcPr>
          <w:p>
            <w:pPr>
              <w:spacing w:after="0"/>
              <w:rPr>
                <w:sz w:val="16"/>
                <w:szCs w:val="16"/>
                <w:color w:val="auto"/>
              </w:rPr>
            </w:pPr>
          </w:p>
        </w:tc>
        <w:tc>
          <w:tcPr>
            <w:tcW w:w="2040" w:type="dxa"/>
            <w:vAlign w:val="bottom"/>
          </w:tcPr>
          <w:p>
            <w:pPr>
              <w:spacing w:after="0"/>
              <w:rPr>
                <w:sz w:val="16"/>
                <w:szCs w:val="16"/>
                <w:color w:val="auto"/>
              </w:rPr>
            </w:pPr>
          </w:p>
        </w:tc>
        <w:tc>
          <w:tcPr>
            <w:tcW w:w="940" w:type="dxa"/>
            <w:vAlign w:val="bottom"/>
            <w:gridSpan w:val="2"/>
          </w:tcPr>
          <w:p>
            <w:pPr>
              <w:spacing w:after="0"/>
              <w:rPr>
                <w:sz w:val="20"/>
                <w:szCs w:val="20"/>
                <w:color w:val="auto"/>
              </w:rPr>
            </w:pPr>
            <w:r>
              <w:rPr>
                <w:rFonts w:ascii="Arial" w:cs="Arial" w:eastAsia="Arial" w:hAnsi="Arial"/>
                <w:sz w:val="16"/>
                <w:szCs w:val="16"/>
                <w:color w:val="auto"/>
              </w:rPr>
              <w:t>C. procera</w:t>
            </w:r>
          </w:p>
        </w:tc>
        <w:tc>
          <w:tcPr>
            <w:tcW w:w="740" w:type="dxa"/>
            <w:vAlign w:val="bottom"/>
          </w:tcPr>
          <w:p>
            <w:pPr>
              <w:spacing w:after="0"/>
              <w:rPr>
                <w:sz w:val="16"/>
                <w:szCs w:val="16"/>
                <w:color w:val="auto"/>
              </w:rPr>
            </w:pPr>
          </w:p>
        </w:tc>
        <w:tc>
          <w:tcPr>
            <w:tcW w:w="54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960" w:type="dxa"/>
            <w:vAlign w:val="bottom"/>
          </w:tcPr>
          <w:p>
            <w:pPr>
              <w:spacing w:after="0"/>
              <w:rPr>
                <w:sz w:val="20"/>
                <w:szCs w:val="20"/>
                <w:color w:val="auto"/>
              </w:rPr>
            </w:pPr>
            <w:r>
              <w:rPr>
                <w:rFonts w:ascii="Arial" w:cs="Arial" w:eastAsia="Arial" w:hAnsi="Arial"/>
                <w:sz w:val="16"/>
                <w:szCs w:val="16"/>
                <w:color w:val="auto"/>
              </w:rPr>
              <w:t>L. lanceolata</w:t>
            </w:r>
          </w:p>
        </w:tc>
        <w:tc>
          <w:tcPr>
            <w:tcW w:w="740" w:type="dxa"/>
            <w:vAlign w:val="bottom"/>
          </w:tcPr>
          <w:p>
            <w:pPr>
              <w:spacing w:after="0"/>
              <w:rPr>
                <w:sz w:val="16"/>
                <w:szCs w:val="16"/>
                <w:color w:val="auto"/>
              </w:rPr>
            </w:pPr>
          </w:p>
        </w:tc>
        <w:tc>
          <w:tcPr>
            <w:tcW w:w="540" w:type="dxa"/>
            <w:vAlign w:val="bottom"/>
          </w:tcPr>
          <w:p>
            <w:pPr>
              <w:spacing w:after="0"/>
              <w:rPr>
                <w:sz w:val="16"/>
                <w:szCs w:val="16"/>
                <w:color w:val="auto"/>
              </w:rPr>
            </w:pP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P. butyracea</w:t>
            </w:r>
          </w:p>
        </w:tc>
        <w:tc>
          <w:tcPr>
            <w:tcW w:w="740" w:type="dxa"/>
            <w:vAlign w:val="bottom"/>
          </w:tcPr>
          <w:p>
            <w:pPr>
              <w:spacing w:after="0"/>
              <w:rPr>
                <w:sz w:val="16"/>
                <w:szCs w:val="16"/>
                <w:color w:val="auto"/>
              </w:rPr>
            </w:pPr>
          </w:p>
        </w:tc>
        <w:tc>
          <w:tcPr>
            <w:tcW w:w="540" w:type="dxa"/>
            <w:vAlign w:val="bottom"/>
          </w:tcPr>
          <w:p>
            <w:pPr>
              <w:spacing w:after="0"/>
              <w:rPr>
                <w:sz w:val="16"/>
                <w:szCs w:val="16"/>
                <w:color w:val="auto"/>
              </w:rPr>
            </w:pPr>
          </w:p>
        </w:tc>
      </w:tr>
      <w:tr>
        <w:trPr>
          <w:trHeight w:val="35"/>
        </w:trPr>
        <w:tc>
          <w:tcPr>
            <w:tcW w:w="120" w:type="dxa"/>
            <w:vAlign w:val="bottom"/>
          </w:tcPr>
          <w:p>
            <w:pPr>
              <w:spacing w:after="0"/>
              <w:rPr>
                <w:sz w:val="3"/>
                <w:szCs w:val="3"/>
                <w:color w:val="auto"/>
              </w:rPr>
            </w:pPr>
          </w:p>
        </w:tc>
        <w:tc>
          <w:tcPr>
            <w:tcW w:w="2040" w:type="dxa"/>
            <w:vAlign w:val="bottom"/>
          </w:tcPr>
          <w:p>
            <w:pPr>
              <w:spacing w:after="0"/>
              <w:rPr>
                <w:sz w:val="3"/>
                <w:szCs w:val="3"/>
                <w:color w:val="auto"/>
              </w:rPr>
            </w:pPr>
          </w:p>
        </w:tc>
        <w:tc>
          <w:tcPr>
            <w:tcW w:w="940" w:type="dxa"/>
            <w:vAlign w:val="bottom"/>
            <w:tcBorders>
              <w:bottom w:val="single" w:sz="8" w:color="131413"/>
            </w:tcBorders>
            <w:gridSpan w:val="2"/>
          </w:tcPr>
          <w:p>
            <w:pPr>
              <w:spacing w:after="0"/>
              <w:rPr>
                <w:sz w:val="3"/>
                <w:szCs w:val="3"/>
                <w:color w:val="auto"/>
              </w:rPr>
            </w:pPr>
          </w:p>
        </w:tc>
        <w:tc>
          <w:tcPr>
            <w:tcW w:w="740" w:type="dxa"/>
            <w:vAlign w:val="bottom"/>
            <w:tcBorders>
              <w:bottom w:val="single" w:sz="8" w:color="131413"/>
            </w:tcBorders>
          </w:tcPr>
          <w:p>
            <w:pPr>
              <w:spacing w:after="0"/>
              <w:rPr>
                <w:sz w:val="3"/>
                <w:szCs w:val="3"/>
                <w:color w:val="auto"/>
              </w:rPr>
            </w:pPr>
          </w:p>
        </w:tc>
        <w:tc>
          <w:tcPr>
            <w:tcW w:w="540" w:type="dxa"/>
            <w:vAlign w:val="bottom"/>
            <w:tcBorders>
              <w:bottom w:val="single" w:sz="8" w:color="131413"/>
            </w:tcBorders>
          </w:tcPr>
          <w:p>
            <w:pPr>
              <w:spacing w:after="0"/>
              <w:rPr>
                <w:sz w:val="3"/>
                <w:szCs w:val="3"/>
                <w:color w:val="auto"/>
              </w:rPr>
            </w:pPr>
          </w:p>
        </w:tc>
        <w:tc>
          <w:tcPr>
            <w:tcW w:w="400" w:type="dxa"/>
            <w:vAlign w:val="bottom"/>
          </w:tcPr>
          <w:p>
            <w:pPr>
              <w:spacing w:after="0"/>
              <w:rPr>
                <w:sz w:val="3"/>
                <w:szCs w:val="3"/>
                <w:color w:val="auto"/>
              </w:rPr>
            </w:pPr>
          </w:p>
        </w:tc>
        <w:tc>
          <w:tcPr>
            <w:tcW w:w="960" w:type="dxa"/>
            <w:vAlign w:val="bottom"/>
            <w:tcBorders>
              <w:bottom w:val="single" w:sz="8" w:color="131413"/>
            </w:tcBorders>
          </w:tcPr>
          <w:p>
            <w:pPr>
              <w:spacing w:after="0"/>
              <w:rPr>
                <w:sz w:val="3"/>
                <w:szCs w:val="3"/>
                <w:color w:val="auto"/>
              </w:rPr>
            </w:pPr>
          </w:p>
        </w:tc>
        <w:tc>
          <w:tcPr>
            <w:tcW w:w="740" w:type="dxa"/>
            <w:vAlign w:val="bottom"/>
            <w:tcBorders>
              <w:bottom w:val="single" w:sz="8" w:color="131413"/>
            </w:tcBorders>
          </w:tcPr>
          <w:p>
            <w:pPr>
              <w:spacing w:after="0"/>
              <w:rPr>
                <w:sz w:val="3"/>
                <w:szCs w:val="3"/>
                <w:color w:val="auto"/>
              </w:rPr>
            </w:pPr>
          </w:p>
        </w:tc>
        <w:tc>
          <w:tcPr>
            <w:tcW w:w="540" w:type="dxa"/>
            <w:vAlign w:val="bottom"/>
            <w:tcBorders>
              <w:bottom w:val="single" w:sz="8" w:color="131413"/>
            </w:tcBorders>
          </w:tcPr>
          <w:p>
            <w:pPr>
              <w:spacing w:after="0"/>
              <w:rPr>
                <w:sz w:val="3"/>
                <w:szCs w:val="3"/>
                <w:color w:val="auto"/>
              </w:rPr>
            </w:pPr>
          </w:p>
        </w:tc>
        <w:tc>
          <w:tcPr>
            <w:tcW w:w="380" w:type="dxa"/>
            <w:vAlign w:val="bottom"/>
          </w:tcPr>
          <w:p>
            <w:pPr>
              <w:spacing w:after="0"/>
              <w:rPr>
                <w:sz w:val="3"/>
                <w:szCs w:val="3"/>
                <w:color w:val="auto"/>
              </w:rPr>
            </w:pPr>
          </w:p>
        </w:tc>
        <w:tc>
          <w:tcPr>
            <w:tcW w:w="960" w:type="dxa"/>
            <w:vAlign w:val="bottom"/>
            <w:tcBorders>
              <w:bottom w:val="single" w:sz="8" w:color="131413"/>
            </w:tcBorders>
          </w:tcPr>
          <w:p>
            <w:pPr>
              <w:spacing w:after="0"/>
              <w:rPr>
                <w:sz w:val="3"/>
                <w:szCs w:val="3"/>
                <w:color w:val="auto"/>
              </w:rPr>
            </w:pPr>
          </w:p>
        </w:tc>
        <w:tc>
          <w:tcPr>
            <w:tcW w:w="740" w:type="dxa"/>
            <w:vAlign w:val="bottom"/>
            <w:tcBorders>
              <w:bottom w:val="single" w:sz="8" w:color="131413"/>
            </w:tcBorders>
          </w:tcPr>
          <w:p>
            <w:pPr>
              <w:spacing w:after="0"/>
              <w:rPr>
                <w:sz w:val="3"/>
                <w:szCs w:val="3"/>
                <w:color w:val="auto"/>
              </w:rPr>
            </w:pPr>
          </w:p>
        </w:tc>
        <w:tc>
          <w:tcPr>
            <w:tcW w:w="540" w:type="dxa"/>
            <w:vAlign w:val="bottom"/>
            <w:tcBorders>
              <w:bottom w:val="single" w:sz="8" w:color="131413"/>
            </w:tcBorders>
          </w:tcPr>
          <w:p>
            <w:pPr>
              <w:spacing w:after="0"/>
              <w:rPr>
                <w:sz w:val="3"/>
                <w:szCs w:val="3"/>
                <w:color w:val="auto"/>
              </w:rPr>
            </w:pPr>
          </w:p>
        </w:tc>
      </w:tr>
      <w:tr>
        <w:trPr>
          <w:trHeight w:val="208"/>
        </w:trPr>
        <w:tc>
          <w:tcPr>
            <w:tcW w:w="120" w:type="dxa"/>
            <w:vAlign w:val="bottom"/>
          </w:tcPr>
          <w:p>
            <w:pPr>
              <w:spacing w:after="0"/>
              <w:rPr>
                <w:sz w:val="18"/>
                <w:szCs w:val="18"/>
                <w:color w:val="auto"/>
              </w:rPr>
            </w:pPr>
          </w:p>
        </w:tc>
        <w:tc>
          <w:tcPr>
            <w:tcW w:w="2040" w:type="dxa"/>
            <w:vAlign w:val="bottom"/>
          </w:tcPr>
          <w:p>
            <w:pPr>
              <w:spacing w:after="0"/>
              <w:rPr>
                <w:sz w:val="18"/>
                <w:szCs w:val="18"/>
                <w:color w:val="auto"/>
              </w:rPr>
            </w:pPr>
          </w:p>
        </w:tc>
        <w:tc>
          <w:tcPr>
            <w:tcW w:w="940" w:type="dxa"/>
            <w:vAlign w:val="bottom"/>
            <w:gridSpan w:val="2"/>
          </w:tcPr>
          <w:p>
            <w:pPr>
              <w:spacing w:after="0"/>
              <w:rPr>
                <w:sz w:val="20"/>
                <w:szCs w:val="20"/>
                <w:color w:val="auto"/>
              </w:rPr>
            </w:pPr>
            <w:r>
              <w:rPr>
                <w:rFonts w:ascii="Arial" w:cs="Arial" w:eastAsia="Arial" w:hAnsi="Arial"/>
                <w:sz w:val="16"/>
                <w:szCs w:val="16"/>
                <w:color w:val="auto"/>
              </w:rPr>
              <w:t>est. (se)</w:t>
            </w:r>
          </w:p>
        </w:tc>
        <w:tc>
          <w:tcPr>
            <w:tcW w:w="740" w:type="dxa"/>
            <w:vAlign w:val="bottom"/>
          </w:tcPr>
          <w:p>
            <w:pPr>
              <w:ind w:left="200"/>
              <w:spacing w:after="0"/>
              <w:rPr>
                <w:sz w:val="20"/>
                <w:szCs w:val="20"/>
                <w:color w:val="auto"/>
              </w:rPr>
            </w:pPr>
            <w:r>
              <w:rPr>
                <w:rFonts w:ascii="Arial" w:cs="Arial" w:eastAsia="Arial" w:hAnsi="Arial"/>
                <w:sz w:val="16"/>
                <w:szCs w:val="16"/>
                <w:color w:val="auto"/>
              </w:rPr>
              <w:t>Z</w:t>
            </w:r>
          </w:p>
        </w:tc>
        <w:tc>
          <w:tcPr>
            <w:tcW w:w="540" w:type="dxa"/>
            <w:vAlign w:val="bottom"/>
          </w:tcPr>
          <w:p>
            <w:pPr>
              <w:ind w:left="200"/>
              <w:spacing w:after="0"/>
              <w:rPr>
                <w:sz w:val="20"/>
                <w:szCs w:val="20"/>
                <w:color w:val="auto"/>
              </w:rPr>
            </w:pPr>
            <w:r>
              <w:rPr>
                <w:rFonts w:ascii="Arial" w:cs="Arial" w:eastAsia="Arial" w:hAnsi="Arial"/>
                <w:sz w:val="16"/>
                <w:szCs w:val="16"/>
                <w:color w:val="auto"/>
              </w:rPr>
              <w:t>p.</w:t>
            </w:r>
          </w:p>
        </w:tc>
        <w:tc>
          <w:tcPr>
            <w:tcW w:w="400" w:type="dxa"/>
            <w:vAlign w:val="bottom"/>
          </w:tcPr>
          <w:p>
            <w:pPr>
              <w:spacing w:after="0"/>
              <w:rPr>
                <w:sz w:val="18"/>
                <w:szCs w:val="18"/>
                <w:color w:val="auto"/>
              </w:rPr>
            </w:pPr>
          </w:p>
        </w:tc>
        <w:tc>
          <w:tcPr>
            <w:tcW w:w="960" w:type="dxa"/>
            <w:vAlign w:val="bottom"/>
          </w:tcPr>
          <w:p>
            <w:pPr>
              <w:spacing w:after="0"/>
              <w:rPr>
                <w:sz w:val="20"/>
                <w:szCs w:val="20"/>
                <w:color w:val="auto"/>
              </w:rPr>
            </w:pPr>
            <w:r>
              <w:rPr>
                <w:rFonts w:ascii="Arial" w:cs="Arial" w:eastAsia="Arial" w:hAnsi="Arial"/>
                <w:sz w:val="16"/>
                <w:szCs w:val="16"/>
                <w:color w:val="auto"/>
              </w:rPr>
              <w:t>est. (se)</w:t>
            </w:r>
          </w:p>
        </w:tc>
        <w:tc>
          <w:tcPr>
            <w:tcW w:w="740" w:type="dxa"/>
            <w:vAlign w:val="bottom"/>
          </w:tcPr>
          <w:p>
            <w:pPr>
              <w:ind w:left="180"/>
              <w:spacing w:after="0"/>
              <w:rPr>
                <w:sz w:val="20"/>
                <w:szCs w:val="20"/>
                <w:color w:val="auto"/>
              </w:rPr>
            </w:pPr>
            <w:r>
              <w:rPr>
                <w:rFonts w:ascii="Arial" w:cs="Arial" w:eastAsia="Arial" w:hAnsi="Arial"/>
                <w:sz w:val="16"/>
                <w:szCs w:val="16"/>
                <w:color w:val="auto"/>
              </w:rPr>
              <w:t>Z</w:t>
            </w:r>
          </w:p>
        </w:tc>
        <w:tc>
          <w:tcPr>
            <w:tcW w:w="540" w:type="dxa"/>
            <w:vAlign w:val="bottom"/>
          </w:tcPr>
          <w:p>
            <w:pPr>
              <w:ind w:left="200"/>
              <w:spacing w:after="0"/>
              <w:rPr>
                <w:sz w:val="20"/>
                <w:szCs w:val="20"/>
                <w:color w:val="auto"/>
              </w:rPr>
            </w:pPr>
            <w:r>
              <w:rPr>
                <w:rFonts w:ascii="Arial" w:cs="Arial" w:eastAsia="Arial" w:hAnsi="Arial"/>
                <w:sz w:val="16"/>
                <w:szCs w:val="16"/>
                <w:color w:val="auto"/>
              </w:rPr>
              <w:t>p.</w:t>
            </w: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est. (se)</w:t>
            </w:r>
          </w:p>
        </w:tc>
        <w:tc>
          <w:tcPr>
            <w:tcW w:w="740" w:type="dxa"/>
            <w:vAlign w:val="bottom"/>
          </w:tcPr>
          <w:p>
            <w:pPr>
              <w:ind w:left="180"/>
              <w:spacing w:after="0"/>
              <w:rPr>
                <w:sz w:val="20"/>
                <w:szCs w:val="20"/>
                <w:color w:val="auto"/>
              </w:rPr>
            </w:pPr>
            <w:r>
              <w:rPr>
                <w:rFonts w:ascii="Arial" w:cs="Arial" w:eastAsia="Arial" w:hAnsi="Arial"/>
                <w:sz w:val="16"/>
                <w:szCs w:val="16"/>
                <w:color w:val="auto"/>
              </w:rPr>
              <w:t>Z</w:t>
            </w:r>
          </w:p>
        </w:tc>
        <w:tc>
          <w:tcPr>
            <w:tcW w:w="540" w:type="dxa"/>
            <w:vAlign w:val="bottom"/>
          </w:tcPr>
          <w:p>
            <w:pPr>
              <w:ind w:left="200"/>
              <w:spacing w:after="0"/>
              <w:rPr>
                <w:sz w:val="20"/>
                <w:szCs w:val="20"/>
                <w:color w:val="auto"/>
              </w:rPr>
            </w:pPr>
            <w:r>
              <w:rPr>
                <w:rFonts w:ascii="Arial" w:cs="Arial" w:eastAsia="Arial" w:hAnsi="Arial"/>
                <w:sz w:val="16"/>
                <w:szCs w:val="16"/>
                <w:color w:val="auto"/>
              </w:rPr>
              <w:t>p.</w:t>
            </w:r>
          </w:p>
        </w:tc>
      </w:tr>
      <w:tr>
        <w:trPr>
          <w:trHeight w:val="35"/>
        </w:trPr>
        <w:tc>
          <w:tcPr>
            <w:tcW w:w="2160" w:type="dxa"/>
            <w:vAlign w:val="bottom"/>
            <w:tcBorders>
              <w:bottom w:val="single" w:sz="8" w:color="131413"/>
            </w:tcBorders>
            <w:gridSpan w:val="2"/>
          </w:tcPr>
          <w:p>
            <w:pPr>
              <w:spacing w:after="0"/>
              <w:rPr>
                <w:sz w:val="3"/>
                <w:szCs w:val="3"/>
                <w:color w:val="auto"/>
              </w:rPr>
            </w:pPr>
          </w:p>
        </w:tc>
        <w:tc>
          <w:tcPr>
            <w:tcW w:w="280" w:type="dxa"/>
            <w:vAlign w:val="bottom"/>
            <w:tcBorders>
              <w:bottom w:val="single" w:sz="8" w:color="131413"/>
            </w:tcBorders>
          </w:tcPr>
          <w:p>
            <w:pPr>
              <w:spacing w:after="0"/>
              <w:rPr>
                <w:sz w:val="3"/>
                <w:szCs w:val="3"/>
                <w:color w:val="auto"/>
              </w:rPr>
            </w:pPr>
          </w:p>
        </w:tc>
        <w:tc>
          <w:tcPr>
            <w:tcW w:w="660" w:type="dxa"/>
            <w:vAlign w:val="bottom"/>
            <w:tcBorders>
              <w:bottom w:val="single" w:sz="8" w:color="131413"/>
            </w:tcBorders>
          </w:tcPr>
          <w:p>
            <w:pPr>
              <w:spacing w:after="0"/>
              <w:rPr>
                <w:sz w:val="3"/>
                <w:szCs w:val="3"/>
                <w:color w:val="auto"/>
              </w:rPr>
            </w:pPr>
          </w:p>
        </w:tc>
        <w:tc>
          <w:tcPr>
            <w:tcW w:w="740" w:type="dxa"/>
            <w:vAlign w:val="bottom"/>
            <w:tcBorders>
              <w:bottom w:val="single" w:sz="8" w:color="131413"/>
            </w:tcBorders>
          </w:tcPr>
          <w:p>
            <w:pPr>
              <w:spacing w:after="0"/>
              <w:rPr>
                <w:sz w:val="3"/>
                <w:szCs w:val="3"/>
                <w:color w:val="auto"/>
              </w:rPr>
            </w:pPr>
          </w:p>
        </w:tc>
        <w:tc>
          <w:tcPr>
            <w:tcW w:w="540" w:type="dxa"/>
            <w:vAlign w:val="bottom"/>
            <w:tcBorders>
              <w:bottom w:val="single" w:sz="8" w:color="131413"/>
            </w:tcBorders>
          </w:tcPr>
          <w:p>
            <w:pPr>
              <w:spacing w:after="0"/>
              <w:rPr>
                <w:sz w:val="3"/>
                <w:szCs w:val="3"/>
                <w:color w:val="auto"/>
              </w:rPr>
            </w:pPr>
          </w:p>
        </w:tc>
        <w:tc>
          <w:tcPr>
            <w:tcW w:w="400" w:type="dxa"/>
            <w:vAlign w:val="bottom"/>
            <w:tcBorders>
              <w:bottom w:val="single" w:sz="8" w:color="131413"/>
            </w:tcBorders>
          </w:tcPr>
          <w:p>
            <w:pPr>
              <w:spacing w:after="0"/>
              <w:rPr>
                <w:sz w:val="3"/>
                <w:szCs w:val="3"/>
                <w:color w:val="auto"/>
              </w:rPr>
            </w:pPr>
          </w:p>
        </w:tc>
        <w:tc>
          <w:tcPr>
            <w:tcW w:w="960" w:type="dxa"/>
            <w:vAlign w:val="bottom"/>
            <w:tcBorders>
              <w:bottom w:val="single" w:sz="8" w:color="131413"/>
            </w:tcBorders>
          </w:tcPr>
          <w:p>
            <w:pPr>
              <w:spacing w:after="0"/>
              <w:rPr>
                <w:sz w:val="3"/>
                <w:szCs w:val="3"/>
                <w:color w:val="auto"/>
              </w:rPr>
            </w:pPr>
          </w:p>
        </w:tc>
        <w:tc>
          <w:tcPr>
            <w:tcW w:w="740" w:type="dxa"/>
            <w:vAlign w:val="bottom"/>
            <w:tcBorders>
              <w:bottom w:val="single" w:sz="8" w:color="131413"/>
            </w:tcBorders>
          </w:tcPr>
          <w:p>
            <w:pPr>
              <w:spacing w:after="0"/>
              <w:rPr>
                <w:sz w:val="3"/>
                <w:szCs w:val="3"/>
                <w:color w:val="auto"/>
              </w:rPr>
            </w:pPr>
          </w:p>
        </w:tc>
        <w:tc>
          <w:tcPr>
            <w:tcW w:w="540" w:type="dxa"/>
            <w:vAlign w:val="bottom"/>
            <w:tcBorders>
              <w:bottom w:val="single" w:sz="8" w:color="131413"/>
            </w:tcBorders>
          </w:tcPr>
          <w:p>
            <w:pPr>
              <w:spacing w:after="0"/>
              <w:rPr>
                <w:sz w:val="3"/>
                <w:szCs w:val="3"/>
                <w:color w:val="auto"/>
              </w:rPr>
            </w:pPr>
          </w:p>
        </w:tc>
        <w:tc>
          <w:tcPr>
            <w:tcW w:w="380" w:type="dxa"/>
            <w:vAlign w:val="bottom"/>
            <w:tcBorders>
              <w:bottom w:val="single" w:sz="8" w:color="131413"/>
            </w:tcBorders>
          </w:tcPr>
          <w:p>
            <w:pPr>
              <w:spacing w:after="0"/>
              <w:rPr>
                <w:sz w:val="3"/>
                <w:szCs w:val="3"/>
                <w:color w:val="auto"/>
              </w:rPr>
            </w:pPr>
          </w:p>
        </w:tc>
        <w:tc>
          <w:tcPr>
            <w:tcW w:w="960" w:type="dxa"/>
            <w:vAlign w:val="bottom"/>
            <w:tcBorders>
              <w:bottom w:val="single" w:sz="8" w:color="131413"/>
            </w:tcBorders>
          </w:tcPr>
          <w:p>
            <w:pPr>
              <w:spacing w:after="0"/>
              <w:rPr>
                <w:sz w:val="3"/>
                <w:szCs w:val="3"/>
                <w:color w:val="auto"/>
              </w:rPr>
            </w:pPr>
          </w:p>
        </w:tc>
        <w:tc>
          <w:tcPr>
            <w:tcW w:w="740" w:type="dxa"/>
            <w:vAlign w:val="bottom"/>
            <w:tcBorders>
              <w:bottom w:val="single" w:sz="8" w:color="131413"/>
            </w:tcBorders>
          </w:tcPr>
          <w:p>
            <w:pPr>
              <w:spacing w:after="0"/>
              <w:rPr>
                <w:sz w:val="3"/>
                <w:szCs w:val="3"/>
                <w:color w:val="auto"/>
              </w:rPr>
            </w:pPr>
          </w:p>
        </w:tc>
        <w:tc>
          <w:tcPr>
            <w:tcW w:w="540" w:type="dxa"/>
            <w:vAlign w:val="bottom"/>
            <w:tcBorders>
              <w:bottom w:val="single" w:sz="8" w:color="131413"/>
            </w:tcBorders>
          </w:tcPr>
          <w:p>
            <w:pPr>
              <w:spacing w:after="0"/>
              <w:rPr>
                <w:sz w:val="3"/>
                <w:szCs w:val="3"/>
                <w:color w:val="auto"/>
              </w:rPr>
            </w:pPr>
          </w:p>
        </w:tc>
      </w:tr>
      <w:tr>
        <w:trPr>
          <w:trHeight w:val="208"/>
        </w:trPr>
        <w:tc>
          <w:tcPr>
            <w:tcW w:w="2160" w:type="dxa"/>
            <w:vAlign w:val="bottom"/>
            <w:gridSpan w:val="2"/>
          </w:tcPr>
          <w:p>
            <w:pPr>
              <w:spacing w:after="0"/>
              <w:rPr>
                <w:sz w:val="20"/>
                <w:szCs w:val="20"/>
                <w:color w:val="auto"/>
              </w:rPr>
            </w:pPr>
            <w:r>
              <w:rPr>
                <w:rFonts w:ascii="Arial" w:cs="Arial" w:eastAsia="Arial" w:hAnsi="Arial"/>
                <w:sz w:val="16"/>
                <w:szCs w:val="16"/>
                <w:color w:val="auto"/>
              </w:rPr>
              <w:t>High productive tree</w:t>
            </w:r>
          </w:p>
        </w:tc>
        <w:tc>
          <w:tcPr>
            <w:tcW w:w="28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54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96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54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96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540" w:type="dxa"/>
            <w:vAlign w:val="bottom"/>
          </w:tcPr>
          <w:p>
            <w:pPr>
              <w:spacing w:after="0"/>
              <w:rPr>
                <w:sz w:val="18"/>
                <w:szCs w:val="18"/>
                <w:color w:val="auto"/>
              </w:rPr>
            </w:pPr>
          </w:p>
        </w:tc>
      </w:tr>
      <w:tr>
        <w:trPr>
          <w:trHeight w:val="280"/>
        </w:trPr>
        <w:tc>
          <w:tcPr>
            <w:tcW w:w="2160" w:type="dxa"/>
            <w:vAlign w:val="bottom"/>
            <w:gridSpan w:val="2"/>
          </w:tcPr>
          <w:p>
            <w:pPr>
              <w:spacing w:after="0"/>
              <w:rPr>
                <w:sz w:val="20"/>
                <w:szCs w:val="20"/>
                <w:color w:val="auto"/>
              </w:rPr>
            </w:pPr>
            <w:r>
              <w:rPr>
                <w:rFonts w:ascii="Arial" w:cs="Arial" w:eastAsia="Arial" w:hAnsi="Arial"/>
                <w:sz w:val="16"/>
                <w:szCs w:val="16"/>
                <w:color w:val="auto"/>
              </w:rPr>
              <w:t>Intercept</w:t>
            </w:r>
          </w:p>
        </w:tc>
        <w:tc>
          <w:tcPr>
            <w:tcW w:w="940" w:type="dxa"/>
            <w:vAlign w:val="bottom"/>
            <w:gridSpan w:val="2"/>
          </w:tcPr>
          <w:p>
            <w:pPr>
              <w:spacing w:after="0"/>
              <w:rPr>
                <w:sz w:val="20"/>
                <w:szCs w:val="20"/>
                <w:color w:val="auto"/>
              </w:rPr>
            </w:pPr>
            <w:r>
              <w:rPr>
                <w:rFonts w:ascii="Arial" w:cs="Arial" w:eastAsia="Arial" w:hAnsi="Arial"/>
                <w:sz w:val="16"/>
                <w:szCs w:val="16"/>
                <w:color w:val="auto"/>
              </w:rPr>
              <w:t>−6.59 (1.27)</w:t>
            </w:r>
          </w:p>
        </w:tc>
        <w:tc>
          <w:tcPr>
            <w:tcW w:w="740" w:type="dxa"/>
            <w:vAlign w:val="bottom"/>
          </w:tcPr>
          <w:p>
            <w:pPr>
              <w:ind w:left="200"/>
              <w:spacing w:after="0"/>
              <w:rPr>
                <w:sz w:val="20"/>
                <w:szCs w:val="20"/>
                <w:color w:val="auto"/>
              </w:rPr>
            </w:pPr>
            <w:r>
              <w:rPr>
                <w:rFonts w:ascii="Arial" w:cs="Arial" w:eastAsia="Arial" w:hAnsi="Arial"/>
                <w:sz w:val="16"/>
                <w:szCs w:val="16"/>
                <w:color w:val="auto"/>
              </w:rPr>
              <w:t>−5.16</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0.001</w:t>
            </w:r>
          </w:p>
        </w:tc>
        <w:tc>
          <w:tcPr>
            <w:tcW w:w="1360" w:type="dxa"/>
            <w:vAlign w:val="bottom"/>
            <w:gridSpan w:val="2"/>
          </w:tcPr>
          <w:p>
            <w:pPr>
              <w:ind w:left="400"/>
              <w:spacing w:after="0"/>
              <w:rPr>
                <w:sz w:val="20"/>
                <w:szCs w:val="20"/>
                <w:color w:val="auto"/>
              </w:rPr>
            </w:pPr>
            <w:r>
              <w:rPr>
                <w:rFonts w:ascii="Arial" w:cs="Arial" w:eastAsia="Arial" w:hAnsi="Arial"/>
                <w:sz w:val="16"/>
                <w:szCs w:val="16"/>
                <w:color w:val="auto"/>
              </w:rPr>
              <w:t>-</w:t>
            </w:r>
          </w:p>
        </w:tc>
        <w:tc>
          <w:tcPr>
            <w:tcW w:w="740" w:type="dxa"/>
            <w:vAlign w:val="bottom"/>
          </w:tcPr>
          <w:p>
            <w:pPr>
              <w:ind w:left="180"/>
              <w:spacing w:after="0"/>
              <w:rPr>
                <w:sz w:val="20"/>
                <w:szCs w:val="20"/>
                <w:color w:val="auto"/>
              </w:rPr>
            </w:pPr>
            <w:r>
              <w:rPr>
                <w:rFonts w:ascii="Arial" w:cs="Arial" w:eastAsia="Arial" w:hAnsi="Arial"/>
                <w:sz w:val="16"/>
                <w:szCs w:val="16"/>
                <w:color w:val="auto"/>
              </w:rPr>
              <w:t>-</w:t>
            </w:r>
          </w:p>
        </w:tc>
        <w:tc>
          <w:tcPr>
            <w:tcW w:w="540" w:type="dxa"/>
            <w:vAlign w:val="bottom"/>
          </w:tcPr>
          <w:p>
            <w:pPr>
              <w:ind w:left="200"/>
              <w:spacing w:after="0"/>
              <w:rPr>
                <w:sz w:val="20"/>
                <w:szCs w:val="20"/>
                <w:color w:val="auto"/>
              </w:rPr>
            </w:pPr>
            <w:r>
              <w:rPr>
                <w:rFonts w:ascii="Arial" w:cs="Arial" w:eastAsia="Arial" w:hAnsi="Arial"/>
                <w:sz w:val="16"/>
                <w:szCs w:val="16"/>
                <w:color w:val="auto"/>
              </w:rPr>
              <w:t>-</w:t>
            </w: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w:t>
            </w:r>
          </w:p>
        </w:tc>
        <w:tc>
          <w:tcPr>
            <w:tcW w:w="740" w:type="dxa"/>
            <w:vAlign w:val="bottom"/>
          </w:tcPr>
          <w:p>
            <w:pPr>
              <w:ind w:left="180"/>
              <w:spacing w:after="0"/>
              <w:rPr>
                <w:sz w:val="20"/>
                <w:szCs w:val="20"/>
                <w:color w:val="auto"/>
              </w:rPr>
            </w:pPr>
            <w:r>
              <w:rPr>
                <w:rFonts w:ascii="Arial" w:cs="Arial" w:eastAsia="Arial" w:hAnsi="Arial"/>
                <w:sz w:val="16"/>
                <w:szCs w:val="16"/>
                <w:color w:val="auto"/>
              </w:rPr>
              <w:t>-</w:t>
            </w:r>
          </w:p>
        </w:tc>
        <w:tc>
          <w:tcPr>
            <w:tcW w:w="540" w:type="dxa"/>
            <w:vAlign w:val="bottom"/>
          </w:tcPr>
          <w:p>
            <w:pPr>
              <w:ind w:left="200"/>
              <w:spacing w:after="0"/>
              <w:rPr>
                <w:sz w:val="20"/>
                <w:szCs w:val="20"/>
                <w:color w:val="auto"/>
              </w:rPr>
            </w:pPr>
            <w:r>
              <w:rPr>
                <w:rFonts w:ascii="Arial" w:cs="Arial" w:eastAsia="Arial" w:hAnsi="Arial"/>
                <w:sz w:val="16"/>
                <w:szCs w:val="16"/>
                <w:color w:val="auto"/>
              </w:rPr>
              <w:t>-</w:t>
            </w:r>
          </w:p>
        </w:tc>
      </w:tr>
      <w:tr>
        <w:trPr>
          <w:trHeight w:val="280"/>
        </w:trPr>
        <w:tc>
          <w:tcPr>
            <w:tcW w:w="2160" w:type="dxa"/>
            <w:vAlign w:val="bottom"/>
            <w:gridSpan w:val="2"/>
          </w:tcPr>
          <w:p>
            <w:pPr>
              <w:spacing w:after="0"/>
              <w:rPr>
                <w:sz w:val="20"/>
                <w:szCs w:val="20"/>
                <w:color w:val="auto"/>
              </w:rPr>
            </w:pPr>
            <w:r>
              <w:rPr>
                <w:rFonts w:ascii="Arial" w:cs="Arial" w:eastAsia="Arial" w:hAnsi="Arial"/>
                <w:sz w:val="16"/>
                <w:szCs w:val="16"/>
                <w:color w:val="auto"/>
              </w:rPr>
              <w:t>Conservations attitudes</w:t>
            </w:r>
          </w:p>
        </w:tc>
        <w:tc>
          <w:tcPr>
            <w:tcW w:w="280" w:type="dxa"/>
            <w:vAlign w:val="bottom"/>
          </w:tcPr>
          <w:p>
            <w:pPr>
              <w:spacing w:after="0"/>
              <w:rPr>
                <w:sz w:val="20"/>
                <w:szCs w:val="20"/>
                <w:color w:val="auto"/>
              </w:rPr>
            </w:pPr>
            <w:r>
              <w:rPr>
                <w:rFonts w:ascii="Arial" w:cs="Arial" w:eastAsia="Arial" w:hAnsi="Arial"/>
                <w:sz w:val="16"/>
                <w:szCs w:val="16"/>
                <w:color w:val="auto"/>
                <w:w w:val="83"/>
              </w:rPr>
              <w:t>1.80</w:t>
            </w:r>
          </w:p>
        </w:tc>
        <w:tc>
          <w:tcPr>
            <w:tcW w:w="660" w:type="dxa"/>
            <w:vAlign w:val="bottom"/>
          </w:tcPr>
          <w:p>
            <w:pPr>
              <w:jc w:val="right"/>
              <w:ind w:right="220"/>
              <w:spacing w:after="0"/>
              <w:rPr>
                <w:sz w:val="20"/>
                <w:szCs w:val="20"/>
                <w:color w:val="auto"/>
              </w:rPr>
            </w:pPr>
            <w:r>
              <w:rPr>
                <w:rFonts w:ascii="Arial" w:cs="Arial" w:eastAsia="Arial" w:hAnsi="Arial"/>
                <w:sz w:val="16"/>
                <w:szCs w:val="16"/>
                <w:color w:val="auto"/>
                <w:w w:val="81"/>
              </w:rPr>
              <w:t>(0.45)</w:t>
            </w:r>
          </w:p>
        </w:tc>
        <w:tc>
          <w:tcPr>
            <w:tcW w:w="740" w:type="dxa"/>
            <w:vAlign w:val="bottom"/>
          </w:tcPr>
          <w:p>
            <w:pPr>
              <w:ind w:left="200"/>
              <w:spacing w:after="0"/>
              <w:rPr>
                <w:sz w:val="20"/>
                <w:szCs w:val="20"/>
                <w:color w:val="auto"/>
              </w:rPr>
            </w:pPr>
            <w:r>
              <w:rPr>
                <w:rFonts w:ascii="Arial" w:cs="Arial" w:eastAsia="Arial" w:hAnsi="Arial"/>
                <w:sz w:val="16"/>
                <w:szCs w:val="16"/>
                <w:color w:val="auto"/>
              </w:rPr>
              <w:t>4.03</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0.001</w:t>
            </w:r>
          </w:p>
        </w:tc>
        <w:tc>
          <w:tcPr>
            <w:tcW w:w="1360" w:type="dxa"/>
            <w:vAlign w:val="bottom"/>
            <w:gridSpan w:val="2"/>
          </w:tcPr>
          <w:p>
            <w:pPr>
              <w:ind w:left="400"/>
              <w:spacing w:after="0"/>
              <w:rPr>
                <w:sz w:val="20"/>
                <w:szCs w:val="20"/>
                <w:color w:val="auto"/>
              </w:rPr>
            </w:pPr>
            <w:r>
              <w:rPr>
                <w:rFonts w:ascii="Arial" w:cs="Arial" w:eastAsia="Arial" w:hAnsi="Arial"/>
                <w:sz w:val="16"/>
                <w:szCs w:val="16"/>
                <w:color w:val="auto"/>
              </w:rPr>
              <w:t>-</w:t>
            </w:r>
          </w:p>
        </w:tc>
        <w:tc>
          <w:tcPr>
            <w:tcW w:w="740" w:type="dxa"/>
            <w:vAlign w:val="bottom"/>
          </w:tcPr>
          <w:p>
            <w:pPr>
              <w:ind w:left="180"/>
              <w:spacing w:after="0"/>
              <w:rPr>
                <w:sz w:val="20"/>
                <w:szCs w:val="20"/>
                <w:color w:val="auto"/>
              </w:rPr>
            </w:pPr>
            <w:r>
              <w:rPr>
                <w:rFonts w:ascii="Arial" w:cs="Arial" w:eastAsia="Arial" w:hAnsi="Arial"/>
                <w:sz w:val="16"/>
                <w:szCs w:val="16"/>
                <w:color w:val="auto"/>
              </w:rPr>
              <w:t>-</w:t>
            </w:r>
          </w:p>
        </w:tc>
        <w:tc>
          <w:tcPr>
            <w:tcW w:w="540" w:type="dxa"/>
            <w:vAlign w:val="bottom"/>
          </w:tcPr>
          <w:p>
            <w:pPr>
              <w:ind w:left="200"/>
              <w:spacing w:after="0"/>
              <w:rPr>
                <w:sz w:val="20"/>
                <w:szCs w:val="20"/>
                <w:color w:val="auto"/>
              </w:rPr>
            </w:pPr>
            <w:r>
              <w:rPr>
                <w:rFonts w:ascii="Arial" w:cs="Arial" w:eastAsia="Arial" w:hAnsi="Arial"/>
                <w:sz w:val="16"/>
                <w:szCs w:val="16"/>
                <w:color w:val="auto"/>
              </w:rPr>
              <w:t>-</w:t>
            </w: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w:t>
            </w:r>
          </w:p>
        </w:tc>
        <w:tc>
          <w:tcPr>
            <w:tcW w:w="740" w:type="dxa"/>
            <w:vAlign w:val="bottom"/>
          </w:tcPr>
          <w:p>
            <w:pPr>
              <w:ind w:left="180"/>
              <w:spacing w:after="0"/>
              <w:rPr>
                <w:sz w:val="20"/>
                <w:szCs w:val="20"/>
                <w:color w:val="auto"/>
              </w:rPr>
            </w:pPr>
            <w:r>
              <w:rPr>
                <w:rFonts w:ascii="Arial" w:cs="Arial" w:eastAsia="Arial" w:hAnsi="Arial"/>
                <w:sz w:val="16"/>
                <w:szCs w:val="16"/>
                <w:color w:val="auto"/>
              </w:rPr>
              <w:t>-</w:t>
            </w:r>
          </w:p>
        </w:tc>
        <w:tc>
          <w:tcPr>
            <w:tcW w:w="540" w:type="dxa"/>
            <w:vAlign w:val="bottom"/>
          </w:tcPr>
          <w:p>
            <w:pPr>
              <w:ind w:left="200"/>
              <w:spacing w:after="0"/>
              <w:rPr>
                <w:sz w:val="20"/>
                <w:szCs w:val="20"/>
                <w:color w:val="auto"/>
              </w:rPr>
            </w:pPr>
            <w:r>
              <w:rPr>
                <w:rFonts w:ascii="Arial" w:cs="Arial" w:eastAsia="Arial" w:hAnsi="Arial"/>
                <w:sz w:val="16"/>
                <w:szCs w:val="16"/>
                <w:color w:val="auto"/>
              </w:rPr>
              <w:t>-</w:t>
            </w:r>
          </w:p>
        </w:tc>
      </w:tr>
      <w:tr>
        <w:trPr>
          <w:trHeight w:val="359"/>
        </w:trPr>
        <w:tc>
          <w:tcPr>
            <w:tcW w:w="2160" w:type="dxa"/>
            <w:vAlign w:val="bottom"/>
            <w:gridSpan w:val="2"/>
          </w:tcPr>
          <w:p>
            <w:pPr>
              <w:spacing w:after="0"/>
              <w:rPr>
                <w:sz w:val="20"/>
                <w:szCs w:val="20"/>
                <w:color w:val="auto"/>
              </w:rPr>
            </w:pPr>
            <w:r>
              <w:rPr>
                <w:rFonts w:ascii="Arial" w:cs="Arial" w:eastAsia="Arial" w:hAnsi="Arial"/>
                <w:sz w:val="31"/>
                <w:szCs w:val="31"/>
                <w:color w:val="auto"/>
                <w:vertAlign w:val="superscript"/>
              </w:rPr>
              <w:t>Var.</w:t>
            </w:r>
            <w:r>
              <w:rPr>
                <w:rFonts w:ascii="Arial" w:cs="Arial" w:eastAsia="Arial" w:hAnsi="Arial"/>
                <w:sz w:val="11"/>
                <w:szCs w:val="11"/>
                <w:color w:val="auto"/>
              </w:rPr>
              <w:t>Village</w:t>
            </w:r>
          </w:p>
        </w:tc>
        <w:tc>
          <w:tcPr>
            <w:tcW w:w="280" w:type="dxa"/>
            <w:vAlign w:val="bottom"/>
          </w:tcPr>
          <w:p>
            <w:pPr>
              <w:spacing w:after="0"/>
              <w:rPr>
                <w:sz w:val="20"/>
                <w:szCs w:val="20"/>
                <w:color w:val="auto"/>
              </w:rPr>
            </w:pPr>
            <w:r>
              <w:rPr>
                <w:rFonts w:ascii="Arial" w:cs="Arial" w:eastAsia="Arial" w:hAnsi="Arial"/>
                <w:sz w:val="16"/>
                <w:szCs w:val="16"/>
                <w:color w:val="auto"/>
                <w:w w:val="83"/>
              </w:rPr>
              <w:t>0.00</w:t>
            </w:r>
          </w:p>
        </w:tc>
        <w:tc>
          <w:tcPr>
            <w:tcW w:w="66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360" w:type="dxa"/>
            <w:vAlign w:val="bottom"/>
            <w:gridSpan w:val="2"/>
          </w:tcPr>
          <w:p>
            <w:pPr>
              <w:ind w:left="400"/>
              <w:spacing w:after="0"/>
              <w:rPr>
                <w:sz w:val="20"/>
                <w:szCs w:val="20"/>
                <w:color w:val="auto"/>
              </w:rPr>
            </w:pPr>
            <w:r>
              <w:rPr>
                <w:rFonts w:ascii="Arial" w:cs="Arial" w:eastAsia="Arial" w:hAnsi="Arial"/>
                <w:sz w:val="16"/>
                <w:szCs w:val="16"/>
                <w:color w:val="auto"/>
              </w:rPr>
              <w:t>-</w:t>
            </w: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w:t>
            </w: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r>
      <w:tr>
        <w:trPr>
          <w:trHeight w:val="232"/>
        </w:trPr>
        <w:tc>
          <w:tcPr>
            <w:tcW w:w="120" w:type="dxa"/>
            <w:vAlign w:val="bottom"/>
          </w:tcPr>
          <w:p>
            <w:pPr>
              <w:spacing w:after="0"/>
              <w:rPr>
                <w:sz w:val="20"/>
                <w:szCs w:val="20"/>
                <w:color w:val="auto"/>
              </w:rPr>
            </w:pPr>
            <w:r>
              <w:rPr>
                <w:rFonts w:ascii="Arial" w:cs="Arial" w:eastAsia="Arial" w:hAnsi="Arial"/>
                <w:sz w:val="11"/>
                <w:szCs w:val="11"/>
                <w:color w:val="auto"/>
                <w:w w:val="75"/>
              </w:rPr>
              <w:t>R</w:t>
            </w:r>
            <w:r>
              <w:rPr>
                <w:rFonts w:ascii="Arial" w:cs="Arial" w:eastAsia="Arial" w:hAnsi="Arial"/>
                <w:sz w:val="14"/>
                <w:szCs w:val="14"/>
                <w:color w:val="auto"/>
                <w:w w:val="75"/>
                <w:vertAlign w:val="superscript"/>
              </w:rPr>
              <w:t>2</w:t>
            </w:r>
          </w:p>
        </w:tc>
        <w:tc>
          <w:tcPr>
            <w:tcW w:w="2040" w:type="dxa"/>
            <w:vAlign w:val="bottom"/>
          </w:tcPr>
          <w:p>
            <w:pPr>
              <w:spacing w:after="0"/>
              <w:rPr>
                <w:sz w:val="20"/>
                <w:szCs w:val="20"/>
                <w:color w:val="auto"/>
              </w:rPr>
            </w:pPr>
            <w:r>
              <w:rPr>
                <w:rFonts w:ascii="Arial" w:cs="Arial" w:eastAsia="Arial" w:hAnsi="Arial"/>
                <w:sz w:val="11"/>
                <w:szCs w:val="11"/>
                <w:color w:val="auto"/>
              </w:rPr>
              <w:t>Marginal</w:t>
            </w:r>
          </w:p>
        </w:tc>
        <w:tc>
          <w:tcPr>
            <w:tcW w:w="940" w:type="dxa"/>
            <w:vAlign w:val="bottom"/>
            <w:gridSpan w:val="2"/>
          </w:tcPr>
          <w:p>
            <w:pPr>
              <w:spacing w:after="0"/>
              <w:rPr>
                <w:sz w:val="20"/>
                <w:szCs w:val="20"/>
                <w:color w:val="auto"/>
              </w:rPr>
            </w:pPr>
            <w:r>
              <w:rPr>
                <w:rFonts w:ascii="Arial" w:cs="Arial" w:eastAsia="Arial" w:hAnsi="Arial"/>
                <w:sz w:val="16"/>
                <w:szCs w:val="16"/>
                <w:color w:val="auto"/>
              </w:rPr>
              <w:t>45.03</w:t>
            </w:r>
          </w:p>
        </w:tc>
        <w:tc>
          <w:tcPr>
            <w:tcW w:w="74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1360" w:type="dxa"/>
            <w:vAlign w:val="bottom"/>
            <w:gridSpan w:val="2"/>
          </w:tcPr>
          <w:p>
            <w:pPr>
              <w:ind w:left="400"/>
              <w:spacing w:after="0"/>
              <w:rPr>
                <w:sz w:val="20"/>
                <w:szCs w:val="20"/>
                <w:color w:val="auto"/>
              </w:rPr>
            </w:pPr>
            <w:r>
              <w:rPr>
                <w:rFonts w:ascii="Arial" w:cs="Arial" w:eastAsia="Arial" w:hAnsi="Arial"/>
                <w:sz w:val="16"/>
                <w:szCs w:val="16"/>
                <w:color w:val="auto"/>
              </w:rPr>
              <w:t>-</w:t>
            </w:r>
          </w:p>
        </w:tc>
        <w:tc>
          <w:tcPr>
            <w:tcW w:w="74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w:t>
            </w:r>
          </w:p>
        </w:tc>
        <w:tc>
          <w:tcPr>
            <w:tcW w:w="740" w:type="dxa"/>
            <w:vAlign w:val="bottom"/>
          </w:tcPr>
          <w:p>
            <w:pPr>
              <w:spacing w:after="0"/>
              <w:rPr>
                <w:sz w:val="20"/>
                <w:szCs w:val="20"/>
                <w:color w:val="auto"/>
              </w:rPr>
            </w:pPr>
          </w:p>
        </w:tc>
        <w:tc>
          <w:tcPr>
            <w:tcW w:w="540" w:type="dxa"/>
            <w:vAlign w:val="bottom"/>
          </w:tcPr>
          <w:p>
            <w:pPr>
              <w:spacing w:after="0"/>
              <w:rPr>
                <w:sz w:val="20"/>
                <w:szCs w:val="20"/>
                <w:color w:val="auto"/>
              </w:rPr>
            </w:pPr>
          </w:p>
        </w:tc>
      </w:tr>
      <w:tr>
        <w:trPr>
          <w:trHeight w:val="280"/>
        </w:trPr>
        <w:tc>
          <w:tcPr>
            <w:tcW w:w="120" w:type="dxa"/>
            <w:vAlign w:val="bottom"/>
          </w:tcPr>
          <w:p>
            <w:pPr>
              <w:spacing w:after="0"/>
              <w:rPr>
                <w:sz w:val="20"/>
                <w:szCs w:val="20"/>
                <w:color w:val="auto"/>
              </w:rPr>
            </w:pPr>
            <w:r>
              <w:rPr>
                <w:rFonts w:ascii="Arial" w:cs="Arial" w:eastAsia="Arial" w:hAnsi="Arial"/>
                <w:sz w:val="11"/>
                <w:szCs w:val="11"/>
                <w:color w:val="auto"/>
                <w:w w:val="75"/>
              </w:rPr>
              <w:t>R</w:t>
            </w:r>
            <w:r>
              <w:rPr>
                <w:rFonts w:ascii="Arial" w:cs="Arial" w:eastAsia="Arial" w:hAnsi="Arial"/>
                <w:sz w:val="14"/>
                <w:szCs w:val="14"/>
                <w:color w:val="auto"/>
                <w:w w:val="75"/>
                <w:vertAlign w:val="superscript"/>
              </w:rPr>
              <w:t>2</w:t>
            </w:r>
          </w:p>
        </w:tc>
        <w:tc>
          <w:tcPr>
            <w:tcW w:w="2040" w:type="dxa"/>
            <w:vAlign w:val="bottom"/>
          </w:tcPr>
          <w:p>
            <w:pPr>
              <w:spacing w:after="0"/>
              <w:rPr>
                <w:sz w:val="20"/>
                <w:szCs w:val="20"/>
                <w:color w:val="auto"/>
              </w:rPr>
            </w:pPr>
            <w:r>
              <w:rPr>
                <w:rFonts w:ascii="Arial" w:cs="Arial" w:eastAsia="Arial" w:hAnsi="Arial"/>
                <w:sz w:val="11"/>
                <w:szCs w:val="11"/>
                <w:color w:val="auto"/>
              </w:rPr>
              <w:t>Conditional</w:t>
            </w:r>
          </w:p>
        </w:tc>
        <w:tc>
          <w:tcPr>
            <w:tcW w:w="940" w:type="dxa"/>
            <w:vAlign w:val="bottom"/>
            <w:gridSpan w:val="2"/>
          </w:tcPr>
          <w:p>
            <w:pPr>
              <w:spacing w:after="0"/>
              <w:rPr>
                <w:sz w:val="20"/>
                <w:szCs w:val="20"/>
                <w:color w:val="auto"/>
              </w:rPr>
            </w:pPr>
            <w:r>
              <w:rPr>
                <w:rFonts w:ascii="Arial" w:cs="Arial" w:eastAsia="Arial" w:hAnsi="Arial"/>
                <w:sz w:val="16"/>
                <w:szCs w:val="16"/>
                <w:color w:val="auto"/>
              </w:rPr>
              <w:t>45.03</w:t>
            </w: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360" w:type="dxa"/>
            <w:vAlign w:val="bottom"/>
            <w:gridSpan w:val="2"/>
          </w:tcPr>
          <w:p>
            <w:pPr>
              <w:ind w:left="400"/>
              <w:spacing w:after="0"/>
              <w:rPr>
                <w:sz w:val="20"/>
                <w:szCs w:val="20"/>
                <w:color w:val="auto"/>
              </w:rPr>
            </w:pPr>
            <w:r>
              <w:rPr>
                <w:rFonts w:ascii="Arial" w:cs="Arial" w:eastAsia="Arial" w:hAnsi="Arial"/>
                <w:sz w:val="16"/>
                <w:szCs w:val="16"/>
                <w:color w:val="auto"/>
              </w:rPr>
              <w:t>-</w:t>
            </w: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w:t>
            </w: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r>
      <w:tr>
        <w:trPr>
          <w:trHeight w:val="249"/>
        </w:trPr>
        <w:tc>
          <w:tcPr>
            <w:tcW w:w="2160" w:type="dxa"/>
            <w:vAlign w:val="bottom"/>
            <w:gridSpan w:val="2"/>
          </w:tcPr>
          <w:p>
            <w:pPr>
              <w:spacing w:after="0"/>
              <w:rPr>
                <w:sz w:val="20"/>
                <w:szCs w:val="20"/>
                <w:color w:val="auto"/>
              </w:rPr>
            </w:pPr>
            <w:r>
              <w:rPr>
                <w:rFonts w:ascii="Arial" w:cs="Arial" w:eastAsia="Arial" w:hAnsi="Arial"/>
                <w:sz w:val="16"/>
                <w:szCs w:val="16"/>
                <w:color w:val="auto"/>
              </w:rPr>
              <w:t>Good oil quality tree</w:t>
            </w:r>
          </w:p>
        </w:tc>
        <w:tc>
          <w:tcPr>
            <w:tcW w:w="28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54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96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54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96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540" w:type="dxa"/>
            <w:vAlign w:val="bottom"/>
          </w:tcPr>
          <w:p>
            <w:pPr>
              <w:spacing w:after="0"/>
              <w:rPr>
                <w:sz w:val="21"/>
                <w:szCs w:val="21"/>
                <w:color w:val="auto"/>
              </w:rPr>
            </w:pPr>
          </w:p>
        </w:tc>
      </w:tr>
      <w:tr>
        <w:trPr>
          <w:trHeight w:val="280"/>
        </w:trPr>
        <w:tc>
          <w:tcPr>
            <w:tcW w:w="2160" w:type="dxa"/>
            <w:vAlign w:val="bottom"/>
            <w:gridSpan w:val="2"/>
          </w:tcPr>
          <w:p>
            <w:pPr>
              <w:spacing w:after="0"/>
              <w:rPr>
                <w:sz w:val="20"/>
                <w:szCs w:val="20"/>
                <w:color w:val="auto"/>
              </w:rPr>
            </w:pPr>
            <w:r>
              <w:rPr>
                <w:rFonts w:ascii="Arial" w:cs="Arial" w:eastAsia="Arial" w:hAnsi="Arial"/>
                <w:sz w:val="16"/>
                <w:szCs w:val="16"/>
                <w:color w:val="auto"/>
              </w:rPr>
              <w:t>Intercept</w:t>
            </w:r>
          </w:p>
        </w:tc>
        <w:tc>
          <w:tcPr>
            <w:tcW w:w="940" w:type="dxa"/>
            <w:vAlign w:val="bottom"/>
            <w:gridSpan w:val="2"/>
          </w:tcPr>
          <w:p>
            <w:pPr>
              <w:spacing w:after="0"/>
              <w:rPr>
                <w:sz w:val="20"/>
                <w:szCs w:val="20"/>
                <w:color w:val="auto"/>
              </w:rPr>
            </w:pPr>
            <w:r>
              <w:rPr>
                <w:rFonts w:ascii="Arial" w:cs="Arial" w:eastAsia="Arial" w:hAnsi="Arial"/>
                <w:sz w:val="16"/>
                <w:szCs w:val="16"/>
                <w:color w:val="auto"/>
              </w:rPr>
              <w:t>−6.98 (1.27)</w:t>
            </w:r>
          </w:p>
        </w:tc>
        <w:tc>
          <w:tcPr>
            <w:tcW w:w="740" w:type="dxa"/>
            <w:vAlign w:val="bottom"/>
          </w:tcPr>
          <w:p>
            <w:pPr>
              <w:ind w:left="200"/>
              <w:spacing w:after="0"/>
              <w:rPr>
                <w:sz w:val="20"/>
                <w:szCs w:val="20"/>
                <w:color w:val="auto"/>
              </w:rPr>
            </w:pPr>
            <w:r>
              <w:rPr>
                <w:rFonts w:ascii="Arial" w:cs="Arial" w:eastAsia="Arial" w:hAnsi="Arial"/>
                <w:sz w:val="16"/>
                <w:szCs w:val="16"/>
                <w:color w:val="auto"/>
              </w:rPr>
              <w:t>−5.51</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0.001</w:t>
            </w:r>
          </w:p>
        </w:tc>
        <w:tc>
          <w:tcPr>
            <w:tcW w:w="400" w:type="dxa"/>
            <w:vAlign w:val="bottom"/>
          </w:tcPr>
          <w:p>
            <w:pPr>
              <w:spacing w:after="0"/>
              <w:rPr>
                <w:sz w:val="24"/>
                <w:szCs w:val="24"/>
                <w:color w:val="auto"/>
              </w:rPr>
            </w:pPr>
          </w:p>
        </w:tc>
        <w:tc>
          <w:tcPr>
            <w:tcW w:w="960" w:type="dxa"/>
            <w:vAlign w:val="bottom"/>
          </w:tcPr>
          <w:p>
            <w:pPr>
              <w:spacing w:after="0"/>
              <w:rPr>
                <w:sz w:val="20"/>
                <w:szCs w:val="20"/>
                <w:color w:val="auto"/>
              </w:rPr>
            </w:pPr>
            <w:r>
              <w:rPr>
                <w:rFonts w:ascii="Arial" w:cs="Arial" w:eastAsia="Arial" w:hAnsi="Arial"/>
                <w:sz w:val="16"/>
                <w:szCs w:val="16"/>
                <w:color w:val="auto"/>
              </w:rPr>
              <w:t>−8.61 (1.32)</w:t>
            </w:r>
          </w:p>
        </w:tc>
        <w:tc>
          <w:tcPr>
            <w:tcW w:w="740" w:type="dxa"/>
            <w:vAlign w:val="bottom"/>
          </w:tcPr>
          <w:p>
            <w:pPr>
              <w:ind w:left="180"/>
              <w:spacing w:after="0"/>
              <w:rPr>
                <w:sz w:val="20"/>
                <w:szCs w:val="20"/>
                <w:color w:val="auto"/>
              </w:rPr>
            </w:pPr>
            <w:r>
              <w:rPr>
                <w:rFonts w:ascii="Arial" w:cs="Arial" w:eastAsia="Arial" w:hAnsi="Arial"/>
                <w:sz w:val="16"/>
                <w:szCs w:val="16"/>
                <w:color w:val="auto"/>
              </w:rPr>
              <w:t>−6.51</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0.001</w:t>
            </w: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−3.31 (0.54)</w:t>
            </w:r>
          </w:p>
        </w:tc>
        <w:tc>
          <w:tcPr>
            <w:tcW w:w="740" w:type="dxa"/>
            <w:vAlign w:val="bottom"/>
          </w:tcPr>
          <w:p>
            <w:pPr>
              <w:ind w:left="180"/>
              <w:spacing w:after="0"/>
              <w:rPr>
                <w:sz w:val="20"/>
                <w:szCs w:val="20"/>
                <w:color w:val="auto"/>
              </w:rPr>
            </w:pPr>
            <w:r>
              <w:rPr>
                <w:rFonts w:ascii="Arial" w:cs="Arial" w:eastAsia="Arial" w:hAnsi="Arial"/>
                <w:sz w:val="16"/>
                <w:szCs w:val="16"/>
                <w:color w:val="auto"/>
              </w:rPr>
              <w:t>−6.15</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0.001</w:t>
            </w:r>
          </w:p>
        </w:tc>
      </w:tr>
      <w:tr>
        <w:trPr>
          <w:trHeight w:val="280"/>
        </w:trPr>
        <w:tc>
          <w:tcPr>
            <w:tcW w:w="2160" w:type="dxa"/>
            <w:vAlign w:val="bottom"/>
            <w:gridSpan w:val="2"/>
          </w:tcPr>
          <w:p>
            <w:pPr>
              <w:spacing w:after="0"/>
              <w:rPr>
                <w:sz w:val="20"/>
                <w:szCs w:val="20"/>
                <w:color w:val="auto"/>
              </w:rPr>
            </w:pPr>
            <w:r>
              <w:rPr>
                <w:rFonts w:ascii="Arial" w:cs="Arial" w:eastAsia="Arial" w:hAnsi="Arial"/>
                <w:sz w:val="16"/>
                <w:szCs w:val="16"/>
                <w:color w:val="auto"/>
              </w:rPr>
              <w:t>Gender (men)</w:t>
            </w:r>
          </w:p>
        </w:tc>
        <w:tc>
          <w:tcPr>
            <w:tcW w:w="280" w:type="dxa"/>
            <w:vAlign w:val="bottom"/>
          </w:tcPr>
          <w:p>
            <w:pPr>
              <w:spacing w:after="0"/>
              <w:rPr>
                <w:sz w:val="20"/>
                <w:szCs w:val="20"/>
                <w:color w:val="auto"/>
              </w:rPr>
            </w:pPr>
            <w:r>
              <w:rPr>
                <w:rFonts w:ascii="Arial" w:cs="Arial" w:eastAsia="Arial" w:hAnsi="Arial"/>
                <w:sz w:val="16"/>
                <w:szCs w:val="16"/>
                <w:color w:val="auto"/>
                <w:w w:val="83"/>
              </w:rPr>
              <w:t>2.40</w:t>
            </w:r>
          </w:p>
        </w:tc>
        <w:tc>
          <w:tcPr>
            <w:tcW w:w="660" w:type="dxa"/>
            <w:vAlign w:val="bottom"/>
          </w:tcPr>
          <w:p>
            <w:pPr>
              <w:jc w:val="right"/>
              <w:ind w:right="220"/>
              <w:spacing w:after="0"/>
              <w:rPr>
                <w:sz w:val="20"/>
                <w:szCs w:val="20"/>
                <w:color w:val="auto"/>
              </w:rPr>
            </w:pPr>
            <w:r>
              <w:rPr>
                <w:rFonts w:ascii="Arial" w:cs="Arial" w:eastAsia="Arial" w:hAnsi="Arial"/>
                <w:sz w:val="16"/>
                <w:szCs w:val="16"/>
                <w:color w:val="auto"/>
                <w:w w:val="81"/>
              </w:rPr>
              <w:t>(0.82)</w:t>
            </w:r>
          </w:p>
        </w:tc>
        <w:tc>
          <w:tcPr>
            <w:tcW w:w="740" w:type="dxa"/>
            <w:vAlign w:val="bottom"/>
          </w:tcPr>
          <w:p>
            <w:pPr>
              <w:ind w:left="200"/>
              <w:spacing w:after="0"/>
              <w:rPr>
                <w:sz w:val="20"/>
                <w:szCs w:val="20"/>
                <w:color w:val="auto"/>
              </w:rPr>
            </w:pPr>
            <w:r>
              <w:rPr>
                <w:rFonts w:ascii="Arial" w:cs="Arial" w:eastAsia="Arial" w:hAnsi="Arial"/>
                <w:sz w:val="16"/>
                <w:szCs w:val="16"/>
                <w:color w:val="auto"/>
              </w:rPr>
              <w:t>2.94</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0.003</w:t>
            </w:r>
          </w:p>
        </w:tc>
        <w:tc>
          <w:tcPr>
            <w:tcW w:w="1360" w:type="dxa"/>
            <w:vAlign w:val="bottom"/>
            <w:gridSpan w:val="2"/>
          </w:tcPr>
          <w:p>
            <w:pPr>
              <w:ind w:left="400"/>
              <w:spacing w:after="0"/>
              <w:rPr>
                <w:sz w:val="20"/>
                <w:szCs w:val="20"/>
                <w:color w:val="auto"/>
              </w:rPr>
            </w:pPr>
            <w:r>
              <w:rPr>
                <w:rFonts w:ascii="Arial" w:cs="Arial" w:eastAsia="Arial" w:hAnsi="Arial"/>
                <w:sz w:val="16"/>
                <w:szCs w:val="16"/>
                <w:color w:val="auto"/>
              </w:rPr>
              <w:t>2.79 (0.61)</w:t>
            </w:r>
          </w:p>
        </w:tc>
        <w:tc>
          <w:tcPr>
            <w:tcW w:w="740" w:type="dxa"/>
            <w:vAlign w:val="bottom"/>
          </w:tcPr>
          <w:p>
            <w:pPr>
              <w:ind w:left="180"/>
              <w:spacing w:after="0"/>
              <w:rPr>
                <w:sz w:val="20"/>
                <w:szCs w:val="20"/>
                <w:color w:val="auto"/>
              </w:rPr>
            </w:pPr>
            <w:r>
              <w:rPr>
                <w:rFonts w:ascii="Arial" w:cs="Arial" w:eastAsia="Arial" w:hAnsi="Arial"/>
                <w:sz w:val="16"/>
                <w:szCs w:val="16"/>
                <w:color w:val="auto"/>
              </w:rPr>
              <w:t>4.55</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0.001</w:t>
            </w: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w:t>
            </w:r>
          </w:p>
        </w:tc>
        <w:tc>
          <w:tcPr>
            <w:tcW w:w="740" w:type="dxa"/>
            <w:vAlign w:val="bottom"/>
          </w:tcPr>
          <w:p>
            <w:pPr>
              <w:ind w:left="180"/>
              <w:spacing w:after="0"/>
              <w:rPr>
                <w:sz w:val="20"/>
                <w:szCs w:val="20"/>
                <w:color w:val="auto"/>
              </w:rPr>
            </w:pPr>
            <w:r>
              <w:rPr>
                <w:rFonts w:ascii="Arial" w:cs="Arial" w:eastAsia="Arial" w:hAnsi="Arial"/>
                <w:sz w:val="16"/>
                <w:szCs w:val="16"/>
                <w:color w:val="auto"/>
              </w:rPr>
              <w:t>-</w:t>
            </w:r>
          </w:p>
        </w:tc>
        <w:tc>
          <w:tcPr>
            <w:tcW w:w="540" w:type="dxa"/>
            <w:vAlign w:val="bottom"/>
          </w:tcPr>
          <w:p>
            <w:pPr>
              <w:ind w:left="200"/>
              <w:spacing w:after="0"/>
              <w:rPr>
                <w:sz w:val="20"/>
                <w:szCs w:val="20"/>
                <w:color w:val="auto"/>
              </w:rPr>
            </w:pPr>
            <w:r>
              <w:rPr>
                <w:rFonts w:ascii="Arial" w:cs="Arial" w:eastAsia="Arial" w:hAnsi="Arial"/>
                <w:sz w:val="16"/>
                <w:szCs w:val="16"/>
                <w:color w:val="auto"/>
              </w:rPr>
              <w:t>-</w:t>
            </w:r>
          </w:p>
        </w:tc>
      </w:tr>
      <w:tr>
        <w:trPr>
          <w:trHeight w:val="280"/>
        </w:trPr>
        <w:tc>
          <w:tcPr>
            <w:tcW w:w="2160" w:type="dxa"/>
            <w:vAlign w:val="bottom"/>
            <w:gridSpan w:val="2"/>
          </w:tcPr>
          <w:p>
            <w:pPr>
              <w:spacing w:after="0"/>
              <w:rPr>
                <w:sz w:val="20"/>
                <w:szCs w:val="20"/>
                <w:color w:val="auto"/>
              </w:rPr>
            </w:pPr>
            <w:r>
              <w:rPr>
                <w:rFonts w:ascii="Arial" w:cs="Arial" w:eastAsia="Arial" w:hAnsi="Arial"/>
                <w:sz w:val="16"/>
                <w:szCs w:val="16"/>
                <w:color w:val="auto"/>
              </w:rPr>
              <w:t>Age (years old)</w:t>
            </w:r>
          </w:p>
        </w:tc>
        <w:tc>
          <w:tcPr>
            <w:tcW w:w="280" w:type="dxa"/>
            <w:vAlign w:val="bottom"/>
          </w:tcPr>
          <w:p>
            <w:pPr>
              <w:spacing w:after="0"/>
              <w:rPr>
                <w:sz w:val="20"/>
                <w:szCs w:val="20"/>
                <w:color w:val="auto"/>
              </w:rPr>
            </w:pPr>
            <w:r>
              <w:rPr>
                <w:rFonts w:ascii="Arial" w:cs="Arial" w:eastAsia="Arial" w:hAnsi="Arial"/>
                <w:sz w:val="16"/>
                <w:szCs w:val="16"/>
                <w:color w:val="auto"/>
                <w:w w:val="83"/>
              </w:rPr>
              <w:t>0.40</w:t>
            </w:r>
          </w:p>
        </w:tc>
        <w:tc>
          <w:tcPr>
            <w:tcW w:w="660" w:type="dxa"/>
            <w:vAlign w:val="bottom"/>
          </w:tcPr>
          <w:p>
            <w:pPr>
              <w:jc w:val="right"/>
              <w:ind w:right="220"/>
              <w:spacing w:after="0"/>
              <w:rPr>
                <w:sz w:val="20"/>
                <w:szCs w:val="20"/>
                <w:color w:val="auto"/>
              </w:rPr>
            </w:pPr>
            <w:r>
              <w:rPr>
                <w:rFonts w:ascii="Arial" w:cs="Arial" w:eastAsia="Arial" w:hAnsi="Arial"/>
                <w:sz w:val="16"/>
                <w:szCs w:val="16"/>
                <w:color w:val="auto"/>
                <w:w w:val="81"/>
              </w:rPr>
              <w:t>(0.65)</w:t>
            </w:r>
          </w:p>
        </w:tc>
        <w:tc>
          <w:tcPr>
            <w:tcW w:w="740" w:type="dxa"/>
            <w:vAlign w:val="bottom"/>
          </w:tcPr>
          <w:p>
            <w:pPr>
              <w:ind w:left="200"/>
              <w:spacing w:after="0"/>
              <w:rPr>
                <w:sz w:val="20"/>
                <w:szCs w:val="20"/>
                <w:color w:val="auto"/>
              </w:rPr>
            </w:pPr>
            <w:r>
              <w:rPr>
                <w:rFonts w:ascii="Arial" w:cs="Arial" w:eastAsia="Arial" w:hAnsi="Arial"/>
                <w:sz w:val="16"/>
                <w:szCs w:val="16"/>
                <w:color w:val="auto"/>
              </w:rPr>
              <w:t>0.61</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0.542</w:t>
            </w:r>
          </w:p>
        </w:tc>
        <w:tc>
          <w:tcPr>
            <w:tcW w:w="1360" w:type="dxa"/>
            <w:vAlign w:val="bottom"/>
            <w:gridSpan w:val="2"/>
          </w:tcPr>
          <w:p>
            <w:pPr>
              <w:ind w:left="400"/>
              <w:spacing w:after="0"/>
              <w:rPr>
                <w:sz w:val="20"/>
                <w:szCs w:val="20"/>
                <w:color w:val="auto"/>
              </w:rPr>
            </w:pPr>
            <w:r>
              <w:rPr>
                <w:rFonts w:ascii="Arial" w:cs="Arial" w:eastAsia="Arial" w:hAnsi="Arial"/>
                <w:sz w:val="16"/>
                <w:szCs w:val="16"/>
                <w:color w:val="auto"/>
              </w:rPr>
              <w:t>3.16 (0.70)</w:t>
            </w:r>
          </w:p>
        </w:tc>
        <w:tc>
          <w:tcPr>
            <w:tcW w:w="740" w:type="dxa"/>
            <w:vAlign w:val="bottom"/>
          </w:tcPr>
          <w:p>
            <w:pPr>
              <w:ind w:left="180"/>
              <w:spacing w:after="0"/>
              <w:rPr>
                <w:sz w:val="20"/>
                <w:szCs w:val="20"/>
                <w:color w:val="auto"/>
              </w:rPr>
            </w:pPr>
            <w:r>
              <w:rPr>
                <w:rFonts w:ascii="Arial" w:cs="Arial" w:eastAsia="Arial" w:hAnsi="Arial"/>
                <w:sz w:val="16"/>
                <w:szCs w:val="16"/>
                <w:color w:val="auto"/>
              </w:rPr>
              <w:t>4.77</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0.001</w:t>
            </w: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0.74 (0.19)</w:t>
            </w:r>
          </w:p>
        </w:tc>
        <w:tc>
          <w:tcPr>
            <w:tcW w:w="740" w:type="dxa"/>
            <w:vAlign w:val="bottom"/>
          </w:tcPr>
          <w:p>
            <w:pPr>
              <w:ind w:left="180"/>
              <w:spacing w:after="0"/>
              <w:rPr>
                <w:sz w:val="20"/>
                <w:szCs w:val="20"/>
                <w:color w:val="auto"/>
              </w:rPr>
            </w:pPr>
            <w:r>
              <w:rPr>
                <w:rFonts w:ascii="Arial" w:cs="Arial" w:eastAsia="Arial" w:hAnsi="Arial"/>
                <w:sz w:val="16"/>
                <w:szCs w:val="16"/>
                <w:color w:val="auto"/>
              </w:rPr>
              <w:t>0.04</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0.969</w:t>
            </w:r>
          </w:p>
        </w:tc>
      </w:tr>
      <w:tr>
        <w:trPr>
          <w:trHeight w:val="280"/>
        </w:trPr>
        <w:tc>
          <w:tcPr>
            <w:tcW w:w="120" w:type="dxa"/>
            <w:vAlign w:val="bottom"/>
          </w:tcPr>
          <w:p>
            <w:pPr>
              <w:spacing w:after="0"/>
              <w:rPr>
                <w:sz w:val="24"/>
                <w:szCs w:val="24"/>
                <w:color w:val="auto"/>
              </w:rPr>
            </w:pPr>
          </w:p>
        </w:tc>
        <w:tc>
          <w:tcPr>
            <w:tcW w:w="2040" w:type="dxa"/>
            <w:vAlign w:val="bottom"/>
          </w:tcPr>
          <w:p>
            <w:pPr>
              <w:ind w:left="40"/>
              <w:spacing w:after="0"/>
              <w:rPr>
                <w:sz w:val="20"/>
                <w:szCs w:val="20"/>
                <w:color w:val="auto"/>
              </w:rPr>
            </w:pPr>
            <w:r>
              <w:rPr>
                <w:rFonts w:ascii="Arial" w:cs="Arial" w:eastAsia="Arial" w:hAnsi="Arial"/>
                <w:sz w:val="16"/>
                <w:szCs w:val="16"/>
                <w:color w:val="auto"/>
              </w:rPr>
              <w:t>Young</w:t>
            </w:r>
          </w:p>
        </w:tc>
        <w:tc>
          <w:tcPr>
            <w:tcW w:w="940" w:type="dxa"/>
            <w:vAlign w:val="bottom"/>
            <w:gridSpan w:val="2"/>
          </w:tcPr>
          <w:p>
            <w:pPr>
              <w:spacing w:after="0"/>
              <w:rPr>
                <w:sz w:val="20"/>
                <w:szCs w:val="20"/>
                <w:color w:val="auto"/>
              </w:rPr>
            </w:pPr>
            <w:r>
              <w:rPr>
                <w:rFonts w:ascii="Arial" w:cs="Arial" w:eastAsia="Arial" w:hAnsi="Arial"/>
                <w:sz w:val="16"/>
                <w:szCs w:val="16"/>
                <w:color w:val="auto"/>
              </w:rPr>
              <w:t>−1.36 (0.65)</w:t>
            </w:r>
          </w:p>
        </w:tc>
        <w:tc>
          <w:tcPr>
            <w:tcW w:w="740" w:type="dxa"/>
            <w:vAlign w:val="bottom"/>
          </w:tcPr>
          <w:p>
            <w:pPr>
              <w:ind w:left="200"/>
              <w:spacing w:after="0"/>
              <w:rPr>
                <w:sz w:val="20"/>
                <w:szCs w:val="20"/>
                <w:color w:val="auto"/>
              </w:rPr>
            </w:pPr>
            <w:r>
              <w:rPr>
                <w:rFonts w:ascii="Arial" w:cs="Arial" w:eastAsia="Arial" w:hAnsi="Arial"/>
                <w:sz w:val="16"/>
                <w:szCs w:val="16"/>
                <w:color w:val="auto"/>
              </w:rPr>
              <w:t>−2.10</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0.036</w:t>
            </w:r>
          </w:p>
        </w:tc>
        <w:tc>
          <w:tcPr>
            <w:tcW w:w="400" w:type="dxa"/>
            <w:vAlign w:val="bottom"/>
          </w:tcPr>
          <w:p>
            <w:pPr>
              <w:spacing w:after="0"/>
              <w:rPr>
                <w:sz w:val="24"/>
                <w:szCs w:val="24"/>
                <w:color w:val="auto"/>
              </w:rPr>
            </w:pPr>
          </w:p>
        </w:tc>
        <w:tc>
          <w:tcPr>
            <w:tcW w:w="960" w:type="dxa"/>
            <w:vAlign w:val="bottom"/>
          </w:tcPr>
          <w:p>
            <w:pPr>
              <w:spacing w:after="0"/>
              <w:rPr>
                <w:sz w:val="20"/>
                <w:szCs w:val="20"/>
                <w:color w:val="auto"/>
              </w:rPr>
            </w:pPr>
            <w:r>
              <w:rPr>
                <w:rFonts w:ascii="Arial" w:cs="Arial" w:eastAsia="Arial" w:hAnsi="Arial"/>
                <w:sz w:val="16"/>
                <w:szCs w:val="16"/>
                <w:color w:val="auto"/>
              </w:rPr>
              <w:t>−2.55 (0.52)</w:t>
            </w:r>
          </w:p>
        </w:tc>
        <w:tc>
          <w:tcPr>
            <w:tcW w:w="740" w:type="dxa"/>
            <w:vAlign w:val="bottom"/>
          </w:tcPr>
          <w:p>
            <w:pPr>
              <w:ind w:left="180"/>
              <w:spacing w:after="0"/>
              <w:rPr>
                <w:sz w:val="20"/>
                <w:szCs w:val="20"/>
                <w:color w:val="auto"/>
              </w:rPr>
            </w:pPr>
            <w:r>
              <w:rPr>
                <w:rFonts w:ascii="Arial" w:cs="Arial" w:eastAsia="Arial" w:hAnsi="Arial"/>
                <w:sz w:val="16"/>
                <w:szCs w:val="16"/>
                <w:color w:val="auto"/>
              </w:rPr>
              <w:t>0.00</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0.989</w:t>
            </w: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−3.03 (0.18)</w:t>
            </w:r>
          </w:p>
        </w:tc>
        <w:tc>
          <w:tcPr>
            <w:tcW w:w="740" w:type="dxa"/>
            <w:vAlign w:val="bottom"/>
          </w:tcPr>
          <w:p>
            <w:pPr>
              <w:ind w:left="180"/>
              <w:spacing w:after="0"/>
              <w:rPr>
                <w:sz w:val="20"/>
                <w:szCs w:val="20"/>
                <w:color w:val="auto"/>
              </w:rPr>
            </w:pPr>
            <w:r>
              <w:rPr>
                <w:rFonts w:ascii="Arial" w:cs="Arial" w:eastAsia="Arial" w:hAnsi="Arial"/>
                <w:sz w:val="16"/>
                <w:szCs w:val="16"/>
                <w:color w:val="auto"/>
              </w:rPr>
              <w:t>−1.65</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0.001</w:t>
            </w:r>
          </w:p>
        </w:tc>
      </w:tr>
      <w:tr>
        <w:trPr>
          <w:trHeight w:val="280"/>
        </w:trPr>
        <w:tc>
          <w:tcPr>
            <w:tcW w:w="2160" w:type="dxa"/>
            <w:vAlign w:val="bottom"/>
            <w:gridSpan w:val="2"/>
          </w:tcPr>
          <w:p>
            <w:pPr>
              <w:spacing w:after="0"/>
              <w:rPr>
                <w:sz w:val="20"/>
                <w:szCs w:val="20"/>
                <w:color w:val="auto"/>
              </w:rPr>
            </w:pPr>
            <w:r>
              <w:rPr>
                <w:rFonts w:ascii="Arial" w:cs="Arial" w:eastAsia="Arial" w:hAnsi="Arial"/>
                <w:sz w:val="16"/>
                <w:szCs w:val="16"/>
                <w:color w:val="auto"/>
              </w:rPr>
              <w:t>Resident status (indigenous)</w:t>
            </w:r>
          </w:p>
        </w:tc>
        <w:tc>
          <w:tcPr>
            <w:tcW w:w="280" w:type="dxa"/>
            <w:vAlign w:val="bottom"/>
          </w:tcPr>
          <w:p>
            <w:pPr>
              <w:spacing w:after="0"/>
              <w:rPr>
                <w:sz w:val="20"/>
                <w:szCs w:val="20"/>
                <w:color w:val="auto"/>
              </w:rPr>
            </w:pPr>
            <w:r>
              <w:rPr>
                <w:rFonts w:ascii="Arial" w:cs="Arial" w:eastAsia="Arial" w:hAnsi="Arial"/>
                <w:sz w:val="16"/>
                <w:szCs w:val="16"/>
                <w:color w:val="auto"/>
                <w:w w:val="83"/>
              </w:rPr>
              <w:t>4.07</w:t>
            </w:r>
          </w:p>
        </w:tc>
        <w:tc>
          <w:tcPr>
            <w:tcW w:w="660" w:type="dxa"/>
            <w:vAlign w:val="bottom"/>
          </w:tcPr>
          <w:p>
            <w:pPr>
              <w:jc w:val="right"/>
              <w:ind w:right="220"/>
              <w:spacing w:after="0"/>
              <w:rPr>
                <w:sz w:val="20"/>
                <w:szCs w:val="20"/>
                <w:color w:val="auto"/>
              </w:rPr>
            </w:pPr>
            <w:r>
              <w:rPr>
                <w:rFonts w:ascii="Arial" w:cs="Arial" w:eastAsia="Arial" w:hAnsi="Arial"/>
                <w:sz w:val="16"/>
                <w:szCs w:val="16"/>
                <w:color w:val="auto"/>
                <w:w w:val="81"/>
              </w:rPr>
              <w:t>(0.94)</w:t>
            </w:r>
          </w:p>
        </w:tc>
        <w:tc>
          <w:tcPr>
            <w:tcW w:w="740" w:type="dxa"/>
            <w:vAlign w:val="bottom"/>
          </w:tcPr>
          <w:p>
            <w:pPr>
              <w:ind w:left="200"/>
              <w:spacing w:after="0"/>
              <w:rPr>
                <w:sz w:val="20"/>
                <w:szCs w:val="20"/>
                <w:color w:val="auto"/>
              </w:rPr>
            </w:pPr>
            <w:r>
              <w:rPr>
                <w:rFonts w:ascii="Arial" w:cs="Arial" w:eastAsia="Arial" w:hAnsi="Arial"/>
                <w:sz w:val="16"/>
                <w:szCs w:val="16"/>
                <w:color w:val="auto"/>
              </w:rPr>
              <w:t>4.30</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0.001</w:t>
            </w:r>
          </w:p>
        </w:tc>
        <w:tc>
          <w:tcPr>
            <w:tcW w:w="1360" w:type="dxa"/>
            <w:vAlign w:val="bottom"/>
            <w:gridSpan w:val="2"/>
          </w:tcPr>
          <w:p>
            <w:pPr>
              <w:ind w:left="400"/>
              <w:spacing w:after="0"/>
              <w:rPr>
                <w:sz w:val="20"/>
                <w:szCs w:val="20"/>
                <w:color w:val="auto"/>
              </w:rPr>
            </w:pPr>
            <w:r>
              <w:rPr>
                <w:rFonts w:ascii="Arial" w:cs="Arial" w:eastAsia="Arial" w:hAnsi="Arial"/>
                <w:sz w:val="16"/>
                <w:szCs w:val="16"/>
                <w:color w:val="auto"/>
              </w:rPr>
              <w:t>-</w:t>
            </w:r>
          </w:p>
        </w:tc>
        <w:tc>
          <w:tcPr>
            <w:tcW w:w="740" w:type="dxa"/>
            <w:vAlign w:val="bottom"/>
          </w:tcPr>
          <w:p>
            <w:pPr>
              <w:ind w:left="180"/>
              <w:spacing w:after="0"/>
              <w:rPr>
                <w:sz w:val="20"/>
                <w:szCs w:val="20"/>
                <w:color w:val="auto"/>
              </w:rPr>
            </w:pPr>
            <w:r>
              <w:rPr>
                <w:rFonts w:ascii="Arial" w:cs="Arial" w:eastAsia="Arial" w:hAnsi="Arial"/>
                <w:sz w:val="16"/>
                <w:szCs w:val="16"/>
                <w:color w:val="auto"/>
              </w:rPr>
              <w:t>-</w:t>
            </w:r>
          </w:p>
        </w:tc>
        <w:tc>
          <w:tcPr>
            <w:tcW w:w="540" w:type="dxa"/>
            <w:vAlign w:val="bottom"/>
          </w:tcPr>
          <w:p>
            <w:pPr>
              <w:ind w:left="200"/>
              <w:spacing w:after="0"/>
              <w:rPr>
                <w:sz w:val="20"/>
                <w:szCs w:val="20"/>
                <w:color w:val="auto"/>
              </w:rPr>
            </w:pPr>
            <w:r>
              <w:rPr>
                <w:rFonts w:ascii="Arial" w:cs="Arial" w:eastAsia="Arial" w:hAnsi="Arial"/>
                <w:sz w:val="16"/>
                <w:szCs w:val="16"/>
                <w:color w:val="auto"/>
              </w:rPr>
              <w:t>-</w:t>
            </w: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4.95 (1.79)</w:t>
            </w:r>
          </w:p>
        </w:tc>
        <w:tc>
          <w:tcPr>
            <w:tcW w:w="740" w:type="dxa"/>
            <w:vAlign w:val="bottom"/>
          </w:tcPr>
          <w:p>
            <w:pPr>
              <w:ind w:left="180"/>
              <w:spacing w:after="0"/>
              <w:rPr>
                <w:sz w:val="20"/>
                <w:szCs w:val="20"/>
                <w:color w:val="auto"/>
              </w:rPr>
            </w:pPr>
            <w:r>
              <w:rPr>
                <w:rFonts w:ascii="Arial" w:cs="Arial" w:eastAsia="Arial" w:hAnsi="Arial"/>
                <w:sz w:val="16"/>
                <w:szCs w:val="16"/>
                <w:color w:val="auto"/>
              </w:rPr>
              <w:t>2.76</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0.006</w:t>
            </w:r>
          </w:p>
        </w:tc>
      </w:tr>
      <w:tr>
        <w:trPr>
          <w:trHeight w:val="280"/>
        </w:trPr>
        <w:tc>
          <w:tcPr>
            <w:tcW w:w="2160" w:type="dxa"/>
            <w:vAlign w:val="bottom"/>
            <w:gridSpan w:val="2"/>
          </w:tcPr>
          <w:p>
            <w:pPr>
              <w:spacing w:after="0"/>
              <w:rPr>
                <w:sz w:val="20"/>
                <w:szCs w:val="20"/>
                <w:color w:val="auto"/>
              </w:rPr>
            </w:pPr>
            <w:r>
              <w:rPr>
                <w:rFonts w:ascii="Arial" w:cs="Arial" w:eastAsia="Arial" w:hAnsi="Arial"/>
                <w:sz w:val="16"/>
                <w:szCs w:val="16"/>
                <w:color w:val="auto"/>
              </w:rPr>
              <w:t>Actual use value</w:t>
            </w:r>
          </w:p>
        </w:tc>
        <w:tc>
          <w:tcPr>
            <w:tcW w:w="940" w:type="dxa"/>
            <w:vAlign w:val="bottom"/>
            <w:gridSpan w:val="2"/>
          </w:tcPr>
          <w:p>
            <w:pPr>
              <w:spacing w:after="0"/>
              <w:rPr>
                <w:sz w:val="20"/>
                <w:szCs w:val="20"/>
                <w:color w:val="auto"/>
              </w:rPr>
            </w:pPr>
            <w:r>
              <w:rPr>
                <w:rFonts w:ascii="Arial" w:cs="Arial" w:eastAsia="Arial" w:hAnsi="Arial"/>
                <w:sz w:val="16"/>
                <w:szCs w:val="16"/>
                <w:color w:val="auto"/>
              </w:rPr>
              <w:t>1.18 (0.38)</w:t>
            </w:r>
          </w:p>
        </w:tc>
        <w:tc>
          <w:tcPr>
            <w:tcW w:w="740" w:type="dxa"/>
            <w:vAlign w:val="bottom"/>
          </w:tcPr>
          <w:p>
            <w:pPr>
              <w:ind w:left="200"/>
              <w:spacing w:after="0"/>
              <w:rPr>
                <w:sz w:val="20"/>
                <w:szCs w:val="20"/>
                <w:color w:val="auto"/>
              </w:rPr>
            </w:pPr>
            <w:r>
              <w:rPr>
                <w:rFonts w:ascii="Arial" w:cs="Arial" w:eastAsia="Arial" w:hAnsi="Arial"/>
                <w:sz w:val="16"/>
                <w:szCs w:val="16"/>
                <w:color w:val="auto"/>
              </w:rPr>
              <w:t>3.11</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0.009</w:t>
            </w:r>
          </w:p>
        </w:tc>
        <w:tc>
          <w:tcPr>
            <w:tcW w:w="1360" w:type="dxa"/>
            <w:vAlign w:val="bottom"/>
            <w:gridSpan w:val="2"/>
          </w:tcPr>
          <w:p>
            <w:pPr>
              <w:ind w:left="400"/>
              <w:spacing w:after="0"/>
              <w:rPr>
                <w:sz w:val="20"/>
                <w:szCs w:val="20"/>
                <w:color w:val="auto"/>
              </w:rPr>
            </w:pPr>
            <w:r>
              <w:rPr>
                <w:rFonts w:ascii="Arial" w:cs="Arial" w:eastAsia="Arial" w:hAnsi="Arial"/>
                <w:sz w:val="16"/>
                <w:szCs w:val="16"/>
                <w:color w:val="auto"/>
              </w:rPr>
              <w:t>3.25 (0.62)</w:t>
            </w:r>
          </w:p>
        </w:tc>
        <w:tc>
          <w:tcPr>
            <w:tcW w:w="740" w:type="dxa"/>
            <w:vAlign w:val="bottom"/>
          </w:tcPr>
          <w:p>
            <w:pPr>
              <w:ind w:left="180"/>
              <w:spacing w:after="0"/>
              <w:rPr>
                <w:sz w:val="20"/>
                <w:szCs w:val="20"/>
                <w:color w:val="auto"/>
              </w:rPr>
            </w:pPr>
            <w:r>
              <w:rPr>
                <w:rFonts w:ascii="Arial" w:cs="Arial" w:eastAsia="Arial" w:hAnsi="Arial"/>
                <w:sz w:val="16"/>
                <w:szCs w:val="16"/>
                <w:color w:val="auto"/>
              </w:rPr>
              <w:t>5.23</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0.001</w:t>
            </w: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5.28 (0.56)</w:t>
            </w:r>
          </w:p>
        </w:tc>
        <w:tc>
          <w:tcPr>
            <w:tcW w:w="740" w:type="dxa"/>
            <w:vAlign w:val="bottom"/>
          </w:tcPr>
          <w:p>
            <w:pPr>
              <w:ind w:left="180"/>
              <w:spacing w:after="0"/>
              <w:rPr>
                <w:sz w:val="20"/>
                <w:szCs w:val="20"/>
                <w:color w:val="auto"/>
              </w:rPr>
            </w:pPr>
            <w:r>
              <w:rPr>
                <w:rFonts w:ascii="Arial" w:cs="Arial" w:eastAsia="Arial" w:hAnsi="Arial"/>
                <w:sz w:val="16"/>
                <w:szCs w:val="16"/>
                <w:color w:val="auto"/>
              </w:rPr>
              <w:t>9.48</w:t>
            </w:r>
          </w:p>
        </w:tc>
        <w:tc>
          <w:tcPr>
            <w:tcW w:w="540" w:type="dxa"/>
            <w:vAlign w:val="bottom"/>
          </w:tcPr>
          <w:p>
            <w:pPr>
              <w:ind w:left="200"/>
              <w:spacing w:after="0"/>
              <w:rPr>
                <w:sz w:val="20"/>
                <w:szCs w:val="20"/>
                <w:color w:val="auto"/>
              </w:rPr>
            </w:pPr>
            <w:r>
              <w:rPr>
                <w:rFonts w:ascii="Arial" w:cs="Arial" w:eastAsia="Arial" w:hAnsi="Arial"/>
                <w:sz w:val="16"/>
                <w:szCs w:val="16"/>
                <w:color w:val="auto"/>
                <w:w w:val="79"/>
              </w:rPr>
              <w:t>0.001</w:t>
            </w:r>
          </w:p>
        </w:tc>
      </w:tr>
      <w:tr>
        <w:trPr>
          <w:trHeight w:val="359"/>
        </w:trPr>
        <w:tc>
          <w:tcPr>
            <w:tcW w:w="2160" w:type="dxa"/>
            <w:vAlign w:val="bottom"/>
            <w:gridSpan w:val="2"/>
          </w:tcPr>
          <w:p>
            <w:pPr>
              <w:spacing w:after="0"/>
              <w:rPr>
                <w:sz w:val="20"/>
                <w:szCs w:val="20"/>
                <w:color w:val="auto"/>
              </w:rPr>
            </w:pPr>
            <w:r>
              <w:rPr>
                <w:rFonts w:ascii="Arial" w:cs="Arial" w:eastAsia="Arial" w:hAnsi="Arial"/>
                <w:sz w:val="31"/>
                <w:szCs w:val="31"/>
                <w:color w:val="auto"/>
                <w:vertAlign w:val="superscript"/>
              </w:rPr>
              <w:t>Var.</w:t>
            </w:r>
            <w:r>
              <w:rPr>
                <w:rFonts w:ascii="Arial" w:cs="Arial" w:eastAsia="Arial" w:hAnsi="Arial"/>
                <w:sz w:val="11"/>
                <w:szCs w:val="11"/>
                <w:color w:val="auto"/>
              </w:rPr>
              <w:t>Village</w:t>
            </w:r>
          </w:p>
        </w:tc>
        <w:tc>
          <w:tcPr>
            <w:tcW w:w="280" w:type="dxa"/>
            <w:vAlign w:val="bottom"/>
          </w:tcPr>
          <w:p>
            <w:pPr>
              <w:spacing w:after="0"/>
              <w:rPr>
                <w:sz w:val="20"/>
                <w:szCs w:val="20"/>
                <w:color w:val="auto"/>
              </w:rPr>
            </w:pPr>
            <w:r>
              <w:rPr>
                <w:rFonts w:ascii="Arial" w:cs="Arial" w:eastAsia="Arial" w:hAnsi="Arial"/>
                <w:sz w:val="16"/>
                <w:szCs w:val="16"/>
                <w:color w:val="auto"/>
                <w:w w:val="83"/>
              </w:rPr>
              <w:t>1.29</w:t>
            </w:r>
          </w:p>
        </w:tc>
        <w:tc>
          <w:tcPr>
            <w:tcW w:w="66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360" w:type="dxa"/>
            <w:vAlign w:val="bottom"/>
            <w:gridSpan w:val="2"/>
          </w:tcPr>
          <w:p>
            <w:pPr>
              <w:ind w:left="400"/>
              <w:spacing w:after="0"/>
              <w:rPr>
                <w:sz w:val="20"/>
                <w:szCs w:val="20"/>
                <w:color w:val="auto"/>
              </w:rPr>
            </w:pPr>
            <w:r>
              <w:rPr>
                <w:rFonts w:ascii="Arial" w:cs="Arial" w:eastAsia="Arial" w:hAnsi="Arial"/>
                <w:sz w:val="16"/>
                <w:szCs w:val="16"/>
                <w:color w:val="auto"/>
              </w:rPr>
              <w:t>1.99</w:t>
            </w: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0.00</w:t>
            </w: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r>
      <w:tr>
        <w:trPr>
          <w:trHeight w:val="232"/>
        </w:trPr>
        <w:tc>
          <w:tcPr>
            <w:tcW w:w="120" w:type="dxa"/>
            <w:vAlign w:val="bottom"/>
          </w:tcPr>
          <w:p>
            <w:pPr>
              <w:spacing w:after="0"/>
              <w:rPr>
                <w:sz w:val="20"/>
                <w:szCs w:val="20"/>
                <w:color w:val="auto"/>
              </w:rPr>
            </w:pPr>
            <w:r>
              <w:rPr>
                <w:rFonts w:ascii="Arial" w:cs="Arial" w:eastAsia="Arial" w:hAnsi="Arial"/>
                <w:sz w:val="11"/>
                <w:szCs w:val="11"/>
                <w:color w:val="auto"/>
                <w:w w:val="75"/>
              </w:rPr>
              <w:t>R</w:t>
            </w:r>
            <w:r>
              <w:rPr>
                <w:rFonts w:ascii="Arial" w:cs="Arial" w:eastAsia="Arial" w:hAnsi="Arial"/>
                <w:sz w:val="14"/>
                <w:szCs w:val="14"/>
                <w:color w:val="auto"/>
                <w:w w:val="75"/>
                <w:vertAlign w:val="superscript"/>
              </w:rPr>
              <w:t>2</w:t>
            </w:r>
          </w:p>
        </w:tc>
        <w:tc>
          <w:tcPr>
            <w:tcW w:w="2040" w:type="dxa"/>
            <w:vAlign w:val="bottom"/>
          </w:tcPr>
          <w:p>
            <w:pPr>
              <w:spacing w:after="0"/>
              <w:rPr>
                <w:sz w:val="20"/>
                <w:szCs w:val="20"/>
                <w:color w:val="auto"/>
              </w:rPr>
            </w:pPr>
            <w:r>
              <w:rPr>
                <w:rFonts w:ascii="Arial" w:cs="Arial" w:eastAsia="Arial" w:hAnsi="Arial"/>
                <w:sz w:val="11"/>
                <w:szCs w:val="11"/>
                <w:color w:val="auto"/>
              </w:rPr>
              <w:t>Marginal</w:t>
            </w:r>
          </w:p>
        </w:tc>
        <w:tc>
          <w:tcPr>
            <w:tcW w:w="940" w:type="dxa"/>
            <w:vAlign w:val="bottom"/>
            <w:gridSpan w:val="2"/>
          </w:tcPr>
          <w:p>
            <w:pPr>
              <w:spacing w:after="0"/>
              <w:rPr>
                <w:sz w:val="20"/>
                <w:szCs w:val="20"/>
                <w:color w:val="auto"/>
              </w:rPr>
            </w:pPr>
            <w:r>
              <w:rPr>
                <w:rFonts w:ascii="Arial" w:cs="Arial" w:eastAsia="Arial" w:hAnsi="Arial"/>
                <w:sz w:val="16"/>
                <w:szCs w:val="16"/>
                <w:color w:val="auto"/>
              </w:rPr>
              <w:t>41.05</w:t>
            </w:r>
          </w:p>
        </w:tc>
        <w:tc>
          <w:tcPr>
            <w:tcW w:w="74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1360" w:type="dxa"/>
            <w:vAlign w:val="bottom"/>
            <w:gridSpan w:val="2"/>
          </w:tcPr>
          <w:p>
            <w:pPr>
              <w:ind w:left="400"/>
              <w:spacing w:after="0"/>
              <w:rPr>
                <w:sz w:val="20"/>
                <w:szCs w:val="20"/>
                <w:color w:val="auto"/>
              </w:rPr>
            </w:pPr>
            <w:r>
              <w:rPr>
                <w:rFonts w:ascii="Arial" w:cs="Arial" w:eastAsia="Arial" w:hAnsi="Arial"/>
                <w:sz w:val="16"/>
                <w:szCs w:val="16"/>
                <w:color w:val="auto"/>
              </w:rPr>
              <w:t>97.27</w:t>
            </w:r>
          </w:p>
        </w:tc>
        <w:tc>
          <w:tcPr>
            <w:tcW w:w="74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99.92</w:t>
            </w:r>
          </w:p>
        </w:tc>
        <w:tc>
          <w:tcPr>
            <w:tcW w:w="740" w:type="dxa"/>
            <w:vAlign w:val="bottom"/>
          </w:tcPr>
          <w:p>
            <w:pPr>
              <w:spacing w:after="0"/>
              <w:rPr>
                <w:sz w:val="20"/>
                <w:szCs w:val="20"/>
                <w:color w:val="auto"/>
              </w:rPr>
            </w:pPr>
          </w:p>
        </w:tc>
        <w:tc>
          <w:tcPr>
            <w:tcW w:w="540" w:type="dxa"/>
            <w:vAlign w:val="bottom"/>
          </w:tcPr>
          <w:p>
            <w:pPr>
              <w:spacing w:after="0"/>
              <w:rPr>
                <w:sz w:val="20"/>
                <w:szCs w:val="20"/>
                <w:color w:val="auto"/>
              </w:rPr>
            </w:pPr>
          </w:p>
        </w:tc>
      </w:tr>
      <w:tr>
        <w:trPr>
          <w:trHeight w:val="280"/>
        </w:trPr>
        <w:tc>
          <w:tcPr>
            <w:tcW w:w="120" w:type="dxa"/>
            <w:vAlign w:val="bottom"/>
          </w:tcPr>
          <w:p>
            <w:pPr>
              <w:spacing w:after="0"/>
              <w:rPr>
                <w:sz w:val="20"/>
                <w:szCs w:val="20"/>
                <w:color w:val="auto"/>
              </w:rPr>
            </w:pPr>
            <w:r>
              <w:rPr>
                <w:rFonts w:ascii="Arial" w:cs="Arial" w:eastAsia="Arial" w:hAnsi="Arial"/>
                <w:sz w:val="11"/>
                <w:szCs w:val="11"/>
                <w:color w:val="auto"/>
                <w:w w:val="75"/>
              </w:rPr>
              <w:t>R</w:t>
            </w:r>
            <w:r>
              <w:rPr>
                <w:rFonts w:ascii="Arial" w:cs="Arial" w:eastAsia="Arial" w:hAnsi="Arial"/>
                <w:sz w:val="14"/>
                <w:szCs w:val="14"/>
                <w:color w:val="auto"/>
                <w:w w:val="75"/>
                <w:vertAlign w:val="superscript"/>
              </w:rPr>
              <w:t>2</w:t>
            </w:r>
          </w:p>
        </w:tc>
        <w:tc>
          <w:tcPr>
            <w:tcW w:w="2040" w:type="dxa"/>
            <w:vAlign w:val="bottom"/>
          </w:tcPr>
          <w:p>
            <w:pPr>
              <w:spacing w:after="0"/>
              <w:rPr>
                <w:sz w:val="20"/>
                <w:szCs w:val="20"/>
                <w:color w:val="auto"/>
              </w:rPr>
            </w:pPr>
            <w:r>
              <w:rPr>
                <w:rFonts w:ascii="Arial" w:cs="Arial" w:eastAsia="Arial" w:hAnsi="Arial"/>
                <w:sz w:val="11"/>
                <w:szCs w:val="11"/>
                <w:color w:val="auto"/>
              </w:rPr>
              <w:t>Conditional</w:t>
            </w:r>
          </w:p>
        </w:tc>
        <w:tc>
          <w:tcPr>
            <w:tcW w:w="940" w:type="dxa"/>
            <w:vAlign w:val="bottom"/>
            <w:gridSpan w:val="2"/>
          </w:tcPr>
          <w:p>
            <w:pPr>
              <w:spacing w:after="0"/>
              <w:rPr>
                <w:sz w:val="20"/>
                <w:szCs w:val="20"/>
                <w:color w:val="auto"/>
              </w:rPr>
            </w:pPr>
            <w:r>
              <w:rPr>
                <w:rFonts w:ascii="Arial" w:cs="Arial" w:eastAsia="Arial" w:hAnsi="Arial"/>
                <w:sz w:val="16"/>
                <w:szCs w:val="16"/>
                <w:color w:val="auto"/>
              </w:rPr>
              <w:t>57.66</w:t>
            </w: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360" w:type="dxa"/>
            <w:vAlign w:val="bottom"/>
            <w:gridSpan w:val="2"/>
          </w:tcPr>
          <w:p>
            <w:pPr>
              <w:ind w:left="400"/>
              <w:spacing w:after="0"/>
              <w:rPr>
                <w:sz w:val="20"/>
                <w:szCs w:val="20"/>
                <w:color w:val="auto"/>
              </w:rPr>
            </w:pPr>
            <w:r>
              <w:rPr>
                <w:rFonts w:ascii="Arial" w:cs="Arial" w:eastAsia="Arial" w:hAnsi="Arial"/>
                <w:sz w:val="16"/>
                <w:szCs w:val="16"/>
                <w:color w:val="auto"/>
              </w:rPr>
              <w:t>98.29</w:t>
            </w: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340" w:type="dxa"/>
            <w:vAlign w:val="bottom"/>
            <w:gridSpan w:val="2"/>
          </w:tcPr>
          <w:p>
            <w:pPr>
              <w:ind w:left="380"/>
              <w:spacing w:after="0"/>
              <w:rPr>
                <w:sz w:val="20"/>
                <w:szCs w:val="20"/>
                <w:color w:val="auto"/>
              </w:rPr>
            </w:pPr>
            <w:r>
              <w:rPr>
                <w:rFonts w:ascii="Arial" w:cs="Arial" w:eastAsia="Arial" w:hAnsi="Arial"/>
                <w:sz w:val="16"/>
                <w:szCs w:val="16"/>
                <w:color w:val="auto"/>
              </w:rPr>
              <w:t>99.92</w:t>
            </w:r>
          </w:p>
        </w:tc>
        <w:tc>
          <w:tcPr>
            <w:tcW w:w="740" w:type="dxa"/>
            <w:vAlign w:val="bottom"/>
          </w:tcPr>
          <w:p>
            <w:pPr>
              <w:spacing w:after="0"/>
              <w:rPr>
                <w:sz w:val="24"/>
                <w:szCs w:val="24"/>
                <w:color w:val="auto"/>
              </w:rPr>
            </w:pPr>
          </w:p>
        </w:tc>
        <w:tc>
          <w:tcPr>
            <w:tcW w:w="540" w:type="dxa"/>
            <w:vAlign w:val="bottom"/>
          </w:tcPr>
          <w:p>
            <w:pPr>
              <w:spacing w:after="0"/>
              <w:rPr>
                <w:sz w:val="24"/>
                <w:szCs w:val="24"/>
                <w:color w:val="auto"/>
              </w:rPr>
            </w:pPr>
          </w:p>
        </w:tc>
      </w:tr>
      <w:tr>
        <w:trPr>
          <w:trHeight w:val="25"/>
        </w:trPr>
        <w:tc>
          <w:tcPr>
            <w:tcW w:w="120" w:type="dxa"/>
            <w:vAlign w:val="bottom"/>
            <w:tcBorders>
              <w:bottom w:val="single" w:sz="8" w:color="131413"/>
            </w:tcBorders>
          </w:tcPr>
          <w:p>
            <w:pPr>
              <w:spacing w:after="0"/>
              <w:rPr>
                <w:sz w:val="2"/>
                <w:szCs w:val="2"/>
                <w:color w:val="auto"/>
              </w:rPr>
            </w:pPr>
          </w:p>
        </w:tc>
        <w:tc>
          <w:tcPr>
            <w:tcW w:w="2040" w:type="dxa"/>
            <w:vAlign w:val="bottom"/>
            <w:tcBorders>
              <w:bottom w:val="single" w:sz="8" w:color="131413"/>
            </w:tcBorders>
          </w:tcPr>
          <w:p>
            <w:pPr>
              <w:spacing w:after="0"/>
              <w:rPr>
                <w:sz w:val="2"/>
                <w:szCs w:val="2"/>
                <w:color w:val="auto"/>
              </w:rPr>
            </w:pPr>
          </w:p>
        </w:tc>
        <w:tc>
          <w:tcPr>
            <w:tcW w:w="280" w:type="dxa"/>
            <w:vAlign w:val="bottom"/>
            <w:tcBorders>
              <w:bottom w:val="single" w:sz="8" w:color="131413"/>
            </w:tcBorders>
          </w:tcPr>
          <w:p>
            <w:pPr>
              <w:spacing w:after="0"/>
              <w:rPr>
                <w:sz w:val="2"/>
                <w:szCs w:val="2"/>
                <w:color w:val="auto"/>
              </w:rPr>
            </w:pPr>
          </w:p>
        </w:tc>
        <w:tc>
          <w:tcPr>
            <w:tcW w:w="660" w:type="dxa"/>
            <w:vAlign w:val="bottom"/>
            <w:tcBorders>
              <w:bottom w:val="single" w:sz="8" w:color="131413"/>
            </w:tcBorders>
          </w:tcPr>
          <w:p>
            <w:pPr>
              <w:spacing w:after="0"/>
              <w:rPr>
                <w:sz w:val="2"/>
                <w:szCs w:val="2"/>
                <w:color w:val="auto"/>
              </w:rPr>
            </w:pPr>
          </w:p>
        </w:tc>
        <w:tc>
          <w:tcPr>
            <w:tcW w:w="740" w:type="dxa"/>
            <w:vAlign w:val="bottom"/>
            <w:tcBorders>
              <w:bottom w:val="single" w:sz="8" w:color="131413"/>
            </w:tcBorders>
          </w:tcPr>
          <w:p>
            <w:pPr>
              <w:spacing w:after="0"/>
              <w:rPr>
                <w:sz w:val="2"/>
                <w:szCs w:val="2"/>
                <w:color w:val="auto"/>
              </w:rPr>
            </w:pPr>
          </w:p>
        </w:tc>
        <w:tc>
          <w:tcPr>
            <w:tcW w:w="540" w:type="dxa"/>
            <w:vAlign w:val="bottom"/>
            <w:tcBorders>
              <w:bottom w:val="single" w:sz="8" w:color="131413"/>
            </w:tcBorders>
          </w:tcPr>
          <w:p>
            <w:pPr>
              <w:spacing w:after="0"/>
              <w:rPr>
                <w:sz w:val="2"/>
                <w:szCs w:val="2"/>
                <w:color w:val="auto"/>
              </w:rPr>
            </w:pPr>
          </w:p>
        </w:tc>
        <w:tc>
          <w:tcPr>
            <w:tcW w:w="400" w:type="dxa"/>
            <w:vAlign w:val="bottom"/>
            <w:tcBorders>
              <w:bottom w:val="single" w:sz="8" w:color="131413"/>
            </w:tcBorders>
          </w:tcPr>
          <w:p>
            <w:pPr>
              <w:spacing w:after="0"/>
              <w:rPr>
                <w:sz w:val="2"/>
                <w:szCs w:val="2"/>
                <w:color w:val="auto"/>
              </w:rPr>
            </w:pPr>
          </w:p>
        </w:tc>
        <w:tc>
          <w:tcPr>
            <w:tcW w:w="960" w:type="dxa"/>
            <w:vAlign w:val="bottom"/>
            <w:tcBorders>
              <w:bottom w:val="single" w:sz="8" w:color="131413"/>
            </w:tcBorders>
          </w:tcPr>
          <w:p>
            <w:pPr>
              <w:spacing w:after="0"/>
              <w:rPr>
                <w:sz w:val="2"/>
                <w:szCs w:val="2"/>
                <w:color w:val="auto"/>
              </w:rPr>
            </w:pPr>
          </w:p>
        </w:tc>
        <w:tc>
          <w:tcPr>
            <w:tcW w:w="740" w:type="dxa"/>
            <w:vAlign w:val="bottom"/>
            <w:tcBorders>
              <w:bottom w:val="single" w:sz="8" w:color="131413"/>
            </w:tcBorders>
          </w:tcPr>
          <w:p>
            <w:pPr>
              <w:spacing w:after="0"/>
              <w:rPr>
                <w:sz w:val="2"/>
                <w:szCs w:val="2"/>
                <w:color w:val="auto"/>
              </w:rPr>
            </w:pPr>
          </w:p>
        </w:tc>
        <w:tc>
          <w:tcPr>
            <w:tcW w:w="540" w:type="dxa"/>
            <w:vAlign w:val="bottom"/>
            <w:tcBorders>
              <w:bottom w:val="single" w:sz="8" w:color="131413"/>
            </w:tcBorders>
          </w:tcPr>
          <w:p>
            <w:pPr>
              <w:spacing w:after="0"/>
              <w:rPr>
                <w:sz w:val="2"/>
                <w:szCs w:val="2"/>
                <w:color w:val="auto"/>
              </w:rPr>
            </w:pPr>
          </w:p>
        </w:tc>
        <w:tc>
          <w:tcPr>
            <w:tcW w:w="380" w:type="dxa"/>
            <w:vAlign w:val="bottom"/>
            <w:tcBorders>
              <w:bottom w:val="single" w:sz="8" w:color="131413"/>
            </w:tcBorders>
          </w:tcPr>
          <w:p>
            <w:pPr>
              <w:spacing w:after="0"/>
              <w:rPr>
                <w:sz w:val="2"/>
                <w:szCs w:val="2"/>
                <w:color w:val="auto"/>
              </w:rPr>
            </w:pPr>
          </w:p>
        </w:tc>
        <w:tc>
          <w:tcPr>
            <w:tcW w:w="960" w:type="dxa"/>
            <w:vAlign w:val="bottom"/>
            <w:tcBorders>
              <w:bottom w:val="single" w:sz="8" w:color="131413"/>
            </w:tcBorders>
          </w:tcPr>
          <w:p>
            <w:pPr>
              <w:spacing w:after="0"/>
              <w:rPr>
                <w:sz w:val="2"/>
                <w:szCs w:val="2"/>
                <w:color w:val="auto"/>
              </w:rPr>
            </w:pPr>
          </w:p>
        </w:tc>
        <w:tc>
          <w:tcPr>
            <w:tcW w:w="740" w:type="dxa"/>
            <w:vAlign w:val="bottom"/>
            <w:tcBorders>
              <w:bottom w:val="single" w:sz="8" w:color="131413"/>
            </w:tcBorders>
          </w:tcPr>
          <w:p>
            <w:pPr>
              <w:spacing w:after="0"/>
              <w:rPr>
                <w:sz w:val="2"/>
                <w:szCs w:val="2"/>
                <w:color w:val="auto"/>
              </w:rPr>
            </w:pPr>
          </w:p>
        </w:tc>
        <w:tc>
          <w:tcPr>
            <w:tcW w:w="540" w:type="dxa"/>
            <w:vAlign w:val="bottom"/>
            <w:tcBorders>
              <w:bottom w:val="single" w:sz="8" w:color="131413"/>
            </w:tcBorders>
          </w:tcPr>
          <w:p>
            <w:pPr>
              <w:spacing w:after="0"/>
              <w:rPr>
                <w:sz w:val="2"/>
                <w:szCs w:val="2"/>
                <w:color w:val="auto"/>
              </w:rPr>
            </w:pPr>
          </w:p>
        </w:tc>
      </w:tr>
    </w:tbl>
    <w:p>
      <w:pPr>
        <w:spacing w:after="0" w:line="20" w:lineRule="exact"/>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mc:AlternateContent>
          <mc:Choice Requires="wps">
            <w:drawing>
              <wp:anchor simplePos="0" relativeHeight="251657728" behindDoc="1" locked="0" layoutInCell="0" allowOverlap="1">
                <wp:simplePos x="0" y="0"/>
                <wp:positionH relativeFrom="column">
                  <wp:posOffset>-10160</wp:posOffset>
                </wp:positionH>
                <wp:positionV relativeFrom="paragraph">
                  <wp:posOffset>-6985</wp:posOffset>
                </wp:positionV>
                <wp:extent cx="12065"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2159">
                          <a:solidFill>
                            <a:srgbClr val="131413"/>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7999pt,-0.5499pt" to="0.15pt,-0.5499pt" o:allowincell="f" strokecolor="#131413" strokeweight="0.17pt"/>
            </w:pict>
          </mc:Fallback>
        </mc:AlternateContent>
        <mc:AlternateContent>
          <mc:Choice Requires="wps">
            <w:drawing>
              <wp:anchor simplePos="0" relativeHeight="251657728" behindDoc="1" locked="0" layoutInCell="0" allowOverlap="1">
                <wp:simplePos x="0" y="0"/>
                <wp:positionH relativeFrom="column">
                  <wp:posOffset>-10160</wp:posOffset>
                </wp:positionH>
                <wp:positionV relativeFrom="paragraph">
                  <wp:posOffset>-2853690</wp:posOffset>
                </wp:positionV>
                <wp:extent cx="12065"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2159">
                          <a:solidFill>
                            <a:srgbClr val="131413"/>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7999pt,-224.6999pt" to="0.15pt,-224.6999pt" o:allowincell="f" strokecolor="#131413" strokeweight="0.17pt"/>
            </w:pict>
          </mc:Fallback>
        </mc:AlternateContent>
        <mc:AlternateContent>
          <mc:Choice Requires="wps">
            <w:drawing>
              <wp:anchor simplePos="0" relativeHeight="251657728" behindDoc="1" locked="0" layoutInCell="0" allowOverlap="1">
                <wp:simplePos x="0" y="0"/>
                <wp:positionH relativeFrom="column">
                  <wp:posOffset>1359535</wp:posOffset>
                </wp:positionH>
                <wp:positionV relativeFrom="paragraph">
                  <wp:posOffset>-2853690</wp:posOffset>
                </wp:positionV>
                <wp:extent cx="12700"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2159">
                          <a:solidFill>
                            <a:srgbClr val="131413"/>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7.05pt,-224.6999pt" to="108.05pt,-224.6999pt" o:allowincell="f" strokecolor="#131413" strokeweight="0.17pt"/>
            </w:pict>
          </mc:Fallback>
        </mc:AlternateContent>
        <mc:AlternateContent>
          <mc:Choice Requires="wps">
            <w:drawing>
              <wp:anchor simplePos="0" relativeHeight="251657728" behindDoc="1" locked="0" layoutInCell="0" allowOverlap="1">
                <wp:simplePos x="0" y="0"/>
                <wp:positionH relativeFrom="column">
                  <wp:posOffset>1359535</wp:posOffset>
                </wp:positionH>
                <wp:positionV relativeFrom="paragraph">
                  <wp:posOffset>-3021330</wp:posOffset>
                </wp:positionV>
                <wp:extent cx="12700"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2159">
                          <a:solidFill>
                            <a:srgbClr val="131413"/>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7.05pt,-237.8999pt" to="108.05pt,-237.8999pt" o:allowincell="f" strokecolor="#131413" strokeweight="0.17pt"/>
            </w:pict>
          </mc:Fallback>
        </mc:AlternateContent>
        <mc:AlternateContent>
          <mc:Choice Requires="wps">
            <w:drawing>
              <wp:anchor simplePos="0" relativeHeight="251657728" behindDoc="1" locked="0" layoutInCell="0" allowOverlap="1">
                <wp:simplePos x="0" y="0"/>
                <wp:positionH relativeFrom="column">
                  <wp:posOffset>3027680</wp:posOffset>
                </wp:positionH>
                <wp:positionV relativeFrom="paragraph">
                  <wp:posOffset>-3021330</wp:posOffset>
                </wp:positionV>
                <wp:extent cx="12700"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2159">
                          <a:solidFill>
                            <a:srgbClr val="131413"/>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8.4pt,-237.8999pt" to="239.4pt,-237.8999pt" o:allowincell="f" strokecolor="#131413" strokeweight="0.17pt"/>
            </w:pict>
          </mc:Fallback>
        </mc:AlternateContent>
        <mc:AlternateContent>
          <mc:Choice Requires="wps">
            <w:drawing>
              <wp:anchor simplePos="0" relativeHeight="251657728" behindDoc="1" locked="0" layoutInCell="0" allowOverlap="1">
                <wp:simplePos x="0" y="0"/>
                <wp:positionH relativeFrom="column">
                  <wp:posOffset>4697095</wp:posOffset>
                </wp:positionH>
                <wp:positionV relativeFrom="paragraph">
                  <wp:posOffset>-3021330</wp:posOffset>
                </wp:positionV>
                <wp:extent cx="12700" cy="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2159">
                          <a:solidFill>
                            <a:srgbClr val="131413"/>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9.85pt,-237.8999pt" to="370.85pt,-237.8999pt" o:allowincell="f" strokecolor="#131413" strokeweight="0.17pt"/>
            </w:pict>
          </mc:Fallback>
        </mc:AlternateContent>
        <mc:AlternateContent>
          <mc:Choice Requires="wps">
            <w:drawing>
              <wp:anchor simplePos="0" relativeHeight="251657728" behindDoc="1" locked="0" layoutInCell="0" allowOverlap="1">
                <wp:simplePos x="0" y="0"/>
                <wp:positionH relativeFrom="column">
                  <wp:posOffset>2562225</wp:posOffset>
                </wp:positionH>
                <wp:positionV relativeFrom="paragraph">
                  <wp:posOffset>-2853690</wp:posOffset>
                </wp:positionV>
                <wp:extent cx="12700"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2159">
                          <a:solidFill>
                            <a:srgbClr val="131413"/>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1.75pt,-224.6999pt" to="202.75pt,-224.6999pt" o:allowincell="f" strokecolor="#131413" strokeweight="0.17pt"/>
            </w:pict>
          </mc:Fallback>
        </mc:AlternateContent>
        <mc:AlternateContent>
          <mc:Choice Requires="wps">
            <w:drawing>
              <wp:anchor simplePos="0" relativeHeight="251657728" behindDoc="1" locked="0" layoutInCell="0" allowOverlap="1">
                <wp:simplePos x="0" y="0"/>
                <wp:positionH relativeFrom="column">
                  <wp:posOffset>3027680</wp:posOffset>
                </wp:positionH>
                <wp:positionV relativeFrom="paragraph">
                  <wp:posOffset>-2853690</wp:posOffset>
                </wp:positionV>
                <wp:extent cx="12700"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2159">
                          <a:solidFill>
                            <a:srgbClr val="131413"/>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8.4pt,-224.6999pt" to="239.4pt,-224.6999pt" o:allowincell="f" strokecolor="#131413" strokeweight="0.17pt"/>
            </w:pict>
          </mc:Fallback>
        </mc:AlternateContent>
        <mc:AlternateContent>
          <mc:Choice Requires="wps">
            <w:drawing>
              <wp:anchor simplePos="0" relativeHeight="251657728" behindDoc="1" locked="0" layoutInCell="0" allowOverlap="1">
                <wp:simplePos x="0" y="0"/>
                <wp:positionH relativeFrom="column">
                  <wp:posOffset>4230370</wp:posOffset>
                </wp:positionH>
                <wp:positionV relativeFrom="paragraph">
                  <wp:posOffset>-2853690</wp:posOffset>
                </wp:positionV>
                <wp:extent cx="12700"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2159">
                          <a:solidFill>
                            <a:srgbClr val="131413"/>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3.1pt,-224.6999pt" to="334.1pt,-224.6999pt" o:allowincell="f" strokecolor="#131413" strokeweight="0.17pt"/>
            </w:pict>
          </mc:Fallback>
        </mc:AlternateContent>
        <mc:AlternateContent>
          <mc:Choice Requires="wps">
            <w:drawing>
              <wp:anchor simplePos="0" relativeHeight="251657728" behindDoc="1" locked="0" layoutInCell="0" allowOverlap="1">
                <wp:simplePos x="0" y="0"/>
                <wp:positionH relativeFrom="column">
                  <wp:posOffset>5420360</wp:posOffset>
                </wp:positionH>
                <wp:positionV relativeFrom="paragraph">
                  <wp:posOffset>-2853690</wp:posOffset>
                </wp:positionV>
                <wp:extent cx="12700"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2159">
                          <a:solidFill>
                            <a:srgbClr val="131413"/>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26.8pt,-224.6999pt" to="427.8pt,-224.6999pt" o:allowincell="f" strokecolor="#131413" strokeweight="0.17pt"/>
            </w:pict>
          </mc:Fallback>
        </mc:AlternateContent>
        <mc:AlternateContent>
          <mc:Choice Requires="wps">
            <w:drawing>
              <wp:anchor simplePos="0" relativeHeight="251657728" behindDoc="1" locked="0" layoutInCell="0" allowOverlap="1">
                <wp:simplePos x="0" y="0"/>
                <wp:positionH relativeFrom="column">
                  <wp:posOffset>5898515</wp:posOffset>
                </wp:positionH>
                <wp:positionV relativeFrom="paragraph">
                  <wp:posOffset>-2853690</wp:posOffset>
                </wp:positionV>
                <wp:extent cx="12700" cy="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2159">
                          <a:solidFill>
                            <a:srgbClr val="131413"/>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4.45pt,-224.6999pt" to="465.45pt,-224.6999pt" o:allowincell="f" strokecolor="#131413" strokeweight="0.17pt"/>
            </w:pict>
          </mc:Fallback>
        </mc:AlternateContent>
      </w:r>
    </w:p>
    <w:p>
      <w:pPr>
        <w:sectPr>
          <w:pgSz w:w="11900" w:h="15817" w:orient="portrait"/>
          <w:cols w:equalWidth="0" w:num="1">
            <w:col w:w="9640"/>
          </w:cols>
          <w:pgMar w:left="1140" w:top="623" w:right="1126" w:bottom="605" w:gutter="0" w:footer="0" w:header="0"/>
          <w:type w:val="continuous"/>
        </w:sectPr>
      </w:pPr>
    </w:p>
    <w:p>
      <w:pPr>
        <w:spacing w:after="0" w:line="28" w:lineRule="exact"/>
        <w:rPr>
          <w:rFonts w:ascii="Times New Roman" w:cs="Times New Roman" w:eastAsia="Times New Roman" w:hAnsi="Times New Roman"/>
          <w:sz w:val="20"/>
          <w:szCs w:val="20"/>
          <w:color w:val="131413"/>
        </w:rPr>
      </w:pPr>
    </w:p>
    <w:p>
      <w:pPr>
        <w:ind w:right="4080"/>
        <w:spacing w:after="0" w:line="249" w:lineRule="auto"/>
        <w:rPr>
          <w:sz w:val="20"/>
          <w:szCs w:val="20"/>
          <w:color w:val="auto"/>
        </w:rPr>
      </w:pPr>
      <w:r>
        <w:rPr>
          <w:rFonts w:ascii="Arial" w:cs="Arial" w:eastAsia="Arial" w:hAnsi="Arial"/>
          <w:sz w:val="14"/>
          <w:szCs w:val="14"/>
          <w:color w:val="auto"/>
        </w:rPr>
        <w:t>Reference levels were Adult for age, Non-residents for residence status, and Women for gender est. estimates, se standard error, Z Z statistics, p. p value, - = non-significant terms Only terms of significant factors are shown</w:t>
      </w:r>
    </w:p>
    <w:p>
      <w:pPr>
        <w:sectPr>
          <w:pgSz w:w="11900" w:h="15817" w:orient="portrait"/>
          <w:cols w:equalWidth="0" w:num="1">
            <w:col w:w="9640"/>
          </w:cols>
          <w:pgMar w:left="1140" w:top="623" w:right="1126" w:bottom="605" w:gutter="0" w:footer="0" w:header="0"/>
          <w:type w:val="continuous"/>
        </w:sectPr>
      </w:pPr>
    </w:p>
    <w:bookmarkStart w:id="10" w:name="page11"/>
    <w:bookmarkEnd w:id="10"/>
    <w:p>
      <w:pPr>
        <w:spacing w:after="0"/>
        <w:tabs>
          <w:tab w:leader="none" w:pos="4380" w:val="left"/>
          <w:tab w:leader="none" w:pos="8680" w:val="left"/>
        </w:tabs>
        <w:rPr>
          <w:sz w:val="20"/>
          <w:szCs w:val="20"/>
          <w:color w:val="auto"/>
        </w:rPr>
      </w:pPr>
      <w:r>
        <w:rPr>
          <w:rFonts w:ascii="Arial" w:cs="Arial" w:eastAsia="Arial" w:hAnsi="Arial"/>
          <w:sz w:val="16"/>
          <w:szCs w:val="16"/>
          <w:color w:val="131413"/>
        </w:rPr>
        <w:t>Tiétiambou et al. Journal of Ethnobiology and Ethnomedicine</w:t>
      </w:r>
      <w:r>
        <w:rPr>
          <w:sz w:val="20"/>
          <w:szCs w:val="20"/>
          <w:color w:val="auto"/>
        </w:rPr>
        <w:tab/>
      </w:r>
      <w:r>
        <w:rPr>
          <w:rFonts w:ascii="Arial" w:cs="Arial" w:eastAsia="Arial" w:hAnsi="Arial"/>
          <w:sz w:val="16"/>
          <w:szCs w:val="16"/>
          <w:color w:val="131413"/>
        </w:rPr>
        <w:t>(2020) 16:43</w:t>
      </w:r>
      <w:r>
        <w:rPr>
          <w:sz w:val="20"/>
          <w:szCs w:val="20"/>
          <w:color w:val="auto"/>
        </w:rPr>
        <w:tab/>
      </w:r>
      <w:r>
        <w:rPr>
          <w:rFonts w:ascii="Arial" w:cs="Arial" w:eastAsia="Arial" w:hAnsi="Arial"/>
          <w:sz w:val="15"/>
          <w:szCs w:val="15"/>
          <w:color w:val="131413"/>
        </w:rPr>
        <w:t>Page 11 of 16</w:t>
      </w:r>
    </w:p>
    <w:p>
      <w:pPr>
        <w:sectPr>
          <w:pgSz w:w="11900" w:h="15817" w:orient="portrait"/>
          <w:cols w:equalWidth="0" w:num="1">
            <w:col w:w="9640"/>
          </w:cols>
          <w:pgMar w:left="1140" w:top="623" w:right="1126" w:bottom="57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jc w:val="both"/>
        <w:spacing w:after="0" w:line="24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mainly used for medicinal purposes whereas that from L. lanceolata is used for human food [</w:t>
      </w:r>
      <w:hyperlink w:anchor="page16">
        <w:r>
          <w:rPr>
            <w:rFonts w:ascii="Times New Roman" w:cs="Times New Roman" w:eastAsia="Times New Roman" w:hAnsi="Times New Roman"/>
            <w:sz w:val="20"/>
            <w:szCs w:val="20"/>
            <w:color w:val="0000FF"/>
          </w:rPr>
          <w:t>5</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57</w:t>
        </w:r>
      </w:hyperlink>
      <w:r>
        <w:rPr>
          <w:rFonts w:ascii="Times New Roman" w:cs="Times New Roman" w:eastAsia="Times New Roman" w:hAnsi="Times New Roman"/>
          <w:sz w:val="20"/>
          <w:szCs w:val="20"/>
          <w:color w:val="131413"/>
        </w:rPr>
        <w:t>]. Assuming that food species are often prioritized because food is one of the most important basic needs, it is likely that C. pro-cera receives fewer conservation actions compared to L. lanceolata. These results suggest that the willingness for better management of a species is primarily linked to species UV and its contribution to people livelihoods. Nonetheless, only a small proportion of informants actu-ally practiced a conservation action toward these two species, and no conservation effort was reported for P. butyracea. Lophira lanceolata is a savanna species, con-trary to the other two IOS which are gallery forest tree species. Because savannas are continuously cleared for farming and L. lanceolata is not listed as a priority spe-cies for special protection measures (Law No. 003-2011/ AN of Article 44 on the Forest Code in Burkina Faso), trees of these species are exposed to cutting during land clearing in many places [</w:t>
      </w:r>
      <w:hyperlink w:anchor="page16">
        <w:r>
          <w:rPr>
            <w:rFonts w:ascii="Times New Roman" w:cs="Times New Roman" w:eastAsia="Times New Roman" w:hAnsi="Times New Roman"/>
            <w:sz w:val="20"/>
            <w:szCs w:val="20"/>
            <w:color w:val="0000FF"/>
          </w:rPr>
          <w:t>58</w:t>
        </w:r>
      </w:hyperlink>
      <w:r>
        <w:rPr>
          <w:rFonts w:ascii="Times New Roman" w:cs="Times New Roman" w:eastAsia="Times New Roman" w:hAnsi="Times New Roman"/>
          <w:sz w:val="20"/>
          <w:szCs w:val="20"/>
          <w:color w:val="131413"/>
        </w:rPr>
        <w:t>], making it more vulnerable [</w:t>
      </w:r>
      <w:hyperlink w:anchor="page16">
        <w:r>
          <w:rPr>
            <w:rFonts w:ascii="Times New Roman" w:cs="Times New Roman" w:eastAsia="Times New Roman" w:hAnsi="Times New Roman"/>
            <w:sz w:val="20"/>
            <w:szCs w:val="20"/>
            <w:color w:val="0000FF"/>
          </w:rPr>
          <w:t>14</w:t>
        </w:r>
      </w:hyperlink>
      <w:r>
        <w:rPr>
          <w:rFonts w:ascii="Arial" w:cs="Arial" w:eastAsia="Arial" w:hAnsi="Arial"/>
          <w:sz w:val="20"/>
          <w:szCs w:val="20"/>
          <w:color w:val="131413"/>
        </w:rPr>
        <w:t>–</w:t>
      </w:r>
      <w:hyperlink w:anchor="page16">
        <w:r>
          <w:rPr>
            <w:rFonts w:ascii="Times New Roman" w:cs="Times New Roman" w:eastAsia="Times New Roman" w:hAnsi="Times New Roman"/>
            <w:sz w:val="20"/>
            <w:szCs w:val="20"/>
            <w:color w:val="0000FF"/>
          </w:rPr>
          <w:t>16</w:t>
        </w:r>
      </w:hyperlink>
      <w:r>
        <w:rPr>
          <w:rFonts w:ascii="Times New Roman" w:cs="Times New Roman" w:eastAsia="Times New Roman" w:hAnsi="Times New Roman"/>
          <w:sz w:val="20"/>
          <w:szCs w:val="20"/>
          <w:color w:val="131413"/>
        </w:rPr>
        <w:t>]. The fact that cultivation was not practiced for any of the species might be linked to lack of local sup-port for these species planting, and to some extent the lack of suitable management skills of these indigenous species, because most efforts were placed on exotic spe-cies [</w:t>
      </w:r>
      <w:hyperlink w:anchor="page16">
        <w:r>
          <w:rPr>
            <w:rFonts w:ascii="Times New Roman" w:cs="Times New Roman" w:eastAsia="Times New Roman" w:hAnsi="Times New Roman"/>
            <w:sz w:val="20"/>
            <w:szCs w:val="20"/>
            <w:color w:val="0000FF"/>
          </w:rPr>
          <w:t>19</w:t>
        </w:r>
      </w:hyperlink>
      <w:r>
        <w:rPr>
          <w:rFonts w:ascii="Times New Roman" w:cs="Times New Roman" w:eastAsia="Times New Roman" w:hAnsi="Times New Roman"/>
          <w:sz w:val="20"/>
          <w:szCs w:val="20"/>
          <w:color w:val="131413"/>
        </w:rPr>
        <w:t>].</w:t>
      </w:r>
    </w:p>
    <w:p>
      <w:pPr>
        <w:spacing w:after="0" w:line="33" w:lineRule="exact"/>
        <w:rPr>
          <w:rFonts w:ascii="Times New Roman" w:cs="Times New Roman" w:eastAsia="Times New Roman" w:hAnsi="Times New Roman"/>
          <w:sz w:val="20"/>
          <w:szCs w:val="20"/>
          <w:color w:val="131413"/>
        </w:rPr>
      </w:pPr>
    </w:p>
    <w:p>
      <w:pPr>
        <w:jc w:val="both"/>
        <w:ind w:firstLine="160"/>
        <w:spacing w:after="0" w:line="24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Local knowledge and preferences provide information that is useful for domestication programs. In particular, an understanding of whether local people are already select-ing materials among indigenous trees and the criteria lo-cally used in selecting them have an added value for the process. Our results suggest that irrespective of the IOS, oil quality was the primary local criterion for plus tree identification, followed by the oil yield at extraction. Qual-ity is an important factor in both commercialization and household self-consumption of oil [</w:t>
      </w:r>
      <w:hyperlink w:anchor="page16">
        <w:r>
          <w:rPr>
            <w:rFonts w:ascii="Times New Roman" w:cs="Times New Roman" w:eastAsia="Times New Roman" w:hAnsi="Times New Roman"/>
            <w:sz w:val="20"/>
            <w:szCs w:val="20"/>
            <w:color w:val="0000FF"/>
          </w:rPr>
          <w:t>59</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60</w:t>
        </w:r>
      </w:hyperlink>
      <w:r>
        <w:rPr>
          <w:rFonts w:ascii="Times New Roman" w:cs="Times New Roman" w:eastAsia="Times New Roman" w:hAnsi="Times New Roman"/>
          <w:sz w:val="20"/>
          <w:szCs w:val="20"/>
          <w:color w:val="131413"/>
        </w:rPr>
        <w:t>]. The preference based on oil quality can be explained by the fact that oils of the studied IOS are commonly used in cosmetics and human food and often in association with shea butter. For example, shea butter is often associated with C. procera oil in cosmetic treatments, whereas shea butter is associated with the butter of P. butyracea for human food consump-tion. For C. procera oil, quality is associated with oil bitter-ness (the more bitter, the better), and color (high clarity is desirable). Oil that is not of good quality can be linked to inadequate methods of seed storage and the processes of oil extraction, which are tightly linked to experience in the field. This is why oil extraction is commonly practiced by older informants than younger ones. This is consistent with observations by Gueye et al. [</w:t>
      </w:r>
      <w:hyperlink w:anchor="page16">
        <w:r>
          <w:rPr>
            <w:rFonts w:ascii="Times New Roman" w:cs="Times New Roman" w:eastAsia="Times New Roman" w:hAnsi="Times New Roman"/>
            <w:sz w:val="20"/>
            <w:szCs w:val="20"/>
            <w:color w:val="0000FF"/>
          </w:rPr>
          <w:t>11</w:t>
        </w:r>
      </w:hyperlink>
      <w:r>
        <w:rPr>
          <w:rFonts w:ascii="Times New Roman" w:cs="Times New Roman" w:eastAsia="Times New Roman" w:hAnsi="Times New Roman"/>
          <w:sz w:val="20"/>
          <w:szCs w:val="20"/>
          <w:color w:val="131413"/>
        </w:rPr>
        <w:t>] in Senegal and Rwanda, where older women had more practice and better knowledge of C. procera seed oil extraction than young-ster. For L. lanceolata and P. butyracea, quality is mostly associated with taste which is expected due to their food uses.</w:t>
      </w:r>
    </w:p>
    <w:p>
      <w:pPr>
        <w:spacing w:after="0" w:line="20" w:lineRule="exact"/>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br w:type="column"/>
      </w:r>
    </w:p>
    <w:p>
      <w:pPr>
        <w:spacing w:after="0" w:line="200" w:lineRule="exact"/>
        <w:rPr>
          <w:rFonts w:ascii="Times New Roman" w:cs="Times New Roman" w:eastAsia="Times New Roman" w:hAnsi="Times New Roman"/>
          <w:sz w:val="20"/>
          <w:szCs w:val="20"/>
          <w:color w:val="131413"/>
        </w:rPr>
      </w:pPr>
    </w:p>
    <w:p>
      <w:pPr>
        <w:spacing w:after="0" w:line="200" w:lineRule="exact"/>
        <w:rPr>
          <w:rFonts w:ascii="Times New Roman" w:cs="Times New Roman" w:eastAsia="Times New Roman" w:hAnsi="Times New Roman"/>
          <w:sz w:val="20"/>
          <w:szCs w:val="20"/>
          <w:color w:val="131413"/>
        </w:rPr>
      </w:pPr>
    </w:p>
    <w:p>
      <w:pPr>
        <w:spacing w:after="0" w:line="200" w:lineRule="exact"/>
        <w:rPr>
          <w:rFonts w:ascii="Times New Roman" w:cs="Times New Roman" w:eastAsia="Times New Roman" w:hAnsi="Times New Roman"/>
          <w:sz w:val="20"/>
          <w:szCs w:val="20"/>
          <w:color w:val="131413"/>
        </w:rPr>
      </w:pPr>
    </w:p>
    <w:p>
      <w:pPr>
        <w:spacing w:after="0" w:line="312" w:lineRule="exact"/>
        <w:rPr>
          <w:rFonts w:ascii="Times New Roman" w:cs="Times New Roman" w:eastAsia="Times New Roman" w:hAnsi="Times New Roman"/>
          <w:sz w:val="20"/>
          <w:szCs w:val="20"/>
          <w:color w:val="131413"/>
        </w:rPr>
      </w:pPr>
    </w:p>
    <w:p>
      <w:pPr>
        <w:ind w:right="60"/>
        <w:spacing w:after="0" w:line="275" w:lineRule="auto"/>
        <w:rPr>
          <w:sz w:val="20"/>
          <w:szCs w:val="20"/>
          <w:color w:val="auto"/>
        </w:rPr>
      </w:pPr>
      <w:r>
        <w:rPr>
          <w:rFonts w:ascii="Arial" w:cs="Arial" w:eastAsia="Arial" w:hAnsi="Arial"/>
          <w:sz w:val="18"/>
          <w:szCs w:val="18"/>
          <w:color w:val="131413"/>
        </w:rPr>
        <w:t>Socio-demographic factors associated with oil plant species preferences, conservation attitudes, and selection of “plus trees”</w:t>
      </w:r>
    </w:p>
    <w:p>
      <w:pPr>
        <w:jc w:val="both"/>
        <w:spacing w:after="0" w:line="248" w:lineRule="auto"/>
        <w:rPr>
          <w:sz w:val="20"/>
          <w:szCs w:val="20"/>
          <w:color w:val="auto"/>
        </w:rPr>
      </w:pPr>
      <w:r>
        <w:rPr>
          <w:rFonts w:ascii="Times New Roman" w:cs="Times New Roman" w:eastAsia="Times New Roman" w:hAnsi="Times New Roman"/>
          <w:sz w:val="20"/>
          <w:szCs w:val="20"/>
          <w:color w:val="131413"/>
        </w:rPr>
        <w:t>Although a species-specific pattern was observed, our re-sults support that informants</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age, gender, ethnic group, residence status, and geographical location (village) are important factors in understanding IOS preferences. Similar results were observed for conservation attitudes and the ability of informants to select plus trees based on seed traits.</w:t>
      </w:r>
    </w:p>
    <w:p>
      <w:pPr>
        <w:spacing w:after="0" w:line="15" w:lineRule="exact"/>
        <w:rPr>
          <w:rFonts w:ascii="Times New Roman" w:cs="Times New Roman" w:eastAsia="Times New Roman" w:hAnsi="Times New Roman"/>
          <w:sz w:val="20"/>
          <w:szCs w:val="20"/>
          <w:color w:val="131413"/>
        </w:rPr>
      </w:pPr>
    </w:p>
    <w:p>
      <w:pPr>
        <w:jc w:val="both"/>
        <w:ind w:firstLine="160"/>
        <w:spacing w:after="0" w:line="250"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Consistent with our prediction of a positive relation-ship between preferences and gender, women had a higher UV for C. procera than men. Similar results were reported for the shea butter, V. paradoxa, another multi-purpose IOS in Sub-Saharan Africa [</w:t>
      </w:r>
      <w:hyperlink w:anchor="page16">
        <w:r>
          <w:rPr>
            <w:rFonts w:ascii="Times New Roman" w:cs="Times New Roman" w:eastAsia="Times New Roman" w:hAnsi="Times New Roman"/>
            <w:sz w:val="20"/>
            <w:szCs w:val="20"/>
            <w:color w:val="0000FF"/>
          </w:rPr>
          <w:t>3</w:t>
        </w:r>
      </w:hyperlink>
      <w:r>
        <w:rPr>
          <w:rFonts w:ascii="Times New Roman" w:cs="Times New Roman" w:eastAsia="Times New Roman" w:hAnsi="Times New Roman"/>
          <w:sz w:val="20"/>
          <w:szCs w:val="20"/>
          <w:color w:val="131413"/>
        </w:rPr>
        <w:t>]. The gender-biased preference is often explained by the fact that men and women do not generally use forest resources in the same way [</w:t>
      </w:r>
      <w:hyperlink w:anchor="page16">
        <w:r>
          <w:rPr>
            <w:rFonts w:ascii="Times New Roman" w:cs="Times New Roman" w:eastAsia="Times New Roman" w:hAnsi="Times New Roman"/>
            <w:sz w:val="20"/>
            <w:szCs w:val="20"/>
            <w:color w:val="0000FF"/>
          </w:rPr>
          <w:t>61</w:t>
        </w:r>
      </w:hyperlink>
      <w:r>
        <w:rPr>
          <w:rFonts w:ascii="Times New Roman" w:cs="Times New Roman" w:eastAsia="Times New Roman" w:hAnsi="Times New Roman"/>
          <w:sz w:val="20"/>
          <w:szCs w:val="20"/>
          <w:color w:val="131413"/>
        </w:rPr>
        <w:t>]. Women are more specialized in the col-lection of nuts and seeds, and keener to provide the household with non-timber forest products [</w:t>
      </w:r>
      <w:hyperlink w:anchor="page16">
        <w:r>
          <w:rPr>
            <w:rFonts w:ascii="Times New Roman" w:cs="Times New Roman" w:eastAsia="Times New Roman" w:hAnsi="Times New Roman"/>
            <w:sz w:val="20"/>
            <w:szCs w:val="20"/>
            <w:color w:val="0000FF"/>
          </w:rPr>
          <w:t>3</w:t>
        </w:r>
      </w:hyperlink>
      <w:r>
        <w:rPr>
          <w:rFonts w:ascii="Times New Roman" w:cs="Times New Roman" w:eastAsia="Times New Roman" w:hAnsi="Times New Roman"/>
          <w:sz w:val="20"/>
          <w:szCs w:val="20"/>
          <w:color w:val="131413"/>
        </w:rPr>
        <w:t>]. As a result, women are expected to be more prone to the conservation of forest resources than men [</w:t>
      </w:r>
      <w:hyperlink w:anchor="page16">
        <w:r>
          <w:rPr>
            <w:rFonts w:ascii="Times New Roman" w:cs="Times New Roman" w:eastAsia="Times New Roman" w:hAnsi="Times New Roman"/>
            <w:sz w:val="20"/>
            <w:szCs w:val="20"/>
            <w:color w:val="0000FF"/>
          </w:rPr>
          <w:t>62</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63</w:t>
        </w:r>
      </w:hyperlink>
      <w:r>
        <w:rPr>
          <w:rFonts w:ascii="Times New Roman" w:cs="Times New Roman" w:eastAsia="Times New Roman" w:hAnsi="Times New Roman"/>
          <w:sz w:val="20"/>
          <w:szCs w:val="20"/>
          <w:color w:val="131413"/>
        </w:rPr>
        <w:t>]. Our results contrasted with this expectation for C. procera in Kénédougou province where men and women were equally involved in its conservation. However, we found a positive correlation between conservation attitudes and the existence of market opportunities for C. procera. This implies that the provision of market opportunities can lead to positive attitudes of local people toward the management of natural resources, as reported by N</w:t>
      </w:r>
      <w:r>
        <w:rPr>
          <w:rFonts w:ascii="Arial" w:cs="Arial" w:eastAsia="Arial" w:hAnsi="Arial"/>
          <w:sz w:val="20"/>
          <w:szCs w:val="20"/>
          <w:color w:val="131413"/>
        </w:rPr>
        <w:t>’</w:t>
      </w:r>
      <w:r>
        <w:rPr>
          <w:rFonts w:ascii="Times New Roman" w:cs="Times New Roman" w:eastAsia="Times New Roman" w:hAnsi="Times New Roman"/>
          <w:sz w:val="20"/>
          <w:szCs w:val="20"/>
          <w:color w:val="131413"/>
        </w:rPr>
        <w:t>Da-nikou et al. [</w:t>
      </w:r>
      <w:hyperlink w:anchor="page16">
        <w:r>
          <w:rPr>
            <w:rFonts w:ascii="Times New Roman" w:cs="Times New Roman" w:eastAsia="Times New Roman" w:hAnsi="Times New Roman"/>
            <w:sz w:val="20"/>
            <w:szCs w:val="20"/>
            <w:color w:val="0000FF"/>
          </w:rPr>
          <w:t>30</w:t>
        </w:r>
      </w:hyperlink>
      <w:r>
        <w:rPr>
          <w:rFonts w:ascii="Times New Roman" w:cs="Times New Roman" w:eastAsia="Times New Roman" w:hAnsi="Times New Roman"/>
          <w:sz w:val="20"/>
          <w:szCs w:val="20"/>
          <w:color w:val="131413"/>
        </w:rPr>
        <w:t>] in Benin for Vitex doniana and Akinni-fesi et al. [</w:t>
      </w:r>
      <w:hyperlink w:anchor="page16">
        <w:r>
          <w:rPr>
            <w:rFonts w:ascii="Times New Roman" w:cs="Times New Roman" w:eastAsia="Times New Roman" w:hAnsi="Times New Roman"/>
            <w:sz w:val="20"/>
            <w:szCs w:val="20"/>
            <w:color w:val="0000FF"/>
          </w:rPr>
          <w:t>64</w:t>
        </w:r>
      </w:hyperlink>
      <w:r>
        <w:rPr>
          <w:rFonts w:ascii="Times New Roman" w:cs="Times New Roman" w:eastAsia="Times New Roman" w:hAnsi="Times New Roman"/>
          <w:sz w:val="20"/>
          <w:szCs w:val="20"/>
          <w:color w:val="131413"/>
        </w:rPr>
        <w:t>] in southern Africa for Miombo indigenous fruit trees. Provision of market opportunities has also been suggested as a key action for the sustainable man-agement of trees, tree genetic resources, and the liveli-hoods of rural communities [</w:t>
      </w:r>
      <w:hyperlink w:anchor="page16">
        <w:r>
          <w:rPr>
            <w:rFonts w:ascii="Times New Roman" w:cs="Times New Roman" w:eastAsia="Times New Roman" w:hAnsi="Times New Roman"/>
            <w:sz w:val="20"/>
            <w:szCs w:val="20"/>
            <w:color w:val="0000FF"/>
          </w:rPr>
          <w:t>65</w:t>
        </w:r>
      </w:hyperlink>
      <w:r>
        <w:rPr>
          <w:rFonts w:ascii="Times New Roman" w:cs="Times New Roman" w:eastAsia="Times New Roman" w:hAnsi="Times New Roman"/>
          <w:sz w:val="20"/>
          <w:szCs w:val="20"/>
          <w:color w:val="131413"/>
        </w:rPr>
        <w:t>]. The economic incentives resulting from the rising demand for the oil of C. procera have brought local people to implement some preservation actions including ANR and the banning of tree cutting. An additional reason for this positive con-servation attitude might be linked to the sharp decline of gallery forest areas [</w:t>
      </w:r>
      <w:hyperlink w:anchor="page16">
        <w:r>
          <w:rPr>
            <w:rFonts w:ascii="Times New Roman" w:cs="Times New Roman" w:eastAsia="Times New Roman" w:hAnsi="Times New Roman"/>
            <w:sz w:val="20"/>
            <w:szCs w:val="20"/>
            <w:color w:val="0000FF"/>
          </w:rPr>
          <w:t>66</w:t>
        </w:r>
      </w:hyperlink>
      <w:r>
        <w:rPr>
          <w:rFonts w:ascii="Times New Roman" w:cs="Times New Roman" w:eastAsia="Times New Roman" w:hAnsi="Times New Roman"/>
          <w:sz w:val="20"/>
          <w:szCs w:val="20"/>
          <w:color w:val="131413"/>
        </w:rPr>
        <w:t>], which has resulted in a regres-sion of the species natural populations during recent years. Therefore, to protect their environment and fight against the shrinkage of the stream bed, rural communi-ties are becoming more involved in species management actions. Sustainable management of wild species is a participation-driven process in which different forest re-sources users and stakeholders are involved. Once the priority species have been identified, another important step is to select individual trees that meet the criteria sought by local communities, because they are the cen-tral stakeholders. In the case of C. procera, informants orient their selection toward trees that give good oil</w:t>
      </w:r>
    </w:p>
    <w:p>
      <w:pPr>
        <w:sectPr>
          <w:pgSz w:w="11900" w:h="15817" w:orient="portrait"/>
          <w:cols w:equalWidth="0" w:num="2">
            <w:col w:w="4680" w:space="280"/>
            <w:col w:w="4680"/>
          </w:cols>
          <w:pgMar w:left="1140" w:top="623" w:right="1126" w:bottom="576" w:gutter="0" w:footer="0" w:header="0"/>
          <w:type w:val="continuous"/>
        </w:sectPr>
      </w:pPr>
    </w:p>
    <w:bookmarkStart w:id="11" w:name="page12"/>
    <w:bookmarkEnd w:id="11"/>
    <w:p>
      <w:pPr>
        <w:ind w:left="6"/>
        <w:spacing w:after="0"/>
        <w:tabs>
          <w:tab w:leader="none" w:pos="4386" w:val="left"/>
          <w:tab w:leader="none" w:pos="8686" w:val="left"/>
        </w:tabs>
        <w:rPr>
          <w:sz w:val="20"/>
          <w:szCs w:val="20"/>
          <w:color w:val="auto"/>
        </w:rPr>
      </w:pPr>
      <w:r>
        <w:rPr>
          <w:rFonts w:ascii="Arial" w:cs="Arial" w:eastAsia="Arial" w:hAnsi="Arial"/>
          <w:sz w:val="16"/>
          <w:szCs w:val="16"/>
          <w:color w:val="131413"/>
        </w:rPr>
        <w:t>Tiétiambou et al. Journal of Ethnobiology and Ethnomedicine</w:t>
      </w:r>
      <w:r>
        <w:rPr>
          <w:sz w:val="20"/>
          <w:szCs w:val="20"/>
          <w:color w:val="auto"/>
        </w:rPr>
        <w:tab/>
      </w:r>
      <w:r>
        <w:rPr>
          <w:rFonts w:ascii="Arial" w:cs="Arial" w:eastAsia="Arial" w:hAnsi="Arial"/>
          <w:sz w:val="16"/>
          <w:szCs w:val="16"/>
          <w:color w:val="131413"/>
        </w:rPr>
        <w:t>(2020) 16:43</w:t>
      </w:r>
      <w:r>
        <w:rPr>
          <w:sz w:val="20"/>
          <w:szCs w:val="20"/>
          <w:color w:val="auto"/>
        </w:rPr>
        <w:tab/>
      </w:r>
      <w:r>
        <w:rPr>
          <w:rFonts w:ascii="Arial" w:cs="Arial" w:eastAsia="Arial" w:hAnsi="Arial"/>
          <w:sz w:val="15"/>
          <w:szCs w:val="15"/>
          <w:color w:val="131413"/>
        </w:rPr>
        <w:t>Page 12 of 16</w:t>
      </w:r>
    </w:p>
    <w:p>
      <w:pPr>
        <w:sectPr>
          <w:pgSz w:w="11900" w:h="15817" w:orient="portrait"/>
          <w:cols w:equalWidth="0" w:num="1">
            <w:col w:w="9646"/>
          </w:cols>
          <w:pgMar w:left="1134" w:top="623" w:right="1126" w:bottom="57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jc w:val="both"/>
        <w:ind w:left="6"/>
        <w:spacing w:after="0" w:line="250"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quality and to a lesser extent high oil yield at extraction. As predicted, we found that people with better conserva-tion attitudes were more likely to identify plus trees, but based on high oil productivity rather than good oil qual-ity. Similarly, the higher the actual UV, the more likely the informant was to select trees based on good oil qual-ity. Surprisingly, we did not find evidence that women were more likely to identify plus trees compared to men, but our results support the prediction of a positive rela-tionship of age and residence status with aptitude to se-lect plus trees. The result that men were more likely than women to identify good oil quality tree can be ex-plained by the fact that in Kénédougou province and elsewhere in Burkina Faso especially for the Toussian ethnic group, (i) men often consume the nut of C. pro-cera as a bitter kola when drinking </w:t>
      </w:r>
      <w:r>
        <w:rPr>
          <w:rFonts w:ascii="Arial" w:cs="Arial" w:eastAsia="Arial" w:hAnsi="Arial"/>
          <w:sz w:val="20"/>
          <w:szCs w:val="20"/>
          <w:color w:val="131413"/>
        </w:rPr>
        <w:t>“</w:t>
      </w:r>
      <w:r>
        <w:rPr>
          <w:rFonts w:ascii="Times New Roman" w:cs="Times New Roman" w:eastAsia="Times New Roman" w:hAnsi="Times New Roman"/>
          <w:sz w:val="20"/>
          <w:szCs w:val="20"/>
          <w:color w:val="131413"/>
        </w:rPr>
        <w:t>Dodo,</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a fermented drink based on cereals (e.g., sorghum), and (ii) men often use the nuts of C. procera for magico-religious purposes in traditional medicine [</w:t>
      </w:r>
      <w:hyperlink w:anchor="page16">
        <w:r>
          <w:rPr>
            <w:rFonts w:ascii="Times New Roman" w:cs="Times New Roman" w:eastAsia="Times New Roman" w:hAnsi="Times New Roman"/>
            <w:sz w:val="20"/>
            <w:szCs w:val="20"/>
            <w:color w:val="0000FF"/>
          </w:rPr>
          <w:t>43</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57</w:t>
        </w:r>
      </w:hyperlink>
      <w:r>
        <w:rPr>
          <w:rFonts w:ascii="Times New Roman" w:cs="Times New Roman" w:eastAsia="Times New Roman" w:hAnsi="Times New Roman"/>
          <w:sz w:val="20"/>
          <w:szCs w:val="20"/>
          <w:color w:val="131413"/>
        </w:rPr>
        <w:t xml:space="preserve">]. These com-mon uses are likely to make the men very familiar with the quality of the species nuts and its oil. However, the findings that men, adult and old, and indigenous infor-mants were more likely than women, young, and non-resident informants to identify good oil quality trees sug-gests that these social categories are of high importance for the selection of germplasm for breeding or genetic improvement of C. procera in Kénédougou province. Our results for C. procera did not support either the hy-pothesis of a positive relationship of informant age and residence status with the species UV, or the expectation of differences among ethnic groups (final model after variable selection, see Table </w:t>
      </w:r>
      <w:hyperlink w:anchor="page16">
        <w:r>
          <w:rPr>
            <w:rFonts w:ascii="Times New Roman" w:cs="Times New Roman" w:eastAsia="Times New Roman" w:hAnsi="Times New Roman"/>
            <w:sz w:val="20"/>
            <w:szCs w:val="20"/>
            <w:color w:val="0000FF"/>
          </w:rPr>
          <w:t>1</w:t>
        </w:r>
      </w:hyperlink>
      <w:r>
        <w:rPr>
          <w:rFonts w:ascii="Times New Roman" w:cs="Times New Roman" w:eastAsia="Times New Roman" w:hAnsi="Times New Roman"/>
          <w:sz w:val="20"/>
          <w:szCs w:val="20"/>
          <w:color w:val="131413"/>
        </w:rPr>
        <w:t>). This might be partly at-tributed to the fact that the species is relatively wide-spread and familiar to communities such that everyone knows and uses it [</w:t>
      </w:r>
      <w:hyperlink w:anchor="page16">
        <w:r>
          <w:rPr>
            <w:rFonts w:ascii="Times New Roman" w:cs="Times New Roman" w:eastAsia="Times New Roman" w:hAnsi="Times New Roman"/>
            <w:sz w:val="20"/>
            <w:szCs w:val="20"/>
            <w:color w:val="0000FF"/>
          </w:rPr>
          <w:t>67</w:t>
        </w:r>
      </w:hyperlink>
      <w:r>
        <w:rPr>
          <w:rFonts w:ascii="Times New Roman" w:cs="Times New Roman" w:eastAsia="Times New Roman" w:hAnsi="Times New Roman"/>
          <w:sz w:val="20"/>
          <w:szCs w:val="20"/>
          <w:color w:val="131413"/>
        </w:rPr>
        <w:t xml:space="preserve">]. Among the three IOS, C. procera was actually the most common gallery forest species in the area and the most valorized. This absence of a differ-ence among ethnic groups might also be linked to the fact that we did not look at specific uses for which quali-tative differences among ethnic groups can arise, or that the effect of ethnic group was confounded with another factor (e.g., village) as the univariate test showed signifi-cant variation among ethnic groups (see Fig. </w:t>
      </w:r>
      <w:hyperlink w:anchor="page16">
        <w:r>
          <w:rPr>
            <w:rFonts w:ascii="Times New Roman" w:cs="Times New Roman" w:eastAsia="Times New Roman" w:hAnsi="Times New Roman"/>
            <w:sz w:val="20"/>
            <w:szCs w:val="20"/>
            <w:color w:val="0000FF"/>
          </w:rPr>
          <w:t>4</w:t>
        </w:r>
      </w:hyperlink>
      <w:r>
        <w:rPr>
          <w:rFonts w:ascii="Times New Roman" w:cs="Times New Roman" w:eastAsia="Times New Roman" w:hAnsi="Times New Roman"/>
          <w:sz w:val="20"/>
          <w:szCs w:val="20"/>
          <w:color w:val="131413"/>
        </w:rPr>
        <w:t>).</w:t>
      </w:r>
    </w:p>
    <w:p>
      <w:pPr>
        <w:spacing w:after="0" w:line="17" w:lineRule="exact"/>
        <w:rPr>
          <w:rFonts w:ascii="Times New Roman" w:cs="Times New Roman" w:eastAsia="Times New Roman" w:hAnsi="Times New Roman"/>
          <w:sz w:val="20"/>
          <w:szCs w:val="20"/>
          <w:color w:val="131413"/>
        </w:rPr>
      </w:pPr>
    </w:p>
    <w:p>
      <w:pPr>
        <w:jc w:val="both"/>
        <w:ind w:left="6" w:firstLine="160"/>
        <w:spacing w:after="0" w:line="246" w:lineRule="auto"/>
        <w:rPr>
          <w:sz w:val="20"/>
          <w:szCs w:val="20"/>
          <w:color w:val="auto"/>
        </w:rPr>
      </w:pPr>
      <w:r>
        <w:rPr>
          <w:rFonts w:ascii="Times New Roman" w:cs="Times New Roman" w:eastAsia="Times New Roman" w:hAnsi="Times New Roman"/>
          <w:sz w:val="20"/>
          <w:szCs w:val="20"/>
          <w:color w:val="131413"/>
        </w:rPr>
        <w:t>Similar to C. procera, P. butyracea is a specie that grows naturally in gallery forests of semi-arid areas and is subject to the same threats</w:t>
      </w:r>
      <w:r>
        <w:rPr>
          <w:rFonts w:ascii="Arial" w:cs="Arial" w:eastAsia="Arial" w:hAnsi="Arial"/>
          <w:sz w:val="20"/>
          <w:szCs w:val="20"/>
          <w:color w:val="131413"/>
        </w:rPr>
        <w:t>—</w:t>
      </w:r>
      <w:r>
        <w:rPr>
          <w:rFonts w:ascii="Times New Roman" w:cs="Times New Roman" w:eastAsia="Times New Roman" w:hAnsi="Times New Roman"/>
          <w:sz w:val="20"/>
          <w:szCs w:val="20"/>
          <w:color w:val="131413"/>
        </w:rPr>
        <w:t>shrinking of natural habi-tats resulting from the expansion of agriculture land</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and has a relatively restricted distribution compared to</w:t>
      </w:r>
    </w:p>
    <w:p>
      <w:pPr>
        <w:spacing w:after="0" w:line="19" w:lineRule="exact"/>
        <w:rPr>
          <w:rFonts w:ascii="Times New Roman" w:cs="Times New Roman" w:eastAsia="Times New Roman" w:hAnsi="Times New Roman"/>
          <w:sz w:val="20"/>
          <w:szCs w:val="20"/>
          <w:color w:val="131413"/>
        </w:rPr>
      </w:pPr>
    </w:p>
    <w:p>
      <w:pPr>
        <w:jc w:val="both"/>
        <w:ind w:left="6" w:hanging="6"/>
        <w:spacing w:after="0" w:line="247" w:lineRule="auto"/>
        <w:tabs>
          <w:tab w:leader="none" w:pos="269" w:val="left"/>
        </w:tabs>
        <w:numPr>
          <w:ilvl w:val="0"/>
          <w:numId w:val="3"/>
        </w:numPr>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procera [</w:t>
      </w:r>
      <w:hyperlink w:anchor="page16">
        <w:r>
          <w:rPr>
            <w:rFonts w:ascii="Times New Roman" w:cs="Times New Roman" w:eastAsia="Times New Roman" w:hAnsi="Times New Roman"/>
            <w:sz w:val="20"/>
            <w:szCs w:val="20"/>
            <w:color w:val="0000FF"/>
          </w:rPr>
          <w:t>4</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6</w:t>
        </w:r>
      </w:hyperlink>
      <w:r>
        <w:rPr>
          <w:rFonts w:ascii="Times New Roman" w:cs="Times New Roman" w:eastAsia="Times New Roman" w:hAnsi="Times New Roman"/>
          <w:sz w:val="20"/>
          <w:szCs w:val="20"/>
          <w:color w:val="131413"/>
        </w:rPr>
        <w:t xml:space="preserve">, </w:t>
      </w:r>
      <w:hyperlink w:anchor="page16">
        <w:r>
          <w:rPr>
            <w:rFonts w:ascii="Times New Roman" w:cs="Times New Roman" w:eastAsia="Times New Roman" w:hAnsi="Times New Roman"/>
            <w:sz w:val="20"/>
            <w:szCs w:val="20"/>
            <w:color w:val="0000FF"/>
          </w:rPr>
          <w:t>14</w:t>
        </w:r>
      </w:hyperlink>
      <w:r>
        <w:rPr>
          <w:rFonts w:ascii="Times New Roman" w:cs="Times New Roman" w:eastAsia="Times New Roman" w:hAnsi="Times New Roman"/>
          <w:sz w:val="20"/>
          <w:szCs w:val="20"/>
          <w:color w:val="131413"/>
        </w:rPr>
        <w:t>]. However, contrary to C. procera, our results for P. butyracea support the prediction of a positive relationship of IOS UV and resident status: indi-genous informants had higher UV compared to non-residents. Many parts of the species are exploited for medicinal purposes, especially by indigenous people.</w:t>
      </w:r>
    </w:p>
    <w:p>
      <w:pPr>
        <w:spacing w:after="0" w:line="20" w:lineRule="exact"/>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br w:type="column"/>
      </w:r>
    </w:p>
    <w:p>
      <w:pPr>
        <w:spacing w:after="0" w:line="200" w:lineRule="exact"/>
        <w:rPr>
          <w:rFonts w:ascii="Times New Roman" w:cs="Times New Roman" w:eastAsia="Times New Roman" w:hAnsi="Times New Roman"/>
          <w:sz w:val="20"/>
          <w:szCs w:val="20"/>
          <w:color w:val="131413"/>
        </w:rPr>
      </w:pPr>
    </w:p>
    <w:p>
      <w:pPr>
        <w:spacing w:after="0" w:line="200" w:lineRule="exact"/>
        <w:rPr>
          <w:rFonts w:ascii="Times New Roman" w:cs="Times New Roman" w:eastAsia="Times New Roman" w:hAnsi="Times New Roman"/>
          <w:sz w:val="20"/>
          <w:szCs w:val="20"/>
          <w:color w:val="131413"/>
        </w:rPr>
      </w:pPr>
    </w:p>
    <w:p>
      <w:pPr>
        <w:spacing w:after="0" w:line="200" w:lineRule="exact"/>
        <w:rPr>
          <w:rFonts w:ascii="Times New Roman" w:cs="Times New Roman" w:eastAsia="Times New Roman" w:hAnsi="Times New Roman"/>
          <w:sz w:val="20"/>
          <w:szCs w:val="20"/>
          <w:color w:val="131413"/>
        </w:rPr>
      </w:pPr>
    </w:p>
    <w:p>
      <w:pPr>
        <w:spacing w:after="0" w:line="304" w:lineRule="exact"/>
        <w:rPr>
          <w:rFonts w:ascii="Times New Roman" w:cs="Times New Roman" w:eastAsia="Times New Roman" w:hAnsi="Times New Roman"/>
          <w:sz w:val="20"/>
          <w:szCs w:val="20"/>
          <w:color w:val="131413"/>
        </w:rPr>
      </w:pPr>
    </w:p>
    <w:p>
      <w:pPr>
        <w:jc w:val="both"/>
        <w:spacing w:after="0" w:line="24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The reason why indigenous informants had higher actual UV can be explained by the relatively limited access to habitats of the species in Kénédougou province. Indeed, gallery forests consist of dense vegetation and sometimes shelter ritual sites with access restricted to local </w:t>
      </w:r>
      <w:r>
        <w:rPr>
          <w:rFonts w:ascii="Arial" w:cs="Arial" w:eastAsia="Arial" w:hAnsi="Arial"/>
          <w:sz w:val="20"/>
          <w:szCs w:val="20"/>
          <w:color w:val="131413"/>
        </w:rPr>
        <w:t>“</w:t>
      </w:r>
      <w:r>
        <w:rPr>
          <w:rFonts w:ascii="Times New Roman" w:cs="Times New Roman" w:eastAsia="Times New Roman" w:hAnsi="Times New Roman"/>
          <w:sz w:val="20"/>
          <w:szCs w:val="20"/>
          <w:color w:val="131413"/>
        </w:rPr>
        <w:t>Dozo</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healers and hunters, native to the villages [</w:t>
      </w:r>
      <w:hyperlink w:anchor="page16">
        <w:r>
          <w:rPr>
            <w:rFonts w:ascii="Times New Roman" w:cs="Times New Roman" w:eastAsia="Times New Roman" w:hAnsi="Times New Roman"/>
            <w:sz w:val="20"/>
            <w:szCs w:val="20"/>
            <w:color w:val="0000FF"/>
          </w:rPr>
          <w:t>68</w:t>
        </w:r>
      </w:hyperlink>
      <w:r>
        <w:rPr>
          <w:rFonts w:ascii="Times New Roman" w:cs="Times New Roman" w:eastAsia="Times New Roman" w:hAnsi="Times New Roman"/>
          <w:sz w:val="20"/>
          <w:szCs w:val="20"/>
          <w:color w:val="131413"/>
        </w:rPr>
        <w:t>]. These in-digenous people should have an interest in conserving the resources, but this was not the case for P. butyracea in Kénédougou. This might be linked to the scarcity of the species [</w:t>
      </w:r>
      <w:hyperlink w:anchor="page16">
        <w:r>
          <w:rPr>
            <w:rFonts w:ascii="Times New Roman" w:cs="Times New Roman" w:eastAsia="Times New Roman" w:hAnsi="Times New Roman"/>
            <w:sz w:val="20"/>
            <w:szCs w:val="20"/>
            <w:color w:val="0000FF"/>
          </w:rPr>
          <w:t>4</w:t>
        </w:r>
      </w:hyperlink>
      <w:r>
        <w:rPr>
          <w:rFonts w:ascii="Times New Roman" w:cs="Times New Roman" w:eastAsia="Times New Roman" w:hAnsi="Times New Roman"/>
          <w:sz w:val="20"/>
          <w:szCs w:val="20"/>
          <w:color w:val="131413"/>
        </w:rPr>
        <w:t>] in addition to the lack of marketing op-portunities for its products in Kénédougou province. This lack of market opportunities might partly explain why this factor was not significant for any of the three response variables (preferences, conservation attitudes, and aptitude to select plus trees) for this species. Con-sistent with our prediction, we also found a positive rela-tionship of ability to identify plus trees of P. butyracea with the informants</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UV of the species, residence status, and age as found for C. procera but with a different in-tensity (see the coefficients, Table </w:t>
      </w:r>
      <w:hyperlink w:anchor="page16">
        <w:r>
          <w:rPr>
            <w:rFonts w:ascii="Times New Roman" w:cs="Times New Roman" w:eastAsia="Times New Roman" w:hAnsi="Times New Roman"/>
            <w:sz w:val="20"/>
            <w:szCs w:val="20"/>
            <w:color w:val="0000FF"/>
          </w:rPr>
          <w:t>3</w:t>
        </w:r>
      </w:hyperlink>
      <w:r>
        <w:rPr>
          <w:rFonts w:ascii="Times New Roman" w:cs="Times New Roman" w:eastAsia="Times New Roman" w:hAnsi="Times New Roman"/>
          <w:sz w:val="20"/>
          <w:szCs w:val="20"/>
          <w:color w:val="131413"/>
        </w:rPr>
        <w:t>). The indigenous community mostly used the criterion of oil quality in selecting trees for seed collection [</w:t>
      </w:r>
      <w:hyperlink w:anchor="page16">
        <w:r>
          <w:rPr>
            <w:rFonts w:ascii="Times New Roman" w:cs="Times New Roman" w:eastAsia="Times New Roman" w:hAnsi="Times New Roman"/>
            <w:sz w:val="20"/>
            <w:szCs w:val="20"/>
            <w:color w:val="0000FF"/>
          </w:rPr>
          <w:t>68</w:t>
        </w:r>
      </w:hyperlink>
      <w:r>
        <w:rPr>
          <w:rFonts w:ascii="Times New Roman" w:cs="Times New Roman" w:eastAsia="Times New Roman" w:hAnsi="Times New Roman"/>
          <w:sz w:val="20"/>
          <w:szCs w:val="20"/>
          <w:color w:val="131413"/>
        </w:rPr>
        <w:t>]. This knowledge was certainly acquired from their ancestors who used local oils for traditional pharmacopeia, food, and cultural rites. No effect of gender was detected for informants</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ability to select plus trees based on the criterion of good oil quality, suggesting that both men and women con-tributed equally in identifying trees producing good oil quality. The lack of differences between men and women regarding this ability might be linked to the fact that the species is less used (lower UV) and that women are not specialized in the production of this species</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seed oil.</w:t>
      </w:r>
    </w:p>
    <w:p>
      <w:pPr>
        <w:spacing w:after="0" w:line="41" w:lineRule="exact"/>
        <w:rPr>
          <w:rFonts w:ascii="Times New Roman" w:cs="Times New Roman" w:eastAsia="Times New Roman" w:hAnsi="Times New Roman"/>
          <w:sz w:val="20"/>
          <w:szCs w:val="20"/>
          <w:color w:val="131413"/>
        </w:rPr>
      </w:pPr>
    </w:p>
    <w:p>
      <w:pPr>
        <w:jc w:val="both"/>
        <w:ind w:firstLine="160"/>
        <w:spacing w:after="0" w:line="24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Our predictions of positive relationships between in-formants</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preference and their gender, age, and resident status and differences among ethnic groups proved true for L. lanceolata (see Fig. </w:t>
      </w:r>
      <w:hyperlink w:anchor="page16">
        <w:r>
          <w:rPr>
            <w:rFonts w:ascii="Times New Roman" w:cs="Times New Roman" w:eastAsia="Times New Roman" w:hAnsi="Times New Roman"/>
            <w:sz w:val="20"/>
            <w:szCs w:val="20"/>
            <w:color w:val="0000FF"/>
          </w:rPr>
          <w:t>4</w:t>
        </w:r>
      </w:hyperlink>
      <w:r>
        <w:rPr>
          <w:rFonts w:ascii="Times New Roman" w:cs="Times New Roman" w:eastAsia="Times New Roman" w:hAnsi="Times New Roman"/>
          <w:sz w:val="20"/>
          <w:szCs w:val="20"/>
          <w:color w:val="131413"/>
        </w:rPr>
        <w:t xml:space="preserve">), although the effect of resi-dence status became insignificant when including mul-tiple variables in the model (see Table </w:t>
      </w:r>
      <w:hyperlink w:anchor="page16">
        <w:r>
          <w:rPr>
            <w:rFonts w:ascii="Times New Roman" w:cs="Times New Roman" w:eastAsia="Times New Roman" w:hAnsi="Times New Roman"/>
            <w:sz w:val="20"/>
            <w:szCs w:val="20"/>
            <w:color w:val="0000FF"/>
          </w:rPr>
          <w:t>1</w:t>
        </w:r>
      </w:hyperlink>
      <w:r>
        <w:rPr>
          <w:rFonts w:ascii="Times New Roman" w:cs="Times New Roman" w:eastAsia="Times New Roman" w:hAnsi="Times New Roman"/>
          <w:sz w:val="20"/>
          <w:szCs w:val="20"/>
          <w:color w:val="131413"/>
        </w:rPr>
        <w:t xml:space="preserve">). Our predictions also proved true for conservation attitudes (see Fig. </w:t>
      </w:r>
      <w:hyperlink w:anchor="page16">
        <w:r>
          <w:rPr>
            <w:rFonts w:ascii="Times New Roman" w:cs="Times New Roman" w:eastAsia="Times New Roman" w:hAnsi="Times New Roman"/>
            <w:sz w:val="20"/>
            <w:szCs w:val="20"/>
            <w:color w:val="0000FF"/>
          </w:rPr>
          <w:t>6</w:t>
        </w:r>
      </w:hyperlink>
      <w:r>
        <w:rPr>
          <w:rFonts w:ascii="Times New Roman" w:cs="Times New Roman" w:eastAsia="Times New Roman" w:hAnsi="Times New Roman"/>
          <w:sz w:val="20"/>
          <w:szCs w:val="20"/>
          <w:color w:val="131413"/>
        </w:rPr>
        <w:t>), although only gender and age were finally retained after simplification of the model including all variables. The finding that old informants and women had higher actual UV is likely linked to the fact that knowledge accumulation is a time-related process and to division of labor, respectively, but also sociological con-texts as observed for C. procera. Young people are also increasingly less interested in traditions, including uses of local resources due to exposure to western practices [</w:t>
      </w:r>
      <w:hyperlink w:anchor="page16">
        <w:r>
          <w:rPr>
            <w:rFonts w:ascii="Times New Roman" w:cs="Times New Roman" w:eastAsia="Times New Roman" w:hAnsi="Times New Roman"/>
            <w:sz w:val="20"/>
            <w:szCs w:val="20"/>
            <w:color w:val="0000FF"/>
          </w:rPr>
          <w:t>69</w:t>
        </w:r>
      </w:hyperlink>
      <w:r>
        <w:rPr>
          <w:rFonts w:ascii="Times New Roman" w:cs="Times New Roman" w:eastAsia="Times New Roman" w:hAnsi="Times New Roman"/>
          <w:sz w:val="20"/>
          <w:szCs w:val="20"/>
          <w:color w:val="131413"/>
        </w:rPr>
        <w:t>] which in addition to the time-dependent accumula-tion of knowledge on species uses, may also explain the low UV for young people. The division of labor and sociological context probably led to higher knowledge and specialization of old women for L. lanceolata oil ex-traction and uses, which resulted in higher preferences</w:t>
      </w:r>
    </w:p>
    <w:p>
      <w:pPr>
        <w:sectPr>
          <w:pgSz w:w="11900" w:h="15817" w:orient="portrait"/>
          <w:cols w:equalWidth="0" w:num="2">
            <w:col w:w="4686" w:space="280"/>
            <w:col w:w="4680"/>
          </w:cols>
          <w:pgMar w:left="1134" w:top="623" w:right="1126" w:bottom="578" w:gutter="0" w:footer="0" w:header="0"/>
          <w:type w:val="continuous"/>
        </w:sectPr>
      </w:pPr>
    </w:p>
    <w:bookmarkStart w:id="12" w:name="page13"/>
    <w:bookmarkEnd w:id="12"/>
    <w:p>
      <w:pPr>
        <w:spacing w:after="0"/>
        <w:tabs>
          <w:tab w:leader="none" w:pos="4380" w:val="left"/>
          <w:tab w:leader="none" w:pos="8680" w:val="left"/>
        </w:tabs>
        <w:rPr>
          <w:sz w:val="20"/>
          <w:szCs w:val="20"/>
          <w:color w:val="auto"/>
        </w:rPr>
      </w:pPr>
      <w:r>
        <w:rPr>
          <w:rFonts w:ascii="Arial" w:cs="Arial" w:eastAsia="Arial" w:hAnsi="Arial"/>
          <w:sz w:val="16"/>
          <w:szCs w:val="16"/>
          <w:color w:val="131413"/>
        </w:rPr>
        <w:t>Tiétiambou et al. Journal of Ethnobiology and Ethnomedicine</w:t>
      </w:r>
      <w:r>
        <w:rPr>
          <w:sz w:val="20"/>
          <w:szCs w:val="20"/>
          <w:color w:val="auto"/>
        </w:rPr>
        <w:tab/>
      </w:r>
      <w:r>
        <w:rPr>
          <w:rFonts w:ascii="Arial" w:cs="Arial" w:eastAsia="Arial" w:hAnsi="Arial"/>
          <w:sz w:val="16"/>
          <w:szCs w:val="16"/>
          <w:color w:val="131413"/>
        </w:rPr>
        <w:t>(2020) 16:43</w:t>
      </w:r>
      <w:r>
        <w:rPr>
          <w:sz w:val="20"/>
          <w:szCs w:val="20"/>
          <w:color w:val="auto"/>
        </w:rPr>
        <w:tab/>
      </w:r>
      <w:r>
        <w:rPr>
          <w:rFonts w:ascii="Arial" w:cs="Arial" w:eastAsia="Arial" w:hAnsi="Arial"/>
          <w:sz w:val="15"/>
          <w:szCs w:val="15"/>
          <w:color w:val="131413"/>
        </w:rPr>
        <w:t>Page 13 of 16</w:t>
      </w:r>
    </w:p>
    <w:p>
      <w:pPr>
        <w:sectPr>
          <w:pgSz w:w="11900" w:h="15817" w:orient="portrait"/>
          <w:cols w:equalWidth="0" w:num="1">
            <w:col w:w="9640"/>
          </w:cols>
          <w:pgMar w:left="1140" w:top="623" w:right="1126" w:bottom="57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jc w:val="both"/>
        <w:spacing w:after="0" w:line="24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than men, as we predicted. Similar findings have been reported for the shea butter tree, V. paradoxa [</w:t>
      </w:r>
      <w:hyperlink w:anchor="page16">
        <w:r>
          <w:rPr>
            <w:rFonts w:ascii="Times New Roman" w:cs="Times New Roman" w:eastAsia="Times New Roman" w:hAnsi="Times New Roman"/>
            <w:sz w:val="20"/>
            <w:szCs w:val="20"/>
            <w:color w:val="0000FF"/>
          </w:rPr>
          <w:t>38</w:t>
        </w:r>
      </w:hyperlink>
      <w:r>
        <w:rPr>
          <w:rFonts w:ascii="Times New Roman" w:cs="Times New Roman" w:eastAsia="Times New Roman" w:hAnsi="Times New Roman"/>
          <w:sz w:val="20"/>
          <w:szCs w:val="20"/>
          <w:color w:val="131413"/>
        </w:rPr>
        <w:t>]. This preference probably explains why old women have better conservation attitudes toward this species than men. Contrary to the case of C. procera, our results did not support the prediction that the existence of market op-portunities would imply better conservation attitudes. This is probably because such opportunities and seed transformation are not yet well developed for this spe-cies compared to C. procera. Similar to C. procera, we found that men had a higher likelihood than women in identifying plus trees despite not being particularly involved in their oil extraction. In Kénédougou province, men are the owners of land, as also reported for example in a study in Benin by Dadjo et al. [</w:t>
      </w:r>
      <w:hyperlink w:anchor="page16">
        <w:r>
          <w:rPr>
            <w:rFonts w:ascii="Times New Roman" w:cs="Times New Roman" w:eastAsia="Times New Roman" w:hAnsi="Times New Roman"/>
            <w:sz w:val="20"/>
            <w:szCs w:val="20"/>
            <w:color w:val="0000FF"/>
          </w:rPr>
          <w:t>70</w:t>
        </w:r>
      </w:hyperlink>
      <w:r>
        <w:rPr>
          <w:rFonts w:ascii="Times New Roman" w:cs="Times New Roman" w:eastAsia="Times New Roman" w:hAnsi="Times New Roman"/>
          <w:sz w:val="20"/>
          <w:szCs w:val="20"/>
          <w:color w:val="131413"/>
        </w:rPr>
        <w:t xml:space="preserve">]. Those who have trees of L. lanceolata on their land linked the oil quality of these trees to the presence of ants. According to them, trees infested by ants will produce a better oil quality. According to their belief, ants are attracted by </w:t>
      </w:r>
      <w:r>
        <w:rPr>
          <w:rFonts w:ascii="Arial" w:cs="Arial" w:eastAsia="Arial" w:hAnsi="Arial"/>
          <w:sz w:val="20"/>
          <w:szCs w:val="20"/>
          <w:color w:val="131413"/>
        </w:rPr>
        <w:t>“</w:t>
      </w:r>
      <w:r>
        <w:rPr>
          <w:rFonts w:ascii="Times New Roman" w:cs="Times New Roman" w:eastAsia="Times New Roman" w:hAnsi="Times New Roman"/>
          <w:sz w:val="20"/>
          <w:szCs w:val="20"/>
          <w:color w:val="131413"/>
        </w:rPr>
        <w:t>good things.</w:t>
      </w:r>
      <w:r>
        <w:rPr>
          <w:rFonts w:ascii="Arial" w:cs="Arial" w:eastAsia="Arial" w:hAnsi="Arial"/>
          <w:sz w:val="20"/>
          <w:szCs w:val="20"/>
          <w:color w:val="131413"/>
        </w:rPr>
        <w:t xml:space="preserve">” </w:t>
      </w:r>
      <w:r>
        <w:rPr>
          <w:rFonts w:ascii="Times New Roman" w:cs="Times New Roman" w:eastAsia="Times New Roman" w:hAnsi="Times New Roman"/>
          <w:sz w:val="20"/>
          <w:szCs w:val="20"/>
          <w:color w:val="131413"/>
        </w:rPr>
        <w:t xml:space="preserve">This may explain why men had higher ap-titude than women in identifying </w:t>
      </w:r>
      <w:r>
        <w:rPr>
          <w:rFonts w:ascii="Arial" w:cs="Arial" w:eastAsia="Arial" w:hAnsi="Arial"/>
          <w:sz w:val="20"/>
          <w:szCs w:val="20"/>
          <w:color w:val="131413"/>
        </w:rPr>
        <w:t>“</w:t>
      </w:r>
      <w:r>
        <w:rPr>
          <w:rFonts w:ascii="Times New Roman" w:cs="Times New Roman" w:eastAsia="Times New Roman" w:hAnsi="Times New Roman"/>
          <w:sz w:val="20"/>
          <w:szCs w:val="20"/>
          <w:color w:val="131413"/>
        </w:rPr>
        <w:t>plus trees</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based on oil quality. Ant-plant protective mutualism is a well-known relationship with many benefits for plants in community ecology [</w:t>
      </w:r>
      <w:hyperlink w:anchor="page16">
        <w:r>
          <w:rPr>
            <w:rFonts w:ascii="Times New Roman" w:cs="Times New Roman" w:eastAsia="Times New Roman" w:hAnsi="Times New Roman"/>
            <w:sz w:val="20"/>
            <w:szCs w:val="20"/>
            <w:color w:val="0000FF"/>
          </w:rPr>
          <w:t>71</w:t>
        </w:r>
      </w:hyperlink>
      <w:r>
        <w:rPr>
          <w:rFonts w:ascii="Times New Roman" w:cs="Times New Roman" w:eastAsia="Times New Roman" w:hAnsi="Times New Roman"/>
          <w:sz w:val="20"/>
          <w:szCs w:val="20"/>
          <w:color w:val="131413"/>
        </w:rPr>
        <w:t>]. However, whether this protect-ive mutualism results in better oil quality for the pro-tected plants remains a question that requires further investigation. Consistent with our predictions, there was also a positive relationship of aptitude to identify plus trees in L. lanceolata and informants</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age, residence sta-tus, and preferences for the species. Therefore, like for C. procera, adults and old people in addition to indigen-ous people can significantly contribute to the selection of interesting material for a domestication program of L. lanceolata.</w:t>
      </w:r>
    </w:p>
    <w:p>
      <w:pPr>
        <w:spacing w:after="0" w:line="292" w:lineRule="exact"/>
        <w:rPr>
          <w:rFonts w:ascii="Times New Roman" w:cs="Times New Roman" w:eastAsia="Times New Roman" w:hAnsi="Times New Roman"/>
          <w:sz w:val="20"/>
          <w:szCs w:val="20"/>
          <w:color w:val="131413"/>
        </w:rPr>
      </w:pPr>
    </w:p>
    <w:p>
      <w:pPr>
        <w:ind w:right="40"/>
        <w:spacing w:after="0" w:line="273" w:lineRule="auto"/>
        <w:rPr>
          <w:sz w:val="20"/>
          <w:szCs w:val="20"/>
          <w:color w:val="auto"/>
        </w:rPr>
      </w:pPr>
      <w:r>
        <w:rPr>
          <w:rFonts w:ascii="Arial" w:cs="Arial" w:eastAsia="Arial" w:hAnsi="Arial"/>
          <w:sz w:val="18"/>
          <w:szCs w:val="18"/>
          <w:color w:val="131413"/>
        </w:rPr>
        <w:t>Implications for the sustainable management of the three IOS</w:t>
      </w:r>
    </w:p>
    <w:p>
      <w:pPr>
        <w:jc w:val="both"/>
        <w:spacing w:after="0" w:line="249" w:lineRule="auto"/>
        <w:rPr>
          <w:sz w:val="20"/>
          <w:szCs w:val="20"/>
          <w:color w:val="auto"/>
        </w:rPr>
      </w:pPr>
      <w:r>
        <w:rPr>
          <w:rFonts w:ascii="Times New Roman" w:cs="Times New Roman" w:eastAsia="Times New Roman" w:hAnsi="Times New Roman"/>
          <w:sz w:val="20"/>
          <w:szCs w:val="20"/>
          <w:color w:val="131413"/>
        </w:rPr>
        <w:t>Carapa procera was the most well-known species with the highest UV indicating this species to have a higher potential for improving the livelihoods of local people. Not all factors examined appear to be relevant for all species. Therefore, management actions should also be species-specific. Although a particular focus on women, adults, old persons, and indigenous people is relevant when designing the management of some species (e.g., C. procera and L. lanceolata), it may not be relevant for others (e.g., P. butyracea). The fact that no conservation practice was recorded for P. butyracea, whereas L. lan-ceolata received relatively better conservation attitudes than C. procera is suggesting that management actions can take advantage of existing practices on these two species, and improve them for better delivery. In con-trast, for P. butyracea, higher attention is needed to en-sure that the species is well conserved. The findings that</w:t>
      </w:r>
    </w:p>
    <w:p>
      <w:pPr>
        <w:spacing w:after="0" w:line="20" w:lineRule="exact"/>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br w:type="column"/>
      </w:r>
    </w:p>
    <w:p>
      <w:pPr>
        <w:spacing w:after="0" w:line="200" w:lineRule="exact"/>
        <w:rPr>
          <w:rFonts w:ascii="Times New Roman" w:cs="Times New Roman" w:eastAsia="Times New Roman" w:hAnsi="Times New Roman"/>
          <w:sz w:val="20"/>
          <w:szCs w:val="20"/>
          <w:color w:val="131413"/>
        </w:rPr>
      </w:pPr>
    </w:p>
    <w:p>
      <w:pPr>
        <w:spacing w:after="0" w:line="200" w:lineRule="exact"/>
        <w:rPr>
          <w:rFonts w:ascii="Times New Roman" w:cs="Times New Roman" w:eastAsia="Times New Roman" w:hAnsi="Times New Roman"/>
          <w:sz w:val="20"/>
          <w:szCs w:val="20"/>
          <w:color w:val="131413"/>
        </w:rPr>
      </w:pPr>
    </w:p>
    <w:p>
      <w:pPr>
        <w:spacing w:after="0" w:line="200" w:lineRule="exact"/>
        <w:rPr>
          <w:rFonts w:ascii="Times New Roman" w:cs="Times New Roman" w:eastAsia="Times New Roman" w:hAnsi="Times New Roman"/>
          <w:sz w:val="20"/>
          <w:szCs w:val="20"/>
          <w:color w:val="131413"/>
        </w:rPr>
      </w:pPr>
    </w:p>
    <w:p>
      <w:pPr>
        <w:spacing w:after="0" w:line="304" w:lineRule="exact"/>
        <w:rPr>
          <w:rFonts w:ascii="Times New Roman" w:cs="Times New Roman" w:eastAsia="Times New Roman" w:hAnsi="Times New Roman"/>
          <w:sz w:val="20"/>
          <w:szCs w:val="20"/>
          <w:color w:val="131413"/>
        </w:rPr>
      </w:pPr>
    </w:p>
    <w:p>
      <w:pPr>
        <w:jc w:val="both"/>
        <w:spacing w:after="0" w:line="249" w:lineRule="auto"/>
        <w:rPr>
          <w:sz w:val="20"/>
          <w:szCs w:val="20"/>
          <w:color w:val="auto"/>
        </w:rPr>
      </w:pPr>
      <w:r>
        <w:rPr>
          <w:rFonts w:ascii="Times New Roman" w:cs="Times New Roman" w:eastAsia="Times New Roman" w:hAnsi="Times New Roman"/>
          <w:sz w:val="20"/>
          <w:szCs w:val="20"/>
          <w:color w:val="131413"/>
        </w:rPr>
        <w:t>adult and old informants showed a similar and better conservation attitude for C. procera than young infor-mants suggest that those categories would be good stakeholders in planning conservation and sustainable management actions for this species. We found a posi-tive association between the existence of market oppor-tunities and better conservation attitudes for C. procera oil. Therefore, creating market opportunities can bring local people to adopt better management practices that will ultimately ensure the sustainable management of in-digenous resources. Nevertheless, a multi-platform ap-proach combining local people, NGOs, for profit organizations, and national offices of forest resources management is needed to ensure that the exploitation of resources is sustainable.</w:t>
      </w:r>
    </w:p>
    <w:p>
      <w:pPr>
        <w:spacing w:after="0" w:line="21" w:lineRule="exact"/>
        <w:rPr>
          <w:rFonts w:ascii="Times New Roman" w:cs="Times New Roman" w:eastAsia="Times New Roman" w:hAnsi="Times New Roman"/>
          <w:sz w:val="20"/>
          <w:szCs w:val="20"/>
          <w:color w:val="131413"/>
        </w:rPr>
      </w:pPr>
    </w:p>
    <w:p>
      <w:pPr>
        <w:jc w:val="both"/>
        <w:ind w:firstLine="160"/>
        <w:spacing w:after="0" w:line="24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The conservation actions reported include protection in agroforestry parks, ANR, and tree planting. These ac-tions have been successfully implemented for some indi-genous plants like V. paradoxa, Parkia biglobosa (Jacq.) R. Br. ex G. Don, Lannea microcarpa Engl. &amp; K. Krause, Sclerocarya birrea (A. Rich.) Hochst., Piliostigma reticu-latum (DC.) Hochst., and P. butyracea Sabine [</w:t>
      </w:r>
      <w:hyperlink w:anchor="page16">
        <w:r>
          <w:rPr>
            <w:rFonts w:ascii="Times New Roman" w:cs="Times New Roman" w:eastAsia="Times New Roman" w:hAnsi="Times New Roman"/>
            <w:sz w:val="20"/>
            <w:szCs w:val="20"/>
            <w:color w:val="0000FF"/>
          </w:rPr>
          <w:t>23</w:t>
        </w:r>
      </w:hyperlink>
      <w:r>
        <w:rPr>
          <w:rFonts w:ascii="Arial" w:cs="Arial" w:eastAsia="Arial" w:hAnsi="Arial"/>
          <w:sz w:val="20"/>
          <w:szCs w:val="20"/>
          <w:color w:val="131413"/>
        </w:rPr>
        <w:t>–</w:t>
      </w:r>
      <w:hyperlink w:anchor="page16">
        <w:r>
          <w:rPr>
            <w:rFonts w:ascii="Times New Roman" w:cs="Times New Roman" w:eastAsia="Times New Roman" w:hAnsi="Times New Roman"/>
            <w:sz w:val="20"/>
            <w:szCs w:val="20"/>
            <w:color w:val="0000FF"/>
          </w:rPr>
          <w:t>25</w:t>
        </w:r>
      </w:hyperlink>
      <w:r>
        <w:rPr>
          <w:rFonts w:ascii="Times New Roman" w:cs="Times New Roman" w:eastAsia="Times New Roman" w:hAnsi="Times New Roman"/>
          <w:sz w:val="20"/>
          <w:szCs w:val="20"/>
          <w:color w:val="131413"/>
        </w:rPr>
        <w:t>]. For V. paradoxa, protection in agroforestry parks has improved fruit production [</w:t>
      </w:r>
      <w:hyperlink w:anchor="page16">
        <w:r>
          <w:rPr>
            <w:rFonts w:ascii="Times New Roman" w:cs="Times New Roman" w:eastAsia="Times New Roman" w:hAnsi="Times New Roman"/>
            <w:sz w:val="20"/>
            <w:szCs w:val="20"/>
            <w:color w:val="0000FF"/>
          </w:rPr>
          <w:t>72</w:t>
        </w:r>
      </w:hyperlink>
      <w:r>
        <w:rPr>
          <w:rFonts w:ascii="Times New Roman" w:cs="Times New Roman" w:eastAsia="Times New Roman" w:hAnsi="Times New Roman"/>
          <w:sz w:val="20"/>
          <w:szCs w:val="20"/>
          <w:color w:val="131413"/>
        </w:rPr>
        <w:t>]. A rotational harvest can also be taught to rural communities. For this measure to be effective, it will be necessary to promote the diversifi-cation of activities other than oil extraction. This may require further capacity building of local communities, and providing them with some facilities (e.g., equip-ment). For instance, in the Akonolinga locality of Cameroon, the need for domestication of Ricinodendron heudelotii (Baill.) Pierre ex Heckel was not a priority for rural communities until the acquisition specialized nut crushing machine. In Morocco, the same observation was made for A. spinosa, where the modernization of its oil extraction favors its domestication. In order to imple-ment domestication programs, it is necessary to consider interesting traits of trees identified by rural communities with regard to good oil quality. For all three IOS, key stakeholders who will guide this process should be both adult and old people, irrespective of their gender. Thereby, we suggest participatory approaches that inte-grate these key informants for successful sustainable management programs of these species.</w:t>
      </w:r>
    </w:p>
    <w:p>
      <w:pPr>
        <w:spacing w:after="0" w:line="259" w:lineRule="exact"/>
        <w:rPr>
          <w:rFonts w:ascii="Times New Roman" w:cs="Times New Roman" w:eastAsia="Times New Roman" w:hAnsi="Times New Roman"/>
          <w:sz w:val="20"/>
          <w:szCs w:val="20"/>
          <w:color w:val="131413"/>
        </w:rPr>
      </w:pPr>
    </w:p>
    <w:p>
      <w:pPr>
        <w:spacing w:after="0"/>
        <w:rPr>
          <w:sz w:val="20"/>
          <w:szCs w:val="20"/>
          <w:color w:val="auto"/>
        </w:rPr>
      </w:pPr>
      <w:r>
        <w:rPr>
          <w:rFonts w:ascii="Arial" w:cs="Arial" w:eastAsia="Arial" w:hAnsi="Arial"/>
          <w:sz w:val="21"/>
          <w:szCs w:val="21"/>
          <w:color w:val="131413"/>
        </w:rPr>
        <w:t>Conclusion</w:t>
      </w:r>
    </w:p>
    <w:p>
      <w:pPr>
        <w:spacing w:after="0" w:line="18" w:lineRule="exact"/>
        <w:rPr>
          <w:rFonts w:ascii="Times New Roman" w:cs="Times New Roman" w:eastAsia="Times New Roman" w:hAnsi="Times New Roman"/>
          <w:sz w:val="20"/>
          <w:szCs w:val="20"/>
          <w:color w:val="131413"/>
        </w:rPr>
      </w:pPr>
    </w:p>
    <w:p>
      <w:pPr>
        <w:jc w:val="both"/>
        <w:spacing w:after="0" w:line="248" w:lineRule="auto"/>
        <w:rPr>
          <w:sz w:val="20"/>
          <w:szCs w:val="20"/>
          <w:color w:val="auto"/>
        </w:rPr>
      </w:pPr>
      <w:r>
        <w:rPr>
          <w:rFonts w:ascii="Times New Roman" w:cs="Times New Roman" w:eastAsia="Times New Roman" w:hAnsi="Times New Roman"/>
          <w:sz w:val="20"/>
          <w:szCs w:val="20"/>
          <w:color w:val="131413"/>
        </w:rPr>
        <w:t>This study provides evidence that the preferences, atti-tudes for resource conservation, and abilities of Kéné-dougou rural communities to select plus trees for oil-seed exploitation are species-specific. The relevance of factors such as age, gender, residence status, existence of commercialization opportunities, and geographical loca-tion (village) depended not only the species but also the variables of interest (here preferences, attitudes for</w:t>
      </w:r>
    </w:p>
    <w:p>
      <w:pPr>
        <w:sectPr>
          <w:pgSz w:w="11900" w:h="15817" w:orient="portrait"/>
          <w:cols w:equalWidth="0" w:num="2">
            <w:col w:w="4680" w:space="280"/>
            <w:col w:w="4680"/>
          </w:cols>
          <w:pgMar w:left="1140" w:top="623" w:right="1126" w:bottom="576" w:gutter="0" w:footer="0" w:header="0"/>
          <w:type w:val="continuous"/>
        </w:sectPr>
      </w:pPr>
    </w:p>
    <w:bookmarkStart w:id="13" w:name="page14"/>
    <w:bookmarkEnd w:id="13"/>
    <w:p>
      <w:pPr>
        <w:ind w:left="6"/>
        <w:spacing w:after="0"/>
        <w:tabs>
          <w:tab w:leader="none" w:pos="4386" w:val="left"/>
          <w:tab w:leader="none" w:pos="8686" w:val="left"/>
        </w:tabs>
        <w:rPr>
          <w:sz w:val="20"/>
          <w:szCs w:val="20"/>
          <w:color w:val="auto"/>
        </w:rPr>
      </w:pPr>
      <w:r>
        <w:rPr>
          <w:rFonts w:ascii="Arial" w:cs="Arial" w:eastAsia="Arial" w:hAnsi="Arial"/>
          <w:sz w:val="16"/>
          <w:szCs w:val="16"/>
          <w:color w:val="131413"/>
        </w:rPr>
        <w:t>Tiétiambou et al. Journal of Ethnobiology and Ethnomedicine</w:t>
      </w:r>
      <w:r>
        <w:rPr>
          <w:sz w:val="20"/>
          <w:szCs w:val="20"/>
          <w:color w:val="auto"/>
        </w:rPr>
        <w:tab/>
      </w:r>
      <w:r>
        <w:rPr>
          <w:rFonts w:ascii="Arial" w:cs="Arial" w:eastAsia="Arial" w:hAnsi="Arial"/>
          <w:sz w:val="16"/>
          <w:szCs w:val="16"/>
          <w:color w:val="131413"/>
        </w:rPr>
        <w:t>(2020) 16:43</w:t>
      </w:r>
      <w:r>
        <w:rPr>
          <w:sz w:val="20"/>
          <w:szCs w:val="20"/>
          <w:color w:val="auto"/>
        </w:rPr>
        <w:tab/>
      </w:r>
      <w:r>
        <w:rPr>
          <w:rFonts w:ascii="Arial" w:cs="Arial" w:eastAsia="Arial" w:hAnsi="Arial"/>
          <w:sz w:val="15"/>
          <w:szCs w:val="15"/>
          <w:color w:val="131413"/>
        </w:rPr>
        <w:t>Page 14 of 16</w:t>
      </w:r>
    </w:p>
    <w:p>
      <w:pPr>
        <w:sectPr>
          <w:pgSz w:w="11900" w:h="15817" w:orient="portrait"/>
          <w:cols w:equalWidth="0" w:num="1">
            <w:col w:w="9646"/>
          </w:cols>
          <w:pgMar w:left="1134" w:top="623" w:right="1126" w:bottom="55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jc w:val="both"/>
        <w:ind w:left="6"/>
        <w:spacing w:after="0" w:line="263" w:lineRule="auto"/>
        <w:rPr>
          <w:sz w:val="20"/>
          <w:szCs w:val="20"/>
          <w:color w:val="auto"/>
        </w:rPr>
      </w:pPr>
      <w:r>
        <w:rPr>
          <w:rFonts w:ascii="Times New Roman" w:cs="Times New Roman" w:eastAsia="Times New Roman" w:hAnsi="Times New Roman"/>
          <w:sz w:val="19"/>
          <w:szCs w:val="19"/>
          <w:color w:val="131413"/>
        </w:rPr>
        <w:t>resource conservation, and abilities to select plus trees for oil-seed extraction). Carapa procera was preferred com-pared to the other two species. We also demonstrated that the actual UV was associated with the ability to identify and select plus trees for oil-seed exploitation for C. pro-cera. Promoting and better structuring the value chain of this species through economic and financial incentives can significantly improve livelihoods of local people while conserving its natural populations. This is expected to guarantee the sustainable exploitation of the species and serve as a good example for the other two species, namely L. lanceolata and P. butyracea. Thus, if rural communities are aware of the income opportunities offered by both species, they would receive more attention with regards to their conservation. Consequently, the three IOS would be rationally and sustainably exploited for household con-sumption and commercial purposes.</w:t>
      </w:r>
    </w:p>
    <w:p>
      <w:pPr>
        <w:spacing w:after="0" w:line="198" w:lineRule="exact"/>
        <w:rPr>
          <w:sz w:val="20"/>
          <w:szCs w:val="20"/>
          <w:color w:val="auto"/>
        </w:rPr>
      </w:pPr>
    </w:p>
    <w:p>
      <w:pPr>
        <w:ind w:left="6"/>
        <w:spacing w:after="0"/>
        <w:rPr>
          <w:sz w:val="20"/>
          <w:szCs w:val="20"/>
          <w:color w:val="auto"/>
        </w:rPr>
      </w:pPr>
      <w:r>
        <w:rPr>
          <w:rFonts w:ascii="Arial" w:cs="Arial" w:eastAsia="Arial" w:hAnsi="Arial"/>
          <w:sz w:val="15"/>
          <w:szCs w:val="15"/>
          <w:color w:val="131413"/>
        </w:rPr>
        <w:t>Acknowledgements</w:t>
      </w:r>
    </w:p>
    <w:p>
      <w:pPr>
        <w:spacing w:after="0" w:line="16" w:lineRule="exact"/>
        <w:rPr>
          <w:sz w:val="20"/>
          <w:szCs w:val="20"/>
          <w:color w:val="auto"/>
        </w:rPr>
      </w:pPr>
    </w:p>
    <w:p>
      <w:pPr>
        <w:ind w:left="6" w:right="60"/>
        <w:spacing w:after="0" w:line="295" w:lineRule="auto"/>
        <w:rPr>
          <w:sz w:val="20"/>
          <w:szCs w:val="20"/>
          <w:color w:val="auto"/>
        </w:rPr>
      </w:pPr>
      <w:r>
        <w:rPr>
          <w:rFonts w:ascii="Arial" w:cs="Arial" w:eastAsia="Arial" w:hAnsi="Arial"/>
          <w:sz w:val="13"/>
          <w:szCs w:val="13"/>
          <w:color w:val="131413"/>
        </w:rPr>
        <w:t>SKV acknowledges the support of the Wallonie-Bruxelles International Post-doctoral Fellowship for Excellence, Belgium (Fellowship # SUB/2019/443681). Authors are thankful to women associations for oil production in the Kéné-dougou province for their collaboration. The authors are grateful to the an-onymous reviewers for the comments on the earlier version of this paper.</w:t>
      </w:r>
    </w:p>
    <w:p>
      <w:pPr>
        <w:spacing w:after="0" w:line="187" w:lineRule="exact"/>
        <w:rPr>
          <w:sz w:val="20"/>
          <w:szCs w:val="20"/>
          <w:color w:val="auto"/>
        </w:rPr>
      </w:pPr>
    </w:p>
    <w:p>
      <w:pPr>
        <w:ind w:left="6"/>
        <w:spacing w:after="0"/>
        <w:rPr>
          <w:sz w:val="20"/>
          <w:szCs w:val="20"/>
          <w:color w:val="auto"/>
        </w:rPr>
      </w:pPr>
      <w:r>
        <w:rPr>
          <w:rFonts w:ascii="Arial" w:cs="Arial" w:eastAsia="Arial" w:hAnsi="Arial"/>
          <w:sz w:val="15"/>
          <w:szCs w:val="15"/>
          <w:color w:val="131413"/>
        </w:rPr>
        <w:t>Authors’ contributions</w:t>
      </w:r>
    </w:p>
    <w:p>
      <w:pPr>
        <w:spacing w:after="0" w:line="16" w:lineRule="exact"/>
        <w:rPr>
          <w:sz w:val="20"/>
          <w:szCs w:val="20"/>
          <w:color w:val="auto"/>
        </w:rPr>
      </w:pPr>
    </w:p>
    <w:p>
      <w:pPr>
        <w:ind w:left="6" w:right="20"/>
        <w:spacing w:after="0" w:line="328" w:lineRule="auto"/>
        <w:rPr>
          <w:sz w:val="20"/>
          <w:szCs w:val="20"/>
          <w:color w:val="auto"/>
        </w:rPr>
      </w:pPr>
      <w:r>
        <w:rPr>
          <w:rFonts w:ascii="Arial" w:cs="Arial" w:eastAsia="Arial" w:hAnsi="Arial"/>
          <w:sz w:val="12"/>
          <w:szCs w:val="12"/>
          <w:color w:val="131413"/>
        </w:rPr>
        <w:t>FRST and SKV conceived the work with advices from AO. FRST collected the data. FRST and SKV processed the data. SKV and RJT performed the statistical analyses. FRST and SKV drafted the manuscript with contribution of AO and RJT. AO supervised the work. All authors read and approved the final manuscript.</w:t>
      </w:r>
    </w:p>
    <w:p>
      <w:pPr>
        <w:spacing w:after="0" w:line="172" w:lineRule="exact"/>
        <w:rPr>
          <w:sz w:val="20"/>
          <w:szCs w:val="20"/>
          <w:color w:val="auto"/>
        </w:rPr>
      </w:pPr>
    </w:p>
    <w:p>
      <w:pPr>
        <w:ind w:left="6"/>
        <w:spacing w:after="0"/>
        <w:rPr>
          <w:sz w:val="20"/>
          <w:szCs w:val="20"/>
          <w:color w:val="auto"/>
        </w:rPr>
      </w:pPr>
      <w:r>
        <w:rPr>
          <w:rFonts w:ascii="Arial" w:cs="Arial" w:eastAsia="Arial" w:hAnsi="Arial"/>
          <w:sz w:val="15"/>
          <w:szCs w:val="15"/>
          <w:color w:val="131413"/>
        </w:rPr>
        <w:t>Funding</w:t>
      </w:r>
    </w:p>
    <w:p>
      <w:pPr>
        <w:spacing w:after="0" w:line="16" w:lineRule="exact"/>
        <w:rPr>
          <w:sz w:val="20"/>
          <w:szCs w:val="20"/>
          <w:color w:val="auto"/>
        </w:rPr>
      </w:pPr>
    </w:p>
    <w:p>
      <w:pPr>
        <w:ind w:left="6" w:right="140"/>
        <w:spacing w:after="0" w:line="313" w:lineRule="auto"/>
        <w:rPr>
          <w:sz w:val="20"/>
          <w:szCs w:val="20"/>
          <w:color w:val="auto"/>
        </w:rPr>
      </w:pPr>
      <w:r>
        <w:rPr>
          <w:rFonts w:ascii="Arial" w:cs="Arial" w:eastAsia="Arial" w:hAnsi="Arial"/>
          <w:sz w:val="13"/>
          <w:szCs w:val="13"/>
          <w:color w:val="131413"/>
        </w:rPr>
        <w:t>This research was supported by the DANIDA (Danish International Development Agency) through the QualiTree project (Projet no.10-002 AU).</w:t>
      </w:r>
    </w:p>
    <w:p>
      <w:pPr>
        <w:spacing w:after="0" w:line="176" w:lineRule="exact"/>
        <w:rPr>
          <w:sz w:val="20"/>
          <w:szCs w:val="20"/>
          <w:color w:val="auto"/>
        </w:rPr>
      </w:pPr>
    </w:p>
    <w:p>
      <w:pPr>
        <w:ind w:left="6"/>
        <w:spacing w:after="0"/>
        <w:rPr>
          <w:sz w:val="20"/>
          <w:szCs w:val="20"/>
          <w:color w:val="auto"/>
        </w:rPr>
      </w:pPr>
      <w:r>
        <w:rPr>
          <w:rFonts w:ascii="Arial" w:cs="Arial" w:eastAsia="Arial" w:hAnsi="Arial"/>
          <w:sz w:val="15"/>
          <w:szCs w:val="15"/>
          <w:color w:val="131413"/>
        </w:rPr>
        <w:t>Availability of data and materials</w:t>
      </w:r>
    </w:p>
    <w:p>
      <w:pPr>
        <w:spacing w:after="0" w:line="16" w:lineRule="exact"/>
        <w:rPr>
          <w:sz w:val="20"/>
          <w:szCs w:val="20"/>
          <w:color w:val="auto"/>
        </w:rPr>
      </w:pPr>
    </w:p>
    <w:p>
      <w:pPr>
        <w:ind w:left="6" w:right="220"/>
        <w:spacing w:after="0" w:line="239" w:lineRule="auto"/>
        <w:rPr>
          <w:sz w:val="20"/>
          <w:szCs w:val="20"/>
          <w:color w:val="auto"/>
        </w:rPr>
      </w:pPr>
      <w:r>
        <w:rPr>
          <w:rFonts w:ascii="Arial" w:cs="Arial" w:eastAsia="Arial" w:hAnsi="Arial"/>
          <w:sz w:val="15"/>
          <w:szCs w:val="15"/>
          <w:color w:val="131413"/>
        </w:rPr>
        <w:t>The datasets used and/or analyzed in the current study are available from the corresponding author on reasonable request.</w:t>
      </w:r>
    </w:p>
    <w:p>
      <w:pPr>
        <w:spacing w:after="0" w:line="224" w:lineRule="exact"/>
        <w:rPr>
          <w:sz w:val="20"/>
          <w:szCs w:val="20"/>
          <w:color w:val="auto"/>
        </w:rPr>
      </w:pPr>
    </w:p>
    <w:p>
      <w:pPr>
        <w:ind w:left="6"/>
        <w:spacing w:after="0"/>
        <w:rPr>
          <w:sz w:val="20"/>
          <w:szCs w:val="20"/>
          <w:color w:val="auto"/>
        </w:rPr>
      </w:pPr>
      <w:r>
        <w:rPr>
          <w:rFonts w:ascii="Arial" w:cs="Arial" w:eastAsia="Arial" w:hAnsi="Arial"/>
          <w:sz w:val="15"/>
          <w:szCs w:val="15"/>
          <w:color w:val="131413"/>
        </w:rPr>
        <w:t>Ethics approval and consent to participate</w:t>
      </w:r>
    </w:p>
    <w:p>
      <w:pPr>
        <w:spacing w:after="0" w:line="14" w:lineRule="exact"/>
        <w:rPr>
          <w:sz w:val="20"/>
          <w:szCs w:val="20"/>
          <w:color w:val="auto"/>
        </w:rPr>
      </w:pPr>
    </w:p>
    <w:p>
      <w:pPr>
        <w:ind w:left="6" w:right="380"/>
        <w:spacing w:after="0" w:line="239" w:lineRule="auto"/>
        <w:rPr>
          <w:sz w:val="20"/>
          <w:szCs w:val="20"/>
          <w:color w:val="auto"/>
        </w:rPr>
      </w:pPr>
      <w:r>
        <w:rPr>
          <w:rFonts w:ascii="Arial" w:cs="Arial" w:eastAsia="Arial" w:hAnsi="Arial"/>
          <w:sz w:val="15"/>
          <w:szCs w:val="15"/>
          <w:color w:val="131413"/>
        </w:rPr>
        <w:t>Individual consent to participate in the study was obtained prior to the administration of the questionnaire.</w:t>
      </w:r>
    </w:p>
    <w:p>
      <w:pPr>
        <w:spacing w:after="0" w:line="17" w:lineRule="exact"/>
        <w:rPr>
          <w:sz w:val="20"/>
          <w:szCs w:val="20"/>
          <w:color w:val="auto"/>
        </w:rPr>
      </w:pPr>
    </w:p>
    <w:p>
      <w:pPr>
        <w:ind w:left="6"/>
        <w:spacing w:after="0"/>
        <w:rPr>
          <w:sz w:val="20"/>
          <w:szCs w:val="20"/>
          <w:color w:val="auto"/>
        </w:rPr>
      </w:pPr>
      <w:r>
        <w:rPr>
          <w:rFonts w:ascii="Arial" w:cs="Arial" w:eastAsia="Arial" w:hAnsi="Arial"/>
          <w:sz w:val="14"/>
          <w:szCs w:val="14"/>
          <w:color w:val="131413"/>
        </w:rPr>
        <w:t>Only people that consented to participate in the study were considered.</w:t>
      </w:r>
    </w:p>
    <w:p>
      <w:pPr>
        <w:spacing w:after="0" w:line="226" w:lineRule="exact"/>
        <w:rPr>
          <w:sz w:val="20"/>
          <w:szCs w:val="20"/>
          <w:color w:val="auto"/>
        </w:rPr>
      </w:pPr>
    </w:p>
    <w:p>
      <w:pPr>
        <w:ind w:left="6"/>
        <w:spacing w:after="0"/>
        <w:rPr>
          <w:sz w:val="20"/>
          <w:szCs w:val="20"/>
          <w:color w:val="auto"/>
        </w:rPr>
      </w:pPr>
      <w:r>
        <w:rPr>
          <w:rFonts w:ascii="Arial" w:cs="Arial" w:eastAsia="Arial" w:hAnsi="Arial"/>
          <w:sz w:val="15"/>
          <w:szCs w:val="15"/>
          <w:color w:val="131413"/>
        </w:rPr>
        <w:t>Competing interests</w:t>
      </w:r>
    </w:p>
    <w:p>
      <w:pPr>
        <w:spacing w:after="0" w:line="7" w:lineRule="exact"/>
        <w:rPr>
          <w:sz w:val="20"/>
          <w:szCs w:val="20"/>
          <w:color w:val="auto"/>
        </w:rPr>
      </w:pPr>
    </w:p>
    <w:p>
      <w:pPr>
        <w:ind w:left="6"/>
        <w:spacing w:after="0"/>
        <w:rPr>
          <w:sz w:val="20"/>
          <w:szCs w:val="20"/>
          <w:color w:val="auto"/>
        </w:rPr>
      </w:pPr>
      <w:r>
        <w:rPr>
          <w:rFonts w:ascii="Arial" w:cs="Arial" w:eastAsia="Arial" w:hAnsi="Arial"/>
          <w:sz w:val="15"/>
          <w:szCs w:val="15"/>
          <w:color w:val="131413"/>
        </w:rPr>
        <w:t>The authors declare that they have no competing interests.</w:t>
      </w:r>
    </w:p>
    <w:p>
      <w:pPr>
        <w:spacing w:after="0" w:line="188" w:lineRule="exact"/>
        <w:rPr>
          <w:sz w:val="20"/>
          <w:szCs w:val="20"/>
          <w:color w:val="auto"/>
        </w:rPr>
      </w:pPr>
    </w:p>
    <w:p>
      <w:pPr>
        <w:ind w:left="6"/>
        <w:spacing w:after="0"/>
        <w:rPr>
          <w:sz w:val="20"/>
          <w:szCs w:val="20"/>
          <w:color w:val="auto"/>
        </w:rPr>
      </w:pPr>
      <w:r>
        <w:rPr>
          <w:rFonts w:ascii="Arial" w:cs="Arial" w:eastAsia="Arial" w:hAnsi="Arial"/>
          <w:sz w:val="15"/>
          <w:szCs w:val="15"/>
          <w:color w:val="131413"/>
        </w:rPr>
        <w:t>Author details</w:t>
      </w:r>
    </w:p>
    <w:p>
      <w:pPr>
        <w:ind w:left="6" w:right="20"/>
        <w:spacing w:after="0" w:line="234" w:lineRule="auto"/>
        <w:rPr>
          <w:sz w:val="20"/>
          <w:szCs w:val="20"/>
          <w:color w:val="auto"/>
        </w:rPr>
      </w:pPr>
      <w:r>
        <w:rPr>
          <w:rFonts w:ascii="Arial" w:cs="Arial" w:eastAsia="Arial" w:hAnsi="Arial"/>
          <w:sz w:val="18"/>
          <w:szCs w:val="18"/>
          <w:color w:val="auto"/>
          <w:vertAlign w:val="superscript"/>
        </w:rPr>
        <w:t>1</w:t>
      </w:r>
      <w:r>
        <w:rPr>
          <w:rFonts w:ascii="Arial" w:cs="Arial" w:eastAsia="Arial" w:hAnsi="Arial"/>
          <w:sz w:val="14"/>
          <w:szCs w:val="14"/>
          <w:color w:val="auto"/>
        </w:rPr>
        <w:t xml:space="preserve">Centre Universitaire de Gaoua, Université Nazi BONI, 01 BP 1091, Bobo-Dioulasso 01, Burkina Faso. </w:t>
      </w:r>
      <w:r>
        <w:rPr>
          <w:rFonts w:ascii="Arial" w:cs="Arial" w:eastAsia="Arial" w:hAnsi="Arial"/>
          <w:sz w:val="18"/>
          <w:szCs w:val="18"/>
          <w:color w:val="auto"/>
          <w:vertAlign w:val="superscript"/>
        </w:rPr>
        <w:t>2</w:t>
      </w:r>
      <w:r>
        <w:rPr>
          <w:rFonts w:ascii="Arial" w:cs="Arial" w:eastAsia="Arial" w:hAnsi="Arial"/>
          <w:sz w:val="14"/>
          <w:szCs w:val="14"/>
          <w:color w:val="auto"/>
        </w:rPr>
        <w:t xml:space="preserve">Laboratoire de Biologie et Ecologie Végétales, Université Joseph KI-ZERBO, 03 BP 7021, Ouagadougou 03, Burkina Faso. </w:t>
      </w:r>
      <w:r>
        <w:rPr>
          <w:rFonts w:ascii="Arial" w:cs="Arial" w:eastAsia="Arial" w:hAnsi="Arial"/>
          <w:sz w:val="18"/>
          <w:szCs w:val="18"/>
          <w:color w:val="auto"/>
          <w:vertAlign w:val="superscript"/>
        </w:rPr>
        <w:t>3</w:t>
      </w:r>
      <w:r>
        <w:rPr>
          <w:rFonts w:ascii="Arial" w:cs="Arial" w:eastAsia="Arial" w:hAnsi="Arial"/>
          <w:sz w:val="14"/>
          <w:szCs w:val="14"/>
          <w:color w:val="auto"/>
        </w:rPr>
        <w:t xml:space="preserve">Laboratoire de Biomathématiques et d’Estimations Forestières, Faculté des Sciences Agronomiques, Université d’Abomey-Calavi, 04 BP, 1525 Cotonou, Bénin. </w:t>
      </w:r>
      <w:r>
        <w:rPr>
          <w:rFonts w:ascii="Arial" w:cs="Arial" w:eastAsia="Arial" w:hAnsi="Arial"/>
          <w:sz w:val="18"/>
          <w:szCs w:val="18"/>
          <w:color w:val="auto"/>
          <w:vertAlign w:val="superscript"/>
        </w:rPr>
        <w:t>4</w:t>
      </w:r>
      <w:r>
        <w:rPr>
          <w:rFonts w:ascii="Arial" w:cs="Arial" w:eastAsia="Arial" w:hAnsi="Arial"/>
          <w:sz w:val="14"/>
          <w:szCs w:val="14"/>
          <w:color w:val="auto"/>
        </w:rPr>
        <w:t>Evolution Biologique et Ecologie, Faculté des Sciences, Université Libre de Bruxelles, CP160/12, Av. F. D. Roosevelt 50, BE-1050 Bruxelles, Belgique.</w:t>
      </w:r>
    </w:p>
    <w:p>
      <w:pPr>
        <w:spacing w:after="0" w:line="192" w:lineRule="exact"/>
        <w:rPr>
          <w:sz w:val="20"/>
          <w:szCs w:val="20"/>
          <w:color w:val="auto"/>
        </w:rPr>
      </w:pPr>
    </w:p>
    <w:p>
      <w:pPr>
        <w:ind w:left="6"/>
        <w:spacing w:after="0"/>
        <w:rPr>
          <w:sz w:val="20"/>
          <w:szCs w:val="20"/>
          <w:color w:val="auto"/>
        </w:rPr>
      </w:pPr>
      <w:r>
        <w:rPr>
          <w:rFonts w:ascii="Arial" w:cs="Arial" w:eastAsia="Arial" w:hAnsi="Arial"/>
          <w:sz w:val="15"/>
          <w:szCs w:val="15"/>
          <w:color w:val="131413"/>
        </w:rPr>
        <w:t>Received: 11 February 2020 Accepted: 15 July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0</wp:posOffset>
            </wp:positionV>
            <wp:extent cx="1676400" cy="136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extLst>
                    </a:blip>
                    <a:srcRect/>
                    <a:stretch>
                      <a:fillRect/>
                    </a:stretch>
                  </pic:blipFill>
                  <pic:spPr bwMode="auto">
                    <a:xfrm>
                      <a:off x="0" y="0"/>
                      <a:ext cx="1676400" cy="136525"/>
                    </a:xfrm>
                    <a:prstGeom prst="rect">
                      <a:avLst/>
                    </a:prstGeom>
                    <a:noFill/>
                  </pic:spPr>
                </pic:pic>
              </a:graphicData>
            </a:graphic>
          </wp:anchor>
        </w:drawing>
      </w:r>
    </w:p>
    <w:p>
      <w:pPr>
        <w:spacing w:after="0" w:line="382" w:lineRule="exact"/>
        <w:rPr>
          <w:sz w:val="20"/>
          <w:szCs w:val="20"/>
          <w:color w:val="auto"/>
        </w:rPr>
      </w:pPr>
    </w:p>
    <w:p>
      <w:pPr>
        <w:ind w:left="6"/>
        <w:spacing w:after="0"/>
        <w:rPr>
          <w:sz w:val="20"/>
          <w:szCs w:val="20"/>
          <w:color w:val="auto"/>
        </w:rPr>
      </w:pPr>
      <w:r>
        <w:rPr>
          <w:rFonts w:ascii="Arial" w:cs="Arial" w:eastAsia="Arial" w:hAnsi="Arial"/>
          <w:sz w:val="15"/>
          <w:szCs w:val="15"/>
          <w:color w:val="131413"/>
        </w:rPr>
        <w:t>References</w:t>
      </w:r>
    </w:p>
    <w:p>
      <w:pPr>
        <w:spacing w:after="0" w:line="16" w:lineRule="exact"/>
        <w:rPr>
          <w:sz w:val="20"/>
          <w:szCs w:val="20"/>
          <w:color w:val="auto"/>
        </w:rPr>
      </w:pPr>
    </w:p>
    <w:p>
      <w:pPr>
        <w:ind w:left="306" w:right="100" w:hanging="306"/>
        <w:spacing w:after="0" w:line="296" w:lineRule="auto"/>
        <w:tabs>
          <w:tab w:leader="none" w:pos="306" w:val="left"/>
        </w:tabs>
        <w:numPr>
          <w:ilvl w:val="0"/>
          <w:numId w:val="4"/>
        </w:numPr>
        <w:rPr>
          <w:rFonts w:ascii="Arial" w:cs="Arial" w:eastAsia="Arial" w:hAnsi="Arial"/>
          <w:sz w:val="13"/>
          <w:szCs w:val="13"/>
          <w:color w:val="131413"/>
        </w:rPr>
      </w:pPr>
      <w:r>
        <w:rPr>
          <w:rFonts w:ascii="Arial" w:cs="Arial" w:eastAsia="Arial" w:hAnsi="Arial"/>
          <w:sz w:val="13"/>
          <w:szCs w:val="13"/>
          <w:color w:val="131413"/>
        </w:rPr>
        <w:t xml:space="preserve">Tiétiambou, F.R.S., Salako, K.V., Tohoun, J.R. et al. Local preferences for three indigenous oil-seed plants and attitudes towards their conservation in the Kénédougou province of Burkina Faso, West-Africa. J Ethnobiology Ethnomedicine. 2020;16(43). </w:t>
      </w:r>
      <w:hyperlink r:id="rId29">
        <w:r>
          <w:rPr>
            <w:rFonts w:ascii="Arial" w:cs="Arial" w:eastAsia="Arial" w:hAnsi="Arial"/>
            <w:sz w:val="13"/>
            <w:szCs w:val="13"/>
            <w:color w:val="0000FF"/>
          </w:rPr>
          <w:t>https://doi.org/10.1186/s13002-020-00393-1</w:t>
        </w:r>
      </w:hyperlink>
      <w:r>
        <w:rPr>
          <w:rFonts w:ascii="Arial" w:cs="Arial" w:eastAsia="Arial" w:hAnsi="Arial"/>
          <w:sz w:val="13"/>
          <w:szCs w:val="13"/>
          <w:color w:val="131413"/>
        </w:rPr>
        <w: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ind w:left="306" w:right="200" w:hanging="305"/>
        <w:spacing w:after="0" w:line="270" w:lineRule="auto"/>
        <w:tabs>
          <w:tab w:leader="none" w:pos="306" w:val="left"/>
        </w:tabs>
        <w:numPr>
          <w:ilvl w:val="0"/>
          <w:numId w:val="5"/>
        </w:numPr>
        <w:rPr>
          <w:rFonts w:ascii="Arial" w:cs="Arial" w:eastAsia="Arial" w:hAnsi="Arial"/>
          <w:sz w:val="14"/>
          <w:szCs w:val="14"/>
          <w:color w:val="131413"/>
        </w:rPr>
      </w:pPr>
      <w:r>
        <w:rPr>
          <w:rFonts w:ascii="Arial" w:cs="Arial" w:eastAsia="Arial" w:hAnsi="Arial"/>
          <w:sz w:val="14"/>
          <w:szCs w:val="14"/>
          <w:color w:val="131413"/>
        </w:rPr>
        <w:t>Gaoue OG, Sack L, Ticktin T. Human impacts on leaf economics in heterogeneous landscapes: the effect of harvesting non-timber forest products from African mahogany across habitats and climates. Journal of Applied Ecology. 2011;48:844–52.</w:t>
      </w:r>
    </w:p>
    <w:p>
      <w:pPr>
        <w:spacing w:after="0" w:line="1" w:lineRule="exact"/>
        <w:rPr>
          <w:rFonts w:ascii="Arial" w:cs="Arial" w:eastAsia="Arial" w:hAnsi="Arial"/>
          <w:sz w:val="14"/>
          <w:szCs w:val="14"/>
          <w:color w:val="131413"/>
        </w:rPr>
      </w:pPr>
    </w:p>
    <w:p>
      <w:pPr>
        <w:ind w:left="306" w:right="120" w:hanging="305"/>
        <w:spacing w:after="0" w:line="318" w:lineRule="auto"/>
        <w:tabs>
          <w:tab w:leader="none" w:pos="306" w:val="left"/>
        </w:tabs>
        <w:numPr>
          <w:ilvl w:val="0"/>
          <w:numId w:val="5"/>
        </w:numPr>
        <w:rPr>
          <w:rFonts w:ascii="Arial" w:cs="Arial" w:eastAsia="Arial" w:hAnsi="Arial"/>
          <w:sz w:val="12"/>
          <w:szCs w:val="12"/>
          <w:color w:val="131413"/>
        </w:rPr>
      </w:pPr>
      <w:r>
        <w:rPr>
          <w:rFonts w:ascii="Arial" w:cs="Arial" w:eastAsia="Arial" w:hAnsi="Arial"/>
          <w:sz w:val="12"/>
          <w:szCs w:val="12"/>
          <w:color w:val="131413"/>
        </w:rPr>
        <w:t>Saussey M, Maïzi PM, Muchnik J. Nouvelles formes de reconnaissance des femmes burkinabè dans la production collective de beurre de karité; 2008.</w:t>
      </w:r>
    </w:p>
    <w:p>
      <w:pPr>
        <w:ind w:left="306" w:right="180" w:hanging="305"/>
        <w:spacing w:after="0" w:line="291" w:lineRule="auto"/>
        <w:tabs>
          <w:tab w:leader="none" w:pos="306" w:val="left"/>
        </w:tabs>
        <w:numPr>
          <w:ilvl w:val="0"/>
          <w:numId w:val="5"/>
        </w:numPr>
        <w:rPr>
          <w:rFonts w:ascii="Arial" w:cs="Arial" w:eastAsia="Arial" w:hAnsi="Arial"/>
          <w:sz w:val="13"/>
          <w:szCs w:val="13"/>
          <w:color w:val="131413"/>
        </w:rPr>
      </w:pPr>
      <w:r>
        <w:rPr>
          <w:rFonts w:ascii="Arial" w:cs="Arial" w:eastAsia="Arial" w:hAnsi="Arial"/>
          <w:sz w:val="13"/>
          <w:szCs w:val="13"/>
          <w:color w:val="131413"/>
        </w:rPr>
        <w:t>Lankoandé B, Ouédraogo A, Boussim JI, Lykke AM. Identification of determining traits of seed production in Carapa procera and Pentadesma butyracea, two native oil trees from riparian forests in Burkina Faso, West Africa. Biomass and Bioenergy. 2017;102:37–43.</w:t>
      </w:r>
    </w:p>
    <w:p>
      <w:pPr>
        <w:ind w:left="306" w:hanging="305"/>
        <w:spacing w:after="0" w:line="291" w:lineRule="auto"/>
        <w:tabs>
          <w:tab w:leader="none" w:pos="306" w:val="left"/>
        </w:tabs>
        <w:numPr>
          <w:ilvl w:val="0"/>
          <w:numId w:val="5"/>
        </w:numPr>
        <w:rPr>
          <w:rFonts w:ascii="Arial" w:cs="Arial" w:eastAsia="Arial" w:hAnsi="Arial"/>
          <w:sz w:val="13"/>
          <w:szCs w:val="13"/>
          <w:color w:val="131413"/>
        </w:rPr>
      </w:pPr>
      <w:r>
        <w:rPr>
          <w:rFonts w:ascii="Arial" w:cs="Arial" w:eastAsia="Arial" w:hAnsi="Arial"/>
          <w:sz w:val="13"/>
          <w:szCs w:val="13"/>
          <w:color w:val="131413"/>
        </w:rPr>
        <w:t>Ouédraogo A, Lykke AM, Lankoandé B, Korbéogo G. Potentials for promoting oil products identified from traditional knowledge of native trees in Burkina Faso. Ethnobotany Research and Applications. 2013;11:071–83.</w:t>
      </w:r>
    </w:p>
    <w:p>
      <w:pPr>
        <w:spacing w:after="0" w:line="1" w:lineRule="exact"/>
        <w:rPr>
          <w:rFonts w:ascii="Arial" w:cs="Arial" w:eastAsia="Arial" w:hAnsi="Arial"/>
          <w:sz w:val="13"/>
          <w:szCs w:val="13"/>
          <w:color w:val="131413"/>
        </w:rPr>
      </w:pPr>
    </w:p>
    <w:p>
      <w:pPr>
        <w:ind w:left="306" w:right="440" w:hanging="305"/>
        <w:spacing w:after="0" w:line="291" w:lineRule="auto"/>
        <w:tabs>
          <w:tab w:leader="none" w:pos="306" w:val="left"/>
        </w:tabs>
        <w:numPr>
          <w:ilvl w:val="0"/>
          <w:numId w:val="5"/>
        </w:numPr>
        <w:rPr>
          <w:rFonts w:ascii="Arial" w:cs="Arial" w:eastAsia="Arial" w:hAnsi="Arial"/>
          <w:sz w:val="13"/>
          <w:szCs w:val="13"/>
          <w:color w:val="131413"/>
        </w:rPr>
      </w:pPr>
      <w:r>
        <w:rPr>
          <w:rFonts w:ascii="Arial" w:cs="Arial" w:eastAsia="Arial" w:hAnsi="Arial"/>
          <w:sz w:val="13"/>
          <w:szCs w:val="13"/>
          <w:color w:val="131413"/>
        </w:rPr>
        <w:t>Thiombiano A, Schmidt M, Dressler S, Ouédraogo A, Hahn K, Zizka G: Catalogue des plantes vasculaires du Burkina Faso. Boissiera 65. Conservatoire et Jardin botaniques, Genève 2012.</w:t>
      </w:r>
    </w:p>
    <w:p>
      <w:pPr>
        <w:spacing w:after="0" w:line="1" w:lineRule="exact"/>
        <w:rPr>
          <w:rFonts w:ascii="Arial" w:cs="Arial" w:eastAsia="Arial" w:hAnsi="Arial"/>
          <w:sz w:val="13"/>
          <w:szCs w:val="13"/>
          <w:color w:val="131413"/>
        </w:rPr>
      </w:pPr>
    </w:p>
    <w:p>
      <w:pPr>
        <w:jc w:val="both"/>
        <w:ind w:left="306" w:right="200" w:hanging="305"/>
        <w:spacing w:after="0" w:line="317" w:lineRule="auto"/>
        <w:tabs>
          <w:tab w:leader="none" w:pos="306" w:val="left"/>
        </w:tabs>
        <w:numPr>
          <w:ilvl w:val="0"/>
          <w:numId w:val="5"/>
        </w:numPr>
        <w:rPr>
          <w:rFonts w:ascii="Arial" w:cs="Arial" w:eastAsia="Arial" w:hAnsi="Arial"/>
          <w:sz w:val="12"/>
          <w:szCs w:val="12"/>
          <w:color w:val="131413"/>
        </w:rPr>
      </w:pPr>
      <w:r>
        <w:rPr>
          <w:rFonts w:ascii="Arial" w:cs="Arial" w:eastAsia="Arial" w:hAnsi="Arial"/>
          <w:sz w:val="12"/>
          <w:szCs w:val="12"/>
          <w:color w:val="131413"/>
        </w:rPr>
        <w:t>Weber N, Birnbaum P, Forget P-M, Gueye M, Kenfack D. L’huile de carapa (Carapa spp., Meliaceae) en Afrique de l’Ouest: utilisations et implications dans la conservation des peuplements naturels. Fruits. 2010;65:343–54.</w:t>
      </w:r>
    </w:p>
    <w:p>
      <w:pPr>
        <w:ind w:left="306" w:right="280" w:hanging="305"/>
        <w:spacing w:after="0" w:line="270" w:lineRule="auto"/>
        <w:tabs>
          <w:tab w:leader="none" w:pos="306" w:val="left"/>
        </w:tabs>
        <w:numPr>
          <w:ilvl w:val="0"/>
          <w:numId w:val="5"/>
        </w:numPr>
        <w:rPr>
          <w:rFonts w:ascii="Arial" w:cs="Arial" w:eastAsia="Arial" w:hAnsi="Arial"/>
          <w:sz w:val="14"/>
          <w:szCs w:val="14"/>
          <w:color w:val="131413"/>
        </w:rPr>
      </w:pPr>
      <w:r>
        <w:rPr>
          <w:rFonts w:ascii="Arial" w:cs="Arial" w:eastAsia="Arial" w:hAnsi="Arial"/>
          <w:sz w:val="14"/>
          <w:szCs w:val="14"/>
          <w:color w:val="131413"/>
        </w:rPr>
        <w:t>Lankoande B, Ouédraogo A, Boussim JI, Lykke AM. Phenotypic traits of Carapa procera fruits from riparian forests of Burkina Faso, West Africa. J Hortic For. 2015;7:160–7.</w:t>
      </w:r>
    </w:p>
    <w:p>
      <w:pPr>
        <w:spacing w:after="0" w:line="2" w:lineRule="exact"/>
        <w:rPr>
          <w:rFonts w:ascii="Arial" w:cs="Arial" w:eastAsia="Arial" w:hAnsi="Arial"/>
          <w:sz w:val="14"/>
          <w:szCs w:val="14"/>
          <w:color w:val="131413"/>
        </w:rPr>
      </w:pPr>
    </w:p>
    <w:p>
      <w:pPr>
        <w:ind w:left="306" w:right="580" w:hanging="305"/>
        <w:spacing w:after="0" w:line="293" w:lineRule="auto"/>
        <w:tabs>
          <w:tab w:leader="none" w:pos="306" w:val="left"/>
        </w:tabs>
        <w:numPr>
          <w:ilvl w:val="0"/>
          <w:numId w:val="5"/>
        </w:numPr>
        <w:rPr>
          <w:rFonts w:ascii="Arial" w:cs="Arial" w:eastAsia="Arial" w:hAnsi="Arial"/>
          <w:sz w:val="13"/>
          <w:szCs w:val="13"/>
          <w:color w:val="131413"/>
        </w:rPr>
      </w:pPr>
      <w:r>
        <w:rPr>
          <w:rFonts w:ascii="Arial" w:cs="Arial" w:eastAsia="Arial" w:hAnsi="Arial"/>
          <w:sz w:val="13"/>
          <w:szCs w:val="13"/>
          <w:color w:val="131413"/>
        </w:rPr>
        <w:t>Van der Vossen H, Mkamilo G. Plant resources of tropical Africa 14: vegetable oils. PROTA, Netherlands. 2007:119–20.</w:t>
      </w:r>
    </w:p>
    <w:p>
      <w:pPr>
        <w:spacing w:after="0" w:line="1" w:lineRule="exact"/>
        <w:rPr>
          <w:rFonts w:ascii="Arial" w:cs="Arial" w:eastAsia="Arial" w:hAnsi="Arial"/>
          <w:sz w:val="13"/>
          <w:szCs w:val="13"/>
          <w:color w:val="131413"/>
        </w:rPr>
      </w:pPr>
    </w:p>
    <w:p>
      <w:pPr>
        <w:ind w:left="306" w:right="40" w:hanging="306"/>
        <w:spacing w:after="0" w:line="316" w:lineRule="auto"/>
        <w:tabs>
          <w:tab w:leader="none" w:pos="306" w:val="left"/>
        </w:tabs>
        <w:numPr>
          <w:ilvl w:val="0"/>
          <w:numId w:val="5"/>
        </w:numPr>
        <w:rPr>
          <w:rFonts w:ascii="Arial" w:cs="Arial" w:eastAsia="Arial" w:hAnsi="Arial"/>
          <w:sz w:val="12"/>
          <w:szCs w:val="12"/>
          <w:color w:val="131413"/>
        </w:rPr>
      </w:pPr>
      <w:r>
        <w:rPr>
          <w:rFonts w:ascii="Arial" w:cs="Arial" w:eastAsia="Arial" w:hAnsi="Arial"/>
          <w:sz w:val="12"/>
          <w:szCs w:val="12"/>
          <w:color w:val="131413"/>
        </w:rPr>
        <w:t>Natta A, Sogbégnon R, Tchobo F. Connaissances endogènes et importance du Pentadesma butyracea (Clusiaceae) pour les populations autochtones au Nord Ouest Bénin. Fruit Veg Cereal Sci Biotech. 2010;4:18–25.</w:t>
      </w:r>
    </w:p>
    <w:p>
      <w:pPr>
        <w:ind w:left="306" w:right="140" w:hanging="306"/>
        <w:spacing w:after="0" w:line="318" w:lineRule="auto"/>
        <w:tabs>
          <w:tab w:leader="none" w:pos="306" w:val="left"/>
        </w:tabs>
        <w:numPr>
          <w:ilvl w:val="0"/>
          <w:numId w:val="5"/>
        </w:numPr>
        <w:rPr>
          <w:rFonts w:ascii="Arial" w:cs="Arial" w:eastAsia="Arial" w:hAnsi="Arial"/>
          <w:sz w:val="12"/>
          <w:szCs w:val="12"/>
          <w:color w:val="131413"/>
        </w:rPr>
      </w:pPr>
      <w:r>
        <w:rPr>
          <w:rFonts w:ascii="Arial" w:cs="Arial" w:eastAsia="Arial" w:hAnsi="Arial"/>
          <w:sz w:val="12"/>
          <w:szCs w:val="12"/>
          <w:color w:val="131413"/>
        </w:rPr>
        <w:t>Gueye M, Kenfack D, Forget P-M. Importance socio-culturelle, potentialités économiques et thérapeutiques du Carapa (Meliaceae) au Sénégal; 2010.</w:t>
      </w:r>
    </w:p>
    <w:p>
      <w:pPr>
        <w:ind w:left="306" w:right="120" w:hanging="306"/>
        <w:spacing w:after="0" w:line="271" w:lineRule="auto"/>
        <w:tabs>
          <w:tab w:leader="none" w:pos="306" w:val="left"/>
        </w:tabs>
        <w:numPr>
          <w:ilvl w:val="0"/>
          <w:numId w:val="5"/>
        </w:numPr>
        <w:rPr>
          <w:rFonts w:ascii="Arial" w:cs="Arial" w:eastAsia="Arial" w:hAnsi="Arial"/>
          <w:sz w:val="14"/>
          <w:szCs w:val="14"/>
          <w:color w:val="131413"/>
        </w:rPr>
      </w:pPr>
      <w:r>
        <w:rPr>
          <w:rFonts w:ascii="Arial" w:cs="Arial" w:eastAsia="Arial" w:hAnsi="Arial"/>
          <w:sz w:val="14"/>
          <w:szCs w:val="14"/>
          <w:color w:val="131413"/>
        </w:rPr>
        <w:t>Lohlum SA. Proximate composition, amino acid profile and phytochemical screening of Lophira lanceolata seeds. Agriculture, Nutrition and Development: African Journal of Food; 2010. p. 10.</w:t>
      </w:r>
    </w:p>
    <w:p>
      <w:pPr>
        <w:spacing w:after="0" w:line="1" w:lineRule="exact"/>
        <w:rPr>
          <w:rFonts w:ascii="Arial" w:cs="Arial" w:eastAsia="Arial" w:hAnsi="Arial"/>
          <w:sz w:val="14"/>
          <w:szCs w:val="14"/>
          <w:color w:val="131413"/>
        </w:rPr>
      </w:pPr>
    </w:p>
    <w:p>
      <w:pPr>
        <w:ind w:left="306" w:right="20" w:hanging="306"/>
        <w:spacing w:after="0" w:line="290" w:lineRule="auto"/>
        <w:tabs>
          <w:tab w:leader="none" w:pos="306" w:val="left"/>
        </w:tabs>
        <w:numPr>
          <w:ilvl w:val="0"/>
          <w:numId w:val="5"/>
        </w:numPr>
        <w:rPr>
          <w:rFonts w:ascii="Arial" w:cs="Arial" w:eastAsia="Arial" w:hAnsi="Arial"/>
          <w:sz w:val="13"/>
          <w:szCs w:val="13"/>
          <w:color w:val="131413"/>
        </w:rPr>
      </w:pPr>
      <w:r>
        <w:rPr>
          <w:rFonts w:ascii="Arial" w:cs="Arial" w:eastAsia="Arial" w:hAnsi="Arial"/>
          <w:sz w:val="13"/>
          <w:szCs w:val="13"/>
          <w:color w:val="131413"/>
        </w:rPr>
        <w:t>Aissi MV, Tchobo PF, Natta AK, Piombo G, Villeneuve P, Sohounhloue DCK, Soumanou MM. Effet des prétraitements post-récolte des amandes de Pentadesma butyracea (Sabine) sur la technologie d'extraction en milieu réel et la qualité du beurre: le cheminement de PT. Smart. Oilseeds and fats. Crops and Lipids. 2011;18:384–92.</w:t>
      </w:r>
    </w:p>
    <w:p>
      <w:pPr>
        <w:spacing w:after="0" w:line="2" w:lineRule="exact"/>
        <w:rPr>
          <w:rFonts w:ascii="Arial" w:cs="Arial" w:eastAsia="Arial" w:hAnsi="Arial"/>
          <w:sz w:val="13"/>
          <w:szCs w:val="13"/>
          <w:color w:val="131413"/>
        </w:rPr>
      </w:pPr>
    </w:p>
    <w:p>
      <w:pPr>
        <w:ind w:left="306" w:right="80" w:hanging="306"/>
        <w:spacing w:after="0" w:line="246" w:lineRule="auto"/>
        <w:tabs>
          <w:tab w:leader="none" w:pos="306" w:val="left"/>
        </w:tabs>
        <w:numPr>
          <w:ilvl w:val="0"/>
          <w:numId w:val="5"/>
        </w:numPr>
        <w:rPr>
          <w:rFonts w:ascii="Arial" w:cs="Arial" w:eastAsia="Arial" w:hAnsi="Arial"/>
          <w:sz w:val="15"/>
          <w:szCs w:val="15"/>
          <w:color w:val="131413"/>
        </w:rPr>
      </w:pPr>
      <w:r>
        <w:rPr>
          <w:rFonts w:ascii="Arial" w:cs="Arial" w:eastAsia="Arial" w:hAnsi="Arial"/>
          <w:sz w:val="15"/>
          <w:szCs w:val="15"/>
          <w:color w:val="131413"/>
        </w:rPr>
        <w:t>Traore L, Ouedraogo I, Ouedraogo A, Thiombiano A. Perceptions, usages et vulnérabilité des ressources végétales ligneuses dans le Sud-Ouest du Burkina Faso. International Journal of Biological and Chemical Sciences. 2011;5.</w:t>
      </w:r>
    </w:p>
    <w:p>
      <w:pPr>
        <w:spacing w:after="0" w:line="18" w:lineRule="exact"/>
        <w:rPr>
          <w:rFonts w:ascii="Arial" w:cs="Arial" w:eastAsia="Arial" w:hAnsi="Arial"/>
          <w:sz w:val="15"/>
          <w:szCs w:val="15"/>
          <w:color w:val="131413"/>
        </w:rPr>
      </w:pPr>
    </w:p>
    <w:p>
      <w:pPr>
        <w:ind w:left="306" w:right="80" w:hanging="306"/>
        <w:spacing w:after="0" w:line="318" w:lineRule="auto"/>
        <w:tabs>
          <w:tab w:leader="none" w:pos="306" w:val="left"/>
        </w:tabs>
        <w:numPr>
          <w:ilvl w:val="0"/>
          <w:numId w:val="5"/>
        </w:numPr>
        <w:rPr>
          <w:rFonts w:ascii="Arial" w:cs="Arial" w:eastAsia="Arial" w:hAnsi="Arial"/>
          <w:sz w:val="12"/>
          <w:szCs w:val="12"/>
          <w:color w:val="131413"/>
        </w:rPr>
      </w:pPr>
      <w:r>
        <w:rPr>
          <w:rFonts w:ascii="Arial" w:cs="Arial" w:eastAsia="Arial" w:hAnsi="Arial"/>
          <w:sz w:val="12"/>
          <w:szCs w:val="12"/>
          <w:color w:val="131413"/>
        </w:rPr>
        <w:t>Rasmussen K, Fog B, Madsen JE. Desertification in reverse? Observations from northern Burkina Faso. Global Environmental Change. 2001;11:271–82.</w:t>
      </w:r>
    </w:p>
    <w:p>
      <w:pPr>
        <w:ind w:left="306" w:right="40" w:hanging="306"/>
        <w:spacing w:after="0" w:line="291" w:lineRule="auto"/>
        <w:tabs>
          <w:tab w:leader="none" w:pos="306" w:val="left"/>
        </w:tabs>
        <w:numPr>
          <w:ilvl w:val="0"/>
          <w:numId w:val="5"/>
        </w:numPr>
        <w:rPr>
          <w:rFonts w:ascii="Arial" w:cs="Arial" w:eastAsia="Arial" w:hAnsi="Arial"/>
          <w:sz w:val="13"/>
          <w:szCs w:val="13"/>
          <w:color w:val="131413"/>
        </w:rPr>
      </w:pPr>
      <w:r>
        <w:rPr>
          <w:rFonts w:ascii="Arial" w:cs="Arial" w:eastAsia="Arial" w:hAnsi="Arial"/>
          <w:sz w:val="13"/>
          <w:szCs w:val="13"/>
          <w:color w:val="131413"/>
        </w:rPr>
        <w:t>Sop T, Oldeland J, Schmiedel U, Ouedraogo I, Thiombiano A. Population structure of three woody species in four ethnic domains of the sub-sahel of Burkina Faso. Land Degradation &amp; Development. 2011;22:519–29.</w:t>
      </w:r>
    </w:p>
    <w:p>
      <w:pPr>
        <w:spacing w:after="0" w:line="1" w:lineRule="exact"/>
        <w:rPr>
          <w:rFonts w:ascii="Arial" w:cs="Arial" w:eastAsia="Arial" w:hAnsi="Arial"/>
          <w:sz w:val="13"/>
          <w:szCs w:val="13"/>
          <w:color w:val="131413"/>
        </w:rPr>
      </w:pPr>
    </w:p>
    <w:p>
      <w:pPr>
        <w:ind w:left="306" w:right="140" w:hanging="306"/>
        <w:spacing w:after="0" w:line="292" w:lineRule="auto"/>
        <w:tabs>
          <w:tab w:leader="none" w:pos="306" w:val="left"/>
        </w:tabs>
        <w:numPr>
          <w:ilvl w:val="0"/>
          <w:numId w:val="5"/>
        </w:numPr>
        <w:rPr>
          <w:rFonts w:ascii="Arial" w:cs="Arial" w:eastAsia="Arial" w:hAnsi="Arial"/>
          <w:sz w:val="13"/>
          <w:szCs w:val="13"/>
          <w:color w:val="131413"/>
        </w:rPr>
      </w:pPr>
      <w:r>
        <w:rPr>
          <w:rFonts w:ascii="Arial" w:cs="Arial" w:eastAsia="Arial" w:hAnsi="Arial"/>
          <w:sz w:val="13"/>
          <w:szCs w:val="13"/>
          <w:color w:val="131413"/>
        </w:rPr>
        <w:t>Atato A, Wala K, Batawila K, Lamien N, Akpagana K. Edible wild fruit highly consumed during food shortage period in Togo: state of knowledge and conservation status. Journal of Life Sciences. 2011;5:1046–57.</w:t>
      </w:r>
    </w:p>
    <w:p>
      <w:pPr>
        <w:ind w:left="306" w:right="740" w:hanging="306"/>
        <w:spacing w:after="0" w:line="317" w:lineRule="auto"/>
        <w:tabs>
          <w:tab w:leader="none" w:pos="306" w:val="left"/>
        </w:tabs>
        <w:numPr>
          <w:ilvl w:val="0"/>
          <w:numId w:val="5"/>
        </w:numPr>
        <w:rPr>
          <w:rFonts w:ascii="Arial" w:cs="Arial" w:eastAsia="Arial" w:hAnsi="Arial"/>
          <w:sz w:val="12"/>
          <w:szCs w:val="12"/>
          <w:color w:val="131413"/>
        </w:rPr>
      </w:pPr>
      <w:r>
        <w:rPr>
          <w:rFonts w:ascii="Arial" w:cs="Arial" w:eastAsia="Arial" w:hAnsi="Arial"/>
          <w:sz w:val="12"/>
          <w:szCs w:val="12"/>
          <w:color w:val="131413"/>
        </w:rPr>
        <w:t>Chominot A. Valorisation des plantes médicinales par l'industrie pharmaceutique: complémentarités et contradictions; 2000.</w:t>
      </w:r>
    </w:p>
    <w:p>
      <w:pPr>
        <w:ind w:left="306" w:right="300" w:hanging="306"/>
        <w:spacing w:after="0" w:line="292" w:lineRule="auto"/>
        <w:tabs>
          <w:tab w:leader="none" w:pos="306" w:val="left"/>
        </w:tabs>
        <w:numPr>
          <w:ilvl w:val="0"/>
          <w:numId w:val="5"/>
        </w:numPr>
        <w:rPr>
          <w:rFonts w:ascii="Arial" w:cs="Arial" w:eastAsia="Arial" w:hAnsi="Arial"/>
          <w:sz w:val="13"/>
          <w:szCs w:val="13"/>
          <w:color w:val="131413"/>
        </w:rPr>
      </w:pPr>
      <w:r>
        <w:rPr>
          <w:rFonts w:ascii="Arial" w:cs="Arial" w:eastAsia="Arial" w:hAnsi="Arial"/>
          <w:sz w:val="13"/>
          <w:szCs w:val="13"/>
          <w:color w:val="131413"/>
        </w:rPr>
        <w:t>Etongo D, Djenontin INS, Kanninen M, Fobissie K. Smallholders’ tree planting activity in the ziro province, southern burkina faso: impacts on livelihood and policy implications. Forests. 2015;6:2655–77.</w:t>
      </w:r>
    </w:p>
    <w:p>
      <w:pPr>
        <w:jc w:val="both"/>
        <w:ind w:left="306" w:right="40" w:hanging="306"/>
        <w:spacing w:after="0" w:line="292" w:lineRule="auto"/>
        <w:tabs>
          <w:tab w:leader="none" w:pos="306" w:val="left"/>
        </w:tabs>
        <w:numPr>
          <w:ilvl w:val="0"/>
          <w:numId w:val="5"/>
        </w:numPr>
        <w:rPr>
          <w:rFonts w:ascii="Arial" w:cs="Arial" w:eastAsia="Arial" w:hAnsi="Arial"/>
          <w:sz w:val="13"/>
          <w:szCs w:val="13"/>
          <w:color w:val="131413"/>
        </w:rPr>
      </w:pPr>
      <w:r>
        <w:rPr>
          <w:rFonts w:ascii="Arial" w:cs="Arial" w:eastAsia="Arial" w:hAnsi="Arial"/>
          <w:sz w:val="13"/>
          <w:szCs w:val="13"/>
          <w:color w:val="131413"/>
        </w:rPr>
        <w:t>Augusseau X, Nikiéma P, Torquebiau E. Tree biodiversity, land dynamics and farmers’ strategies on the agricultural frontier of southwestern Burkina Faso. Biodiversity &amp; Conservation. 2006;15:613–30.</w:t>
      </w:r>
    </w:p>
    <w:p>
      <w:pPr>
        <w:ind w:left="306" w:right="80" w:hanging="306"/>
        <w:spacing w:after="0" w:line="315" w:lineRule="auto"/>
        <w:tabs>
          <w:tab w:leader="none" w:pos="306" w:val="left"/>
        </w:tabs>
        <w:numPr>
          <w:ilvl w:val="0"/>
          <w:numId w:val="5"/>
        </w:numPr>
        <w:rPr>
          <w:rFonts w:ascii="Arial" w:cs="Arial" w:eastAsia="Arial" w:hAnsi="Arial"/>
          <w:sz w:val="12"/>
          <w:szCs w:val="12"/>
          <w:color w:val="131413"/>
        </w:rPr>
      </w:pPr>
      <w:r>
        <w:rPr>
          <w:rFonts w:ascii="Arial" w:cs="Arial" w:eastAsia="Arial" w:hAnsi="Arial"/>
          <w:sz w:val="12"/>
          <w:szCs w:val="12"/>
          <w:color w:val="131413"/>
        </w:rPr>
        <w:t>Sawadogo H, Hien F, Sohoro A, Kambou F. Pits for trees: how farmers in semiarid Burkina Faso increase and diversify plant biomass. Farmer innovation in Africa: A source of inspiration for agricultural development. 2001.</w:t>
      </w:r>
    </w:p>
    <w:p>
      <w:pPr>
        <w:spacing w:after="0" w:line="1" w:lineRule="exact"/>
        <w:rPr>
          <w:rFonts w:ascii="Arial" w:cs="Arial" w:eastAsia="Arial" w:hAnsi="Arial"/>
          <w:sz w:val="12"/>
          <w:szCs w:val="12"/>
          <w:color w:val="131413"/>
        </w:rPr>
      </w:pPr>
    </w:p>
    <w:p>
      <w:pPr>
        <w:jc w:val="both"/>
        <w:ind w:left="306" w:right="20" w:hanging="306"/>
        <w:spacing w:after="0" w:line="317" w:lineRule="auto"/>
        <w:tabs>
          <w:tab w:leader="none" w:pos="306" w:val="left"/>
        </w:tabs>
        <w:numPr>
          <w:ilvl w:val="0"/>
          <w:numId w:val="5"/>
        </w:numPr>
        <w:rPr>
          <w:rFonts w:ascii="Arial" w:cs="Arial" w:eastAsia="Arial" w:hAnsi="Arial"/>
          <w:sz w:val="12"/>
          <w:szCs w:val="12"/>
          <w:color w:val="131413"/>
        </w:rPr>
      </w:pPr>
      <w:r>
        <w:rPr>
          <w:rFonts w:ascii="Arial" w:cs="Arial" w:eastAsia="Arial" w:hAnsi="Arial"/>
          <w:sz w:val="12"/>
          <w:szCs w:val="12"/>
          <w:color w:val="131413"/>
        </w:rPr>
        <w:t>Ræbild A, Bassirou B, Lillesø J-PB, Emma-Lucie Y, Damas P: Farmers’ planting practices in Burkina Faso. A survey carried out by the project’Improved Seed Supply for. and no Forest &amp; Landscape Working Papers 2005.</w:t>
      </w:r>
    </w:p>
    <w:p>
      <w:pPr>
        <w:ind w:left="306" w:right="40" w:hanging="306"/>
        <w:spacing w:after="0" w:line="247" w:lineRule="auto"/>
        <w:tabs>
          <w:tab w:leader="none" w:pos="306" w:val="left"/>
        </w:tabs>
        <w:numPr>
          <w:ilvl w:val="0"/>
          <w:numId w:val="5"/>
        </w:numPr>
        <w:rPr>
          <w:rFonts w:ascii="Arial" w:cs="Arial" w:eastAsia="Arial" w:hAnsi="Arial"/>
          <w:sz w:val="15"/>
          <w:szCs w:val="15"/>
          <w:color w:val="131413"/>
        </w:rPr>
      </w:pPr>
      <w:r>
        <w:rPr>
          <w:rFonts w:ascii="Arial" w:cs="Arial" w:eastAsia="Arial" w:hAnsi="Arial"/>
          <w:sz w:val="15"/>
          <w:szCs w:val="15"/>
          <w:color w:val="131413"/>
        </w:rPr>
        <w:t>Belem B, Nacoulma BMI, Gbangou R, Kambou S, Hansen HH, Gausset Q, Lund S, Raebild A, Lompo D, Ouedraogo M. Use of non wood forest products by local people bordering the “Parc National Kaboré Tambi”, Burkina Faso. The Journal of Transdisciplinary Environmental Studies. 2007;6: 1–21.</w:t>
      </w:r>
    </w:p>
    <w:p>
      <w:pPr>
        <w:spacing w:after="0" w:line="18" w:lineRule="exact"/>
        <w:rPr>
          <w:rFonts w:ascii="Arial" w:cs="Arial" w:eastAsia="Arial" w:hAnsi="Arial"/>
          <w:sz w:val="15"/>
          <w:szCs w:val="15"/>
          <w:color w:val="131413"/>
        </w:rPr>
      </w:pPr>
    </w:p>
    <w:p>
      <w:pPr>
        <w:ind w:left="306" w:right="20" w:hanging="306"/>
        <w:spacing w:after="0" w:line="359" w:lineRule="auto"/>
        <w:tabs>
          <w:tab w:leader="none" w:pos="306" w:val="left"/>
        </w:tabs>
        <w:numPr>
          <w:ilvl w:val="0"/>
          <w:numId w:val="5"/>
        </w:numPr>
        <w:rPr>
          <w:rFonts w:ascii="Arial" w:cs="Arial" w:eastAsia="Arial" w:hAnsi="Arial"/>
          <w:sz w:val="12"/>
          <w:szCs w:val="12"/>
          <w:color w:val="131413"/>
        </w:rPr>
      </w:pPr>
      <w:r>
        <w:rPr>
          <w:rFonts w:ascii="Arial" w:cs="Arial" w:eastAsia="Arial" w:hAnsi="Arial"/>
          <w:sz w:val="12"/>
          <w:szCs w:val="12"/>
          <w:color w:val="131413"/>
        </w:rPr>
        <w:t>Lovett P, Haq N. Diversity of the Sheanut tree (Vitellaria paradoxa CF Gaertn.) in Ghana. Genetic Resources and Crop Evolution. 2000;47:293–304.</w:t>
      </w:r>
    </w:p>
    <w:p>
      <w:pPr>
        <w:sectPr>
          <w:pgSz w:w="11900" w:h="15817" w:orient="portrait"/>
          <w:cols w:equalWidth="0" w:num="2">
            <w:col w:w="4686" w:space="274"/>
            <w:col w:w="4686"/>
          </w:cols>
          <w:pgMar w:left="1134" w:top="623" w:right="1126" w:bottom="557" w:gutter="0" w:footer="0" w:header="0"/>
          <w:type w:val="continuous"/>
        </w:sectPr>
      </w:pPr>
    </w:p>
    <w:bookmarkStart w:id="14" w:name="page15"/>
    <w:bookmarkEnd w:id="14"/>
    <w:p>
      <w:pPr>
        <w:ind w:left="6"/>
        <w:spacing w:after="0"/>
        <w:tabs>
          <w:tab w:leader="none" w:pos="4386" w:val="left"/>
          <w:tab w:leader="none" w:pos="8686" w:val="left"/>
        </w:tabs>
        <w:rPr>
          <w:sz w:val="20"/>
          <w:szCs w:val="20"/>
          <w:color w:val="auto"/>
        </w:rPr>
      </w:pPr>
      <w:r>
        <w:rPr>
          <w:rFonts w:ascii="Arial" w:cs="Arial" w:eastAsia="Arial" w:hAnsi="Arial"/>
          <w:sz w:val="16"/>
          <w:szCs w:val="16"/>
          <w:color w:val="131413"/>
        </w:rPr>
        <w:t>Tiétiambou et al. Journal of Ethnobiology and Ethnomedicine</w:t>
      </w:r>
      <w:r>
        <w:rPr>
          <w:sz w:val="20"/>
          <w:szCs w:val="20"/>
          <w:color w:val="auto"/>
        </w:rPr>
        <w:tab/>
      </w:r>
      <w:r>
        <w:rPr>
          <w:rFonts w:ascii="Arial" w:cs="Arial" w:eastAsia="Arial" w:hAnsi="Arial"/>
          <w:sz w:val="16"/>
          <w:szCs w:val="16"/>
          <w:color w:val="131413"/>
        </w:rPr>
        <w:t>(2020) 16:43</w:t>
      </w:r>
      <w:r>
        <w:rPr>
          <w:sz w:val="20"/>
          <w:szCs w:val="20"/>
          <w:color w:val="auto"/>
        </w:rPr>
        <w:tab/>
      </w:r>
      <w:r>
        <w:rPr>
          <w:rFonts w:ascii="Arial" w:cs="Arial" w:eastAsia="Arial" w:hAnsi="Arial"/>
          <w:sz w:val="15"/>
          <w:szCs w:val="15"/>
          <w:color w:val="131413"/>
        </w:rPr>
        <w:t>Page 15 of 16</w:t>
      </w:r>
    </w:p>
    <w:p>
      <w:pPr>
        <w:sectPr>
          <w:pgSz w:w="11900" w:h="15817" w:orient="portrait"/>
          <w:cols w:equalWidth="0" w:num="1">
            <w:col w:w="9646"/>
          </w:cols>
          <w:pgMar w:left="1134" w:top="623" w:right="1126" w:bottom="59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306" w:hanging="306"/>
        <w:spacing w:after="0" w:line="291" w:lineRule="auto"/>
        <w:tabs>
          <w:tab w:leader="none" w:pos="306" w:val="left"/>
        </w:tabs>
        <w:numPr>
          <w:ilvl w:val="0"/>
          <w:numId w:val="6"/>
        </w:numPr>
        <w:rPr>
          <w:rFonts w:ascii="Arial" w:cs="Arial" w:eastAsia="Arial" w:hAnsi="Arial"/>
          <w:sz w:val="13"/>
          <w:szCs w:val="13"/>
          <w:color w:val="131413"/>
        </w:rPr>
      </w:pPr>
      <w:r>
        <w:rPr>
          <w:rFonts w:ascii="Arial" w:cs="Arial" w:eastAsia="Arial" w:hAnsi="Arial"/>
          <w:sz w:val="13"/>
          <w:szCs w:val="13"/>
          <w:color w:val="131413"/>
        </w:rPr>
        <w:t>Yelemou B, Bationo BA, Yaméogo G, Rasolodimby JM. Gestion traditionnelle et usages de Piliostigma reticulatum sur le Plateau central du Burkina Faso. Bois &amp; Forêts des Tropiques. 2007;291:55–66.</w:t>
      </w:r>
    </w:p>
    <w:p>
      <w:pPr>
        <w:spacing w:after="0" w:line="1" w:lineRule="exact"/>
        <w:rPr>
          <w:rFonts w:ascii="Arial" w:cs="Arial" w:eastAsia="Arial" w:hAnsi="Arial"/>
          <w:sz w:val="13"/>
          <w:szCs w:val="13"/>
          <w:color w:val="131413"/>
        </w:rPr>
      </w:pPr>
    </w:p>
    <w:p>
      <w:pPr>
        <w:ind w:left="306" w:right="20" w:hanging="306"/>
        <w:spacing w:after="0" w:line="312" w:lineRule="auto"/>
        <w:tabs>
          <w:tab w:leader="none" w:pos="306" w:val="left"/>
        </w:tabs>
        <w:numPr>
          <w:ilvl w:val="0"/>
          <w:numId w:val="6"/>
        </w:numPr>
        <w:rPr>
          <w:rFonts w:ascii="Arial" w:cs="Arial" w:eastAsia="Arial" w:hAnsi="Arial"/>
          <w:sz w:val="12"/>
          <w:szCs w:val="12"/>
          <w:color w:val="131413"/>
        </w:rPr>
      </w:pPr>
      <w:r>
        <w:rPr>
          <w:rFonts w:ascii="Arial" w:cs="Arial" w:eastAsia="Arial" w:hAnsi="Arial"/>
          <w:sz w:val="12"/>
          <w:szCs w:val="12"/>
          <w:color w:val="131413"/>
        </w:rPr>
        <w:t>Kristensen M, Lykke AM. Informant-based valuation of use and conservation preferences of savanna trees in Burkina Faso. Economic Botany. 2003;57:</w:t>
      </w:r>
    </w:p>
    <w:p>
      <w:pPr>
        <w:ind w:left="306"/>
        <w:spacing w:after="0"/>
        <w:rPr>
          <w:rFonts w:ascii="Arial" w:cs="Arial" w:eastAsia="Arial" w:hAnsi="Arial"/>
          <w:sz w:val="12"/>
          <w:szCs w:val="12"/>
          <w:color w:val="131413"/>
        </w:rPr>
      </w:pPr>
      <w:r>
        <w:rPr>
          <w:rFonts w:ascii="Arial" w:cs="Arial" w:eastAsia="Arial" w:hAnsi="Arial"/>
          <w:sz w:val="15"/>
          <w:szCs w:val="15"/>
          <w:color w:val="131413"/>
        </w:rPr>
        <w:t>203–17.</w:t>
      </w:r>
    </w:p>
    <w:p>
      <w:pPr>
        <w:spacing w:after="0" w:line="21" w:lineRule="exact"/>
        <w:rPr>
          <w:rFonts w:ascii="Arial" w:cs="Arial" w:eastAsia="Arial" w:hAnsi="Arial"/>
          <w:sz w:val="12"/>
          <w:szCs w:val="12"/>
          <w:color w:val="131413"/>
        </w:rPr>
      </w:pPr>
    </w:p>
    <w:p>
      <w:pPr>
        <w:ind w:left="306" w:right="160" w:hanging="306"/>
        <w:spacing w:after="0" w:line="317" w:lineRule="auto"/>
        <w:tabs>
          <w:tab w:leader="none" w:pos="306" w:val="left"/>
        </w:tabs>
        <w:numPr>
          <w:ilvl w:val="0"/>
          <w:numId w:val="6"/>
        </w:numPr>
        <w:rPr>
          <w:rFonts w:ascii="Arial" w:cs="Arial" w:eastAsia="Arial" w:hAnsi="Arial"/>
          <w:sz w:val="12"/>
          <w:szCs w:val="12"/>
          <w:color w:val="131413"/>
        </w:rPr>
      </w:pPr>
      <w:r>
        <w:rPr>
          <w:rFonts w:ascii="Arial" w:cs="Arial" w:eastAsia="Arial" w:hAnsi="Arial"/>
          <w:sz w:val="12"/>
          <w:szCs w:val="12"/>
          <w:color w:val="131413"/>
        </w:rPr>
        <w:t>Gaoue OG, Coe MA, Bond M, Hart G, Seyler BC, McMillen H. Theories and major hypotheses in ethnobotany. Economic Botany. 2017;71:269–87.</w:t>
      </w:r>
    </w:p>
    <w:p>
      <w:pPr>
        <w:ind w:left="306" w:right="40" w:hanging="306"/>
        <w:spacing w:after="0" w:line="245" w:lineRule="auto"/>
        <w:tabs>
          <w:tab w:leader="none" w:pos="306" w:val="left"/>
        </w:tabs>
        <w:numPr>
          <w:ilvl w:val="0"/>
          <w:numId w:val="6"/>
        </w:numPr>
        <w:rPr>
          <w:rFonts w:ascii="Arial" w:cs="Arial" w:eastAsia="Arial" w:hAnsi="Arial"/>
          <w:sz w:val="15"/>
          <w:szCs w:val="15"/>
          <w:color w:val="131413"/>
        </w:rPr>
      </w:pPr>
      <w:r>
        <w:rPr>
          <w:rFonts w:ascii="Arial" w:cs="Arial" w:eastAsia="Arial" w:hAnsi="Arial"/>
          <w:sz w:val="15"/>
          <w:szCs w:val="15"/>
          <w:color w:val="131413"/>
        </w:rPr>
        <w:t>Mukadasi B, Kaboggoza JR, Nabalegwa M. Agroforestry practices in the buffer zone area of Mt Elgon National Park, eastern Uganda. African journal of ecology. 2007;45:48–53.</w:t>
      </w:r>
    </w:p>
    <w:p>
      <w:pPr>
        <w:spacing w:after="0" w:line="18" w:lineRule="exact"/>
        <w:rPr>
          <w:rFonts w:ascii="Arial" w:cs="Arial" w:eastAsia="Arial" w:hAnsi="Arial"/>
          <w:sz w:val="15"/>
          <w:szCs w:val="15"/>
          <w:color w:val="131413"/>
        </w:rPr>
      </w:pPr>
    </w:p>
    <w:p>
      <w:pPr>
        <w:ind w:left="306" w:right="420" w:hanging="306"/>
        <w:spacing w:after="0" w:line="291" w:lineRule="auto"/>
        <w:tabs>
          <w:tab w:leader="none" w:pos="306" w:val="left"/>
        </w:tabs>
        <w:numPr>
          <w:ilvl w:val="0"/>
          <w:numId w:val="6"/>
        </w:numPr>
        <w:rPr>
          <w:rFonts w:ascii="Arial" w:cs="Arial" w:eastAsia="Arial" w:hAnsi="Arial"/>
          <w:sz w:val="13"/>
          <w:szCs w:val="13"/>
          <w:color w:val="131413"/>
        </w:rPr>
      </w:pPr>
      <w:r>
        <w:rPr>
          <w:rFonts w:ascii="Arial" w:cs="Arial" w:eastAsia="Arial" w:hAnsi="Arial"/>
          <w:sz w:val="13"/>
          <w:szCs w:val="13"/>
          <w:color w:val="131413"/>
        </w:rPr>
        <w:t>Gandji K, Salako VK, Fandohan AB, Assogbadjo AE, Kakaï RLG. Factors determining the use and cultivation of Moringa oleifera Lam. in the Republic of Benin. Economic botany. 2018;72:332–45.</w:t>
      </w:r>
    </w:p>
    <w:p>
      <w:pPr>
        <w:spacing w:after="0" w:line="1" w:lineRule="exact"/>
        <w:rPr>
          <w:rFonts w:ascii="Arial" w:cs="Arial" w:eastAsia="Arial" w:hAnsi="Arial"/>
          <w:sz w:val="13"/>
          <w:szCs w:val="13"/>
          <w:color w:val="131413"/>
        </w:rPr>
      </w:pPr>
    </w:p>
    <w:p>
      <w:pPr>
        <w:ind w:left="306" w:hanging="306"/>
        <w:spacing w:after="0" w:line="270" w:lineRule="auto"/>
        <w:tabs>
          <w:tab w:leader="none" w:pos="306" w:val="left"/>
        </w:tabs>
        <w:numPr>
          <w:ilvl w:val="0"/>
          <w:numId w:val="6"/>
        </w:numPr>
        <w:rPr>
          <w:rFonts w:ascii="Arial" w:cs="Arial" w:eastAsia="Arial" w:hAnsi="Arial"/>
          <w:sz w:val="14"/>
          <w:szCs w:val="14"/>
          <w:color w:val="131413"/>
        </w:rPr>
      </w:pPr>
      <w:r>
        <w:rPr>
          <w:rFonts w:ascii="Arial" w:cs="Arial" w:eastAsia="Arial" w:hAnsi="Arial"/>
          <w:sz w:val="14"/>
          <w:szCs w:val="14"/>
          <w:color w:val="131413"/>
        </w:rPr>
        <w:t>N’Danikou S, Achigan-Dako EG, Tchokponhoue DA, Agossou CO, Houdegbe CA, Vodouhe RS, Ahanchede A. Modelling socioeconomic determinants for cultivation and in-situ conservation of Vitex doniana Sweet (Black plum), a wild harvested economic plant in Benin. Journal of ethnobiology and ethnomedicine. 2015;11:28.</w:t>
      </w:r>
    </w:p>
    <w:p>
      <w:pPr>
        <w:spacing w:after="0" w:line="1" w:lineRule="exact"/>
        <w:rPr>
          <w:rFonts w:ascii="Arial" w:cs="Arial" w:eastAsia="Arial" w:hAnsi="Arial"/>
          <w:sz w:val="14"/>
          <w:szCs w:val="14"/>
          <w:color w:val="131413"/>
        </w:rPr>
      </w:pPr>
    </w:p>
    <w:p>
      <w:pPr>
        <w:ind w:left="306" w:right="120" w:hanging="306"/>
        <w:spacing w:after="0" w:line="291" w:lineRule="auto"/>
        <w:tabs>
          <w:tab w:leader="none" w:pos="306" w:val="left"/>
        </w:tabs>
        <w:numPr>
          <w:ilvl w:val="0"/>
          <w:numId w:val="6"/>
        </w:numPr>
        <w:rPr>
          <w:rFonts w:ascii="Arial" w:cs="Arial" w:eastAsia="Arial" w:hAnsi="Arial"/>
          <w:sz w:val="13"/>
          <w:szCs w:val="13"/>
          <w:color w:val="131413"/>
        </w:rPr>
      </w:pPr>
      <w:r>
        <w:rPr>
          <w:rFonts w:ascii="Arial" w:cs="Arial" w:eastAsia="Arial" w:hAnsi="Arial"/>
          <w:sz w:val="13"/>
          <w:szCs w:val="13"/>
          <w:color w:val="131413"/>
        </w:rPr>
        <w:t>Balima LH, Nacoulma BMI, Ekué MRM, Kouamé FNG, Thiombiano A: Use patterns, use values and management of Afzelia africana Sm. in Burkina Faso: implications for species domestication and sustainable conservation. Journal of ethnobiology and ethnomedicine 2018, 14:23.</w:t>
      </w:r>
    </w:p>
    <w:p>
      <w:pPr>
        <w:jc w:val="both"/>
        <w:ind w:left="306" w:right="80" w:hanging="306"/>
        <w:spacing w:after="0" w:line="316" w:lineRule="auto"/>
        <w:tabs>
          <w:tab w:leader="none" w:pos="306" w:val="left"/>
        </w:tabs>
        <w:numPr>
          <w:ilvl w:val="0"/>
          <w:numId w:val="6"/>
        </w:numPr>
        <w:rPr>
          <w:rFonts w:ascii="Arial" w:cs="Arial" w:eastAsia="Arial" w:hAnsi="Arial"/>
          <w:sz w:val="12"/>
          <w:szCs w:val="12"/>
          <w:color w:val="131413"/>
        </w:rPr>
      </w:pPr>
      <w:r>
        <w:rPr>
          <w:rFonts w:ascii="Arial" w:cs="Arial" w:eastAsia="Arial" w:hAnsi="Arial"/>
          <w:sz w:val="12"/>
          <w:szCs w:val="12"/>
          <w:color w:val="131413"/>
        </w:rPr>
        <w:t>Ewédjè E-EB, Parmentier I, Natta A, Ahanchédé A, Hardy OJ. Morphological variability of the tallow tree, Pentadesma butyracea Sabine (Clusiaceae), in Benin. Genetic resources and crop evolution. 2012;59:625–33.</w:t>
      </w:r>
    </w:p>
    <w:p>
      <w:pPr>
        <w:ind w:left="306" w:hanging="306"/>
        <w:spacing w:after="0" w:line="316" w:lineRule="auto"/>
        <w:tabs>
          <w:tab w:leader="none" w:pos="306" w:val="left"/>
        </w:tabs>
        <w:numPr>
          <w:ilvl w:val="0"/>
          <w:numId w:val="6"/>
        </w:numPr>
        <w:rPr>
          <w:rFonts w:ascii="Arial" w:cs="Arial" w:eastAsia="Arial" w:hAnsi="Arial"/>
          <w:sz w:val="12"/>
          <w:szCs w:val="12"/>
          <w:color w:val="131413"/>
        </w:rPr>
      </w:pPr>
      <w:r>
        <w:rPr>
          <w:rFonts w:ascii="Arial" w:cs="Arial" w:eastAsia="Arial" w:hAnsi="Arial"/>
          <w:sz w:val="12"/>
          <w:szCs w:val="12"/>
          <w:color w:val="131413"/>
        </w:rPr>
        <w:t>Gwali S, Nakabonge G, Okullo JBL, Eilu G, Nyeko P, Vuzi P. Morphological variation among shea tree (Vitellaria paradoxa subsp. nilotica)‘ethnovarieties’ in Uganda. Genetic resources and crop evolution. 2012;59:1883–98.</w:t>
      </w:r>
    </w:p>
    <w:p>
      <w:pPr>
        <w:spacing w:after="0" w:line="1" w:lineRule="exact"/>
        <w:rPr>
          <w:rFonts w:ascii="Arial" w:cs="Arial" w:eastAsia="Arial" w:hAnsi="Arial"/>
          <w:sz w:val="12"/>
          <w:szCs w:val="12"/>
          <w:color w:val="131413"/>
        </w:rPr>
      </w:pPr>
    </w:p>
    <w:p>
      <w:pPr>
        <w:ind w:left="306" w:right="60" w:hanging="306"/>
        <w:spacing w:after="0" w:line="291" w:lineRule="auto"/>
        <w:tabs>
          <w:tab w:leader="none" w:pos="306" w:val="left"/>
        </w:tabs>
        <w:numPr>
          <w:ilvl w:val="0"/>
          <w:numId w:val="6"/>
        </w:numPr>
        <w:rPr>
          <w:rFonts w:ascii="Arial" w:cs="Arial" w:eastAsia="Arial" w:hAnsi="Arial"/>
          <w:sz w:val="13"/>
          <w:szCs w:val="13"/>
          <w:color w:val="131413"/>
        </w:rPr>
      </w:pPr>
      <w:r>
        <w:rPr>
          <w:rFonts w:ascii="Arial" w:cs="Arial" w:eastAsia="Arial" w:hAnsi="Arial"/>
          <w:sz w:val="13"/>
          <w:szCs w:val="13"/>
          <w:color w:val="131413"/>
        </w:rPr>
        <w:t>Assogbadjo AE, Glèlè Kakaï R, Chadare F, Thomson L, Kyndt T, Sinsin B, Van Damme P. Folk classification, perception, and preferences of baobab products in West Africa: consequences for species conservation and improvement. Economic botany. 2008;62:74–84.</w:t>
      </w:r>
    </w:p>
    <w:p>
      <w:pPr>
        <w:ind w:left="306" w:right="40" w:hanging="306"/>
        <w:spacing w:after="0" w:line="312" w:lineRule="auto"/>
        <w:tabs>
          <w:tab w:leader="none" w:pos="306" w:val="left"/>
        </w:tabs>
        <w:numPr>
          <w:ilvl w:val="0"/>
          <w:numId w:val="6"/>
        </w:numPr>
        <w:rPr>
          <w:rFonts w:ascii="Arial" w:cs="Arial" w:eastAsia="Arial" w:hAnsi="Arial"/>
          <w:sz w:val="12"/>
          <w:szCs w:val="12"/>
          <w:color w:val="131413"/>
        </w:rPr>
      </w:pPr>
      <w:r>
        <w:rPr>
          <w:rFonts w:ascii="Arial" w:cs="Arial" w:eastAsia="Arial" w:hAnsi="Arial"/>
          <w:sz w:val="12"/>
          <w:szCs w:val="12"/>
          <w:color w:val="131413"/>
        </w:rPr>
        <w:t>Whitney CW, Luedeling E, Tabuti JR, Nyamukuru A, Hensel O, Gebauer J, Kehlenbeck K. Crop diversity in homegardens of southwest Uganda and its importance for rural livelihoods. Agriculture and Human Values. 2018;35:</w:t>
      </w:r>
    </w:p>
    <w:p>
      <w:pPr>
        <w:ind w:left="306"/>
        <w:spacing w:after="0"/>
        <w:rPr>
          <w:rFonts w:ascii="Arial" w:cs="Arial" w:eastAsia="Arial" w:hAnsi="Arial"/>
          <w:sz w:val="12"/>
          <w:szCs w:val="12"/>
          <w:color w:val="131413"/>
        </w:rPr>
      </w:pPr>
      <w:r>
        <w:rPr>
          <w:rFonts w:ascii="Arial" w:cs="Arial" w:eastAsia="Arial" w:hAnsi="Arial"/>
          <w:sz w:val="15"/>
          <w:szCs w:val="15"/>
          <w:color w:val="131413"/>
        </w:rPr>
        <w:t>399–424.</w:t>
      </w:r>
    </w:p>
    <w:p>
      <w:pPr>
        <w:spacing w:after="0" w:line="22" w:lineRule="exact"/>
        <w:rPr>
          <w:rFonts w:ascii="Arial" w:cs="Arial" w:eastAsia="Arial" w:hAnsi="Arial"/>
          <w:sz w:val="12"/>
          <w:szCs w:val="12"/>
          <w:color w:val="131413"/>
        </w:rPr>
      </w:pPr>
    </w:p>
    <w:p>
      <w:pPr>
        <w:ind w:left="306" w:hanging="306"/>
        <w:spacing w:after="0" w:line="246" w:lineRule="auto"/>
        <w:tabs>
          <w:tab w:leader="none" w:pos="306" w:val="left"/>
        </w:tabs>
        <w:numPr>
          <w:ilvl w:val="0"/>
          <w:numId w:val="6"/>
        </w:numPr>
        <w:rPr>
          <w:rFonts w:ascii="Arial" w:cs="Arial" w:eastAsia="Arial" w:hAnsi="Arial"/>
          <w:sz w:val="15"/>
          <w:szCs w:val="15"/>
          <w:color w:val="131413"/>
        </w:rPr>
      </w:pPr>
      <w:r>
        <w:rPr>
          <w:rFonts w:ascii="Arial" w:cs="Arial" w:eastAsia="Arial" w:hAnsi="Arial"/>
          <w:sz w:val="15"/>
          <w:szCs w:val="15"/>
          <w:color w:val="131413"/>
        </w:rPr>
        <w:t>Heubach K, Wittig R, Nuppenau E-A, Hahn K. The economic importance of non-timber forest products (NTFPs) for livelihood maintenance of rural west African communities: a case study from northern Benin. Ecological Economics. 2011;70:1991–2001.</w:t>
      </w:r>
    </w:p>
    <w:p>
      <w:pPr>
        <w:spacing w:after="0" w:line="18" w:lineRule="exact"/>
        <w:rPr>
          <w:rFonts w:ascii="Arial" w:cs="Arial" w:eastAsia="Arial" w:hAnsi="Arial"/>
          <w:sz w:val="15"/>
          <w:szCs w:val="15"/>
          <w:color w:val="131413"/>
        </w:rPr>
      </w:pPr>
    </w:p>
    <w:p>
      <w:pPr>
        <w:ind w:left="306" w:right="100" w:hanging="306"/>
        <w:spacing w:after="0" w:line="270" w:lineRule="auto"/>
        <w:tabs>
          <w:tab w:leader="none" w:pos="306" w:val="left"/>
        </w:tabs>
        <w:numPr>
          <w:ilvl w:val="0"/>
          <w:numId w:val="6"/>
        </w:numPr>
        <w:rPr>
          <w:rFonts w:ascii="Arial" w:cs="Arial" w:eastAsia="Arial" w:hAnsi="Arial"/>
          <w:sz w:val="14"/>
          <w:szCs w:val="14"/>
          <w:color w:val="131413"/>
        </w:rPr>
      </w:pPr>
      <w:r>
        <w:rPr>
          <w:rFonts w:ascii="Arial" w:cs="Arial" w:eastAsia="Arial" w:hAnsi="Arial"/>
          <w:sz w:val="14"/>
          <w:szCs w:val="14"/>
          <w:color w:val="131413"/>
        </w:rPr>
        <w:t>Shackleton S, Paumgarten F, Kassa H, Husselman M, Zida M. Opportunities for enhancing poor women’s socioeconomic empowerment in the value chains of three African non-timber forest products (NTFPs). International Forestry Review. 2011;13:136–51.</w:t>
      </w:r>
    </w:p>
    <w:p>
      <w:pPr>
        <w:spacing w:after="0" w:line="1" w:lineRule="exact"/>
        <w:rPr>
          <w:rFonts w:ascii="Arial" w:cs="Arial" w:eastAsia="Arial" w:hAnsi="Arial"/>
          <w:sz w:val="14"/>
          <w:szCs w:val="14"/>
          <w:color w:val="131413"/>
        </w:rPr>
      </w:pPr>
    </w:p>
    <w:p>
      <w:pPr>
        <w:ind w:left="306" w:right="300" w:hanging="306"/>
        <w:spacing w:after="0" w:line="239" w:lineRule="auto"/>
        <w:tabs>
          <w:tab w:leader="none" w:pos="306" w:val="left"/>
        </w:tabs>
        <w:numPr>
          <w:ilvl w:val="0"/>
          <w:numId w:val="6"/>
        </w:numPr>
        <w:rPr>
          <w:rFonts w:ascii="Arial" w:cs="Arial" w:eastAsia="Arial" w:hAnsi="Arial"/>
          <w:sz w:val="15"/>
          <w:szCs w:val="15"/>
          <w:color w:val="131413"/>
        </w:rPr>
      </w:pPr>
      <w:r>
        <w:rPr>
          <w:rFonts w:ascii="Arial" w:cs="Arial" w:eastAsia="Arial" w:hAnsi="Arial"/>
          <w:sz w:val="15"/>
          <w:szCs w:val="15"/>
          <w:color w:val="131413"/>
        </w:rPr>
        <w:t>Elias M, Carney J. African shea butter: a feminized subsidy from nature. Africa. 2007;77:37–62.</w:t>
      </w:r>
    </w:p>
    <w:p>
      <w:pPr>
        <w:spacing w:after="0" w:line="22" w:lineRule="exact"/>
        <w:rPr>
          <w:rFonts w:ascii="Arial" w:cs="Arial" w:eastAsia="Arial" w:hAnsi="Arial"/>
          <w:sz w:val="15"/>
          <w:szCs w:val="15"/>
          <w:color w:val="131413"/>
        </w:rPr>
      </w:pPr>
    </w:p>
    <w:p>
      <w:pPr>
        <w:ind w:left="306" w:right="60" w:hanging="306"/>
        <w:spacing w:after="0" w:line="244" w:lineRule="auto"/>
        <w:tabs>
          <w:tab w:leader="none" w:pos="306" w:val="left"/>
        </w:tabs>
        <w:numPr>
          <w:ilvl w:val="0"/>
          <w:numId w:val="6"/>
        </w:numPr>
        <w:rPr>
          <w:rFonts w:ascii="Arial" w:cs="Arial" w:eastAsia="Arial" w:hAnsi="Arial"/>
          <w:sz w:val="15"/>
          <w:szCs w:val="15"/>
          <w:color w:val="131413"/>
        </w:rPr>
      </w:pPr>
      <w:r>
        <w:rPr>
          <w:rFonts w:ascii="Arial" w:cs="Arial" w:eastAsia="Arial" w:hAnsi="Arial"/>
          <w:sz w:val="15"/>
          <w:szCs w:val="15"/>
          <w:color w:val="131413"/>
        </w:rPr>
        <w:t>de Albuquerque UP, Hanazaki N. Five problems in current ethnobotanical research—and some suggestions for strengthening them. Human Ecology. 2009;37:653–61.</w:t>
      </w:r>
    </w:p>
    <w:p>
      <w:pPr>
        <w:spacing w:after="0" w:line="19" w:lineRule="exact"/>
        <w:rPr>
          <w:rFonts w:ascii="Arial" w:cs="Arial" w:eastAsia="Arial" w:hAnsi="Arial"/>
          <w:sz w:val="15"/>
          <w:szCs w:val="15"/>
          <w:color w:val="131413"/>
        </w:rPr>
      </w:pPr>
    </w:p>
    <w:p>
      <w:pPr>
        <w:ind w:left="306" w:right="60" w:hanging="306"/>
        <w:spacing w:after="0" w:line="247" w:lineRule="auto"/>
        <w:tabs>
          <w:tab w:leader="none" w:pos="306" w:val="left"/>
        </w:tabs>
        <w:numPr>
          <w:ilvl w:val="0"/>
          <w:numId w:val="6"/>
        </w:numPr>
        <w:rPr>
          <w:rFonts w:ascii="Arial" w:cs="Arial" w:eastAsia="Arial" w:hAnsi="Arial"/>
          <w:sz w:val="15"/>
          <w:szCs w:val="15"/>
          <w:color w:val="131413"/>
        </w:rPr>
      </w:pPr>
      <w:r>
        <w:rPr>
          <w:rFonts w:ascii="Arial" w:cs="Arial" w:eastAsia="Arial" w:hAnsi="Arial"/>
          <w:sz w:val="15"/>
          <w:szCs w:val="15"/>
          <w:color w:val="131413"/>
        </w:rPr>
        <w:t>Assogba GA, Fandohan AB, Salako VK, Assogbadjo AE. Usages de Bombax costatum (Malvaceae) dans les terroirs riverains de la Réserve de biosphère de la Pendjari, République du Bénin. Bois &amp; Forêts des Tropiques. 2017;333: 17–29.</w:t>
      </w:r>
    </w:p>
    <w:p>
      <w:pPr>
        <w:spacing w:after="0" w:line="16" w:lineRule="exact"/>
        <w:rPr>
          <w:rFonts w:ascii="Arial" w:cs="Arial" w:eastAsia="Arial" w:hAnsi="Arial"/>
          <w:sz w:val="15"/>
          <w:szCs w:val="15"/>
          <w:color w:val="131413"/>
        </w:rPr>
      </w:pPr>
    </w:p>
    <w:p>
      <w:pPr>
        <w:ind w:left="306" w:right="140" w:hanging="306"/>
        <w:spacing w:after="0" w:line="244" w:lineRule="auto"/>
        <w:tabs>
          <w:tab w:leader="none" w:pos="306" w:val="left"/>
        </w:tabs>
        <w:numPr>
          <w:ilvl w:val="0"/>
          <w:numId w:val="6"/>
        </w:numPr>
        <w:rPr>
          <w:rFonts w:ascii="Arial" w:cs="Arial" w:eastAsia="Arial" w:hAnsi="Arial"/>
          <w:sz w:val="15"/>
          <w:szCs w:val="15"/>
          <w:color w:val="131413"/>
        </w:rPr>
      </w:pPr>
      <w:r>
        <w:rPr>
          <w:rFonts w:ascii="Arial" w:cs="Arial" w:eastAsia="Arial" w:hAnsi="Arial"/>
          <w:sz w:val="15"/>
          <w:szCs w:val="15"/>
          <w:color w:val="131413"/>
        </w:rPr>
        <w:t>Gouwakinnou GN, Lykke AM, Assogbadjo AE, Sinsin B. Local knowledge, pattern and diversity of use of Sclerocarya birrea. Journal of ethnobiology and ethnomedicine. 2011;7:8.</w:t>
      </w:r>
    </w:p>
    <w:p>
      <w:pPr>
        <w:spacing w:after="0" w:line="19" w:lineRule="exact"/>
        <w:rPr>
          <w:rFonts w:ascii="Arial" w:cs="Arial" w:eastAsia="Arial" w:hAnsi="Arial"/>
          <w:sz w:val="15"/>
          <w:szCs w:val="15"/>
          <w:color w:val="131413"/>
        </w:rPr>
      </w:pPr>
    </w:p>
    <w:p>
      <w:pPr>
        <w:ind w:left="306" w:right="180" w:hanging="306"/>
        <w:spacing w:after="0" w:line="292" w:lineRule="auto"/>
        <w:tabs>
          <w:tab w:leader="none" w:pos="306" w:val="left"/>
        </w:tabs>
        <w:numPr>
          <w:ilvl w:val="0"/>
          <w:numId w:val="6"/>
        </w:numPr>
        <w:rPr>
          <w:rFonts w:ascii="Arial" w:cs="Arial" w:eastAsia="Arial" w:hAnsi="Arial"/>
          <w:sz w:val="13"/>
          <w:szCs w:val="13"/>
          <w:color w:val="131413"/>
        </w:rPr>
      </w:pPr>
      <w:r>
        <w:rPr>
          <w:rFonts w:ascii="Arial" w:cs="Arial" w:eastAsia="Arial" w:hAnsi="Arial"/>
          <w:sz w:val="13"/>
          <w:szCs w:val="13"/>
          <w:color w:val="131413"/>
        </w:rPr>
        <w:t>de Albuquerque UP. Re-examining hypotheses concerning the use and knowledge of medicinal plants: a study in the Caatinga vegetation of NE Brazil. Journal of ethnobiology and ethnomedicine. 2006;2:30.</w:t>
      </w:r>
    </w:p>
    <w:p>
      <w:pPr>
        <w:ind w:left="306" w:right="160" w:hanging="306"/>
        <w:spacing w:after="0" w:line="316" w:lineRule="auto"/>
        <w:tabs>
          <w:tab w:leader="none" w:pos="306" w:val="left"/>
        </w:tabs>
        <w:numPr>
          <w:ilvl w:val="0"/>
          <w:numId w:val="6"/>
        </w:numPr>
        <w:rPr>
          <w:rFonts w:ascii="Arial" w:cs="Arial" w:eastAsia="Arial" w:hAnsi="Arial"/>
          <w:sz w:val="12"/>
          <w:szCs w:val="12"/>
          <w:color w:val="131413"/>
        </w:rPr>
      </w:pPr>
      <w:r>
        <w:rPr>
          <w:rFonts w:ascii="Arial" w:cs="Arial" w:eastAsia="Arial" w:hAnsi="Arial"/>
          <w:sz w:val="12"/>
          <w:szCs w:val="12"/>
          <w:color w:val="131413"/>
        </w:rPr>
        <w:t>Tiétiambou FRST, Lykke AM, Korbéogo G, Thiombiano A, Ouédraogo A. Perceptions et savoirs locaux sur les espèces oléagineuses locales dans le Kénédougou, Burkina Faso. Bois &amp; Forets des Tropiques. 2016;327:39–50.</w:t>
      </w:r>
    </w:p>
    <w:p>
      <w:pPr>
        <w:ind w:left="306" w:right="180" w:hanging="306"/>
        <w:spacing w:after="0" w:line="291" w:lineRule="auto"/>
        <w:tabs>
          <w:tab w:leader="none" w:pos="306" w:val="left"/>
        </w:tabs>
        <w:numPr>
          <w:ilvl w:val="0"/>
          <w:numId w:val="6"/>
        </w:numPr>
        <w:rPr>
          <w:rFonts w:ascii="Arial" w:cs="Arial" w:eastAsia="Arial" w:hAnsi="Arial"/>
          <w:sz w:val="13"/>
          <w:szCs w:val="13"/>
          <w:color w:val="131413"/>
        </w:rPr>
      </w:pPr>
      <w:r>
        <w:rPr>
          <w:rFonts w:ascii="Arial" w:cs="Arial" w:eastAsia="Arial" w:hAnsi="Arial"/>
          <w:sz w:val="13"/>
          <w:szCs w:val="13"/>
          <w:color w:val="131413"/>
        </w:rPr>
        <w:t>Cuni-Sanchez A, Ngute ASK, Sonké B, Sainge MN, Burgess ND, Klein JA, Marchant R. The importance of livelihood strategy and ethnicity in forest ecosystem services’ perceptions by local communities in north-western Cameroon. Ecosystem Services. 2019;40:101000.</w:t>
      </w:r>
    </w:p>
    <w:p>
      <w:pPr>
        <w:spacing w:after="0" w:line="1" w:lineRule="exact"/>
        <w:rPr>
          <w:rFonts w:ascii="Arial" w:cs="Arial" w:eastAsia="Arial" w:hAnsi="Arial"/>
          <w:sz w:val="13"/>
          <w:szCs w:val="13"/>
          <w:color w:val="131413"/>
        </w:rPr>
      </w:pPr>
    </w:p>
    <w:p>
      <w:pPr>
        <w:jc w:val="both"/>
        <w:ind w:left="306" w:right="120" w:hanging="306"/>
        <w:spacing w:after="0" w:line="312" w:lineRule="auto"/>
        <w:tabs>
          <w:tab w:leader="none" w:pos="306" w:val="left"/>
        </w:tabs>
        <w:numPr>
          <w:ilvl w:val="0"/>
          <w:numId w:val="6"/>
        </w:numPr>
        <w:rPr>
          <w:rFonts w:ascii="Arial" w:cs="Arial" w:eastAsia="Arial" w:hAnsi="Arial"/>
          <w:sz w:val="12"/>
          <w:szCs w:val="12"/>
          <w:color w:val="131413"/>
        </w:rPr>
      </w:pPr>
      <w:r>
        <w:rPr>
          <w:rFonts w:ascii="Arial" w:cs="Arial" w:eastAsia="Arial" w:hAnsi="Arial"/>
          <w:sz w:val="12"/>
          <w:szCs w:val="12"/>
          <w:color w:val="131413"/>
        </w:rPr>
        <w:t>Lawrence A, Phillips OL, Ismodes AR, Lopez M, Rose S, Wood D, Farfan AJ. Local values for harvested forest plants in Madre de Dios, Peru: towards a more contextualised interpretation of quantitative ethnobotanical data.</w:t>
      </w:r>
    </w:p>
    <w:p>
      <w:pPr>
        <w:ind w:left="306"/>
        <w:spacing w:after="0"/>
        <w:rPr>
          <w:rFonts w:ascii="Arial" w:cs="Arial" w:eastAsia="Arial" w:hAnsi="Arial"/>
          <w:sz w:val="12"/>
          <w:szCs w:val="12"/>
          <w:color w:val="131413"/>
        </w:rPr>
      </w:pPr>
      <w:r>
        <w:rPr>
          <w:rFonts w:ascii="Arial" w:cs="Arial" w:eastAsia="Arial" w:hAnsi="Arial"/>
          <w:sz w:val="15"/>
          <w:szCs w:val="15"/>
          <w:color w:val="131413"/>
        </w:rPr>
        <w:t>Biodiversity &amp; Conservation. 2005;14:45–79.</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ind w:left="306" w:right="80" w:hanging="306"/>
        <w:spacing w:after="0" w:line="270" w:lineRule="auto"/>
        <w:tabs>
          <w:tab w:leader="none" w:pos="306" w:val="left"/>
        </w:tabs>
        <w:numPr>
          <w:ilvl w:val="0"/>
          <w:numId w:val="7"/>
        </w:numPr>
        <w:rPr>
          <w:rFonts w:ascii="Arial" w:cs="Arial" w:eastAsia="Arial" w:hAnsi="Arial"/>
          <w:sz w:val="14"/>
          <w:szCs w:val="14"/>
          <w:color w:val="131413"/>
        </w:rPr>
      </w:pPr>
      <w:r>
        <w:rPr>
          <w:rFonts w:ascii="Arial" w:cs="Arial" w:eastAsia="Arial" w:hAnsi="Arial"/>
          <w:sz w:val="14"/>
          <w:szCs w:val="14"/>
          <w:color w:val="131413"/>
        </w:rPr>
        <w:t>Peppin DL, Fulé PZ, Lynn JC, Mottek-Lucas AL, Hull Sieg C. Market perceptions and opportunities for native plant production on the Southern Colorado Plateau. Restoration Ecology. 2010;18:113–24.</w:t>
      </w:r>
    </w:p>
    <w:p>
      <w:pPr>
        <w:spacing w:after="0" w:line="1" w:lineRule="exact"/>
        <w:rPr>
          <w:rFonts w:ascii="Arial" w:cs="Arial" w:eastAsia="Arial" w:hAnsi="Arial"/>
          <w:sz w:val="14"/>
          <w:szCs w:val="14"/>
          <w:color w:val="131413"/>
        </w:rPr>
      </w:pPr>
    </w:p>
    <w:p>
      <w:pPr>
        <w:ind w:left="306" w:right="560" w:hanging="306"/>
        <w:spacing w:after="0" w:line="319" w:lineRule="auto"/>
        <w:tabs>
          <w:tab w:leader="none" w:pos="306" w:val="left"/>
        </w:tabs>
        <w:numPr>
          <w:ilvl w:val="0"/>
          <w:numId w:val="7"/>
        </w:numPr>
        <w:rPr>
          <w:rFonts w:ascii="Arial" w:cs="Arial" w:eastAsia="Arial" w:hAnsi="Arial"/>
          <w:sz w:val="12"/>
          <w:szCs w:val="12"/>
          <w:color w:val="131413"/>
        </w:rPr>
      </w:pPr>
      <w:r>
        <w:rPr>
          <w:rFonts w:ascii="Arial" w:cs="Arial" w:eastAsia="Arial" w:hAnsi="Arial"/>
          <w:sz w:val="12"/>
          <w:szCs w:val="12"/>
          <w:color w:val="131413"/>
        </w:rPr>
        <w:t>Fontes J, Guinko S. Vegetation and land use’s map of Burkina Faso. Explanatory Note Ministry of French Cooperation. 1995:1–57.</w:t>
      </w:r>
    </w:p>
    <w:p>
      <w:pPr>
        <w:ind w:left="306" w:right="40" w:hanging="306"/>
        <w:spacing w:after="0" w:line="318" w:lineRule="auto"/>
        <w:tabs>
          <w:tab w:leader="none" w:pos="306" w:val="left"/>
        </w:tabs>
        <w:numPr>
          <w:ilvl w:val="0"/>
          <w:numId w:val="7"/>
        </w:numPr>
        <w:rPr>
          <w:rFonts w:ascii="Arial" w:cs="Arial" w:eastAsia="Arial" w:hAnsi="Arial"/>
          <w:sz w:val="12"/>
          <w:szCs w:val="12"/>
          <w:color w:val="131413"/>
        </w:rPr>
      </w:pPr>
      <w:r>
        <w:rPr>
          <w:rFonts w:ascii="Arial" w:cs="Arial" w:eastAsia="Arial" w:hAnsi="Arial"/>
          <w:sz w:val="12"/>
          <w:szCs w:val="12"/>
          <w:color w:val="131413"/>
        </w:rPr>
        <w:t>Bennett BC, Prance GT. Introduced plants in the indigenous pharmacopoeia of Northern South America. Economic botany. 2000;54:90–102.</w:t>
      </w:r>
    </w:p>
    <w:p>
      <w:pPr>
        <w:jc w:val="both"/>
        <w:ind w:left="306" w:right="300" w:hanging="306"/>
        <w:spacing w:after="0" w:line="244" w:lineRule="auto"/>
        <w:tabs>
          <w:tab w:leader="none" w:pos="306" w:val="left"/>
        </w:tabs>
        <w:numPr>
          <w:ilvl w:val="0"/>
          <w:numId w:val="7"/>
        </w:numPr>
        <w:rPr>
          <w:rFonts w:ascii="Arial" w:cs="Arial" w:eastAsia="Arial" w:hAnsi="Arial"/>
          <w:sz w:val="15"/>
          <w:szCs w:val="15"/>
          <w:color w:val="131413"/>
        </w:rPr>
      </w:pPr>
      <w:r>
        <w:rPr>
          <w:rFonts w:ascii="Arial" w:cs="Arial" w:eastAsia="Arial" w:hAnsi="Arial"/>
          <w:sz w:val="15"/>
          <w:szCs w:val="15"/>
          <w:color w:val="131413"/>
        </w:rPr>
        <w:t>Phillips O, Gentry AH: The useful plants of Tambopata, Peru: I. Statistical hypotheses tests with a new quantitative technique. Economic Botany 1993, 47:15-32.</w:t>
      </w:r>
    </w:p>
    <w:p>
      <w:pPr>
        <w:spacing w:after="0" w:line="19" w:lineRule="exact"/>
        <w:rPr>
          <w:rFonts w:ascii="Arial" w:cs="Arial" w:eastAsia="Arial" w:hAnsi="Arial"/>
          <w:sz w:val="15"/>
          <w:szCs w:val="15"/>
          <w:color w:val="131413"/>
        </w:rPr>
      </w:pPr>
    </w:p>
    <w:p>
      <w:pPr>
        <w:ind w:left="306" w:right="100" w:hanging="306"/>
        <w:spacing w:after="0" w:line="245" w:lineRule="auto"/>
        <w:tabs>
          <w:tab w:leader="none" w:pos="306" w:val="left"/>
        </w:tabs>
        <w:numPr>
          <w:ilvl w:val="0"/>
          <w:numId w:val="7"/>
        </w:numPr>
        <w:rPr>
          <w:rFonts w:ascii="Arial" w:cs="Arial" w:eastAsia="Arial" w:hAnsi="Arial"/>
          <w:sz w:val="15"/>
          <w:szCs w:val="15"/>
          <w:color w:val="131413"/>
        </w:rPr>
      </w:pPr>
      <w:r>
        <w:rPr>
          <w:rFonts w:ascii="Arial" w:cs="Arial" w:eastAsia="Arial" w:hAnsi="Arial"/>
          <w:sz w:val="15"/>
          <w:szCs w:val="15"/>
          <w:color w:val="131413"/>
        </w:rPr>
        <w:t>Phillips O, Gentry AH: The useful plants of Tambopata, Peru: II. Additional hypothesis testing in quantitative ethnobotany. Economic Botany 1993, 47: 33-43.</w:t>
      </w:r>
    </w:p>
    <w:p>
      <w:pPr>
        <w:spacing w:after="0" w:line="18" w:lineRule="exact"/>
        <w:rPr>
          <w:rFonts w:ascii="Arial" w:cs="Arial" w:eastAsia="Arial" w:hAnsi="Arial"/>
          <w:sz w:val="15"/>
          <w:szCs w:val="15"/>
          <w:color w:val="131413"/>
        </w:rPr>
      </w:pPr>
    </w:p>
    <w:p>
      <w:pPr>
        <w:ind w:left="306" w:right="20" w:hanging="306"/>
        <w:spacing w:after="0" w:line="244" w:lineRule="auto"/>
        <w:tabs>
          <w:tab w:leader="none" w:pos="306" w:val="left"/>
        </w:tabs>
        <w:numPr>
          <w:ilvl w:val="0"/>
          <w:numId w:val="7"/>
        </w:numPr>
        <w:rPr>
          <w:rFonts w:ascii="Arial" w:cs="Arial" w:eastAsia="Arial" w:hAnsi="Arial"/>
          <w:sz w:val="15"/>
          <w:szCs w:val="15"/>
          <w:color w:val="131413"/>
        </w:rPr>
      </w:pPr>
      <w:r>
        <w:rPr>
          <w:rFonts w:ascii="Arial" w:cs="Arial" w:eastAsia="Arial" w:hAnsi="Arial"/>
          <w:sz w:val="15"/>
          <w:szCs w:val="15"/>
          <w:color w:val="131413"/>
        </w:rPr>
        <w:t>Zuur A, Ieno EN, Walker N. Saveliev AA. Mixed effects models and extensions in ecology with R. Springer Science &amp; Business Media: Smith GM; 2009.</w:t>
      </w:r>
    </w:p>
    <w:p>
      <w:pPr>
        <w:spacing w:after="0" w:line="19" w:lineRule="exact"/>
        <w:rPr>
          <w:rFonts w:ascii="Arial" w:cs="Arial" w:eastAsia="Arial" w:hAnsi="Arial"/>
          <w:sz w:val="15"/>
          <w:szCs w:val="15"/>
          <w:color w:val="131413"/>
        </w:rPr>
      </w:pPr>
    </w:p>
    <w:p>
      <w:pPr>
        <w:ind w:left="306" w:right="400" w:hanging="306"/>
        <w:spacing w:after="0" w:line="318" w:lineRule="auto"/>
        <w:tabs>
          <w:tab w:leader="none" w:pos="306" w:val="left"/>
        </w:tabs>
        <w:numPr>
          <w:ilvl w:val="0"/>
          <w:numId w:val="7"/>
        </w:numPr>
        <w:rPr>
          <w:rFonts w:ascii="Arial" w:cs="Arial" w:eastAsia="Arial" w:hAnsi="Arial"/>
          <w:sz w:val="12"/>
          <w:szCs w:val="12"/>
          <w:color w:val="131413"/>
        </w:rPr>
      </w:pPr>
      <w:r>
        <w:rPr>
          <w:rFonts w:ascii="Arial" w:cs="Arial" w:eastAsia="Arial" w:hAnsi="Arial"/>
          <w:sz w:val="12"/>
          <w:szCs w:val="12"/>
          <w:color w:val="131413"/>
        </w:rPr>
        <w:t>McCullagh P. Regression models for ordinal data. Journal of the Royal Statistical Society: Series B (Methodological). 1980;42:109–27.</w:t>
      </w:r>
    </w:p>
    <w:p>
      <w:pPr>
        <w:ind w:left="306" w:hanging="306"/>
        <w:spacing w:after="0"/>
        <w:tabs>
          <w:tab w:leader="none" w:pos="306" w:val="left"/>
        </w:tabs>
        <w:numPr>
          <w:ilvl w:val="0"/>
          <w:numId w:val="7"/>
        </w:numPr>
        <w:rPr>
          <w:rFonts w:ascii="Arial" w:cs="Arial" w:eastAsia="Arial" w:hAnsi="Arial"/>
          <w:sz w:val="13"/>
          <w:szCs w:val="13"/>
          <w:color w:val="131413"/>
        </w:rPr>
      </w:pPr>
      <w:r>
        <w:rPr>
          <w:rFonts w:ascii="Arial" w:cs="Arial" w:eastAsia="Arial" w:hAnsi="Arial"/>
          <w:sz w:val="13"/>
          <w:szCs w:val="13"/>
          <w:color w:val="131413"/>
        </w:rPr>
        <w:t>R Development Core Team: R: a language and environment for statistical</w:t>
      </w:r>
    </w:p>
    <w:p>
      <w:pPr>
        <w:spacing w:after="0" w:line="30" w:lineRule="exact"/>
        <w:rPr>
          <w:rFonts w:ascii="Arial" w:cs="Arial" w:eastAsia="Arial" w:hAnsi="Arial"/>
          <w:sz w:val="13"/>
          <w:szCs w:val="13"/>
          <w:color w:val="131413"/>
        </w:rPr>
      </w:pPr>
    </w:p>
    <w:p>
      <w:pPr>
        <w:ind w:left="306" w:right="200"/>
        <w:spacing w:after="0" w:line="239" w:lineRule="auto"/>
        <w:rPr>
          <w:rFonts w:ascii="Arial" w:cs="Arial" w:eastAsia="Arial" w:hAnsi="Arial"/>
          <w:sz w:val="13"/>
          <w:szCs w:val="13"/>
          <w:color w:val="131413"/>
        </w:rPr>
      </w:pPr>
      <w:r>
        <w:rPr>
          <w:rFonts w:ascii="Arial" w:cs="Arial" w:eastAsia="Arial" w:hAnsi="Arial"/>
          <w:sz w:val="15"/>
          <w:szCs w:val="15"/>
          <w:color w:val="131413"/>
        </w:rPr>
        <w:t>computing (Online). Vienna, Austria: R Foundation for Statistical Computing. 2015.</w:t>
      </w:r>
    </w:p>
    <w:p>
      <w:pPr>
        <w:spacing w:after="0" w:line="21" w:lineRule="exact"/>
        <w:rPr>
          <w:rFonts w:ascii="Arial" w:cs="Arial" w:eastAsia="Arial" w:hAnsi="Arial"/>
          <w:sz w:val="13"/>
          <w:szCs w:val="13"/>
          <w:color w:val="131413"/>
        </w:rPr>
      </w:pPr>
    </w:p>
    <w:p>
      <w:pPr>
        <w:ind w:left="306" w:right="220" w:hanging="306"/>
        <w:spacing w:after="0" w:line="239" w:lineRule="auto"/>
        <w:tabs>
          <w:tab w:leader="none" w:pos="306" w:val="left"/>
        </w:tabs>
        <w:numPr>
          <w:ilvl w:val="0"/>
          <w:numId w:val="7"/>
        </w:numPr>
        <w:rPr>
          <w:rFonts w:ascii="Arial" w:cs="Arial" w:eastAsia="Arial" w:hAnsi="Arial"/>
          <w:sz w:val="15"/>
          <w:szCs w:val="15"/>
          <w:color w:val="131413"/>
        </w:rPr>
      </w:pPr>
      <w:r>
        <w:rPr>
          <w:rFonts w:ascii="Arial" w:cs="Arial" w:eastAsia="Arial" w:hAnsi="Arial"/>
          <w:sz w:val="15"/>
          <w:szCs w:val="15"/>
          <w:color w:val="131413"/>
        </w:rPr>
        <w:t>Christensen RHB: ordinal—regression models for ordinal data. R package version 2015, 28:2015.</w:t>
      </w:r>
    </w:p>
    <w:p>
      <w:pPr>
        <w:spacing w:after="0" w:line="22" w:lineRule="exact"/>
        <w:rPr>
          <w:rFonts w:ascii="Arial" w:cs="Arial" w:eastAsia="Arial" w:hAnsi="Arial"/>
          <w:sz w:val="15"/>
          <w:szCs w:val="15"/>
          <w:color w:val="131413"/>
        </w:rPr>
      </w:pPr>
    </w:p>
    <w:p>
      <w:pPr>
        <w:ind w:left="306" w:right="160" w:hanging="305"/>
        <w:spacing w:after="0" w:line="239" w:lineRule="auto"/>
        <w:tabs>
          <w:tab w:leader="none" w:pos="306" w:val="left"/>
        </w:tabs>
        <w:numPr>
          <w:ilvl w:val="0"/>
          <w:numId w:val="7"/>
        </w:numPr>
        <w:rPr>
          <w:rFonts w:ascii="Arial" w:cs="Arial" w:eastAsia="Arial" w:hAnsi="Arial"/>
          <w:sz w:val="15"/>
          <w:szCs w:val="15"/>
          <w:color w:val="131413"/>
        </w:rPr>
      </w:pPr>
      <w:r>
        <w:rPr>
          <w:rFonts w:ascii="Arial" w:cs="Arial" w:eastAsia="Arial" w:hAnsi="Arial"/>
          <w:sz w:val="15"/>
          <w:szCs w:val="15"/>
          <w:color w:val="131413"/>
        </w:rPr>
        <w:t>Bates D, Mächler M, Bolker B, Walker S: Fitting linear mixed-effects models using lme4. arXiv preprint arXiv:14065823 2014.</w:t>
      </w:r>
    </w:p>
    <w:p>
      <w:pPr>
        <w:spacing w:after="0" w:line="22" w:lineRule="exact"/>
        <w:rPr>
          <w:rFonts w:ascii="Arial" w:cs="Arial" w:eastAsia="Arial" w:hAnsi="Arial"/>
          <w:sz w:val="15"/>
          <w:szCs w:val="15"/>
          <w:color w:val="131413"/>
        </w:rPr>
      </w:pPr>
    </w:p>
    <w:p>
      <w:pPr>
        <w:jc w:val="both"/>
        <w:ind w:left="306" w:right="80" w:hanging="305"/>
        <w:spacing w:after="0" w:line="316" w:lineRule="auto"/>
        <w:tabs>
          <w:tab w:leader="none" w:pos="306" w:val="left"/>
        </w:tabs>
        <w:numPr>
          <w:ilvl w:val="0"/>
          <w:numId w:val="7"/>
        </w:numPr>
        <w:rPr>
          <w:rFonts w:ascii="Arial" w:cs="Arial" w:eastAsia="Arial" w:hAnsi="Arial"/>
          <w:sz w:val="12"/>
          <w:szCs w:val="12"/>
          <w:color w:val="131413"/>
        </w:rPr>
      </w:pPr>
      <w:r>
        <w:rPr>
          <w:rFonts w:ascii="Arial" w:cs="Arial" w:eastAsia="Arial" w:hAnsi="Arial"/>
          <w:sz w:val="12"/>
          <w:szCs w:val="12"/>
          <w:color w:val="131413"/>
        </w:rPr>
        <w:t>Belem B, Olsen CS, Theilade I, Bellefontaine R, Guinko S, Lykke AM, Diallo A, Boussim JI. Identification des arbres hors forêt préférés des populations du Sanmatenga (Burkina Faso). Bois &amp; Forets des Tropiques. 2008;298:53–60.</w:t>
      </w:r>
    </w:p>
    <w:p>
      <w:pPr>
        <w:spacing w:after="0" w:line="1" w:lineRule="exact"/>
        <w:rPr>
          <w:rFonts w:ascii="Arial" w:cs="Arial" w:eastAsia="Arial" w:hAnsi="Arial"/>
          <w:sz w:val="12"/>
          <w:szCs w:val="12"/>
          <w:color w:val="131413"/>
        </w:rPr>
      </w:pPr>
    </w:p>
    <w:p>
      <w:pPr>
        <w:ind w:left="306" w:right="140" w:hanging="306"/>
        <w:spacing w:after="0" w:line="246" w:lineRule="auto"/>
        <w:tabs>
          <w:tab w:leader="none" w:pos="306" w:val="left"/>
        </w:tabs>
        <w:numPr>
          <w:ilvl w:val="0"/>
          <w:numId w:val="7"/>
        </w:numPr>
        <w:rPr>
          <w:rFonts w:ascii="Arial" w:cs="Arial" w:eastAsia="Arial" w:hAnsi="Arial"/>
          <w:sz w:val="15"/>
          <w:szCs w:val="15"/>
          <w:color w:val="131413"/>
        </w:rPr>
      </w:pPr>
      <w:r>
        <w:rPr>
          <w:rFonts w:ascii="Arial" w:cs="Arial" w:eastAsia="Arial" w:hAnsi="Arial"/>
          <w:sz w:val="15"/>
          <w:szCs w:val="15"/>
          <w:color w:val="131413"/>
        </w:rPr>
        <w:t>Dembélé U, Lykke AM, Koné Y, Témé B, Kouyaté AM. Use-value and importance of socio-cultural knowledge on Carapa procera trees in the Sudanian zone in Mali. Journal of ethnobiology and ethnomedicine. 2015; 11:14.</w:t>
      </w:r>
    </w:p>
    <w:p>
      <w:pPr>
        <w:spacing w:after="0" w:line="18" w:lineRule="exact"/>
        <w:rPr>
          <w:rFonts w:ascii="Arial" w:cs="Arial" w:eastAsia="Arial" w:hAnsi="Arial"/>
          <w:sz w:val="15"/>
          <w:szCs w:val="15"/>
          <w:color w:val="131413"/>
        </w:rPr>
      </w:pPr>
    </w:p>
    <w:p>
      <w:pPr>
        <w:ind w:left="306" w:right="40" w:hanging="306"/>
        <w:spacing w:after="0" w:line="316" w:lineRule="auto"/>
        <w:tabs>
          <w:tab w:leader="none" w:pos="306" w:val="left"/>
        </w:tabs>
        <w:numPr>
          <w:ilvl w:val="0"/>
          <w:numId w:val="7"/>
        </w:numPr>
        <w:rPr>
          <w:rFonts w:ascii="Arial" w:cs="Arial" w:eastAsia="Arial" w:hAnsi="Arial"/>
          <w:sz w:val="12"/>
          <w:szCs w:val="12"/>
          <w:color w:val="131413"/>
        </w:rPr>
      </w:pPr>
      <w:r>
        <w:rPr>
          <w:rFonts w:ascii="Arial" w:cs="Arial" w:eastAsia="Arial" w:hAnsi="Arial"/>
          <w:sz w:val="12"/>
          <w:szCs w:val="12"/>
          <w:color w:val="131413"/>
        </w:rPr>
        <w:t>Lankoandé B, Ouédraogo A, Boussim JI, Lykke AM. Natural stands diversity and population structure of Lophira lanceolata Tiegh. ex Keay, a local oil tree species in Burkina Faso, West Africa. Agroforestry systems. 2017;91:85–96.</w:t>
      </w:r>
    </w:p>
    <w:p>
      <w:pPr>
        <w:spacing w:after="0" w:line="1" w:lineRule="exact"/>
        <w:rPr>
          <w:rFonts w:ascii="Arial" w:cs="Arial" w:eastAsia="Arial" w:hAnsi="Arial"/>
          <w:sz w:val="12"/>
          <w:szCs w:val="12"/>
          <w:color w:val="131413"/>
        </w:rPr>
      </w:pPr>
    </w:p>
    <w:p>
      <w:pPr>
        <w:ind w:left="306" w:right="80" w:hanging="306"/>
        <w:spacing w:after="0" w:line="316" w:lineRule="auto"/>
        <w:tabs>
          <w:tab w:leader="none" w:pos="306" w:val="left"/>
        </w:tabs>
        <w:numPr>
          <w:ilvl w:val="0"/>
          <w:numId w:val="7"/>
        </w:numPr>
        <w:rPr>
          <w:rFonts w:ascii="Arial" w:cs="Arial" w:eastAsia="Arial" w:hAnsi="Arial"/>
          <w:sz w:val="12"/>
          <w:szCs w:val="12"/>
          <w:color w:val="131413"/>
        </w:rPr>
      </w:pPr>
      <w:r>
        <w:rPr>
          <w:rFonts w:ascii="Arial" w:cs="Arial" w:eastAsia="Arial" w:hAnsi="Arial"/>
          <w:sz w:val="12"/>
          <w:szCs w:val="12"/>
          <w:color w:val="131413"/>
        </w:rPr>
        <w:t>Gwali S, Okullo JBL, Eilu G, Nakabonge G, Nyeko P, Vuzi P. Folk classification of shea butter tree (Vitellaria paradoxa subsp. nilotica) ethno-varieties in Uganda. Ethnobotany research and applications. 2011;9:243–56.</w:t>
      </w:r>
    </w:p>
    <w:p>
      <w:pPr>
        <w:ind w:left="306" w:right="160" w:hanging="306"/>
        <w:spacing w:after="0" w:line="292" w:lineRule="auto"/>
        <w:tabs>
          <w:tab w:leader="none" w:pos="306" w:val="left"/>
        </w:tabs>
        <w:numPr>
          <w:ilvl w:val="0"/>
          <w:numId w:val="7"/>
        </w:numPr>
        <w:rPr>
          <w:rFonts w:ascii="Arial" w:cs="Arial" w:eastAsia="Arial" w:hAnsi="Arial"/>
          <w:sz w:val="13"/>
          <w:szCs w:val="13"/>
          <w:color w:val="131413"/>
        </w:rPr>
      </w:pPr>
      <w:r>
        <w:rPr>
          <w:rFonts w:ascii="Arial" w:cs="Arial" w:eastAsia="Arial" w:hAnsi="Arial"/>
          <w:sz w:val="13"/>
          <w:szCs w:val="13"/>
          <w:color w:val="131413"/>
        </w:rPr>
        <w:t>Honfo FG, Linnemann AR, Akissoe NH, Soumanou MM, Van Boekel MA. Indigenous knowledge of shea processing and quality perception of shea products in Benin. Ecology of food and nutrition. 2012;51:505–25.</w:t>
      </w:r>
    </w:p>
    <w:p>
      <w:pPr>
        <w:ind w:left="306" w:right="80" w:hanging="306"/>
        <w:spacing w:after="0" w:line="244" w:lineRule="auto"/>
        <w:tabs>
          <w:tab w:leader="none" w:pos="306" w:val="left"/>
        </w:tabs>
        <w:numPr>
          <w:ilvl w:val="0"/>
          <w:numId w:val="7"/>
        </w:numPr>
        <w:rPr>
          <w:rFonts w:ascii="Arial" w:cs="Arial" w:eastAsia="Arial" w:hAnsi="Arial"/>
          <w:sz w:val="15"/>
          <w:szCs w:val="15"/>
          <w:color w:val="131413"/>
        </w:rPr>
      </w:pPr>
      <w:r>
        <w:rPr>
          <w:rFonts w:ascii="Arial" w:cs="Arial" w:eastAsia="Arial" w:hAnsi="Arial"/>
          <w:sz w:val="15"/>
          <w:szCs w:val="15"/>
          <w:color w:val="131413"/>
        </w:rPr>
        <w:t>Kristensen M, Balslev H. Perceptions, use and availability of woody plants among the Gourounsi in Burkina Faso. Biodiversity &amp; Conservation. 2003;12: 1715–39.</w:t>
      </w:r>
    </w:p>
    <w:p>
      <w:pPr>
        <w:spacing w:after="0" w:line="19" w:lineRule="exact"/>
        <w:rPr>
          <w:rFonts w:ascii="Arial" w:cs="Arial" w:eastAsia="Arial" w:hAnsi="Arial"/>
          <w:sz w:val="15"/>
          <w:szCs w:val="15"/>
          <w:color w:val="131413"/>
        </w:rPr>
      </w:pPr>
    </w:p>
    <w:p>
      <w:pPr>
        <w:ind w:left="306" w:right="260" w:hanging="306"/>
        <w:spacing w:after="0" w:line="246" w:lineRule="auto"/>
        <w:tabs>
          <w:tab w:leader="none" w:pos="306" w:val="left"/>
        </w:tabs>
        <w:numPr>
          <w:ilvl w:val="0"/>
          <w:numId w:val="7"/>
        </w:numPr>
        <w:rPr>
          <w:rFonts w:ascii="Arial" w:cs="Arial" w:eastAsia="Arial" w:hAnsi="Arial"/>
          <w:sz w:val="15"/>
          <w:szCs w:val="15"/>
          <w:color w:val="131413"/>
        </w:rPr>
      </w:pPr>
      <w:r>
        <w:rPr>
          <w:rFonts w:ascii="Arial" w:cs="Arial" w:eastAsia="Arial" w:hAnsi="Arial"/>
          <w:sz w:val="15"/>
          <w:szCs w:val="15"/>
          <w:color w:val="131413"/>
        </w:rPr>
        <w:t>Lynam T, Cunliffe R, Mapaure I. Assessing the importance of woodland landscape locations for both local communities and conservation in Gorongosa and Muanza Districts, Sofala Province, Mozambique. Ecology and Society. 2004;9.</w:t>
      </w:r>
    </w:p>
    <w:p>
      <w:pPr>
        <w:spacing w:after="0" w:line="18" w:lineRule="exact"/>
        <w:rPr>
          <w:rFonts w:ascii="Arial" w:cs="Arial" w:eastAsia="Arial" w:hAnsi="Arial"/>
          <w:sz w:val="15"/>
          <w:szCs w:val="15"/>
          <w:color w:val="131413"/>
        </w:rPr>
      </w:pPr>
    </w:p>
    <w:p>
      <w:pPr>
        <w:ind w:left="306" w:right="60" w:hanging="306"/>
        <w:spacing w:after="0" w:line="245" w:lineRule="auto"/>
        <w:tabs>
          <w:tab w:leader="none" w:pos="306" w:val="left"/>
        </w:tabs>
        <w:numPr>
          <w:ilvl w:val="0"/>
          <w:numId w:val="7"/>
        </w:numPr>
        <w:rPr>
          <w:rFonts w:ascii="Arial" w:cs="Arial" w:eastAsia="Arial" w:hAnsi="Arial"/>
          <w:sz w:val="15"/>
          <w:szCs w:val="15"/>
          <w:color w:val="131413"/>
        </w:rPr>
      </w:pPr>
      <w:r>
        <w:rPr>
          <w:rFonts w:ascii="Arial" w:cs="Arial" w:eastAsia="Arial" w:hAnsi="Arial"/>
          <w:sz w:val="15"/>
          <w:szCs w:val="15"/>
          <w:color w:val="131413"/>
        </w:rPr>
        <w:t>Sheil D, Liswanti N. Scoring the importance of tropical forest landscapes with local people: patterns and insights. Environmental Management. 2006; 38:126–36.</w:t>
      </w:r>
    </w:p>
    <w:p>
      <w:pPr>
        <w:spacing w:after="0" w:line="18" w:lineRule="exact"/>
        <w:rPr>
          <w:rFonts w:ascii="Arial" w:cs="Arial" w:eastAsia="Arial" w:hAnsi="Arial"/>
          <w:sz w:val="15"/>
          <w:szCs w:val="15"/>
          <w:color w:val="131413"/>
        </w:rPr>
      </w:pPr>
    </w:p>
    <w:p>
      <w:pPr>
        <w:ind w:left="306" w:right="420" w:hanging="306"/>
        <w:spacing w:after="0" w:line="290" w:lineRule="auto"/>
        <w:tabs>
          <w:tab w:leader="none" w:pos="306" w:val="left"/>
        </w:tabs>
        <w:numPr>
          <w:ilvl w:val="0"/>
          <w:numId w:val="7"/>
        </w:numPr>
        <w:rPr>
          <w:rFonts w:ascii="Arial" w:cs="Arial" w:eastAsia="Arial" w:hAnsi="Arial"/>
          <w:sz w:val="13"/>
          <w:szCs w:val="13"/>
          <w:color w:val="131413"/>
        </w:rPr>
      </w:pPr>
      <w:r>
        <w:rPr>
          <w:rFonts w:ascii="Arial" w:cs="Arial" w:eastAsia="Arial" w:hAnsi="Arial"/>
          <w:sz w:val="13"/>
          <w:szCs w:val="13"/>
          <w:color w:val="131413"/>
        </w:rPr>
        <w:t>Akinnifesi F, Kwesiga F, Mhango J, Mkonda A, Chilanga T, Swai R: Domesticating priority miombo indigenous fruit trees as a promising livelihood option for small-holder farmers in Southern Africa. In XXVI International Horticultural Congress: Citrus and Other Subtropical and Tropical Fruit Crops: Issues, Advances and 632. 2002: 15-30.</w:t>
      </w:r>
    </w:p>
    <w:p>
      <w:pPr>
        <w:spacing w:after="0" w:line="2" w:lineRule="exact"/>
        <w:rPr>
          <w:rFonts w:ascii="Arial" w:cs="Arial" w:eastAsia="Arial" w:hAnsi="Arial"/>
          <w:sz w:val="13"/>
          <w:szCs w:val="13"/>
          <w:color w:val="131413"/>
        </w:rPr>
      </w:pPr>
    </w:p>
    <w:p>
      <w:pPr>
        <w:ind w:left="306" w:right="100" w:hanging="306"/>
        <w:spacing w:after="0" w:line="290" w:lineRule="auto"/>
        <w:tabs>
          <w:tab w:leader="none" w:pos="306" w:val="left"/>
        </w:tabs>
        <w:numPr>
          <w:ilvl w:val="0"/>
          <w:numId w:val="7"/>
        </w:numPr>
        <w:rPr>
          <w:rFonts w:ascii="Arial" w:cs="Arial" w:eastAsia="Arial" w:hAnsi="Arial"/>
          <w:sz w:val="13"/>
          <w:szCs w:val="13"/>
          <w:color w:val="131413"/>
        </w:rPr>
      </w:pPr>
      <w:r>
        <w:rPr>
          <w:rFonts w:ascii="Arial" w:cs="Arial" w:eastAsia="Arial" w:hAnsi="Arial"/>
          <w:sz w:val="13"/>
          <w:szCs w:val="13"/>
          <w:color w:val="131413"/>
        </w:rPr>
        <w:t>Dawson IK, Leakey R, Clement CR, Weber JC, Cornelius JP, Roshetko JM, Vinceti B, Kalinganire A, Tchoundjeu Z, Masters E. The management of tree genetic resources and the livelihoods of rural communities in the tropics: non-timber forest products, smallholder agroforestry practices and tree commodity crops. Forest Ecology and Management. 2014;333:9–21.</w:t>
      </w:r>
    </w:p>
    <w:p>
      <w:pPr>
        <w:spacing w:after="0" w:line="2" w:lineRule="exact"/>
        <w:rPr>
          <w:rFonts w:ascii="Arial" w:cs="Arial" w:eastAsia="Arial" w:hAnsi="Arial"/>
          <w:sz w:val="13"/>
          <w:szCs w:val="13"/>
          <w:color w:val="131413"/>
        </w:rPr>
      </w:pPr>
    </w:p>
    <w:p>
      <w:pPr>
        <w:jc w:val="both"/>
        <w:ind w:left="306" w:right="20" w:hanging="306"/>
        <w:spacing w:after="0" w:line="245" w:lineRule="auto"/>
        <w:tabs>
          <w:tab w:leader="none" w:pos="306" w:val="left"/>
        </w:tabs>
        <w:numPr>
          <w:ilvl w:val="0"/>
          <w:numId w:val="7"/>
        </w:numPr>
        <w:rPr>
          <w:rFonts w:ascii="Arial" w:cs="Arial" w:eastAsia="Arial" w:hAnsi="Arial"/>
          <w:sz w:val="15"/>
          <w:szCs w:val="15"/>
          <w:color w:val="131413"/>
        </w:rPr>
      </w:pPr>
      <w:r>
        <w:rPr>
          <w:rFonts w:ascii="Arial" w:cs="Arial" w:eastAsia="Arial" w:hAnsi="Arial"/>
          <w:sz w:val="15"/>
          <w:szCs w:val="15"/>
          <w:color w:val="131413"/>
        </w:rPr>
        <w:t>Bene A, Fournier A: Végétation naturelle et occupation des terres au Burkina Faso (Afrique de l'ouest). Cinq décennies de changement dans un terroir du pays sɛ̀mɛ̀. 2014.</w:t>
      </w:r>
    </w:p>
    <w:p>
      <w:pPr>
        <w:spacing w:after="0" w:line="18" w:lineRule="exact"/>
        <w:rPr>
          <w:rFonts w:ascii="Arial" w:cs="Arial" w:eastAsia="Arial" w:hAnsi="Arial"/>
          <w:sz w:val="15"/>
          <w:szCs w:val="15"/>
          <w:color w:val="131413"/>
        </w:rPr>
      </w:pPr>
    </w:p>
    <w:p>
      <w:pPr>
        <w:jc w:val="both"/>
        <w:ind w:left="306" w:right="20" w:hanging="306"/>
        <w:spacing w:after="0" w:line="291" w:lineRule="auto"/>
        <w:tabs>
          <w:tab w:leader="none" w:pos="306" w:val="left"/>
        </w:tabs>
        <w:numPr>
          <w:ilvl w:val="0"/>
          <w:numId w:val="7"/>
        </w:numPr>
        <w:rPr>
          <w:rFonts w:ascii="Arial" w:cs="Arial" w:eastAsia="Arial" w:hAnsi="Arial"/>
          <w:sz w:val="13"/>
          <w:szCs w:val="13"/>
          <w:color w:val="131413"/>
        </w:rPr>
      </w:pPr>
      <w:r>
        <w:rPr>
          <w:rFonts w:ascii="Arial" w:cs="Arial" w:eastAsia="Arial" w:hAnsi="Arial"/>
          <w:sz w:val="13"/>
          <w:szCs w:val="13"/>
          <w:color w:val="131413"/>
        </w:rPr>
        <w:t>Salako KV, Moreira F, Gbedomon RC, Tovissodé F. Assogbadjo AE. Kakaï RLG: Traditional knowledge and cultural importance of Borassus aethiopum Mart. in Benin: interacting effects of socio-demographic attributes and multi-scale abundance. Journal of ethnobiology and ethnomedicine. 2018;14:36.</w:t>
      </w:r>
    </w:p>
    <w:p>
      <w:pPr>
        <w:ind w:left="306" w:right="80" w:hanging="306"/>
        <w:spacing w:after="0" w:line="359" w:lineRule="auto"/>
        <w:tabs>
          <w:tab w:leader="none" w:pos="306" w:val="left"/>
        </w:tabs>
        <w:numPr>
          <w:ilvl w:val="0"/>
          <w:numId w:val="7"/>
        </w:numPr>
        <w:rPr>
          <w:rFonts w:ascii="Arial" w:cs="Arial" w:eastAsia="Arial" w:hAnsi="Arial"/>
          <w:sz w:val="12"/>
          <w:szCs w:val="12"/>
          <w:color w:val="131413"/>
        </w:rPr>
      </w:pPr>
      <w:r>
        <w:rPr>
          <w:rFonts w:ascii="Arial" w:cs="Arial" w:eastAsia="Arial" w:hAnsi="Arial"/>
          <w:sz w:val="12"/>
          <w:szCs w:val="12"/>
          <w:color w:val="131413"/>
        </w:rPr>
        <w:t>Olivier M, Zerbo P, Boussim JI, Guinko S. Les plantes des galeries forestières à usage traditionnel par les tradipraticiens de santé et les chasseurs Dozo</w:t>
      </w:r>
    </w:p>
    <w:p>
      <w:pPr>
        <w:sectPr>
          <w:pgSz w:w="11900" w:h="15817" w:orient="portrait"/>
          <w:cols w:equalWidth="0" w:num="2">
            <w:col w:w="4646" w:space="314"/>
            <w:col w:w="4686"/>
          </w:cols>
          <w:pgMar w:left="1134" w:top="623" w:right="1126" w:bottom="590" w:gutter="0" w:footer="0" w:header="0"/>
          <w:type w:val="continuous"/>
        </w:sectPr>
      </w:pPr>
    </w:p>
    <w:bookmarkStart w:id="15" w:name="page16"/>
    <w:bookmarkEnd w:id="15"/>
    <w:tbl>
      <w:tblPr>
        <w:tblLayout w:type="fixed"/>
        <w:tblInd w:w="6" w:type="dxa"/>
        <w:tblCellMar>
          <w:top w:w="0" w:type="dxa"/>
          <w:left w:w="0" w:type="dxa"/>
          <w:bottom w:w="0" w:type="dxa"/>
          <w:right w:w="0" w:type="dxa"/>
        </w:tblCellMar>
      </w:tblPr>
      <w:tr>
        <w:trPr>
          <w:trHeight w:val="192"/>
        </w:trPr>
        <w:tc>
          <w:tcPr>
            <w:tcW w:w="4200" w:type="dxa"/>
            <w:vAlign w:val="bottom"/>
          </w:tcPr>
          <w:p>
            <w:pPr>
              <w:spacing w:after="0"/>
              <w:rPr>
                <w:sz w:val="20"/>
                <w:szCs w:val="20"/>
                <w:color w:val="auto"/>
              </w:rPr>
            </w:pPr>
            <w:r>
              <w:rPr>
                <w:rFonts w:ascii="Arial" w:cs="Arial" w:eastAsia="Arial" w:hAnsi="Arial"/>
                <w:sz w:val="16"/>
                <w:szCs w:val="16"/>
                <w:color w:val="131413"/>
                <w:w w:val="96"/>
              </w:rPr>
              <w:t>Tiétiambou et al. Journal of Ethnobiology and Ethnomedicine</w:t>
            </w:r>
          </w:p>
        </w:tc>
        <w:tc>
          <w:tcPr>
            <w:tcW w:w="1020" w:type="dxa"/>
            <w:vAlign w:val="bottom"/>
          </w:tcPr>
          <w:p>
            <w:pPr>
              <w:jc w:val="right"/>
              <w:spacing w:after="0"/>
              <w:rPr>
                <w:sz w:val="20"/>
                <w:szCs w:val="20"/>
                <w:color w:val="auto"/>
              </w:rPr>
            </w:pPr>
            <w:r>
              <w:rPr>
                <w:rFonts w:ascii="Arial" w:cs="Arial" w:eastAsia="Arial" w:hAnsi="Arial"/>
                <w:sz w:val="16"/>
                <w:szCs w:val="16"/>
                <w:color w:val="131413"/>
              </w:rPr>
              <w:t>(2020) 16:43</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306"/>
        <w:spacing w:after="0"/>
        <w:rPr>
          <w:sz w:val="20"/>
          <w:szCs w:val="20"/>
          <w:color w:val="auto"/>
        </w:rPr>
      </w:pPr>
      <w:r>
        <w:rPr>
          <w:rFonts w:ascii="Arial" w:cs="Arial" w:eastAsia="Arial" w:hAnsi="Arial"/>
          <w:sz w:val="14"/>
          <w:szCs w:val="14"/>
          <w:color w:val="131413"/>
        </w:rPr>
        <w:t>Sénoufo du Burkina Faso. International Journal of Biological and Chemical</w:t>
      </w:r>
    </w:p>
    <w:p>
      <w:pPr>
        <w:spacing w:after="0" w:line="10" w:lineRule="exact"/>
        <w:rPr>
          <w:sz w:val="20"/>
          <w:szCs w:val="20"/>
          <w:color w:val="auto"/>
        </w:rPr>
      </w:pPr>
    </w:p>
    <w:p>
      <w:pPr>
        <w:ind w:left="306"/>
        <w:spacing w:after="0"/>
        <w:rPr>
          <w:sz w:val="20"/>
          <w:szCs w:val="20"/>
          <w:color w:val="auto"/>
        </w:rPr>
      </w:pPr>
      <w:r>
        <w:rPr>
          <w:rFonts w:ascii="Arial" w:cs="Arial" w:eastAsia="Arial" w:hAnsi="Arial"/>
          <w:sz w:val="15"/>
          <w:szCs w:val="15"/>
          <w:color w:val="131413"/>
        </w:rPr>
        <w:t>Sciences. 2012;6:2170–91.</w:t>
      </w:r>
    </w:p>
    <w:p>
      <w:pPr>
        <w:spacing w:after="0" w:line="16" w:lineRule="exact"/>
        <w:rPr>
          <w:sz w:val="20"/>
          <w:szCs w:val="20"/>
          <w:color w:val="auto"/>
        </w:rPr>
      </w:pPr>
    </w:p>
    <w:p>
      <w:pPr>
        <w:ind w:left="306" w:right="3360" w:hanging="306"/>
        <w:spacing w:after="0" w:line="268" w:lineRule="auto"/>
        <w:tabs>
          <w:tab w:leader="none" w:pos="306" w:val="left"/>
        </w:tabs>
        <w:numPr>
          <w:ilvl w:val="0"/>
          <w:numId w:val="8"/>
        </w:numPr>
        <w:rPr>
          <w:rFonts w:ascii="Arial" w:cs="Arial" w:eastAsia="Arial" w:hAnsi="Arial"/>
          <w:sz w:val="14"/>
          <w:szCs w:val="14"/>
          <w:color w:val="131413"/>
        </w:rPr>
      </w:pPr>
      <w:r>
        <w:rPr>
          <w:rFonts w:ascii="Arial" w:cs="Arial" w:eastAsia="Arial" w:hAnsi="Arial"/>
          <w:sz w:val="14"/>
          <w:szCs w:val="14"/>
          <w:color w:val="131413"/>
        </w:rPr>
        <w:t>Júnior WSF, Santoro FR, Vandebroek I, Albuquerque UP: Urbanization, modernization, and nature knowledge. In Introduction to Ethnobiology. Edited by Albuquerque UP, Nóbrega Alves RR. Cham: Springer International Publishing; 2016: 251-256.</w:t>
      </w:r>
    </w:p>
    <w:p>
      <w:pPr>
        <w:ind w:left="306" w:right="3380" w:hanging="306"/>
        <w:spacing w:after="0" w:line="246" w:lineRule="auto"/>
        <w:tabs>
          <w:tab w:leader="none" w:pos="306" w:val="left"/>
        </w:tabs>
        <w:numPr>
          <w:ilvl w:val="0"/>
          <w:numId w:val="8"/>
        </w:numPr>
        <w:rPr>
          <w:rFonts w:ascii="Arial" w:cs="Arial" w:eastAsia="Arial" w:hAnsi="Arial"/>
          <w:sz w:val="15"/>
          <w:szCs w:val="15"/>
          <w:color w:val="131413"/>
        </w:rPr>
      </w:pPr>
      <w:r>
        <w:rPr>
          <w:rFonts w:ascii="Arial" w:cs="Arial" w:eastAsia="Arial" w:hAnsi="Arial"/>
          <w:sz w:val="15"/>
          <w:szCs w:val="15"/>
          <w:color w:val="131413"/>
        </w:rPr>
        <w:t>Dadjo C, Nyende AB, Salako KV, Hounkpèvi A, Assogbadjo AE. Socio-economic factors determining conservation and cultivation of Garcinia kola Heckel- a medicinal plant extinct in wild in Benin. Economic Botany. 2020; 2020.</w:t>
      </w:r>
    </w:p>
    <w:p>
      <w:pPr>
        <w:spacing w:after="0" w:line="12" w:lineRule="exact"/>
        <w:rPr>
          <w:rFonts w:ascii="Arial" w:cs="Arial" w:eastAsia="Arial" w:hAnsi="Arial"/>
          <w:sz w:val="15"/>
          <w:szCs w:val="15"/>
          <w:color w:val="131413"/>
        </w:rPr>
      </w:pPr>
    </w:p>
    <w:p>
      <w:pPr>
        <w:jc w:val="both"/>
        <w:ind w:left="306" w:right="3740" w:hanging="306"/>
        <w:spacing w:after="0" w:line="312" w:lineRule="auto"/>
        <w:tabs>
          <w:tab w:leader="none" w:pos="306" w:val="left"/>
        </w:tabs>
        <w:numPr>
          <w:ilvl w:val="0"/>
          <w:numId w:val="8"/>
        </w:numPr>
        <w:rPr>
          <w:rFonts w:ascii="Arial" w:cs="Arial" w:eastAsia="Arial" w:hAnsi="Arial"/>
          <w:sz w:val="12"/>
          <w:szCs w:val="12"/>
          <w:color w:val="131413"/>
        </w:rPr>
      </w:pPr>
      <w:r>
        <w:rPr>
          <w:rFonts w:ascii="Arial" w:cs="Arial" w:eastAsia="Arial" w:hAnsi="Arial"/>
          <w:sz w:val="12"/>
          <w:szCs w:val="12"/>
          <w:color w:val="131413"/>
        </w:rPr>
        <w:t>Trager MD, Bhotika S, Hostetler JA, Andrade GV, Rodriguez-Cabal MA, McKeon CS, Osenberg CW, Bolker BM. Benefits for plants in ant-plant protective mutualisms: a meta-analysis. PLOS ONE. 2010;5:e14308.</w:t>
      </w:r>
    </w:p>
    <w:p>
      <w:pPr>
        <w:spacing w:after="0" w:line="1" w:lineRule="exact"/>
        <w:rPr>
          <w:rFonts w:ascii="Arial" w:cs="Arial" w:eastAsia="Arial" w:hAnsi="Arial"/>
          <w:sz w:val="12"/>
          <w:szCs w:val="12"/>
          <w:color w:val="131413"/>
        </w:rPr>
      </w:pPr>
    </w:p>
    <w:p>
      <w:pPr>
        <w:ind w:left="306" w:right="3320" w:hanging="306"/>
        <w:spacing w:after="0" w:line="271" w:lineRule="auto"/>
        <w:tabs>
          <w:tab w:leader="none" w:pos="306" w:val="left"/>
        </w:tabs>
        <w:numPr>
          <w:ilvl w:val="0"/>
          <w:numId w:val="8"/>
        </w:numPr>
        <w:rPr>
          <w:rFonts w:ascii="Arial" w:cs="Arial" w:eastAsia="Arial" w:hAnsi="Arial"/>
          <w:sz w:val="14"/>
          <w:szCs w:val="14"/>
          <w:color w:val="131413"/>
        </w:rPr>
      </w:pPr>
      <w:r>
        <w:rPr>
          <w:rFonts w:ascii="Arial" w:cs="Arial" w:eastAsia="Arial" w:hAnsi="Arial"/>
          <w:sz w:val="14"/>
          <w:szCs w:val="14"/>
          <w:color w:val="131413"/>
        </w:rPr>
        <w:t>Lamien N, Ouédraogo SJ, Diallo OB, Guinko S: Productivité fruitière du karité (Vitellaria paradoxa Gaertn. CF, Sapotaceae) dans les parcs agroforestiers traditionnels au Burkina Faso. Fruits 2004, 59:423-429.</w:t>
      </w:r>
    </w:p>
    <w:p>
      <w:pPr>
        <w:spacing w:after="0" w:line="232" w:lineRule="exact"/>
        <w:rPr>
          <w:sz w:val="20"/>
          <w:szCs w:val="20"/>
          <w:color w:val="auto"/>
        </w:rPr>
      </w:pPr>
    </w:p>
    <w:p>
      <w:pPr>
        <w:ind w:left="6"/>
        <w:spacing w:after="0"/>
        <w:rPr>
          <w:sz w:val="20"/>
          <w:szCs w:val="20"/>
          <w:color w:val="auto"/>
        </w:rPr>
      </w:pPr>
      <w:r>
        <w:rPr>
          <w:rFonts w:ascii="Arial" w:cs="Arial" w:eastAsia="Arial" w:hAnsi="Arial"/>
          <w:sz w:val="21"/>
          <w:szCs w:val="21"/>
          <w:color w:val="131413"/>
        </w:rPr>
        <w:t>Publisher’s Note</w:t>
      </w:r>
    </w:p>
    <w:p>
      <w:pPr>
        <w:ind w:left="6"/>
        <w:spacing w:after="0" w:line="231" w:lineRule="auto"/>
        <w:rPr>
          <w:sz w:val="20"/>
          <w:szCs w:val="20"/>
          <w:color w:val="auto"/>
        </w:rPr>
      </w:pPr>
      <w:r>
        <w:rPr>
          <w:rFonts w:ascii="Arial" w:cs="Arial" w:eastAsia="Arial" w:hAnsi="Arial"/>
          <w:sz w:val="15"/>
          <w:szCs w:val="15"/>
          <w:color w:val="131413"/>
        </w:rPr>
        <w:t>Springer Nature remains neutral with regard to jurisdictional claims in</w:t>
      </w:r>
    </w:p>
    <w:p>
      <w:pPr>
        <w:spacing w:after="0" w:line="8" w:lineRule="exact"/>
        <w:rPr>
          <w:sz w:val="20"/>
          <w:szCs w:val="20"/>
          <w:color w:val="auto"/>
        </w:rPr>
      </w:pPr>
    </w:p>
    <w:p>
      <w:pPr>
        <w:ind w:left="6"/>
        <w:spacing w:after="0"/>
        <w:rPr>
          <w:sz w:val="20"/>
          <w:szCs w:val="20"/>
          <w:color w:val="auto"/>
        </w:rPr>
      </w:pPr>
      <w:r>
        <w:rPr>
          <w:rFonts w:ascii="Arial" w:cs="Arial" w:eastAsia="Arial" w:hAnsi="Arial"/>
          <w:sz w:val="15"/>
          <w:szCs w:val="15"/>
          <w:color w:val="131413"/>
        </w:rPr>
        <w:t>published maps and institutional affiliations.</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15"/>
          <w:szCs w:val="15"/>
          <w:color w:val="131413"/>
        </w:rPr>
        <w:t>Page 16 of 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-2331085</wp:posOffset>
            </wp:positionH>
            <wp:positionV relativeFrom="paragraph">
              <wp:posOffset>7282815</wp:posOffset>
            </wp:positionV>
            <wp:extent cx="2922270" cy="148907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extLst>
                    </a:blip>
                    <a:srcRect/>
                    <a:stretch>
                      <a:fillRect/>
                    </a:stretch>
                  </pic:blipFill>
                  <pic:spPr bwMode="auto">
                    <a:xfrm>
                      <a:off x="0" y="0"/>
                      <a:ext cx="2922270" cy="1489075"/>
                    </a:xfrm>
                    <a:prstGeom prst="rect">
                      <a:avLst/>
                    </a:prstGeom>
                    <a:noFill/>
                  </pic:spPr>
                </pic:pic>
              </a:graphicData>
            </a:graphic>
          </wp:anchor>
        </w:drawing>
      </w:r>
    </w:p>
    <w:sectPr>
      <w:pgSz w:w="11900" w:h="15817" w:orient="portrait"/>
      <w:cols w:equalWidth="0" w:num="2">
        <w:col w:w="7986" w:space="720"/>
        <w:col w:w="940"/>
      </w:cols>
      <w:pgMar w:left="1134" w:top="628" w:right="1126"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238E1F29"/>
    <w:multiLevelType w:val="hybridMultilevel"/>
    <w:lvl w:ilvl="0">
      <w:lvlJc w:val="left"/>
      <w:lvlText w:val="%1"/>
      <w:numFmt w:val="decimal"/>
      <w:start w:val="176"/>
    </w:lvl>
  </w:abstractNum>
  <w:abstractNum w:abstractNumId="1">
    <w:nsid w:val="46E87CCD"/>
    <w:multiLevelType w:val="hybridMultilevel"/>
    <w:lvl w:ilvl="0">
      <w:lvlJc w:val="left"/>
      <w:lvlText w:val="%1."/>
      <w:numFmt w:val="upperLetter"/>
      <w:start w:val="12"/>
    </w:lvl>
  </w:abstractNum>
  <w:abstractNum w:abstractNumId="2">
    <w:nsid w:val="3D1B58BA"/>
    <w:multiLevelType w:val="hybridMultilevel"/>
    <w:lvl w:ilvl="0">
      <w:lvlJc w:val="left"/>
      <w:lvlText w:val="%1."/>
      <w:numFmt w:val="upperLetter"/>
      <w:start w:val="3"/>
    </w:lvl>
  </w:abstractNum>
  <w:abstractNum w:abstractNumId="3">
    <w:nsid w:val="507ED7AB"/>
    <w:multiLevelType w:val="hybridMultilevel"/>
    <w:lvl w:ilvl="0">
      <w:lvlJc w:val="left"/>
      <w:lvlText w:val="%1."/>
      <w:numFmt w:val="decimal"/>
      <w:start w:val="1"/>
    </w:lvl>
  </w:abstractNum>
  <w:abstractNum w:abstractNumId="4">
    <w:nsid w:val="2EB141F2"/>
    <w:multiLevelType w:val="hybridMultilevel"/>
    <w:lvl w:ilvl="0">
      <w:lvlJc w:val="left"/>
      <w:lvlText w:val="%1."/>
      <w:numFmt w:val="decimal"/>
      <w:start w:val="2"/>
    </w:lvl>
  </w:abstractNum>
  <w:abstractNum w:abstractNumId="5">
    <w:nsid w:val="41B71EFB"/>
    <w:multiLevelType w:val="hybridMultilevel"/>
    <w:lvl w:ilvl="0">
      <w:lvlJc w:val="left"/>
      <w:lvlText w:val="%1."/>
      <w:numFmt w:val="decimal"/>
      <w:start w:val="25"/>
    </w:lvl>
  </w:abstractNum>
  <w:abstractNum w:abstractNumId="6">
    <w:nsid w:val="79E2A9E3"/>
    <w:multiLevelType w:val="hybridMultilevel"/>
    <w:lvl w:ilvl="0">
      <w:lvlJc w:val="left"/>
      <w:lvlText w:val="%1."/>
      <w:numFmt w:val="decimal"/>
      <w:start w:val="46"/>
    </w:lvl>
  </w:abstractNum>
  <w:abstractNum w:abstractNumId="7">
    <w:nsid w:val="7545E146"/>
    <w:multiLevelType w:val="hybridMultilevel"/>
    <w:lvl w:ilvl="0">
      <w:lvlJc w:val="left"/>
      <w:lvlText w:val="%1."/>
      <w:numFmt w:val="decimal"/>
      <w:start w:val="69"/>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7"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jpeg"/><Relationship Id="rId30" Type="http://schemas.openxmlformats.org/officeDocument/2006/relationships/image" Target="media/image19.png"/><Relationship Id="rId16" Type="http://schemas.openxmlformats.org/officeDocument/2006/relationships/hyperlink" Target="mailto:tietiambou.fanta@gmail.com" TargetMode="External"/><Relationship Id="rId18" Type="http://schemas.openxmlformats.org/officeDocument/2006/relationships/hyperlink" Target="http://creativecommons.org/licenses/by/4.0/" TargetMode="External"/><Relationship Id="rId19" Type="http://schemas.openxmlformats.org/officeDocument/2006/relationships/hyperlink" Target="http://creativecommons.org/publicdomain/zero/1.0/" TargetMode="External"/><Relationship Id="rId29" Type="http://schemas.openxmlformats.org/officeDocument/2006/relationships/hyperlink" Target="https://doi.org/10.1186/s13002-020-00393-1"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2020-09-15T03:59:27Z</dcterms:created>
  <dcterms:modified xsi:type="dcterms:W3CDTF">2020-09-15T03:59:27Z</dcterms:modified>
</cp:coreProperties>
</file>