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12"/>
        <w:spacing w:after="0"/>
        <w:rPr>
          <w:rFonts w:ascii="Arial" w:cs="Arial" w:eastAsia="Arial" w:hAnsi="Arial"/>
          <w:sz w:val="14"/>
          <w:szCs w:val="14"/>
          <w:color w:val="007FAB"/>
        </w:rPr>
      </w:pPr>
      <w:hyperlink r:id="rId8">
        <w:r>
          <w:rPr>
            <w:rFonts w:ascii="Arial" w:cs="Arial" w:eastAsia="Arial" w:hAnsi="Arial"/>
            <w:sz w:val="14"/>
            <w:szCs w:val="14"/>
            <w:color w:val="007FAB"/>
          </w:rPr>
          <w:t>Computers, Environment and Urban Systems 82 (2020) 101485</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175260</wp:posOffset>
            </wp:positionV>
            <wp:extent cx="6605905" cy="909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5905" cy="909955"/>
                    </a:xfrm>
                    <a:prstGeom prst="rect">
                      <a:avLst/>
                    </a:prstGeom>
                    <a:noFill/>
                  </pic:spPr>
                </pic:pic>
              </a:graphicData>
            </a:graphic>
          </wp:anchor>
        </w:drawing>
      </w:r>
    </w:p>
    <w:p>
      <w:pPr>
        <w:spacing w:after="0" w:line="319"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Contents lists available at </w:t>
      </w:r>
      <w:hyperlink r:id="rId10">
        <w:r>
          <w:rPr>
            <w:rFonts w:ascii="Arial" w:cs="Arial" w:eastAsia="Arial" w:hAnsi="Arial"/>
            <w:sz w:val="16"/>
            <w:szCs w:val="16"/>
            <w:color w:val="206293"/>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-89535</wp:posOffset>
            </wp:positionV>
            <wp:extent cx="5718175" cy="8521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18175" cy="852170"/>
                    </a:xfrm>
                    <a:prstGeom prst="rect">
                      <a:avLst/>
                    </a:prstGeom>
                    <a:noFill/>
                  </pic:spPr>
                </pic:pic>
              </a:graphicData>
            </a:graphic>
          </wp:anchor>
        </w:drawing>
        <w:drawing>
          <wp:anchor simplePos="0" relativeHeight="251657728" behindDoc="1" locked="0" layoutInCell="0" allowOverlap="1">
            <wp:simplePos x="0" y="0"/>
            <wp:positionH relativeFrom="column">
              <wp:posOffset>635</wp:posOffset>
            </wp:positionH>
            <wp:positionV relativeFrom="paragraph">
              <wp:posOffset>-89535</wp:posOffset>
            </wp:positionV>
            <wp:extent cx="5718175" cy="8521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5718175" cy="852170"/>
                    </a:xfrm>
                    <a:prstGeom prst="rect">
                      <a:avLst/>
                    </a:prstGeom>
                    <a:noFill/>
                  </pic:spPr>
                </pic:pic>
              </a:graphicData>
            </a:graphic>
          </wp:anchor>
        </w:drawing>
      </w:r>
    </w:p>
    <w:p>
      <w:pPr>
        <w:spacing w:after="0" w:line="242" w:lineRule="exact"/>
        <w:rPr>
          <w:sz w:val="24"/>
          <w:szCs w:val="24"/>
          <w:color w:val="auto"/>
        </w:rPr>
      </w:pPr>
    </w:p>
    <w:p>
      <w:pPr>
        <w:jc w:val="center"/>
        <w:ind w:right="-47"/>
        <w:spacing w:after="0"/>
        <w:rPr>
          <w:sz w:val="20"/>
          <w:szCs w:val="20"/>
          <w:color w:val="auto"/>
        </w:rPr>
      </w:pPr>
      <w:r>
        <w:rPr>
          <w:rFonts w:ascii="Arial" w:cs="Arial" w:eastAsia="Arial" w:hAnsi="Arial"/>
          <w:sz w:val="28"/>
          <w:szCs w:val="28"/>
          <w:color w:val="auto"/>
        </w:rPr>
        <w:t>Computers, Environment and Urban Systems</w:t>
      </w:r>
    </w:p>
    <w:p>
      <w:pPr>
        <w:spacing w:after="0" w:line="400"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3">
        <w:r>
          <w:rPr>
            <w:rFonts w:ascii="Arial" w:cs="Arial" w:eastAsia="Arial" w:hAnsi="Arial"/>
            <w:sz w:val="16"/>
            <w:szCs w:val="16"/>
            <w:color w:val="206293"/>
          </w:rPr>
          <w:t>www.elsevier.com/locate/ceus</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100965</wp:posOffset>
                </wp:positionV>
                <wp:extent cx="660463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6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95pt" to="520.05pt,7.95pt" o:allowincell="f" strokecolor="#000000" strokeweight="2.98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48" w:lineRule="exact"/>
        <w:rPr>
          <w:sz w:val="24"/>
          <w:szCs w:val="24"/>
          <w:color w:val="auto"/>
        </w:rPr>
      </w:pPr>
    </w:p>
    <w:p>
      <w:pPr>
        <w:ind w:left="8" w:right="660"/>
        <w:spacing w:after="0" w:line="328" w:lineRule="auto"/>
        <w:rPr>
          <w:rFonts w:ascii="Arial" w:cs="Arial" w:eastAsia="Arial" w:hAnsi="Arial"/>
          <w:sz w:val="27"/>
          <w:szCs w:val="27"/>
          <w:color w:val="auto"/>
        </w:rPr>
      </w:pPr>
      <w:r>
        <w:rPr>
          <w:rFonts w:ascii="Arial" w:cs="Arial" w:eastAsia="Arial" w:hAnsi="Arial"/>
          <w:sz w:val="27"/>
          <w:szCs w:val="27"/>
          <w:color w:val="auto"/>
        </w:rPr>
        <w:t xml:space="preserve">Life is a scene and we are the actors: Assessing the usefulness of planning </w:t>
      </w:r>
      <w:hyperlink r:id="rId14">
        <w:r>
          <w:rPr>
            <w:rFonts w:ascii="Arial" w:cs="Arial" w:eastAsia="Arial" w:hAnsi="Arial"/>
            <w:sz w:val="20"/>
            <w:szCs w:val="20"/>
            <w:color w:val="auto"/>
          </w:rPr>
          <w:t>T</w:t>
        </w:r>
      </w:hyperlink>
      <w:r>
        <w:rPr>
          <w:rFonts w:ascii="Arial" w:cs="Arial" w:eastAsia="Arial" w:hAnsi="Arial"/>
          <w:sz w:val="27"/>
          <w:szCs w:val="27"/>
          <w:color w:val="auto"/>
        </w:rPr>
        <w:t xml:space="preserve"> support theatres for smart city planning </w:t>
      </w:r>
      <w:r>
        <w:rPr>
          <w:rFonts w:ascii="Arial" w:cs="Arial" w:eastAsia="Arial" w:hAnsi="Arial"/>
          <w:sz w:val="1"/>
          <w:szCs w:val="1"/>
          <w:color w:val="auto"/>
        </w:rPr>
        <w:drawing>
          <wp:inline distT="0" distB="0" distL="0" distR="0">
            <wp:extent cx="105410" cy="125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105410" cy="125095"/>
                    </a:xfrm>
                    <a:prstGeom prst="rect">
                      <a:avLst/>
                    </a:prstGeom>
                    <a:noFill/>
                    <a:ln>
                      <a:noFill/>
                    </a:ln>
                  </pic:spPr>
                </pic:pic>
              </a:graphicData>
            </a:graphic>
          </wp:inline>
        </w:drawing>
        <w:drawing>
          <wp:inline distT="0" distB="0" distL="0" distR="0">
            <wp:extent cx="99695" cy="10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99695" cy="104775"/>
                    </a:xfrm>
                    <a:prstGeom prst="rect">
                      <a:avLst/>
                    </a:prstGeom>
                    <a:noFill/>
                    <a:ln>
                      <a:noFill/>
                    </a:ln>
                  </pic:spPr>
                </pic:pic>
              </a:graphicData>
            </a:graphic>
          </wp:inline>
        </w:drawing>
        <w:drawing>
          <wp:inline distT="0" distB="0" distL="0" distR="0">
            <wp:extent cx="85725" cy="11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extLst>
                    </a:blip>
                    <a:srcRect/>
                    <a:stretch>
                      <a:fillRect/>
                    </a:stretch>
                  </pic:blipFill>
                  <pic:spPr bwMode="auto">
                    <a:xfrm>
                      <a:off x="0" y="0"/>
                      <a:ext cx="85725" cy="114935"/>
                    </a:xfrm>
                    <a:prstGeom prst="rect">
                      <a:avLst/>
                    </a:prstGeom>
                    <a:noFill/>
                    <a:ln>
                      <a:noFill/>
                    </a:ln>
                  </pic:spPr>
                </pic:pic>
              </a:graphicData>
            </a:graphic>
          </wp:inline>
        </w:drawing>
        <w:drawing>
          <wp:inline distT="0" distB="0" distL="0" distR="0">
            <wp:extent cx="74930" cy="105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extLst>
                    </a:blip>
                    <a:srcRect/>
                    <a:stretch>
                      <a:fillRect/>
                    </a:stretch>
                  </pic:blipFill>
                  <pic:spPr bwMode="auto">
                    <a:xfrm>
                      <a:off x="0" y="0"/>
                      <a:ext cx="74930" cy="10541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5882640</wp:posOffset>
            </wp:positionH>
            <wp:positionV relativeFrom="paragraph">
              <wp:posOffset>-452755</wp:posOffset>
            </wp:positionV>
            <wp:extent cx="355600" cy="3556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extLst>
                    </a:blip>
                    <a:srcRect/>
                    <a:stretch>
                      <a:fillRect/>
                    </a:stretch>
                  </pic:blipFill>
                  <pic:spPr bwMode="auto">
                    <a:xfrm>
                      <a:off x="0" y="0"/>
                      <a:ext cx="355600" cy="355600"/>
                    </a:xfrm>
                    <a:prstGeom prst="rect">
                      <a:avLst/>
                    </a:prstGeom>
                    <a:noFill/>
                  </pic:spPr>
                </pic:pic>
              </a:graphicData>
            </a:graphic>
          </wp:anchor>
        </w:drawing>
      </w:r>
    </w:p>
    <w:p>
      <w:pPr>
        <w:ind w:left="8"/>
        <w:spacing w:after="0" w:line="304" w:lineRule="exact"/>
        <w:rPr>
          <w:rFonts w:ascii="Arial" w:cs="Arial" w:eastAsia="Arial" w:hAnsi="Arial"/>
          <w:sz w:val="21"/>
          <w:szCs w:val="21"/>
          <w:color w:val="auto"/>
        </w:rPr>
      </w:pPr>
      <w:r>
        <w:rPr>
          <w:rFonts w:ascii="Arial" w:cs="Arial" w:eastAsia="Arial" w:hAnsi="Arial"/>
          <w:sz w:val="21"/>
          <w:szCs w:val="21"/>
          <w:color w:val="auto"/>
        </w:rPr>
        <w:t>E.P. Punt</w:t>
      </w:r>
      <w:hyperlink w:anchor="page1">
        <w:r>
          <w:rPr>
            <w:rFonts w:ascii="Arial" w:cs="Arial" w:eastAsia="Arial" w:hAnsi="Arial"/>
            <w:sz w:val="28"/>
            <w:szCs w:val="28"/>
            <w:color w:val="206293"/>
            <w:vertAlign w:val="superscript"/>
          </w:rPr>
          <w:t>a</w:t>
        </w:r>
      </w:hyperlink>
      <w:r>
        <w:rPr>
          <w:rFonts w:ascii="Arial" w:cs="Arial" w:eastAsia="Arial" w:hAnsi="Arial"/>
          <w:sz w:val="28"/>
          <w:szCs w:val="28"/>
          <w:color w:val="auto"/>
          <w:vertAlign w:val="superscript"/>
        </w:rPr>
        <w:t>,</w:t>
      </w:r>
      <w:hyperlink w:anchor="page1">
        <w:r>
          <w:rPr>
            <w:rFonts w:ascii="Arial" w:cs="Arial" w:eastAsia="Arial" w:hAnsi="Arial"/>
            <w:sz w:val="28"/>
            <w:szCs w:val="28"/>
            <w:color w:val="206293"/>
            <w:vertAlign w:val="superscript"/>
          </w:rPr>
          <w:t>b</w:t>
        </w:r>
      </w:hyperlink>
      <w:r>
        <w:rPr>
          <w:rFonts w:ascii="Arial" w:cs="Arial" w:eastAsia="Arial" w:hAnsi="Arial"/>
          <w:sz w:val="28"/>
          <w:szCs w:val="28"/>
          <w:color w:val="auto"/>
          <w:vertAlign w:val="superscript"/>
        </w:rPr>
        <w:t>,</w:t>
      </w:r>
      <w:hyperlink w:anchor="page1">
        <w:r>
          <w:rPr>
            <w:rFonts w:ascii="Arial" w:cs="Arial" w:eastAsia="Arial" w:hAnsi="Arial"/>
            <w:sz w:val="28"/>
            <w:szCs w:val="28"/>
            <w:color w:val="206293"/>
            <w:vertAlign w:val="superscript"/>
          </w:rPr>
          <w:t>c</w:t>
        </w:r>
      </w:hyperlink>
      <w:r>
        <w:rPr>
          <w:rFonts w:ascii="Arial" w:cs="Arial" w:eastAsia="Arial" w:hAnsi="Arial"/>
          <w:sz w:val="28"/>
          <w:szCs w:val="28"/>
          <w:color w:val="auto"/>
          <w:vertAlign w:val="superscript"/>
        </w:rPr>
        <w:t>,</w:t>
      </w:r>
      <w:r>
        <w:rPr>
          <w:rFonts w:ascii="Arial" w:cs="Arial" w:eastAsia="Arial" w:hAnsi="Arial"/>
          <w:sz w:val="21"/>
          <w:szCs w:val="21"/>
          <w:color w:val="auto"/>
        </w:rPr>
        <w:t xml:space="preserve"> , S.C.M. Geertman</w:t>
      </w:r>
      <w:hyperlink w:anchor="page1">
        <w:r>
          <w:rPr>
            <w:rFonts w:ascii="Arial" w:cs="Arial" w:eastAsia="Arial" w:hAnsi="Arial"/>
            <w:sz w:val="28"/>
            <w:szCs w:val="28"/>
            <w:color w:val="206293"/>
            <w:vertAlign w:val="superscript"/>
          </w:rPr>
          <w:t>b</w:t>
        </w:r>
      </w:hyperlink>
      <w:r>
        <w:rPr>
          <w:rFonts w:ascii="Arial" w:cs="Arial" w:eastAsia="Arial" w:hAnsi="Arial"/>
          <w:sz w:val="21"/>
          <w:szCs w:val="21"/>
          <w:color w:val="auto"/>
        </w:rPr>
        <w:t>, A.E. Afrooz</w:t>
      </w:r>
      <w:hyperlink w:anchor="page1">
        <w:r>
          <w:rPr>
            <w:rFonts w:ascii="Arial" w:cs="Arial" w:eastAsia="Arial" w:hAnsi="Arial"/>
            <w:sz w:val="28"/>
            <w:szCs w:val="28"/>
            <w:color w:val="206293"/>
            <w:vertAlign w:val="superscript"/>
          </w:rPr>
          <w:t>d</w:t>
        </w:r>
      </w:hyperlink>
      <w:r>
        <w:rPr>
          <w:rFonts w:ascii="Arial" w:cs="Arial" w:eastAsia="Arial" w:hAnsi="Arial"/>
          <w:sz w:val="21"/>
          <w:szCs w:val="21"/>
          <w:color w:val="auto"/>
        </w:rPr>
        <w:t>, P.A. Witte</w:t>
      </w:r>
      <w:hyperlink w:anchor="page1">
        <w:r>
          <w:rPr>
            <w:rFonts w:ascii="Arial" w:cs="Arial" w:eastAsia="Arial" w:hAnsi="Arial"/>
            <w:sz w:val="28"/>
            <w:szCs w:val="28"/>
            <w:color w:val="206293"/>
            <w:vertAlign w:val="superscript"/>
          </w:rPr>
          <w:t>b</w:t>
        </w:r>
      </w:hyperlink>
      <w:r>
        <w:rPr>
          <w:rFonts w:ascii="Arial" w:cs="Arial" w:eastAsia="Arial" w:hAnsi="Arial"/>
          <w:sz w:val="21"/>
          <w:szCs w:val="21"/>
          <w:color w:val="auto"/>
        </w:rPr>
        <w:t>, C.J. Pettit</w:t>
      </w:r>
      <w:hyperlink w:anchor="page1">
        <w:r>
          <w:rPr>
            <w:rFonts w:ascii="Arial" w:cs="Arial" w:eastAsia="Arial" w:hAnsi="Arial"/>
            <w:sz w:val="28"/>
            <w:szCs w:val="28"/>
            <w:color w:val="206293"/>
            <w:vertAlign w:val="superscript"/>
          </w:rPr>
          <w:t>c</w:t>
        </w:r>
      </w:hyperlink>
    </w:p>
    <w:p>
      <w:pPr>
        <w:spacing w:after="0" w:line="73" w:lineRule="exact"/>
        <w:rPr>
          <w:rFonts w:ascii="Arial" w:cs="Arial" w:eastAsia="Arial" w:hAnsi="Arial"/>
          <w:sz w:val="21"/>
          <w:szCs w:val="21"/>
          <w:color w:val="auto"/>
        </w:rPr>
      </w:pPr>
    </w:p>
    <w:p>
      <w:pPr>
        <w:ind w:left="68" w:hanging="68"/>
        <w:spacing w:after="0"/>
        <w:tabs>
          <w:tab w:leader="none" w:pos="68" w:val="left"/>
        </w:tabs>
        <w:numPr>
          <w:ilvl w:val="0"/>
          <w:numId w:val="1"/>
        </w:numPr>
        <w:rPr>
          <w:rFonts w:ascii="Arial" w:cs="Arial" w:eastAsia="Arial" w:hAnsi="Arial"/>
          <w:sz w:val="17"/>
          <w:szCs w:val="17"/>
          <w:color w:val="auto"/>
          <w:vertAlign w:val="superscript"/>
        </w:rPr>
      </w:pPr>
      <w:r>
        <w:rPr>
          <w:rFonts w:ascii="Arial" w:cs="Arial" w:eastAsia="Arial" w:hAnsi="Arial"/>
          <w:sz w:val="13"/>
          <w:szCs w:val="13"/>
          <w:i w:val="1"/>
          <w:iCs w:val="1"/>
          <w:color w:val="auto"/>
        </w:rPr>
        <w:t>Technische Universität Darmstadt, Dolivostraße 15, 64293 Darmstadt, Germany</w:t>
      </w:r>
    </w:p>
    <w:p>
      <w:pPr>
        <w:ind w:left="88" w:hanging="88"/>
        <w:spacing w:after="0" w:line="210" w:lineRule="auto"/>
        <w:tabs>
          <w:tab w:leader="none" w:pos="88" w:val="left"/>
        </w:tabs>
        <w:numPr>
          <w:ilvl w:val="0"/>
          <w:numId w:val="1"/>
        </w:numPr>
        <w:rPr>
          <w:rFonts w:ascii="Arial" w:cs="Arial" w:eastAsia="Arial" w:hAnsi="Arial"/>
          <w:sz w:val="17"/>
          <w:szCs w:val="17"/>
          <w:color w:val="auto"/>
          <w:vertAlign w:val="superscript"/>
        </w:rPr>
      </w:pPr>
      <w:r>
        <w:rPr>
          <w:rFonts w:ascii="Arial" w:cs="Arial" w:eastAsia="Arial" w:hAnsi="Arial"/>
          <w:sz w:val="13"/>
          <w:szCs w:val="13"/>
          <w:i w:val="1"/>
          <w:iCs w:val="1"/>
          <w:color w:val="auto"/>
        </w:rPr>
        <w:t>Faculty of Geosciences, Human Geography and Spatial Planning, Utrecht University, Utrecht, the Netherlands</w:t>
      </w:r>
    </w:p>
    <w:p>
      <w:pPr>
        <w:ind w:left="68" w:hanging="68"/>
        <w:spacing w:after="0" w:line="210" w:lineRule="auto"/>
        <w:tabs>
          <w:tab w:leader="none" w:pos="68" w:val="left"/>
        </w:tabs>
        <w:numPr>
          <w:ilvl w:val="0"/>
          <w:numId w:val="1"/>
        </w:numPr>
        <w:rPr>
          <w:rFonts w:ascii="Arial" w:cs="Arial" w:eastAsia="Arial" w:hAnsi="Arial"/>
          <w:sz w:val="17"/>
          <w:szCs w:val="17"/>
          <w:color w:val="auto"/>
          <w:vertAlign w:val="superscript"/>
        </w:rPr>
      </w:pPr>
      <w:r>
        <w:rPr>
          <w:rFonts w:ascii="Arial" w:cs="Arial" w:eastAsia="Arial" w:hAnsi="Arial"/>
          <w:sz w:val="13"/>
          <w:szCs w:val="13"/>
          <w:i w:val="1"/>
          <w:iCs w:val="1"/>
          <w:color w:val="auto"/>
        </w:rPr>
        <w:t>City Futures Research Centre, University of New South Wales, Sydney, Australia</w:t>
      </w:r>
    </w:p>
    <w:p>
      <w:pPr>
        <w:ind w:left="88" w:hanging="88"/>
        <w:spacing w:after="0"/>
        <w:tabs>
          <w:tab w:leader="none" w:pos="88" w:val="left"/>
        </w:tabs>
        <w:numPr>
          <w:ilvl w:val="0"/>
          <w:numId w:val="1"/>
        </w:numPr>
        <w:rPr>
          <w:rFonts w:ascii="Arial" w:cs="Arial" w:eastAsia="Arial" w:hAnsi="Arial"/>
          <w:sz w:val="17"/>
          <w:szCs w:val="17"/>
          <w:color w:val="auto"/>
          <w:vertAlign w:val="superscript"/>
        </w:rPr>
      </w:pPr>
      <w:r>
        <w:rPr>
          <w:rFonts w:ascii="Arial" w:cs="Arial" w:eastAsia="Arial" w:hAnsi="Arial"/>
          <w:sz w:val="13"/>
          <w:szCs w:val="13"/>
          <w:i w:val="1"/>
          <w:iCs w:val="1"/>
          <w:color w:val="auto"/>
        </w:rPr>
        <w:t>School of Art, Architecture and Design, University of South Australia, Adelaide, Australia</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109855</wp:posOffset>
                </wp:positionV>
                <wp:extent cx="660463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5pt" to="520.05pt,8.65pt" o:allowincell="f" strokecolor="#000000" strokeweight="0.249pt"/>
            </w:pict>
          </mc:Fallback>
        </mc:AlternateContent>
      </w:r>
    </w:p>
    <w:p>
      <w:pPr>
        <w:sectPr>
          <w:pgSz w:w="11900" w:h="15874" w:orient="portrait"/>
          <w:cols w:equalWidth="0" w:num="1">
            <w:col w:w="10408"/>
          </w:cols>
          <w:pgMar w:left="752" w:top="656" w:right="746" w:bottom="238" w:gutter="0" w:footer="0" w:header="0"/>
        </w:sectPr>
      </w:pPr>
    </w:p>
    <w:p>
      <w:pPr>
        <w:spacing w:after="0" w:line="200" w:lineRule="exact"/>
        <w:rPr>
          <w:rFonts w:ascii="Arial" w:cs="Arial" w:eastAsia="Arial" w:hAnsi="Arial"/>
          <w:sz w:val="21"/>
          <w:szCs w:val="21"/>
          <w:color w:val="auto"/>
        </w:rPr>
      </w:pPr>
    </w:p>
    <w:p>
      <w:pPr>
        <w:spacing w:after="0" w:line="238"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4"/>
          <w:szCs w:val="14"/>
          <w:color w:val="auto"/>
        </w:rPr>
        <w:t>ARTICLE INFO</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135890</wp:posOffset>
                </wp:positionV>
                <wp:extent cx="169164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7pt" to="133.2pt,10.7pt" o:allowincell="f" strokecolor="#000000" strokeweight="0.249pt"/>
            </w:pict>
          </mc:Fallback>
        </mc:AlternateContent>
      </w:r>
    </w:p>
    <w:p>
      <w:pPr>
        <w:spacing w:after="0" w:line="238"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i w:val="1"/>
          <w:iCs w:val="1"/>
          <w:color w:val="auto"/>
        </w:rPr>
        <w:t>Keywords:</w:t>
      </w:r>
    </w:p>
    <w:p>
      <w:pPr>
        <w:spacing w:after="0" w:line="30"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Planning support system</w:t>
      </w:r>
    </w:p>
    <w:p>
      <w:pPr>
        <w:spacing w:after="0" w:line="22"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Planning support theater</w:t>
      </w:r>
    </w:p>
    <w:p>
      <w:pPr>
        <w:spacing w:after="0" w:line="22"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Dashboards</w:t>
      </w:r>
    </w:p>
    <w:p>
      <w:pPr>
        <w:spacing w:after="0" w:line="22"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PSS implementation gap</w:t>
      </w:r>
    </w:p>
    <w:p>
      <w:pPr>
        <w:spacing w:after="0" w:line="22"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Smart planning</w:t>
      </w:r>
    </w:p>
    <w:p>
      <w:pPr>
        <w:spacing w:after="0" w:line="22"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3"/>
          <w:szCs w:val="13"/>
          <w:color w:val="auto"/>
        </w:rPr>
        <w:t>City analytics lab</w:t>
      </w:r>
    </w:p>
    <w:p>
      <w:pPr>
        <w:spacing w:after="0" w:line="20" w:lineRule="exact"/>
        <w:rPr>
          <w:rFonts w:ascii="Arial" w:cs="Arial" w:eastAsia="Arial" w:hAnsi="Arial"/>
          <w:sz w:val="21"/>
          <w:szCs w:val="21"/>
          <w:color w:val="auto"/>
        </w:rPr>
      </w:pPr>
      <w:r>
        <w:rPr>
          <w:rFonts w:ascii="Arial" w:cs="Arial" w:eastAsia="Arial" w:hAnsi="Arial"/>
          <w:sz w:val="21"/>
          <w:szCs w:val="21"/>
          <w:color w:val="auto"/>
        </w:rPr>
        <w:br w:type="column"/>
      </w:r>
    </w:p>
    <w:p>
      <w:pPr>
        <w:spacing w:after="0" w:line="200" w:lineRule="exact"/>
        <w:rPr>
          <w:rFonts w:ascii="Arial" w:cs="Arial" w:eastAsia="Arial" w:hAnsi="Arial"/>
          <w:sz w:val="21"/>
          <w:szCs w:val="21"/>
          <w:color w:val="auto"/>
        </w:rPr>
      </w:pPr>
    </w:p>
    <w:p>
      <w:pPr>
        <w:spacing w:after="0" w:line="218" w:lineRule="exact"/>
        <w:rPr>
          <w:rFonts w:ascii="Arial" w:cs="Arial" w:eastAsia="Arial" w:hAnsi="Arial"/>
          <w:sz w:val="21"/>
          <w:szCs w:val="21"/>
          <w:color w:val="auto"/>
        </w:rPr>
      </w:pPr>
    </w:p>
    <w:p>
      <w:pPr>
        <w:spacing w:after="0"/>
        <w:rPr>
          <w:sz w:val="20"/>
          <w:szCs w:val="20"/>
          <w:color w:val="auto"/>
        </w:rPr>
      </w:pPr>
      <w:r>
        <w:rPr>
          <w:rFonts w:ascii="Arial" w:cs="Arial" w:eastAsia="Arial" w:hAnsi="Arial"/>
          <w:sz w:val="14"/>
          <w:szCs w:val="14"/>
          <w:color w:val="auto"/>
        </w:rPr>
        <w:t>ABSTRACT</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135890</wp:posOffset>
                </wp:positionV>
                <wp:extent cx="449961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7pt" to="354.45pt,10.7pt" o:allowincell="f" strokecolor="#000000" strokeweight="0.249pt"/>
            </w:pict>
          </mc:Fallback>
        </mc:AlternateContent>
      </w:r>
    </w:p>
    <w:p>
      <w:pPr>
        <w:spacing w:after="0" w:line="216" w:lineRule="exact"/>
        <w:rPr>
          <w:rFonts w:ascii="Arial" w:cs="Arial" w:eastAsia="Arial" w:hAnsi="Arial"/>
          <w:sz w:val="21"/>
          <w:szCs w:val="21"/>
          <w:color w:val="auto"/>
        </w:rPr>
      </w:pPr>
    </w:p>
    <w:p>
      <w:pPr>
        <w:jc w:val="both"/>
        <w:spacing w:after="0" w:line="293" w:lineRule="auto"/>
        <w:rPr>
          <w:sz w:val="20"/>
          <w:szCs w:val="20"/>
          <w:color w:val="auto"/>
        </w:rPr>
      </w:pPr>
      <w:r>
        <w:rPr>
          <w:rFonts w:ascii="Arial" w:cs="Arial" w:eastAsia="Arial" w:hAnsi="Arial"/>
          <w:sz w:val="14"/>
          <w:szCs w:val="14"/>
          <w:color w:val="auto"/>
        </w:rPr>
        <w:t>There are numerous studies on the identification and explanation of the implementation gap of planning support systems (PSS), that support the smart planning process by analyzing and visualizing data, but which are cur-rently not systematically used in urban planning practice. There is insufficient knowledge about how the PSS implementation gap can be bridged and how PSS can be embedded into the planning process. This study pro-vides insight into how the City Analytics Lab (CAL) can contribute to the promise of smart planning. It aims to first determine how CAL can yield the promise of smart planning. Then it provides insight into how CAL can contribute to close the PSS implementation gap. Accordingly, we organized fifteen workshops and surveyed planning practitioners (</w:t>
      </w:r>
      <w:r>
        <w:rPr>
          <w:rFonts w:ascii="Arial" w:cs="Arial" w:eastAsia="Arial" w:hAnsi="Arial"/>
          <w:sz w:val="14"/>
          <w:szCs w:val="14"/>
          <w:i w:val="1"/>
          <w:iCs w:val="1"/>
          <w:color w:val="auto"/>
        </w:rPr>
        <w:t>N</w:t>
      </w:r>
      <w:r>
        <w:rPr>
          <w:rFonts w:ascii="Arial" w:cs="Arial" w:eastAsia="Arial" w:hAnsi="Arial"/>
          <w:sz w:val="14"/>
          <w:szCs w:val="14"/>
          <w:color w:val="auto"/>
        </w:rPr>
        <w:t xml:space="preserve"> = 89) at CAL to assess its usefulness for smart planning as well as its contribution in bridging the PSS implementation gap. The results show that users are positive towards the usefulness and us-ability of the support tools in the CAL, in particular the collaborative nature of the lab through its interactive tables and software applications. With regards to the PSS implementation gap, we find that there is a continued and increasingly successful conversation between the CAL and it's PSS tools and planning practice (i.e. ‘tech-nology-to-people’) by collaborating with local governments, industry partners and other universities. However, further refinement of the lab through continued conversation between users and developers (i.e. ‘people-to-people’) is necessary, where tools are codesigned and user preferences and participation protocols are further considered. More broadly this research suggests that Planning Support Theatres, such as CAL can assist in re-ducing the technology adoption barriers commonly experienced in the application of PSS in practice. Such Planning Support Theatres, also provide a space to support new ideas and interactions importantly between both the key actors and the technology and the actors themselves.</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-2099945</wp:posOffset>
                </wp:positionH>
                <wp:positionV relativeFrom="paragraph">
                  <wp:posOffset>69215</wp:posOffset>
                </wp:positionV>
                <wp:extent cx="66040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499pt,5.45pt" to="354.65pt,5.45pt" o:allowincell="f" strokecolor="#000000" strokeweight="0.249pt"/>
            </w:pict>
          </mc:Fallback>
        </mc:AlternateContent>
      </w:r>
    </w:p>
    <w:p>
      <w:pPr>
        <w:spacing w:after="0" w:line="200" w:lineRule="exact"/>
        <w:rPr>
          <w:rFonts w:ascii="Arial" w:cs="Arial" w:eastAsia="Arial" w:hAnsi="Arial"/>
          <w:sz w:val="21"/>
          <w:szCs w:val="21"/>
          <w:color w:val="auto"/>
        </w:rPr>
      </w:pPr>
    </w:p>
    <w:p>
      <w:pPr>
        <w:sectPr>
          <w:pgSz w:w="11900" w:h="15874" w:orient="portrait"/>
          <w:cols w:equalWidth="0" w:num="2">
            <w:col w:w="2588" w:space="720"/>
            <w:col w:w="7100"/>
          </w:cols>
          <w:pgMar w:left="752" w:top="656" w:right="746" w:bottom="238" w:gutter="0" w:footer="0" w:header="0"/>
          <w:type w:val="continuous"/>
        </w:sectPr>
      </w:pPr>
    </w:p>
    <w:p>
      <w:pPr>
        <w:spacing w:after="0" w:line="369" w:lineRule="exact"/>
        <w:rPr>
          <w:rFonts w:ascii="Arial" w:cs="Arial" w:eastAsia="Arial" w:hAnsi="Arial"/>
          <w:sz w:val="21"/>
          <w:szCs w:val="21"/>
          <w:color w:val="auto"/>
        </w:rPr>
      </w:pPr>
    </w:p>
    <w:p>
      <w:pPr>
        <w:ind w:left="8"/>
        <w:spacing w:after="0"/>
        <w:rPr>
          <w:sz w:val="20"/>
          <w:szCs w:val="20"/>
          <w:color w:val="auto"/>
        </w:rPr>
      </w:pPr>
      <w:r>
        <w:rPr>
          <w:rFonts w:ascii="Arial" w:cs="Arial" w:eastAsia="Arial" w:hAnsi="Arial"/>
          <w:sz w:val="16"/>
          <w:szCs w:val="16"/>
          <w:b w:val="1"/>
          <w:bCs w:val="1"/>
          <w:color w:val="auto"/>
        </w:rPr>
        <w:t>1. Introduction</w:t>
      </w:r>
    </w:p>
    <w:p>
      <w:pPr>
        <w:spacing w:after="0" w:line="234" w:lineRule="exact"/>
        <w:rPr>
          <w:rFonts w:ascii="Arial" w:cs="Arial" w:eastAsia="Arial" w:hAnsi="Arial"/>
          <w:sz w:val="21"/>
          <w:szCs w:val="21"/>
          <w:color w:val="auto"/>
        </w:rPr>
      </w:pPr>
    </w:p>
    <w:p>
      <w:pPr>
        <w:jc w:val="both"/>
        <w:ind w:left="8" w:firstLine="249"/>
        <w:spacing w:after="0" w:line="284" w:lineRule="auto"/>
        <w:rPr>
          <w:sz w:val="20"/>
          <w:szCs w:val="20"/>
          <w:color w:val="auto"/>
        </w:rPr>
      </w:pPr>
      <w:r>
        <w:rPr>
          <w:rFonts w:ascii="Arial" w:cs="Arial" w:eastAsia="Arial" w:hAnsi="Arial"/>
          <w:sz w:val="16"/>
          <w:szCs w:val="16"/>
          <w:color w:val="auto"/>
        </w:rPr>
        <w:t>Planning decision making tools are increasingly acknowledged through big data, city analytics and modelling, and can contribute to the technological development of a smart city (</w:t>
      </w:r>
      <w:r>
        <w:rPr>
          <w:rFonts w:ascii="Arial" w:cs="Arial" w:eastAsia="Arial" w:hAnsi="Arial"/>
          <w:sz w:val="16"/>
          <w:szCs w:val="16"/>
          <w:color w:val="206293"/>
        </w:rPr>
        <w:t>Pettit et al., 2018</w:t>
      </w:r>
      <w:r>
        <w:rPr>
          <w:rFonts w:ascii="Arial" w:cs="Arial" w:eastAsia="Arial" w:hAnsi="Arial"/>
          <w:sz w:val="16"/>
          <w:szCs w:val="16"/>
          <w:color w:val="auto"/>
        </w:rPr>
        <w:t>). A smart city can be defined as a city that uses information and commu-nication technologies (ICT) and data to make a city more efficient, sustainable, equitable and livable (</w:t>
      </w:r>
      <w:r>
        <w:rPr>
          <w:rFonts w:ascii="Arial" w:cs="Arial" w:eastAsia="Arial" w:hAnsi="Arial"/>
          <w:sz w:val="16"/>
          <w:szCs w:val="16"/>
          <w:color w:val="206293"/>
        </w:rPr>
        <w:t>Nam &amp; Pardo, 2014</w:t>
      </w:r>
      <w:r>
        <w:rPr>
          <w:rFonts w:ascii="Arial" w:cs="Arial" w:eastAsia="Arial" w:hAnsi="Arial"/>
          <w:sz w:val="16"/>
          <w:szCs w:val="16"/>
          <w:color w:val="auto"/>
        </w:rPr>
        <w:t>). Through the wider adoption of digital technologies urban planning is arguably be-coming smarter. In this context planning is tapping into big data, ma-chine learning, urban modelling, visualization and digital dashboards. These data augmented approaches and new technologies support planners in dealing with the complexities and future challenges that cities face (</w:t>
      </w:r>
      <w:r>
        <w:rPr>
          <w:rFonts w:ascii="Arial" w:cs="Arial" w:eastAsia="Arial" w:hAnsi="Arial"/>
          <w:sz w:val="16"/>
          <w:szCs w:val="16"/>
          <w:color w:val="206293"/>
        </w:rPr>
        <w:t>Pettit et al., 2018</w:t>
      </w:r>
      <w:r>
        <w:rPr>
          <w:rFonts w:ascii="Arial" w:cs="Arial" w:eastAsia="Arial" w:hAnsi="Arial"/>
          <w:sz w:val="16"/>
          <w:szCs w:val="16"/>
          <w:color w:val="auto"/>
        </w:rPr>
        <w:t>). The interaction between technology and</w:t>
      </w:r>
    </w:p>
    <w:p>
      <w:pPr>
        <w:spacing w:after="0" w:line="20" w:lineRule="exact"/>
        <w:rPr>
          <w:rFonts w:ascii="Arial" w:cs="Arial" w:eastAsia="Arial" w:hAnsi="Arial"/>
          <w:sz w:val="21"/>
          <w:szCs w:val="21"/>
          <w:color w:val="auto"/>
        </w:rPr>
      </w:pPr>
      <w:r>
        <w:rPr>
          <w:rFonts w:ascii="Arial" w:cs="Arial" w:eastAsia="Arial" w:hAnsi="Arial"/>
          <w:sz w:val="21"/>
          <w:szCs w:val="21"/>
          <w:color w:val="auto"/>
        </w:rPr>
        <w:drawing>
          <wp:anchor simplePos="0" relativeHeight="251657728" behindDoc="1" locked="0" layoutInCell="0" allowOverlap="1">
            <wp:simplePos x="0" y="0"/>
            <wp:positionH relativeFrom="column">
              <wp:posOffset>0</wp:posOffset>
            </wp:positionH>
            <wp:positionV relativeFrom="paragraph">
              <wp:posOffset>184150</wp:posOffset>
            </wp:positionV>
            <wp:extent cx="471170" cy="158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471170" cy="15875"/>
                    </a:xfrm>
                    <a:prstGeom prst="rect">
                      <a:avLst/>
                    </a:prstGeom>
                    <a:noFill/>
                  </pic:spPr>
                </pic:pic>
              </a:graphicData>
            </a:graphic>
          </wp:anchor>
        </w:drawing>
      </w:r>
    </w:p>
    <w:p>
      <w:pPr>
        <w:spacing w:after="0" w:line="20" w:lineRule="exact"/>
        <w:rPr>
          <w:rFonts w:ascii="Arial" w:cs="Arial" w:eastAsia="Arial" w:hAnsi="Arial"/>
          <w:sz w:val="21"/>
          <w:szCs w:val="21"/>
          <w:color w:val="auto"/>
        </w:rPr>
      </w:pPr>
      <w:r>
        <w:rPr>
          <w:rFonts w:ascii="Arial" w:cs="Arial" w:eastAsia="Arial" w:hAnsi="Arial"/>
          <w:sz w:val="21"/>
          <w:szCs w:val="21"/>
          <w:color w:val="auto"/>
        </w:rPr>
        <w:br w:type="column"/>
      </w:r>
    </w:p>
    <w:p>
      <w:pPr>
        <w:spacing w:after="0" w:line="349" w:lineRule="exact"/>
        <w:rPr>
          <w:rFonts w:ascii="Arial" w:cs="Arial" w:eastAsia="Arial" w:hAnsi="Arial"/>
          <w:sz w:val="21"/>
          <w:szCs w:val="21"/>
          <w:color w:val="auto"/>
        </w:rPr>
      </w:pPr>
    </w:p>
    <w:p>
      <w:pPr>
        <w:jc w:val="both"/>
        <w:spacing w:after="0" w:line="279" w:lineRule="auto"/>
        <w:rPr>
          <w:rFonts w:ascii="Arial" w:cs="Arial" w:eastAsia="Arial" w:hAnsi="Arial"/>
          <w:sz w:val="16"/>
          <w:szCs w:val="16"/>
          <w:color w:val="auto"/>
        </w:rPr>
      </w:pPr>
      <w:r>
        <w:rPr>
          <w:rFonts w:ascii="Arial" w:cs="Arial" w:eastAsia="Arial" w:hAnsi="Arial"/>
          <w:sz w:val="16"/>
          <w:szCs w:val="16"/>
          <w:color w:val="auto"/>
        </w:rPr>
        <w:t>governance is especially relevant, since planning is inseparable from politics and power (</w:t>
      </w:r>
      <w:hyperlink w:anchor="page12">
        <w:r>
          <w:rPr>
            <w:rFonts w:ascii="Arial" w:cs="Arial" w:eastAsia="Arial" w:hAnsi="Arial"/>
            <w:sz w:val="16"/>
            <w:szCs w:val="16"/>
            <w:color w:val="206293"/>
          </w:rPr>
          <w:t>Lissandrello &amp; Grin, 2011</w:t>
        </w:r>
      </w:hyperlink>
      <w:r>
        <w:rPr>
          <w:rFonts w:ascii="Arial" w:cs="Arial" w:eastAsia="Arial" w:hAnsi="Arial"/>
          <w:sz w:val="16"/>
          <w:szCs w:val="16"/>
          <w:color w:val="auto"/>
        </w:rPr>
        <w:t xml:space="preserve">; </w:t>
      </w:r>
      <w:hyperlink w:anchor="page12">
        <w:r>
          <w:rPr>
            <w:rFonts w:ascii="Arial" w:cs="Arial" w:eastAsia="Arial" w:hAnsi="Arial"/>
            <w:sz w:val="16"/>
            <w:szCs w:val="16"/>
            <w:color w:val="206293"/>
          </w:rPr>
          <w:t>Nam &amp; Pardo, 2011</w:t>
        </w:r>
      </w:hyperlink>
      <w:r>
        <w:rPr>
          <w:rFonts w:ascii="Arial" w:cs="Arial" w:eastAsia="Arial" w:hAnsi="Arial"/>
          <w:sz w:val="16"/>
          <w:szCs w:val="16"/>
          <w:color w:val="auto"/>
        </w:rPr>
        <w:t>).</w:t>
      </w:r>
    </w:p>
    <w:p>
      <w:pPr>
        <w:spacing w:after="0" w:line="1" w:lineRule="exact"/>
        <w:rPr>
          <w:sz w:val="20"/>
          <w:szCs w:val="20"/>
          <w:color w:val="auto"/>
        </w:rPr>
      </w:pPr>
    </w:p>
    <w:p>
      <w:pPr>
        <w:jc w:val="both"/>
        <w:ind w:firstLine="250"/>
        <w:spacing w:after="0" w:line="283" w:lineRule="auto"/>
        <w:rPr>
          <w:rFonts w:ascii="Arial" w:cs="Arial" w:eastAsia="Arial" w:hAnsi="Arial"/>
          <w:sz w:val="16"/>
          <w:szCs w:val="16"/>
          <w:color w:val="000000"/>
        </w:rPr>
      </w:pPr>
      <w:r>
        <w:rPr>
          <w:rFonts w:ascii="Arial" w:cs="Arial" w:eastAsia="Arial" w:hAnsi="Arial"/>
          <w:sz w:val="16"/>
          <w:szCs w:val="16"/>
          <w:color w:val="auto"/>
        </w:rPr>
        <w:t>It is expected that planning support tools, as instruments attuned to analyzing and visualizing data, would frequently be used in planning. However, despite their availability there are issues preventing their widespread use and adoption (</w:t>
      </w:r>
      <w:r>
        <w:rPr>
          <w:rFonts w:ascii="Arial" w:cs="Arial" w:eastAsia="Arial" w:hAnsi="Arial"/>
          <w:sz w:val="16"/>
          <w:szCs w:val="16"/>
          <w:color w:val="206293"/>
        </w:rPr>
        <w:t>Geertman, 2017</w:t>
      </w:r>
      <w:r>
        <w:rPr>
          <w:rFonts w:ascii="Arial" w:cs="Arial" w:eastAsia="Arial" w:hAnsi="Arial"/>
          <w:sz w:val="16"/>
          <w:szCs w:val="16"/>
          <w:color w:val="auto"/>
        </w:rPr>
        <w:t xml:space="preserve">; </w:t>
      </w:r>
      <w:r>
        <w:rPr>
          <w:rFonts w:ascii="Arial" w:cs="Arial" w:eastAsia="Arial" w:hAnsi="Arial"/>
          <w:sz w:val="16"/>
          <w:szCs w:val="16"/>
          <w:color w:val="206293"/>
        </w:rPr>
        <w:t>Pettit et al., 2018</w:t>
      </w:r>
      <w:r>
        <w:rPr>
          <w:rFonts w:ascii="Arial" w:cs="Arial" w:eastAsia="Arial" w:hAnsi="Arial"/>
          <w:sz w:val="16"/>
          <w:szCs w:val="16"/>
          <w:color w:val="auto"/>
        </w:rPr>
        <w:t xml:space="preserve">; </w:t>
      </w:r>
      <w:r>
        <w:rPr>
          <w:rFonts w:ascii="Arial" w:cs="Arial" w:eastAsia="Arial" w:hAnsi="Arial"/>
          <w:sz w:val="16"/>
          <w:szCs w:val="16"/>
          <w:color w:val="206293"/>
        </w:rPr>
        <w:t>Russo, Lanzilotti, Costabile, &amp; Pettit, 2017</w:t>
      </w:r>
      <w:r>
        <w:rPr>
          <w:rFonts w:ascii="Arial" w:cs="Arial" w:eastAsia="Arial" w:hAnsi="Arial"/>
          <w:sz w:val="16"/>
          <w:szCs w:val="16"/>
          <w:color w:val="000000"/>
        </w:rPr>
        <w:t>;</w:t>
      </w:r>
      <w:r>
        <w:rPr>
          <w:rFonts w:ascii="Arial" w:cs="Arial" w:eastAsia="Arial" w:hAnsi="Arial"/>
          <w:sz w:val="16"/>
          <w:szCs w:val="16"/>
          <w:color w:val="206293"/>
        </w:rPr>
        <w:t xml:space="preserve"> Vonk, Geertman, &amp; Schot, </w:t>
      </w:r>
      <w:hyperlink w:anchor="page12">
        <w:r>
          <w:rPr>
            <w:rFonts w:ascii="Arial" w:cs="Arial" w:eastAsia="Arial" w:hAnsi="Arial"/>
            <w:sz w:val="16"/>
            <w:szCs w:val="16"/>
            <w:color w:val="206293"/>
          </w:rPr>
          <w:t>2005</w:t>
        </w:r>
      </w:hyperlink>
      <w:r>
        <w:rPr>
          <w:rFonts w:ascii="Arial" w:cs="Arial" w:eastAsia="Arial" w:hAnsi="Arial"/>
          <w:sz w:val="16"/>
          <w:szCs w:val="16"/>
          <w:color w:val="000000"/>
        </w:rPr>
        <w:t>). This results in an implementation gap, where an increasing</w:t>
      </w:r>
      <w:r>
        <w:rPr>
          <w:rFonts w:ascii="Arial" w:cs="Arial" w:eastAsia="Arial" w:hAnsi="Arial"/>
          <w:sz w:val="16"/>
          <w:szCs w:val="16"/>
          <w:color w:val="206293"/>
        </w:rPr>
        <w:t xml:space="preserve"> </w:t>
      </w:r>
      <w:r>
        <w:rPr>
          <w:rFonts w:ascii="Arial" w:cs="Arial" w:eastAsia="Arial" w:hAnsi="Arial"/>
          <w:sz w:val="16"/>
          <w:szCs w:val="16"/>
          <w:color w:val="000000"/>
        </w:rPr>
        <w:t>number of planning support systems (PSS) are being developed, without likewise being applied or implemented by planning practi-tioners. Research has focused on identifying, measuring, classifying and explaining the PSS implementation gap (</w:t>
      </w:r>
      <w:r>
        <w:rPr>
          <w:rFonts w:ascii="Arial" w:cs="Arial" w:eastAsia="Arial" w:hAnsi="Arial"/>
          <w:sz w:val="16"/>
          <w:szCs w:val="16"/>
          <w:color w:val="206293"/>
        </w:rPr>
        <w:t>Geertman, 2017</w:t>
      </w:r>
      <w:r>
        <w:rPr>
          <w:rFonts w:ascii="Arial" w:cs="Arial" w:eastAsia="Arial" w:hAnsi="Arial"/>
          <w:sz w:val="16"/>
          <w:szCs w:val="16"/>
          <w:color w:val="000000"/>
        </w:rPr>
        <w:t xml:space="preserve">). </w:t>
      </w:r>
      <w:hyperlink w:anchor="page12">
        <w:r>
          <w:rPr>
            <w:rFonts w:ascii="Arial" w:cs="Arial" w:eastAsia="Arial" w:hAnsi="Arial"/>
            <w:sz w:val="16"/>
            <w:szCs w:val="16"/>
            <w:color w:val="206293"/>
          </w:rPr>
          <w:t>Pelzer,</w:t>
        </w:r>
      </w:hyperlink>
      <w:r>
        <w:rPr>
          <w:rFonts w:ascii="Arial" w:cs="Arial" w:eastAsia="Arial" w:hAnsi="Arial"/>
          <w:sz w:val="16"/>
          <w:szCs w:val="16"/>
          <w:color w:val="000000"/>
        </w:rPr>
        <w:t xml:space="preserve"> </w:t>
      </w:r>
      <w:r>
        <w:rPr>
          <w:rFonts w:ascii="Arial" w:cs="Arial" w:eastAsia="Arial" w:hAnsi="Arial"/>
          <w:sz w:val="16"/>
          <w:szCs w:val="16"/>
          <w:color w:val="206293"/>
        </w:rPr>
        <w:t>Geertman, van der Heijden, and Rouwette (2014)</w:t>
      </w:r>
      <w:r>
        <w:rPr>
          <w:rFonts w:ascii="Arial" w:cs="Arial" w:eastAsia="Arial" w:hAnsi="Arial"/>
          <w:sz w:val="16"/>
          <w:szCs w:val="16"/>
          <w:color w:val="000000"/>
        </w:rPr>
        <w:t>, for example, as-sessed the usefulness of PSS in planning, which is the question of</w:t>
      </w:r>
    </w:p>
    <w:p>
      <w:pPr>
        <w:spacing w:after="0" w:line="200" w:lineRule="exact"/>
        <w:rPr>
          <w:sz w:val="20"/>
          <w:szCs w:val="20"/>
          <w:color w:val="auto"/>
        </w:rPr>
      </w:pPr>
    </w:p>
    <w:p>
      <w:pPr>
        <w:sectPr>
          <w:pgSz w:w="11900" w:h="15874" w:orient="portrait"/>
          <w:cols w:equalWidth="0" w:num="2">
            <w:col w:w="5028" w:space="360"/>
            <w:col w:w="5020"/>
          </w:cols>
          <w:pgMar w:left="752" w:top="656" w:right="746" w:bottom="238" w:gutter="0" w:footer="0" w:header="0"/>
          <w:type w:val="continuous"/>
        </w:sectPr>
      </w:pPr>
    </w:p>
    <w:p>
      <w:pPr>
        <w:spacing w:after="0" w:line="99" w:lineRule="exact"/>
        <w:rPr>
          <w:sz w:val="20"/>
          <w:szCs w:val="20"/>
          <w:color w:val="auto"/>
        </w:rPr>
      </w:pPr>
    </w:p>
    <w:p>
      <w:pPr>
        <w:ind w:left="228" w:right="3360" w:hanging="16"/>
        <w:spacing w:after="0" w:line="224" w:lineRule="exact"/>
        <w:rPr>
          <w:rFonts w:ascii="Arial" w:cs="Arial" w:eastAsia="Arial" w:hAnsi="Arial"/>
          <w:sz w:val="14"/>
          <w:szCs w:val="14"/>
          <w:i w:val="1"/>
          <w:iCs w:val="1"/>
          <w:color w:val="auto"/>
        </w:rPr>
      </w:pPr>
      <w:r>
        <w:rPr>
          <w:rFonts w:ascii="Arial" w:cs="Arial" w:eastAsia="Arial" w:hAnsi="Arial"/>
          <w:sz w:val="14"/>
          <w:szCs w:val="14"/>
          <w:color w:val="auto"/>
        </w:rPr>
        <w:t xml:space="preserve">Corresponding author at: Technische Universität Darmstadt, Dolivostraße 15, 64293 Darmstadt, Germany. </w:t>
      </w:r>
      <w:r>
        <w:rPr>
          <w:rFonts w:ascii="Arial" w:cs="Arial" w:eastAsia="Arial" w:hAnsi="Arial"/>
          <w:sz w:val="14"/>
          <w:szCs w:val="14"/>
          <w:i w:val="1"/>
          <w:iCs w:val="1"/>
          <w:color w:val="auto"/>
        </w:rPr>
        <w:t xml:space="preserve">E-mail address: </w:t>
      </w:r>
      <w:hyperlink r:id="rId21">
        <w:r>
          <w:rPr>
            <w:rFonts w:ascii="Arial" w:cs="Arial" w:eastAsia="Arial" w:hAnsi="Arial"/>
            <w:sz w:val="14"/>
            <w:szCs w:val="14"/>
            <w:color w:val="206293"/>
          </w:rPr>
          <w:t>e.p.punt@uu.nl</w:t>
        </w:r>
        <w:r>
          <w:rPr>
            <w:rFonts w:ascii="Arial" w:cs="Arial" w:eastAsia="Arial" w:hAnsi="Arial"/>
            <w:sz w:val="14"/>
            <w:szCs w:val="14"/>
            <w:i w:val="1"/>
            <w:iCs w:val="1"/>
            <w:color w:val="auto"/>
          </w:rPr>
          <w:t xml:space="preserve"> </w:t>
        </w:r>
      </w:hyperlink>
      <w:r>
        <w:rPr>
          <w:rFonts w:ascii="Arial" w:cs="Arial" w:eastAsia="Arial" w:hAnsi="Arial"/>
          <w:sz w:val="14"/>
          <w:szCs w:val="14"/>
          <w:color w:val="auto"/>
        </w:rPr>
        <w:t>(E.P.</w:t>
      </w:r>
      <w:r>
        <w:rPr>
          <w:rFonts w:ascii="Arial" w:cs="Arial" w:eastAsia="Arial" w:hAnsi="Arial"/>
          <w:sz w:val="14"/>
          <w:szCs w:val="14"/>
          <w:i w:val="1"/>
          <w:iCs w:val="1"/>
          <w:color w:val="auto"/>
        </w:rPr>
        <w:t xml:space="preserve"> </w:t>
      </w:r>
      <w:r>
        <w:rPr>
          <w:rFonts w:ascii="Arial" w:cs="Arial" w:eastAsia="Arial" w:hAnsi="Arial"/>
          <w:sz w:val="14"/>
          <w:szCs w:val="14"/>
          <w:color w:val="auto"/>
        </w:rPr>
        <w:t>Punt).</w:t>
      </w:r>
    </w:p>
    <w:p>
      <w:pPr>
        <w:spacing w:after="0" w:line="75" w:lineRule="exact"/>
        <w:rPr>
          <w:sz w:val="20"/>
          <w:szCs w:val="20"/>
          <w:color w:val="auto"/>
        </w:rPr>
      </w:pPr>
    </w:p>
    <w:p>
      <w:pPr>
        <w:ind w:left="8"/>
        <w:spacing w:after="0"/>
        <w:rPr>
          <w:rFonts w:ascii="Arial" w:cs="Arial" w:eastAsia="Arial" w:hAnsi="Arial"/>
          <w:sz w:val="14"/>
          <w:szCs w:val="14"/>
          <w:color w:val="206293"/>
        </w:rPr>
      </w:pPr>
      <w:hyperlink r:id="rId8">
        <w:r>
          <w:rPr>
            <w:rFonts w:ascii="Arial" w:cs="Arial" w:eastAsia="Arial" w:hAnsi="Arial"/>
            <w:sz w:val="14"/>
            <w:szCs w:val="14"/>
            <w:color w:val="206293"/>
          </w:rPr>
          <w:t>https://doi.org/10.1016/j.compenvurbsys.2020.101485</w:t>
        </w:r>
      </w:hyperlink>
    </w:p>
    <w:p>
      <w:pPr>
        <w:spacing w:after="0" w:line="41" w:lineRule="exact"/>
        <w:rPr>
          <w:sz w:val="20"/>
          <w:szCs w:val="20"/>
          <w:color w:val="auto"/>
        </w:rPr>
      </w:pPr>
    </w:p>
    <w:p>
      <w:pPr>
        <w:ind w:left="8"/>
        <w:spacing w:after="0"/>
        <w:rPr>
          <w:sz w:val="20"/>
          <w:szCs w:val="20"/>
          <w:color w:val="auto"/>
        </w:rPr>
      </w:pPr>
      <w:r>
        <w:rPr>
          <w:rFonts w:ascii="Arial" w:cs="Arial" w:eastAsia="Arial" w:hAnsi="Arial"/>
          <w:sz w:val="14"/>
          <w:szCs w:val="14"/>
          <w:color w:val="auto"/>
        </w:rPr>
        <w:t>Received 5 December 2019; Received in revised form 20 March 2020; Accepted 23 March 2020</w:t>
      </w:r>
    </w:p>
    <w:p>
      <w:pPr>
        <w:spacing w:after="0" w:line="17" w:lineRule="exact"/>
        <w:rPr>
          <w:sz w:val="20"/>
          <w:szCs w:val="20"/>
          <w:color w:val="auto"/>
        </w:rPr>
      </w:pPr>
    </w:p>
    <w:p>
      <w:pPr>
        <w:ind w:left="8"/>
        <w:spacing w:after="0"/>
        <w:rPr>
          <w:sz w:val="20"/>
          <w:szCs w:val="20"/>
          <w:color w:val="auto"/>
        </w:rPr>
      </w:pPr>
      <w:r>
        <w:rPr>
          <w:rFonts w:ascii="Arial" w:cs="Arial" w:eastAsia="Arial" w:hAnsi="Arial"/>
          <w:sz w:val="14"/>
          <w:szCs w:val="14"/>
          <w:color w:val="auto"/>
        </w:rPr>
        <w:t>Available online 11 April 2020</w:t>
      </w:r>
    </w:p>
    <w:p>
      <w:pPr>
        <w:spacing w:after="0" w:line="31" w:lineRule="exact"/>
        <w:rPr>
          <w:sz w:val="20"/>
          <w:szCs w:val="20"/>
          <w:color w:val="auto"/>
        </w:rPr>
      </w:pPr>
    </w:p>
    <w:p>
      <w:pPr>
        <w:ind w:left="8"/>
        <w:spacing w:after="0"/>
        <w:rPr>
          <w:sz w:val="20"/>
          <w:szCs w:val="20"/>
          <w:color w:val="auto"/>
        </w:rPr>
      </w:pPr>
      <w:r>
        <w:rPr>
          <w:rFonts w:ascii="Arial" w:cs="Arial" w:eastAsia="Arial" w:hAnsi="Arial"/>
          <w:sz w:val="14"/>
          <w:szCs w:val="14"/>
          <w:color w:val="auto"/>
        </w:rPr>
        <w:t>0198-9715/ © 2020 The Authors. Published by Elsevier Ltd. This is an open access article under the CC BY license</w:t>
      </w:r>
    </w:p>
    <w:p>
      <w:pPr>
        <w:spacing w:after="0" w:line="31" w:lineRule="exact"/>
        <w:rPr>
          <w:sz w:val="20"/>
          <w:szCs w:val="20"/>
          <w:color w:val="auto"/>
        </w:rPr>
      </w:pPr>
    </w:p>
    <w:p>
      <w:pPr>
        <w:ind w:left="8"/>
        <w:spacing w:after="0"/>
        <w:rPr>
          <w:sz w:val="20"/>
          <w:szCs w:val="20"/>
          <w:color w:val="auto"/>
        </w:rPr>
      </w:pPr>
      <w:r>
        <w:rPr>
          <w:rFonts w:ascii="Arial" w:cs="Arial" w:eastAsia="Arial" w:hAnsi="Arial"/>
          <w:sz w:val="14"/>
          <w:szCs w:val="14"/>
          <w:color w:val="auto"/>
        </w:rPr>
        <w:t>(http://creativecommons.org/licenses/BY/4.0/).</w:t>
      </w:r>
    </w:p>
    <w:p>
      <w:pPr>
        <w:sectPr>
          <w:pgSz w:w="11900" w:h="15874" w:orient="portrait"/>
          <w:cols w:equalWidth="0" w:num="1">
            <w:col w:w="10408"/>
          </w:cols>
          <w:pgMar w:left="752" w:top="656" w:right="746" w:bottom="238" w:gutter="0" w:footer="0" w:header="0"/>
          <w:type w:val="continuous"/>
        </w:sectPr>
      </w:pPr>
    </w:p>
    <w:bookmarkStart w:id="1" w:name="page2"/>
    <w:bookmarkEnd w:id="1"/>
    <w:p>
      <w:pPr>
        <w:spacing w:after="0" w:line="2" w:lineRule="exact"/>
        <w:rPr>
          <w:sz w:val="20"/>
          <w:szCs w:val="20"/>
          <w:color w:val="auto"/>
        </w:rPr>
      </w:pPr>
    </w:p>
    <w:p>
      <w:pPr>
        <w:spacing w:after="0"/>
        <w:rPr>
          <w:sz w:val="20"/>
          <w:szCs w:val="20"/>
          <w:color w:val="auto"/>
        </w:rPr>
      </w:pPr>
      <w:r>
        <w:rPr>
          <w:rFonts w:ascii="Arial" w:cs="Arial" w:eastAsia="Arial" w:hAnsi="Arial"/>
          <w:sz w:val="13"/>
          <w:szCs w:val="13"/>
          <w:i w:val="1"/>
          <w:iCs w:val="1"/>
          <w:color w:val="auto"/>
        </w:rPr>
        <w:t>E.P. Punt, et al.</w:t>
      </w:r>
    </w:p>
    <w:p>
      <w:pPr>
        <w:spacing w:after="0" w:line="274" w:lineRule="exact"/>
        <w:rPr>
          <w:sz w:val="20"/>
          <w:szCs w:val="20"/>
          <w:color w:val="auto"/>
        </w:rPr>
      </w:pPr>
    </w:p>
    <w:p>
      <w:pPr>
        <w:jc w:val="both"/>
        <w:spacing w:after="0" w:line="273" w:lineRule="auto"/>
        <w:rPr>
          <w:rFonts w:ascii="Arial" w:cs="Arial" w:eastAsia="Arial" w:hAnsi="Arial"/>
          <w:sz w:val="16"/>
          <w:szCs w:val="16"/>
          <w:color w:val="auto"/>
        </w:rPr>
      </w:pPr>
      <w:r>
        <w:rPr>
          <w:rFonts w:ascii="Arial" w:cs="Arial" w:eastAsia="Arial" w:hAnsi="Arial"/>
          <w:sz w:val="16"/>
          <w:szCs w:val="16"/>
          <w:color w:val="auto"/>
        </w:rPr>
        <w:t xml:space="preserve">whether a system can achieve its desired goals. There are different kinds of usefulness of PSS, including learning about objects and opi-nions of other participants, collaboration, efficiency and better-in-formed plans. Bottlenecks and potentials for PSS implementation have also been identified (e.g. </w:t>
      </w:r>
      <w:r>
        <w:rPr>
          <w:rFonts w:ascii="Arial" w:cs="Arial" w:eastAsia="Arial" w:hAnsi="Arial"/>
          <w:sz w:val="16"/>
          <w:szCs w:val="16"/>
          <w:color w:val="206293"/>
        </w:rPr>
        <w:t>Geertman, 2017</w:t>
      </w:r>
      <w:r>
        <w:rPr>
          <w:rFonts w:ascii="Arial" w:cs="Arial" w:eastAsia="Arial" w:hAnsi="Arial"/>
          <w:sz w:val="16"/>
          <w:szCs w:val="16"/>
          <w:color w:val="auto"/>
        </w:rPr>
        <w:t xml:space="preserve">; </w:t>
      </w:r>
      <w:r>
        <w:rPr>
          <w:rFonts w:ascii="Arial" w:cs="Arial" w:eastAsia="Arial" w:hAnsi="Arial"/>
          <w:sz w:val="16"/>
          <w:szCs w:val="16"/>
          <w:color w:val="206293"/>
        </w:rPr>
        <w:t>Russo et al., 2017</w:t>
      </w:r>
      <w:r>
        <w:rPr>
          <w:rFonts w:ascii="Arial" w:cs="Arial" w:eastAsia="Arial" w:hAnsi="Arial"/>
          <w:sz w:val="16"/>
          <w:szCs w:val="16"/>
          <w:color w:val="auto"/>
        </w:rPr>
        <w:t xml:space="preserve">; </w:t>
      </w:r>
      <w:hyperlink w:anchor="page12">
        <w:r>
          <w:rPr>
            <w:rFonts w:ascii="Arial" w:cs="Arial" w:eastAsia="Arial" w:hAnsi="Arial"/>
            <w:sz w:val="16"/>
            <w:szCs w:val="16"/>
            <w:color w:val="206293"/>
          </w:rPr>
          <w:t>Russo,</w:t>
        </w:r>
      </w:hyperlink>
      <w:r>
        <w:rPr>
          <w:rFonts w:ascii="Arial" w:cs="Arial" w:eastAsia="Arial" w:hAnsi="Arial"/>
          <w:sz w:val="16"/>
          <w:szCs w:val="16"/>
          <w:color w:val="auto"/>
        </w:rPr>
        <w:t xml:space="preserve"> </w:t>
      </w:r>
      <w:r>
        <w:rPr>
          <w:rFonts w:ascii="Arial" w:cs="Arial" w:eastAsia="Arial" w:hAnsi="Arial"/>
          <w:sz w:val="16"/>
          <w:szCs w:val="16"/>
          <w:color w:val="206293"/>
        </w:rPr>
        <w:t>Lanzilotti, Costabile, &amp; Pettit, 2018</w:t>
      </w:r>
      <w:r>
        <w:rPr>
          <w:rFonts w:ascii="Arial" w:cs="Arial" w:eastAsia="Arial" w:hAnsi="Arial"/>
          <w:sz w:val="16"/>
          <w:szCs w:val="16"/>
          <w:color w:val="000000"/>
        </w:rPr>
        <w:t>;</w:t>
      </w:r>
      <w:r>
        <w:rPr>
          <w:rFonts w:ascii="Arial" w:cs="Arial" w:eastAsia="Arial" w:hAnsi="Arial"/>
          <w:sz w:val="16"/>
          <w:szCs w:val="16"/>
          <w:color w:val="206293"/>
        </w:rPr>
        <w:t xml:space="preserve"> Vonk et al., 2005</w:t>
      </w:r>
      <w:r>
        <w:rPr>
          <w:rFonts w:ascii="Arial" w:cs="Arial" w:eastAsia="Arial" w:hAnsi="Arial"/>
          <w:sz w:val="16"/>
          <w:szCs w:val="16"/>
          <w:color w:val="000000"/>
        </w:rPr>
        <w:t>). Since research</w:t>
      </w:r>
      <w:r>
        <w:rPr>
          <w:rFonts w:ascii="Arial" w:cs="Arial" w:eastAsia="Arial" w:hAnsi="Arial"/>
          <w:sz w:val="16"/>
          <w:szCs w:val="16"/>
          <w:color w:val="206293"/>
        </w:rPr>
        <w:t xml:space="preserve"> </w:t>
      </w:r>
      <w:r>
        <w:rPr>
          <w:rFonts w:ascii="Arial" w:cs="Arial" w:eastAsia="Arial" w:hAnsi="Arial"/>
          <w:sz w:val="16"/>
          <w:szCs w:val="16"/>
          <w:color w:val="000000"/>
        </w:rPr>
        <w:t xml:space="preserve">surrounding the explanation and identification of this gap is reaching a saturation point, </w:t>
      </w:r>
      <w:r>
        <w:rPr>
          <w:rFonts w:ascii="Arial" w:cs="Arial" w:eastAsia="Arial" w:hAnsi="Arial"/>
          <w:sz w:val="16"/>
          <w:szCs w:val="16"/>
          <w:color w:val="206293"/>
        </w:rPr>
        <w:t>Geertman (2017)</w:t>
      </w:r>
      <w:r>
        <w:rPr>
          <w:rFonts w:ascii="Arial" w:cs="Arial" w:eastAsia="Arial" w:hAnsi="Arial"/>
          <w:sz w:val="16"/>
          <w:szCs w:val="16"/>
          <w:color w:val="000000"/>
        </w:rPr>
        <w:t xml:space="preserve"> suggests that we should move away from defining and explaining the PSS implementation gap and instead focus on successful applications. This yields insights into how the gap can be bridged and how PSS tools can be embedded fully into the planning process.</w:t>
      </w:r>
    </w:p>
    <w:p>
      <w:pPr>
        <w:spacing w:after="0" w:line="9" w:lineRule="exact"/>
        <w:rPr>
          <w:sz w:val="20"/>
          <w:szCs w:val="20"/>
          <w:color w:val="auto"/>
        </w:rPr>
      </w:pPr>
    </w:p>
    <w:p>
      <w:pPr>
        <w:jc w:val="both"/>
        <w:ind w:firstLine="249"/>
        <w:spacing w:after="0" w:line="291" w:lineRule="auto"/>
        <w:rPr>
          <w:rFonts w:ascii="Arial" w:cs="Arial" w:eastAsia="Arial" w:hAnsi="Arial"/>
          <w:sz w:val="15"/>
          <w:szCs w:val="15"/>
          <w:color w:val="206293"/>
        </w:rPr>
      </w:pPr>
      <w:r>
        <w:rPr>
          <w:rFonts w:ascii="Arial" w:cs="Arial" w:eastAsia="Arial" w:hAnsi="Arial"/>
          <w:sz w:val="15"/>
          <w:szCs w:val="15"/>
          <w:color w:val="auto"/>
        </w:rPr>
        <w:t>The City Analytics Lab (CAL) at the University of New South Wales in Sydney supports the planning and design of future cities. CAL's aim is to enhance information-sharing amongst planning agencies and to support an interdisciplinary approach to decision-making (</w:t>
      </w:r>
      <w:hyperlink w:anchor="page12">
        <w:r>
          <w:rPr>
            <w:rFonts w:ascii="Arial" w:cs="Arial" w:eastAsia="Arial" w:hAnsi="Arial"/>
            <w:sz w:val="15"/>
            <w:szCs w:val="15"/>
            <w:color w:val="206293"/>
          </w:rPr>
          <w:t>Millman,</w:t>
        </w:r>
      </w:hyperlink>
      <w:r>
        <w:rPr>
          <w:rFonts w:ascii="Arial" w:cs="Arial" w:eastAsia="Arial" w:hAnsi="Arial"/>
          <w:sz w:val="15"/>
          <w:szCs w:val="15"/>
          <w:color w:val="auto"/>
        </w:rPr>
        <w:t xml:space="preserve"> </w:t>
      </w:r>
      <w:hyperlink w:anchor="page12">
        <w:r>
          <w:rPr>
            <w:rFonts w:ascii="Arial" w:cs="Arial" w:eastAsia="Arial" w:hAnsi="Arial"/>
            <w:sz w:val="15"/>
            <w:szCs w:val="15"/>
            <w:color w:val="206293"/>
          </w:rPr>
          <w:t>2018</w:t>
        </w:r>
      </w:hyperlink>
      <w:r>
        <w:rPr>
          <w:rFonts w:ascii="Arial" w:cs="Arial" w:eastAsia="Arial" w:hAnsi="Arial"/>
          <w:sz w:val="15"/>
          <w:szCs w:val="15"/>
          <w:color w:val="000000"/>
        </w:rPr>
        <w:t>). CAL harbors a number of planning support tools designed to</w:t>
      </w:r>
      <w:r>
        <w:rPr>
          <w:rFonts w:ascii="Arial" w:cs="Arial" w:eastAsia="Arial" w:hAnsi="Arial"/>
          <w:sz w:val="15"/>
          <w:szCs w:val="15"/>
          <w:color w:val="206293"/>
        </w:rPr>
        <w:t xml:space="preserve"> </w:t>
      </w:r>
      <w:r>
        <w:rPr>
          <w:rFonts w:ascii="Arial" w:cs="Arial" w:eastAsia="Arial" w:hAnsi="Arial"/>
          <w:sz w:val="15"/>
          <w:szCs w:val="15"/>
          <w:color w:val="000000"/>
        </w:rPr>
        <w:t xml:space="preserve">support smart planning. </w:t>
      </w:r>
      <w:r>
        <w:rPr>
          <w:rFonts w:ascii="Arial" w:cs="Arial" w:eastAsia="Arial" w:hAnsi="Arial"/>
          <w:sz w:val="15"/>
          <w:szCs w:val="15"/>
          <w:i w:val="1"/>
          <w:iCs w:val="1"/>
          <w:color w:val="000000"/>
        </w:rPr>
        <w:t>Smart planning</w:t>
      </w:r>
      <w:r>
        <w:rPr>
          <w:rFonts w:ascii="Arial" w:cs="Arial" w:eastAsia="Arial" w:hAnsi="Arial"/>
          <w:sz w:val="15"/>
          <w:szCs w:val="15"/>
          <w:color w:val="000000"/>
        </w:rPr>
        <w:t xml:space="preserve"> is defined as planning activities enriched through digital technologies including data, models and vi-sualizations (</w:t>
      </w:r>
      <w:r>
        <w:rPr>
          <w:rFonts w:ascii="Arial" w:cs="Arial" w:eastAsia="Arial" w:hAnsi="Arial"/>
          <w:sz w:val="15"/>
          <w:szCs w:val="15"/>
          <w:color w:val="206293"/>
        </w:rPr>
        <w:t>Stratigea, Papadopoulou, &amp; Panagiotopoulou, 2015</w:t>
      </w:r>
      <w:r>
        <w:rPr>
          <w:rFonts w:ascii="Arial" w:cs="Arial" w:eastAsia="Arial" w:hAnsi="Arial"/>
          <w:sz w:val="15"/>
          <w:szCs w:val="15"/>
          <w:color w:val="000000"/>
        </w:rPr>
        <w:t>). In our view, smart planning includes both increased support of planning processes and outcomes through technology usage (i.e. ‘technology-to-people’) as well as increased interaction between stakeholders them-selves (i.e. ‘people-to-people’). In this study we held workshops with planning practitioners at CAL to assess the lab's usefulness for smart planning and determine the lab's contribution in bridging the PSS im-plementation gap. Therefore, this study has two aims: 2a) determine how CAL can yield the promise of smart planning; and b) analyze how the lab can contribute to close the PSS implementation gap.</w:t>
      </w:r>
    </w:p>
    <w:p>
      <w:pPr>
        <w:jc w:val="both"/>
        <w:ind w:firstLine="249"/>
        <w:spacing w:after="0" w:line="292" w:lineRule="auto"/>
        <w:rPr>
          <w:sz w:val="20"/>
          <w:szCs w:val="20"/>
          <w:color w:val="auto"/>
        </w:rPr>
      </w:pPr>
      <w:r>
        <w:rPr>
          <w:rFonts w:ascii="Arial" w:cs="Arial" w:eastAsia="Arial" w:hAnsi="Arial"/>
          <w:sz w:val="16"/>
          <w:szCs w:val="16"/>
          <w:color w:val="206293"/>
        </w:rPr>
        <w:t xml:space="preserve">Section 2 </w:t>
      </w:r>
      <w:r>
        <w:rPr>
          <w:rFonts w:ascii="Arial" w:cs="Arial" w:eastAsia="Arial" w:hAnsi="Arial"/>
          <w:sz w:val="16"/>
          <w:szCs w:val="16"/>
          <w:color w:val="000000"/>
        </w:rPr>
        <w:t>reviews literature around the PSS implementation gap. In</w:t>
      </w:r>
      <w:r>
        <w:rPr>
          <w:rFonts w:ascii="Arial" w:cs="Arial" w:eastAsia="Arial" w:hAnsi="Arial"/>
          <w:sz w:val="16"/>
          <w:szCs w:val="16"/>
          <w:color w:val="206293"/>
        </w:rPr>
        <w:t xml:space="preserve"> Section 3 </w:t>
      </w:r>
      <w:r>
        <w:rPr>
          <w:rFonts w:ascii="Arial" w:cs="Arial" w:eastAsia="Arial" w:hAnsi="Arial"/>
          <w:sz w:val="16"/>
          <w:szCs w:val="16"/>
          <w:color w:val="000000"/>
        </w:rPr>
        <w:t>the chosen methodology is explained. In</w:t>
      </w:r>
      <w:r>
        <w:rPr>
          <w:rFonts w:ascii="Arial" w:cs="Arial" w:eastAsia="Arial" w:hAnsi="Arial"/>
          <w:sz w:val="16"/>
          <w:szCs w:val="16"/>
          <w:color w:val="206293"/>
        </w:rPr>
        <w:t xml:space="preserve"> Section 4 </w:t>
      </w:r>
      <w:r>
        <w:rPr>
          <w:rFonts w:ascii="Arial" w:cs="Arial" w:eastAsia="Arial" w:hAnsi="Arial"/>
          <w:sz w:val="16"/>
          <w:szCs w:val="16"/>
          <w:color w:val="000000"/>
        </w:rPr>
        <w:t xml:space="preserve">we de-termine how the usefulness of CAL together with contextual factors influence the implementation of CAL as a planning support theater and how this can ultimately yield the promise of smart planning. To con-clude suggestions for future research on this topic are presented in </w:t>
      </w:r>
      <w:r>
        <w:rPr>
          <w:rFonts w:ascii="Arial" w:cs="Arial" w:eastAsia="Arial" w:hAnsi="Arial"/>
          <w:sz w:val="16"/>
          <w:szCs w:val="16"/>
          <w:color w:val="206293"/>
        </w:rPr>
        <w:t>Section 5</w:t>
      </w:r>
      <w:r>
        <w:rPr>
          <w:rFonts w:ascii="Arial" w:cs="Arial" w:eastAsia="Arial" w:hAnsi="Arial"/>
          <w:sz w:val="16"/>
          <w:szCs w:val="16"/>
          <w:color w:val="000000"/>
        </w:rPr>
        <w:t>.</w:t>
      </w:r>
    </w:p>
    <w:p>
      <w:pPr>
        <w:spacing w:after="0" w:line="98"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2. Literature review</w:t>
      </w:r>
    </w:p>
    <w:p>
      <w:pPr>
        <w:spacing w:after="0" w:line="234"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2.1. Planning support science and the implementation gap</w:t>
      </w:r>
    </w:p>
    <w:p>
      <w:pPr>
        <w:spacing w:after="0" w:line="234" w:lineRule="exact"/>
        <w:rPr>
          <w:sz w:val="20"/>
          <w:szCs w:val="20"/>
          <w:color w:val="auto"/>
        </w:rPr>
      </w:pPr>
    </w:p>
    <w:p>
      <w:pPr>
        <w:jc w:val="both"/>
        <w:ind w:firstLine="249"/>
        <w:spacing w:after="0" w:line="273" w:lineRule="auto"/>
        <w:rPr>
          <w:rFonts w:ascii="Arial" w:cs="Arial" w:eastAsia="Arial" w:hAnsi="Arial"/>
          <w:sz w:val="16"/>
          <w:szCs w:val="16"/>
          <w:color w:val="206293"/>
        </w:rPr>
      </w:pPr>
      <w:r>
        <w:rPr>
          <w:rFonts w:ascii="Arial" w:cs="Arial" w:eastAsia="Arial" w:hAnsi="Arial"/>
          <w:sz w:val="16"/>
          <w:szCs w:val="16"/>
          <w:color w:val="auto"/>
        </w:rPr>
        <w:t>Planning support science has emerged as a way to develop and improve digital planning tools (</w:t>
      </w:r>
      <w:r>
        <w:rPr>
          <w:rFonts w:ascii="Arial" w:cs="Arial" w:eastAsia="Arial" w:hAnsi="Arial"/>
          <w:sz w:val="16"/>
          <w:szCs w:val="16"/>
          <w:color w:val="206293"/>
        </w:rPr>
        <w:t>Geertman, 2017</w:t>
      </w:r>
      <w:r>
        <w:rPr>
          <w:rFonts w:ascii="Arial" w:cs="Arial" w:eastAsia="Arial" w:hAnsi="Arial"/>
          <w:sz w:val="16"/>
          <w:szCs w:val="16"/>
          <w:color w:val="auto"/>
        </w:rPr>
        <w:t xml:space="preserve">). It supports planning in navigating big data and increased participation in planning processes (e.g. </w:t>
      </w:r>
      <w:r>
        <w:rPr>
          <w:rFonts w:ascii="Arial" w:cs="Arial" w:eastAsia="Arial" w:hAnsi="Arial"/>
          <w:sz w:val="16"/>
          <w:szCs w:val="16"/>
          <w:color w:val="206293"/>
        </w:rPr>
        <w:t>Champlin, te Brömmelstroet, &amp; Pelzer, 2019</w:t>
      </w:r>
      <w:r>
        <w:rPr>
          <w:rFonts w:ascii="Arial" w:cs="Arial" w:eastAsia="Arial" w:hAnsi="Arial"/>
          <w:sz w:val="16"/>
          <w:szCs w:val="16"/>
          <w:color w:val="auto"/>
        </w:rPr>
        <w:t xml:space="preserve">; </w:t>
      </w:r>
      <w:r>
        <w:rPr>
          <w:rFonts w:ascii="Arial" w:cs="Arial" w:eastAsia="Arial" w:hAnsi="Arial"/>
          <w:sz w:val="16"/>
          <w:szCs w:val="16"/>
          <w:color w:val="206293"/>
        </w:rPr>
        <w:t>Pettit et al., 2018</w:t>
      </w:r>
      <w:r>
        <w:rPr>
          <w:rFonts w:ascii="Arial" w:cs="Arial" w:eastAsia="Arial" w:hAnsi="Arial"/>
          <w:sz w:val="16"/>
          <w:szCs w:val="16"/>
          <w:color w:val="auto"/>
        </w:rPr>
        <w:t xml:space="preserve">; </w:t>
      </w:r>
      <w:r>
        <w:rPr>
          <w:rFonts w:ascii="Arial" w:cs="Arial" w:eastAsia="Arial" w:hAnsi="Arial"/>
          <w:sz w:val="16"/>
          <w:szCs w:val="16"/>
          <w:color w:val="206293"/>
        </w:rPr>
        <w:t>Witte, Punt, &amp; Geertman, 2020</w:t>
      </w:r>
      <w:r>
        <w:rPr>
          <w:rFonts w:ascii="Arial" w:cs="Arial" w:eastAsia="Arial" w:hAnsi="Arial"/>
          <w:sz w:val="16"/>
          <w:szCs w:val="16"/>
          <w:color w:val="000000"/>
        </w:rPr>
        <w:t>). PSS are particularly suited to deal with</w:t>
      </w:r>
      <w:r>
        <w:rPr>
          <w:rFonts w:ascii="Arial" w:cs="Arial" w:eastAsia="Arial" w:hAnsi="Arial"/>
          <w:sz w:val="16"/>
          <w:szCs w:val="16"/>
          <w:color w:val="206293"/>
        </w:rPr>
        <w:t xml:space="preserve"> </w:t>
      </w:r>
      <w:r>
        <w:rPr>
          <w:rFonts w:ascii="Arial" w:cs="Arial" w:eastAsia="Arial" w:hAnsi="Arial"/>
          <w:sz w:val="16"/>
          <w:szCs w:val="16"/>
          <w:color w:val="000000"/>
        </w:rPr>
        <w:t>challenges of smart planning. They are geoinformation-technology-based instruments that incorporate a suite of components, which col-lectively support all or some part of unique professional planning tasks (</w:t>
      </w:r>
      <w:r>
        <w:rPr>
          <w:rFonts w:ascii="Arial" w:cs="Arial" w:eastAsia="Arial" w:hAnsi="Arial"/>
          <w:sz w:val="16"/>
          <w:szCs w:val="16"/>
          <w:color w:val="206293"/>
        </w:rPr>
        <w:t>Geertman, 2006</w:t>
      </w:r>
      <w:r>
        <w:rPr>
          <w:rFonts w:ascii="Arial" w:cs="Arial" w:eastAsia="Arial" w:hAnsi="Arial"/>
          <w:sz w:val="16"/>
          <w:szCs w:val="16"/>
          <w:color w:val="000000"/>
        </w:rPr>
        <w:t xml:space="preserve">). The role of PSS tools in planning has been examined: </w:t>
      </w:r>
      <w:r>
        <w:rPr>
          <w:rFonts w:ascii="Arial" w:cs="Arial" w:eastAsia="Arial" w:hAnsi="Arial"/>
          <w:sz w:val="16"/>
          <w:szCs w:val="16"/>
          <w:color w:val="206293"/>
        </w:rPr>
        <w:t xml:space="preserve">Silva, Bertolini, te Brömmelstroet, Milakis, and Papa (2017) </w:t>
      </w:r>
      <w:r>
        <w:rPr>
          <w:rFonts w:ascii="Arial" w:cs="Arial" w:eastAsia="Arial" w:hAnsi="Arial"/>
          <w:sz w:val="16"/>
          <w:szCs w:val="16"/>
          <w:color w:val="000000"/>
        </w:rPr>
        <w:t>studied the</w:t>
      </w:r>
      <w:r>
        <w:rPr>
          <w:rFonts w:ascii="Arial" w:cs="Arial" w:eastAsia="Arial" w:hAnsi="Arial"/>
          <w:sz w:val="16"/>
          <w:szCs w:val="16"/>
          <w:color w:val="206293"/>
        </w:rPr>
        <w:t xml:space="preserve"> </w:t>
      </w:r>
      <w:r>
        <w:rPr>
          <w:rFonts w:ascii="Arial" w:cs="Arial" w:eastAsia="Arial" w:hAnsi="Arial"/>
          <w:sz w:val="16"/>
          <w:szCs w:val="16"/>
          <w:color w:val="000000"/>
        </w:rPr>
        <w:t xml:space="preserve">implementation of accessibility instruments in planning; </w:t>
      </w:r>
      <w:hyperlink w:anchor="page12">
        <w:r>
          <w:rPr>
            <w:rFonts w:ascii="Arial" w:cs="Arial" w:eastAsia="Arial" w:hAnsi="Arial"/>
            <w:sz w:val="16"/>
            <w:szCs w:val="16"/>
            <w:color w:val="206293"/>
          </w:rPr>
          <w:t>te</w:t>
        </w:r>
      </w:hyperlink>
      <w:r>
        <w:rPr>
          <w:rFonts w:ascii="Arial" w:cs="Arial" w:eastAsia="Arial" w:hAnsi="Arial"/>
          <w:sz w:val="16"/>
          <w:szCs w:val="16"/>
          <w:color w:val="000000"/>
        </w:rPr>
        <w:t xml:space="preserve"> </w:t>
      </w:r>
      <w:r>
        <w:rPr>
          <w:rFonts w:ascii="Arial" w:cs="Arial" w:eastAsia="Arial" w:hAnsi="Arial"/>
          <w:sz w:val="16"/>
          <w:szCs w:val="16"/>
          <w:color w:val="206293"/>
        </w:rPr>
        <w:t xml:space="preserve">Brömmelstroet (2017) </w:t>
      </w:r>
      <w:r>
        <w:rPr>
          <w:rFonts w:ascii="Arial" w:cs="Arial" w:eastAsia="Arial" w:hAnsi="Arial"/>
          <w:sz w:val="16"/>
          <w:szCs w:val="16"/>
          <w:color w:val="000000"/>
        </w:rPr>
        <w:t xml:space="preserve">performed five experiments to measure the user-friendliness and usefulness indicators of different PSS tools and ex-plored the relations between the two concepts; and </w:t>
      </w:r>
      <w:r>
        <w:rPr>
          <w:rFonts w:ascii="Arial" w:cs="Arial" w:eastAsia="Arial" w:hAnsi="Arial"/>
          <w:sz w:val="16"/>
          <w:szCs w:val="16"/>
          <w:color w:val="206293"/>
        </w:rPr>
        <w:t>Russo et al. (2017,</w:t>
      </w:r>
      <w:r>
        <w:rPr>
          <w:rFonts w:ascii="Arial" w:cs="Arial" w:eastAsia="Arial" w:hAnsi="Arial"/>
          <w:sz w:val="16"/>
          <w:szCs w:val="16"/>
          <w:color w:val="000000"/>
        </w:rPr>
        <w:t xml:space="preserve"> </w:t>
      </w:r>
      <w:hyperlink w:anchor="page12">
        <w:r>
          <w:rPr>
            <w:rFonts w:ascii="Arial" w:cs="Arial" w:eastAsia="Arial" w:hAnsi="Arial"/>
            <w:sz w:val="16"/>
            <w:szCs w:val="16"/>
            <w:color w:val="206293"/>
          </w:rPr>
          <w:t xml:space="preserve">2018) </w:t>
        </w:r>
      </w:hyperlink>
      <w:r>
        <w:rPr>
          <w:rFonts w:ascii="Arial" w:cs="Arial" w:eastAsia="Arial" w:hAnsi="Arial"/>
          <w:sz w:val="16"/>
          <w:szCs w:val="16"/>
          <w:color w:val="000000"/>
        </w:rPr>
        <w:t>evaluated</w:t>
      </w:r>
      <w:r>
        <w:rPr>
          <w:rFonts w:ascii="Arial" w:cs="Arial" w:eastAsia="Arial" w:hAnsi="Arial"/>
          <w:sz w:val="16"/>
          <w:szCs w:val="16"/>
          <w:color w:val="206293"/>
        </w:rPr>
        <w:t xml:space="preserve"> </w:t>
      </w:r>
      <w:r>
        <w:rPr>
          <w:rFonts w:ascii="Arial" w:cs="Arial" w:eastAsia="Arial" w:hAnsi="Arial"/>
          <w:sz w:val="16"/>
          <w:szCs w:val="16"/>
          <w:color w:val="000000"/>
        </w:rPr>
        <w:t>the level of PSS implementation into planning practice</w:t>
      </w:r>
      <w:r>
        <w:rPr>
          <w:rFonts w:ascii="Arial" w:cs="Arial" w:eastAsia="Arial" w:hAnsi="Arial"/>
          <w:sz w:val="16"/>
          <w:szCs w:val="16"/>
          <w:color w:val="206293"/>
        </w:rPr>
        <w:t xml:space="preserve"> </w:t>
      </w:r>
      <w:r>
        <w:rPr>
          <w:rFonts w:ascii="Arial" w:cs="Arial" w:eastAsia="Arial" w:hAnsi="Arial"/>
          <w:sz w:val="16"/>
          <w:szCs w:val="16"/>
          <w:color w:val="000000"/>
        </w:rPr>
        <w:t>in Australia, Italy and Switzerland.</w:t>
      </w:r>
    </w:p>
    <w:p>
      <w:pPr>
        <w:spacing w:after="0" w:line="9" w:lineRule="exact"/>
        <w:rPr>
          <w:sz w:val="20"/>
          <w:szCs w:val="20"/>
          <w:color w:val="auto"/>
        </w:rPr>
      </w:pPr>
    </w:p>
    <w:p>
      <w:pPr>
        <w:jc w:val="both"/>
        <w:ind w:firstLine="249"/>
        <w:spacing w:after="0" w:line="308" w:lineRule="auto"/>
        <w:rPr>
          <w:sz w:val="20"/>
          <w:szCs w:val="20"/>
          <w:color w:val="auto"/>
        </w:rPr>
      </w:pPr>
      <w:r>
        <w:rPr>
          <w:rFonts w:ascii="Arial" w:cs="Arial" w:eastAsia="Arial" w:hAnsi="Arial"/>
          <w:sz w:val="15"/>
          <w:szCs w:val="15"/>
          <w:color w:val="auto"/>
        </w:rPr>
        <w:t xml:space="preserve">Generally, it can be deduced that PSS are technological develop-ments that are valuable to smart planning. Despite their availability and benefits, issues prevent the use and adoption of PSS. </w:t>
      </w:r>
      <w:r>
        <w:rPr>
          <w:rFonts w:ascii="Arial" w:cs="Arial" w:eastAsia="Arial" w:hAnsi="Arial"/>
          <w:sz w:val="15"/>
          <w:szCs w:val="15"/>
          <w:color w:val="206293"/>
        </w:rPr>
        <w:t>Geertman (2017)</w:t>
      </w:r>
      <w:r>
        <w:rPr>
          <w:rFonts w:ascii="Arial" w:cs="Arial" w:eastAsia="Arial" w:hAnsi="Arial"/>
          <w:sz w:val="15"/>
          <w:szCs w:val="15"/>
          <w:color w:val="auto"/>
        </w:rPr>
        <w:t xml:space="preserve"> referred to this as the “PSS implementation gap”, which is a discrepancy between supply and demand. The market is providing a growing number and diversity of potentially valuable PSS tools, but the intended customers are hesitant to buy, implement or apply them. Research has analyzed this PSS implementation gap. </w:t>
      </w:r>
      <w:r>
        <w:rPr>
          <w:rFonts w:ascii="Arial" w:cs="Arial" w:eastAsia="Arial" w:hAnsi="Arial"/>
          <w:sz w:val="15"/>
          <w:szCs w:val="15"/>
          <w:color w:val="206293"/>
        </w:rPr>
        <w:t>Vonk et al. (2005)</w:t>
      </w:r>
      <w:r>
        <w:rPr>
          <w:rFonts w:ascii="Arial" w:cs="Arial" w:eastAsia="Arial" w:hAnsi="Arial"/>
          <w:sz w:val="15"/>
          <w:szCs w:val="15"/>
          <w:color w:val="auto"/>
        </w:rPr>
        <w:t xml:space="preserve"> distinguished three types of bottlenecks; human, technological, and institutional.</w:t>
      </w:r>
    </w:p>
    <w:p>
      <w:pPr>
        <w:spacing w:after="0" w:line="20" w:lineRule="exact"/>
        <w:rPr>
          <w:sz w:val="20"/>
          <w:szCs w:val="20"/>
          <w:color w:val="auto"/>
        </w:rPr>
      </w:pPr>
      <w:r>
        <w:rPr>
          <w:sz w:val="20"/>
          <w:szCs w:val="20"/>
          <w:color w:val="auto"/>
        </w:rPr>
        <w:br w:type="column"/>
      </w:r>
    </w:p>
    <w:p>
      <w:pPr>
        <w:ind w:left="1568"/>
        <w:spacing w:after="0"/>
        <w:rPr>
          <w:sz w:val="20"/>
          <w:szCs w:val="20"/>
          <w:color w:val="auto"/>
        </w:rPr>
      </w:pPr>
      <w:r>
        <w:rPr>
          <w:rFonts w:ascii="Arial" w:cs="Arial" w:eastAsia="Arial" w:hAnsi="Arial"/>
          <w:sz w:val="12"/>
          <w:szCs w:val="12"/>
          <w:i w:val="1"/>
          <w:iCs w:val="1"/>
          <w:color w:val="auto"/>
        </w:rPr>
        <w:t>Computers, Environment and Urban Systems 82 (2020) 101485</w:t>
      </w:r>
    </w:p>
    <w:p>
      <w:pPr>
        <w:spacing w:after="0" w:line="287" w:lineRule="exact"/>
        <w:rPr>
          <w:sz w:val="20"/>
          <w:szCs w:val="20"/>
          <w:color w:val="auto"/>
        </w:rPr>
      </w:pPr>
    </w:p>
    <w:p>
      <w:pPr>
        <w:jc w:val="both"/>
        <w:ind w:left="8"/>
        <w:spacing w:after="0" w:line="306" w:lineRule="auto"/>
        <w:rPr>
          <w:sz w:val="20"/>
          <w:szCs w:val="20"/>
          <w:color w:val="auto"/>
        </w:rPr>
      </w:pPr>
      <w:r>
        <w:rPr>
          <w:rFonts w:ascii="Arial" w:cs="Arial" w:eastAsia="Arial" w:hAnsi="Arial"/>
          <w:sz w:val="15"/>
          <w:szCs w:val="15"/>
          <w:color w:val="auto"/>
        </w:rPr>
        <w:t xml:space="preserve">They found that in particular, a lack of awareness, discrepancy between demand and supply and fear for the unknown, blocks widespread usage and adoption of PSS in smart planning. </w:t>
      </w:r>
      <w:r>
        <w:rPr>
          <w:rFonts w:ascii="Arial" w:cs="Arial" w:eastAsia="Arial" w:hAnsi="Arial"/>
          <w:sz w:val="15"/>
          <w:szCs w:val="15"/>
          <w:color w:val="206293"/>
        </w:rPr>
        <w:t>Pelzer et al. (2014)</w:t>
      </w:r>
      <w:r>
        <w:rPr>
          <w:rFonts w:ascii="Arial" w:cs="Arial" w:eastAsia="Arial" w:hAnsi="Arial"/>
          <w:sz w:val="15"/>
          <w:szCs w:val="15"/>
          <w:color w:val="auto"/>
        </w:rPr>
        <w:t xml:space="preserve"> noted that there is a lack of attention to the added value of PSS for planning practice. </w:t>
      </w:r>
      <w:r>
        <w:rPr>
          <w:rFonts w:ascii="Arial" w:cs="Arial" w:eastAsia="Arial" w:hAnsi="Arial"/>
          <w:sz w:val="15"/>
          <w:szCs w:val="15"/>
          <w:color w:val="206293"/>
        </w:rPr>
        <w:t>te Brömmelstroet, Curtis, Larsson, and Milakis (2016)</w:t>
      </w:r>
      <w:r>
        <w:rPr>
          <w:rFonts w:ascii="Arial" w:cs="Arial" w:eastAsia="Arial" w:hAnsi="Arial"/>
          <w:sz w:val="15"/>
          <w:szCs w:val="15"/>
          <w:color w:val="auto"/>
        </w:rPr>
        <w:t xml:space="preserve"> argued that the disconnect between planning theory and practice manifests itself in various ways, but that the overall result is that PSS rarely fit the dynamic and fluid contexts of most planning processes. We built upon this knowledge to identify how a collection of PSS tools made available in a dedicated fit-for-purpose facility – the City Analytics Lab - can contribute to closing this gap and move towards smart planning.</w:t>
      </w:r>
    </w:p>
    <w:p>
      <w:pPr>
        <w:spacing w:after="0" w:line="91" w:lineRule="exact"/>
        <w:rPr>
          <w:sz w:val="20"/>
          <w:szCs w:val="20"/>
          <w:color w:val="auto"/>
        </w:rPr>
      </w:pPr>
    </w:p>
    <w:p>
      <w:pPr>
        <w:ind w:left="8"/>
        <w:spacing w:after="0"/>
        <w:rPr>
          <w:sz w:val="20"/>
          <w:szCs w:val="20"/>
          <w:color w:val="auto"/>
        </w:rPr>
      </w:pPr>
      <w:r>
        <w:rPr>
          <w:rFonts w:ascii="Arial" w:cs="Arial" w:eastAsia="Arial" w:hAnsi="Arial"/>
          <w:sz w:val="16"/>
          <w:szCs w:val="16"/>
          <w:i w:val="1"/>
          <w:iCs w:val="1"/>
          <w:color w:val="auto"/>
        </w:rPr>
        <w:t>2.2. How to address the PSS implementation gap?</w:t>
      </w:r>
    </w:p>
    <w:p>
      <w:pPr>
        <w:spacing w:after="0" w:line="234" w:lineRule="exact"/>
        <w:rPr>
          <w:sz w:val="20"/>
          <w:szCs w:val="20"/>
          <w:color w:val="auto"/>
        </w:rPr>
      </w:pPr>
    </w:p>
    <w:p>
      <w:pPr>
        <w:ind w:left="8"/>
        <w:spacing w:after="0"/>
        <w:rPr>
          <w:sz w:val="20"/>
          <w:szCs w:val="20"/>
          <w:color w:val="auto"/>
        </w:rPr>
      </w:pPr>
      <w:r>
        <w:rPr>
          <w:rFonts w:ascii="Arial" w:cs="Arial" w:eastAsia="Arial" w:hAnsi="Arial"/>
          <w:sz w:val="16"/>
          <w:szCs w:val="16"/>
          <w:i w:val="1"/>
          <w:iCs w:val="1"/>
          <w:color w:val="auto"/>
        </w:rPr>
        <w:t>2.2.1. The usefulness framework</w:t>
      </w:r>
    </w:p>
    <w:p>
      <w:pPr>
        <w:spacing w:after="0" w:line="35" w:lineRule="exact"/>
        <w:rPr>
          <w:sz w:val="20"/>
          <w:szCs w:val="20"/>
          <w:color w:val="auto"/>
        </w:rPr>
      </w:pPr>
    </w:p>
    <w:p>
      <w:pPr>
        <w:jc w:val="both"/>
        <w:ind w:left="8" w:firstLine="250"/>
        <w:spacing w:after="0" w:line="279" w:lineRule="auto"/>
        <w:rPr>
          <w:rFonts w:ascii="Arial" w:cs="Arial" w:eastAsia="Arial" w:hAnsi="Arial"/>
          <w:sz w:val="16"/>
          <w:szCs w:val="16"/>
          <w:color w:val="206293"/>
        </w:rPr>
      </w:pPr>
      <w:r>
        <w:rPr>
          <w:rFonts w:ascii="Arial" w:cs="Arial" w:eastAsia="Arial" w:hAnsi="Arial"/>
          <w:sz w:val="16"/>
          <w:szCs w:val="16"/>
          <w:color w:val="auto"/>
        </w:rPr>
        <w:t>It is believed that increasing the value of PSS for planning will in-crease their uptake by practitioners (</w:t>
      </w:r>
      <w:r>
        <w:rPr>
          <w:rFonts w:ascii="Arial" w:cs="Arial" w:eastAsia="Arial" w:hAnsi="Arial"/>
          <w:sz w:val="16"/>
          <w:szCs w:val="16"/>
          <w:color w:val="206293"/>
        </w:rPr>
        <w:t>Arciniegas, Janssen, &amp; Rietveld,</w:t>
      </w:r>
      <w:r>
        <w:rPr>
          <w:rFonts w:ascii="Arial" w:cs="Arial" w:eastAsia="Arial" w:hAnsi="Arial"/>
          <w:sz w:val="16"/>
          <w:szCs w:val="16"/>
          <w:color w:val="auto"/>
        </w:rPr>
        <w:t xml:space="preserve"> </w:t>
      </w:r>
      <w:hyperlink w:anchor="page12">
        <w:r>
          <w:rPr>
            <w:rFonts w:ascii="Arial" w:cs="Arial" w:eastAsia="Arial" w:hAnsi="Arial"/>
            <w:sz w:val="16"/>
            <w:szCs w:val="16"/>
            <w:color w:val="206293"/>
          </w:rPr>
          <w:t>2013</w:t>
        </w:r>
      </w:hyperlink>
      <w:r>
        <w:rPr>
          <w:rFonts w:ascii="Arial" w:cs="Arial" w:eastAsia="Arial" w:hAnsi="Arial"/>
          <w:sz w:val="16"/>
          <w:szCs w:val="16"/>
          <w:color w:val="000000"/>
        </w:rPr>
        <w:t>;</w:t>
      </w:r>
      <w:r>
        <w:rPr>
          <w:rFonts w:ascii="Arial" w:cs="Arial" w:eastAsia="Arial" w:hAnsi="Arial"/>
          <w:sz w:val="16"/>
          <w:szCs w:val="16"/>
          <w:color w:val="206293"/>
        </w:rPr>
        <w:t xml:space="preserve"> Pelzer et al., 2014</w:t>
      </w:r>
      <w:r>
        <w:rPr>
          <w:rFonts w:ascii="Arial" w:cs="Arial" w:eastAsia="Arial" w:hAnsi="Arial"/>
          <w:sz w:val="16"/>
          <w:szCs w:val="16"/>
          <w:color w:val="000000"/>
        </w:rPr>
        <w:t>;</w:t>
      </w:r>
      <w:r>
        <w:rPr>
          <w:rFonts w:ascii="Arial" w:cs="Arial" w:eastAsia="Arial" w:hAnsi="Arial"/>
          <w:sz w:val="16"/>
          <w:szCs w:val="16"/>
          <w:color w:val="206293"/>
        </w:rPr>
        <w:t xml:space="preserve"> te Brömmelstroet, 2013</w:t>
      </w:r>
      <w:r>
        <w:rPr>
          <w:rFonts w:ascii="Arial" w:cs="Arial" w:eastAsia="Arial" w:hAnsi="Arial"/>
          <w:sz w:val="16"/>
          <w:szCs w:val="16"/>
          <w:color w:val="000000"/>
        </w:rPr>
        <w:t>). In this context</w:t>
      </w:r>
      <w:r>
        <w:rPr>
          <w:rFonts w:ascii="Arial" w:cs="Arial" w:eastAsia="Arial" w:hAnsi="Arial"/>
          <w:sz w:val="16"/>
          <w:szCs w:val="16"/>
          <w:color w:val="206293"/>
        </w:rPr>
        <w:t xml:space="preserve"> Pelzer (2017)</w:t>
      </w:r>
      <w:r>
        <w:rPr>
          <w:rFonts w:ascii="Arial" w:cs="Arial" w:eastAsia="Arial" w:hAnsi="Arial"/>
          <w:sz w:val="16"/>
          <w:szCs w:val="16"/>
          <w:color w:val="000000"/>
        </w:rPr>
        <w:t>,</w:t>
      </w:r>
      <w:r>
        <w:rPr>
          <w:rFonts w:ascii="Arial" w:cs="Arial" w:eastAsia="Arial" w:hAnsi="Arial"/>
          <w:sz w:val="16"/>
          <w:szCs w:val="16"/>
          <w:color w:val="206293"/>
        </w:rPr>
        <w:t xml:space="preserve"> Russo et al. (2018) </w:t>
      </w:r>
      <w:r>
        <w:rPr>
          <w:rFonts w:ascii="Arial" w:cs="Arial" w:eastAsia="Arial" w:hAnsi="Arial"/>
          <w:sz w:val="16"/>
          <w:szCs w:val="16"/>
          <w:color w:val="000000"/>
        </w:rPr>
        <w:t xml:space="preserve">and others have studied the useful-ness of PSS. The usefulness framework was first developed by </w:t>
      </w:r>
      <w:hyperlink w:anchor="page12">
        <w:r>
          <w:rPr>
            <w:rFonts w:ascii="Arial" w:cs="Arial" w:eastAsia="Arial" w:hAnsi="Arial"/>
            <w:sz w:val="16"/>
            <w:szCs w:val="16"/>
            <w:color w:val="206293"/>
          </w:rPr>
          <w:t>Nielsen</w:t>
        </w:r>
      </w:hyperlink>
      <w:r>
        <w:rPr>
          <w:rFonts w:ascii="Arial" w:cs="Arial" w:eastAsia="Arial" w:hAnsi="Arial"/>
          <w:sz w:val="16"/>
          <w:szCs w:val="16"/>
          <w:color w:val="000000"/>
        </w:rPr>
        <w:t xml:space="preserve"> </w:t>
      </w:r>
      <w:hyperlink w:anchor="page12">
        <w:r>
          <w:rPr>
            <w:rFonts w:ascii="Arial" w:cs="Arial" w:eastAsia="Arial" w:hAnsi="Arial"/>
            <w:sz w:val="16"/>
            <w:szCs w:val="16"/>
            <w:color w:val="206293"/>
          </w:rPr>
          <w:t>(1993)</w:t>
        </w:r>
      </w:hyperlink>
      <w:r>
        <w:rPr>
          <w:rFonts w:ascii="Arial" w:cs="Arial" w:eastAsia="Arial" w:hAnsi="Arial"/>
          <w:sz w:val="16"/>
          <w:szCs w:val="16"/>
          <w:color w:val="000000"/>
        </w:rPr>
        <w:t>.</w:t>
      </w:r>
      <w:r>
        <w:rPr>
          <w:rFonts w:ascii="Arial" w:cs="Arial" w:eastAsia="Arial" w:hAnsi="Arial"/>
          <w:sz w:val="16"/>
          <w:szCs w:val="16"/>
          <w:color w:val="206293"/>
        </w:rPr>
        <w:t xml:space="preserve"> Pelzer (2017) </w:t>
      </w:r>
      <w:r>
        <w:rPr>
          <w:rFonts w:ascii="Arial" w:cs="Arial" w:eastAsia="Arial" w:hAnsi="Arial"/>
          <w:sz w:val="16"/>
          <w:szCs w:val="16"/>
          <w:color w:val="000000"/>
        </w:rPr>
        <w:t>later adapted it to the field of PSS. The term</w:t>
      </w:r>
      <w:r>
        <w:rPr>
          <w:rFonts w:ascii="Arial" w:cs="Arial" w:eastAsia="Arial" w:hAnsi="Arial"/>
          <w:sz w:val="16"/>
          <w:szCs w:val="16"/>
          <w:color w:val="206293"/>
        </w:rPr>
        <w:t xml:space="preserve"> </w:t>
      </w:r>
      <w:r>
        <w:rPr>
          <w:rFonts w:ascii="Arial" w:cs="Arial" w:eastAsia="Arial" w:hAnsi="Arial"/>
          <w:sz w:val="16"/>
          <w:szCs w:val="16"/>
          <w:color w:val="000000"/>
        </w:rPr>
        <w:t>usefulness can be defined as an attribute that indicates whether a system allows people to achieve their desired goals easily and with satisfaction (</w:t>
      </w:r>
      <w:r>
        <w:rPr>
          <w:rFonts w:ascii="Arial" w:cs="Arial" w:eastAsia="Arial" w:hAnsi="Arial"/>
          <w:sz w:val="16"/>
          <w:szCs w:val="16"/>
          <w:color w:val="206293"/>
        </w:rPr>
        <w:t>Nielsen, 1993</w:t>
      </w:r>
      <w:r>
        <w:rPr>
          <w:rFonts w:ascii="Arial" w:cs="Arial" w:eastAsia="Arial" w:hAnsi="Arial"/>
          <w:sz w:val="16"/>
          <w:szCs w:val="16"/>
          <w:color w:val="000000"/>
        </w:rPr>
        <w:t xml:space="preserve">). Two sub-categories of usefulness are utility and usability. According to </w:t>
      </w:r>
      <w:r>
        <w:rPr>
          <w:rFonts w:ascii="Arial" w:cs="Arial" w:eastAsia="Arial" w:hAnsi="Arial"/>
          <w:sz w:val="16"/>
          <w:szCs w:val="16"/>
          <w:color w:val="206293"/>
        </w:rPr>
        <w:t>Nielsen (1993, p.25)</w:t>
      </w:r>
      <w:r>
        <w:rPr>
          <w:rFonts w:ascii="Arial" w:cs="Arial" w:eastAsia="Arial" w:hAnsi="Arial"/>
          <w:sz w:val="16"/>
          <w:szCs w:val="16"/>
          <w:color w:val="000000"/>
        </w:rPr>
        <w:t xml:space="preserve"> utility is “the question of whether the functionality of the system in principle can do what is needed”, while the usability of a system relates to “the question of how well users can use that [utility] functionality”. For the sub-category usability </w:t>
      </w:r>
      <w:r>
        <w:rPr>
          <w:rFonts w:ascii="Arial" w:cs="Arial" w:eastAsia="Arial" w:hAnsi="Arial"/>
          <w:sz w:val="16"/>
          <w:szCs w:val="16"/>
          <w:color w:val="206293"/>
        </w:rPr>
        <w:t>Pelzer (2017)</w:t>
      </w:r>
      <w:r>
        <w:rPr>
          <w:rFonts w:ascii="Arial" w:cs="Arial" w:eastAsia="Arial" w:hAnsi="Arial"/>
          <w:sz w:val="16"/>
          <w:szCs w:val="16"/>
          <w:color w:val="000000"/>
        </w:rPr>
        <w:t xml:space="preserve"> summarized ten variables generally used to analyze the usability of a PSS. These include transparency, user friendliness, and interactivity amongst others. The importance of the variables differs based on the planning task and PSS support functions. The utility refers to the way in which PSS can support the planning process.</w:t>
      </w:r>
    </w:p>
    <w:p>
      <w:pPr>
        <w:spacing w:after="0" w:line="111" w:lineRule="exact"/>
        <w:rPr>
          <w:rFonts w:ascii="Arial" w:cs="Arial" w:eastAsia="Arial" w:hAnsi="Arial"/>
          <w:sz w:val="16"/>
          <w:szCs w:val="16"/>
          <w:color w:val="206293"/>
        </w:rPr>
      </w:pPr>
    </w:p>
    <w:p>
      <w:pPr>
        <w:ind w:left="8"/>
        <w:spacing w:after="0"/>
        <w:rPr>
          <w:sz w:val="20"/>
          <w:szCs w:val="20"/>
          <w:color w:val="auto"/>
        </w:rPr>
      </w:pPr>
      <w:r>
        <w:rPr>
          <w:rFonts w:ascii="Arial" w:cs="Arial" w:eastAsia="Arial" w:hAnsi="Arial"/>
          <w:sz w:val="16"/>
          <w:szCs w:val="16"/>
          <w:i w:val="1"/>
          <w:iCs w:val="1"/>
          <w:color w:val="auto"/>
        </w:rPr>
        <w:t>2.2.2. Task-technology fit</w:t>
      </w:r>
    </w:p>
    <w:p>
      <w:pPr>
        <w:spacing w:after="0" w:line="35" w:lineRule="exact"/>
        <w:rPr>
          <w:rFonts w:ascii="Arial" w:cs="Arial" w:eastAsia="Arial" w:hAnsi="Arial"/>
          <w:sz w:val="16"/>
          <w:szCs w:val="16"/>
          <w:color w:val="206293"/>
        </w:rPr>
      </w:pPr>
    </w:p>
    <w:p>
      <w:pPr>
        <w:jc w:val="both"/>
        <w:ind w:left="8" w:firstLine="250"/>
        <w:spacing w:after="0" w:line="291" w:lineRule="auto"/>
        <w:rPr>
          <w:rFonts w:ascii="Arial" w:cs="Arial" w:eastAsia="Arial" w:hAnsi="Arial"/>
          <w:sz w:val="15"/>
          <w:szCs w:val="15"/>
          <w:color w:val="000000"/>
        </w:rPr>
      </w:pPr>
      <w:r>
        <w:rPr>
          <w:rFonts w:ascii="Arial" w:cs="Arial" w:eastAsia="Arial" w:hAnsi="Arial"/>
          <w:sz w:val="15"/>
          <w:szCs w:val="15"/>
          <w:color w:val="auto"/>
        </w:rPr>
        <w:t>The utility of PSS is analyzed through the task-technology fit, which is “the matching of the functional capability of available information technology with the activity demands of the task at hand” (</w:t>
      </w:r>
      <w:r>
        <w:rPr>
          <w:rFonts w:ascii="Arial" w:cs="Arial" w:eastAsia="Arial" w:hAnsi="Arial"/>
          <w:sz w:val="15"/>
          <w:szCs w:val="15"/>
          <w:color w:val="206293"/>
        </w:rPr>
        <w:t>Dishaw &amp;</w:t>
      </w:r>
      <w:r>
        <w:rPr>
          <w:rFonts w:ascii="Arial" w:cs="Arial" w:eastAsia="Arial" w:hAnsi="Arial"/>
          <w:sz w:val="15"/>
          <w:szCs w:val="15"/>
          <w:color w:val="auto"/>
        </w:rPr>
        <w:t xml:space="preserve"> </w:t>
      </w:r>
      <w:r>
        <w:rPr>
          <w:rFonts w:ascii="Arial" w:cs="Arial" w:eastAsia="Arial" w:hAnsi="Arial"/>
          <w:sz w:val="15"/>
          <w:szCs w:val="15"/>
          <w:color w:val="206293"/>
        </w:rPr>
        <w:t xml:space="preserve">Strong, 1998 </w:t>
      </w:r>
      <w:r>
        <w:rPr>
          <w:rFonts w:ascii="Arial" w:cs="Arial" w:eastAsia="Arial" w:hAnsi="Arial"/>
          <w:sz w:val="15"/>
          <w:szCs w:val="15"/>
          <w:color w:val="000000"/>
        </w:rPr>
        <w:t>in</w:t>
      </w:r>
      <w:r>
        <w:rPr>
          <w:rFonts w:ascii="Arial" w:cs="Arial" w:eastAsia="Arial" w:hAnsi="Arial"/>
          <w:sz w:val="15"/>
          <w:szCs w:val="15"/>
          <w:color w:val="206293"/>
        </w:rPr>
        <w:t xml:space="preserve"> Pelzer, Arciniegas, Geertman, &amp; Lenferink, 2015</w:t>
      </w:r>
      <w:r>
        <w:rPr>
          <w:rFonts w:ascii="Arial" w:cs="Arial" w:eastAsia="Arial" w:hAnsi="Arial"/>
          <w:sz w:val="15"/>
          <w:szCs w:val="15"/>
          <w:color w:val="000000"/>
        </w:rPr>
        <w:t>,</w:t>
      </w:r>
      <w:r>
        <w:rPr>
          <w:rFonts w:ascii="Arial" w:cs="Arial" w:eastAsia="Arial" w:hAnsi="Arial"/>
          <w:sz w:val="15"/>
          <w:szCs w:val="15"/>
          <w:color w:val="206293"/>
        </w:rPr>
        <w:t xml:space="preserve"> </w:t>
      </w:r>
      <w:r>
        <w:rPr>
          <w:rFonts w:ascii="Arial" w:cs="Arial" w:eastAsia="Arial" w:hAnsi="Arial"/>
          <w:sz w:val="15"/>
          <w:szCs w:val="15"/>
          <w:color w:val="000000"/>
        </w:rPr>
        <w:t>p.157). Technology refers to the support function of PSS: “the cap-abilities of the PSS to support planning tasks” (</w:t>
      </w:r>
      <w:r>
        <w:rPr>
          <w:rFonts w:ascii="Arial" w:cs="Arial" w:eastAsia="Arial" w:hAnsi="Arial"/>
          <w:sz w:val="15"/>
          <w:szCs w:val="15"/>
          <w:color w:val="206293"/>
        </w:rPr>
        <w:t>Pelzer, 2017</w:t>
      </w:r>
      <w:r>
        <w:rPr>
          <w:rFonts w:ascii="Arial" w:cs="Arial" w:eastAsia="Arial" w:hAnsi="Arial"/>
          <w:sz w:val="15"/>
          <w:szCs w:val="15"/>
          <w:color w:val="000000"/>
        </w:rPr>
        <w:t>, p.86). Planning tasks are considered as “combinations of planning behaviors that accomplish particular functions or purposes” (</w:t>
      </w:r>
      <w:r>
        <w:rPr>
          <w:rFonts w:ascii="Arial" w:cs="Arial" w:eastAsia="Arial" w:hAnsi="Arial"/>
          <w:sz w:val="15"/>
          <w:szCs w:val="15"/>
          <w:color w:val="206293"/>
        </w:rPr>
        <w:t>Hopkins, 2001</w:t>
      </w:r>
      <w:r>
        <w:rPr>
          <w:rFonts w:ascii="Arial" w:cs="Arial" w:eastAsia="Arial" w:hAnsi="Arial"/>
          <w:sz w:val="15"/>
          <w:szCs w:val="15"/>
          <w:color w:val="000000"/>
        </w:rPr>
        <w:t xml:space="preserve"> in </w:t>
      </w:r>
      <w:r>
        <w:rPr>
          <w:rFonts w:ascii="Arial" w:cs="Arial" w:eastAsia="Arial" w:hAnsi="Arial"/>
          <w:sz w:val="15"/>
          <w:szCs w:val="15"/>
          <w:color w:val="206293"/>
        </w:rPr>
        <w:t>Pelzer, 2017</w:t>
      </w:r>
      <w:r>
        <w:rPr>
          <w:rFonts w:ascii="Arial" w:cs="Arial" w:eastAsia="Arial" w:hAnsi="Arial"/>
          <w:sz w:val="15"/>
          <w:szCs w:val="15"/>
          <w:color w:val="000000"/>
        </w:rPr>
        <w:t>, p.86).</w:t>
      </w:r>
      <w:r>
        <w:rPr>
          <w:rFonts w:ascii="Arial" w:cs="Arial" w:eastAsia="Arial" w:hAnsi="Arial"/>
          <w:sz w:val="15"/>
          <w:szCs w:val="15"/>
          <w:color w:val="206293"/>
        </w:rPr>
        <w:t xml:space="preserve"> Pelzer (2017) </w:t>
      </w:r>
      <w:r>
        <w:rPr>
          <w:rFonts w:ascii="Arial" w:cs="Arial" w:eastAsia="Arial" w:hAnsi="Arial"/>
          <w:sz w:val="15"/>
          <w:szCs w:val="15"/>
          <w:color w:val="000000"/>
        </w:rPr>
        <w:t>focused on two distinctive planning</w:t>
      </w:r>
      <w:r>
        <w:rPr>
          <w:rFonts w:ascii="Arial" w:cs="Arial" w:eastAsia="Arial" w:hAnsi="Arial"/>
          <w:sz w:val="15"/>
          <w:szCs w:val="15"/>
          <w:color w:val="206293"/>
        </w:rPr>
        <w:t xml:space="preserve"> </w:t>
      </w:r>
      <w:r>
        <w:rPr>
          <w:rFonts w:ascii="Arial" w:cs="Arial" w:eastAsia="Arial" w:hAnsi="Arial"/>
          <w:sz w:val="15"/>
          <w:szCs w:val="15"/>
          <w:color w:val="000000"/>
        </w:rPr>
        <w:t xml:space="preserve">tasks named generation and selection tasks. </w:t>
      </w:r>
      <w:r>
        <w:rPr>
          <w:rFonts w:ascii="Arial" w:cs="Arial" w:eastAsia="Arial" w:hAnsi="Arial"/>
          <w:sz w:val="15"/>
          <w:szCs w:val="15"/>
          <w:color w:val="206293"/>
        </w:rPr>
        <w:t>Vonk, Geertman, and Schot</w:t>
      </w:r>
      <w:r>
        <w:rPr>
          <w:rFonts w:ascii="Arial" w:cs="Arial" w:eastAsia="Arial" w:hAnsi="Arial"/>
          <w:sz w:val="15"/>
          <w:szCs w:val="15"/>
          <w:color w:val="000000"/>
        </w:rPr>
        <w:t xml:space="preserve"> </w:t>
      </w:r>
      <w:hyperlink w:anchor="page12">
        <w:r>
          <w:rPr>
            <w:rFonts w:ascii="Arial" w:cs="Arial" w:eastAsia="Arial" w:hAnsi="Arial"/>
            <w:sz w:val="15"/>
            <w:szCs w:val="15"/>
            <w:color w:val="206293"/>
          </w:rPr>
          <w:t xml:space="preserve">(2007b) </w:t>
        </w:r>
      </w:hyperlink>
      <w:r>
        <w:rPr>
          <w:rFonts w:ascii="Arial" w:cs="Arial" w:eastAsia="Arial" w:hAnsi="Arial"/>
          <w:sz w:val="15"/>
          <w:szCs w:val="15"/>
          <w:color w:val="000000"/>
        </w:rPr>
        <w:t>suggest</w:t>
      </w:r>
      <w:r>
        <w:rPr>
          <w:rFonts w:ascii="Arial" w:cs="Arial" w:eastAsia="Arial" w:hAnsi="Arial"/>
          <w:sz w:val="15"/>
          <w:szCs w:val="15"/>
          <w:color w:val="206293"/>
        </w:rPr>
        <w:t xml:space="preserve"> </w:t>
      </w:r>
      <w:r>
        <w:rPr>
          <w:rFonts w:ascii="Arial" w:cs="Arial" w:eastAsia="Arial" w:hAnsi="Arial"/>
          <w:sz w:val="15"/>
          <w:szCs w:val="15"/>
          <w:color w:val="000000"/>
        </w:rPr>
        <w:t>instead to focus on planning stages that reflect the</w:t>
      </w:r>
      <w:r>
        <w:rPr>
          <w:rFonts w:ascii="Arial" w:cs="Arial" w:eastAsia="Arial" w:hAnsi="Arial"/>
          <w:sz w:val="15"/>
          <w:szCs w:val="15"/>
          <w:color w:val="206293"/>
        </w:rPr>
        <w:t xml:space="preserve"> </w:t>
      </w:r>
      <w:r>
        <w:rPr>
          <w:rFonts w:ascii="Arial" w:cs="Arial" w:eastAsia="Arial" w:hAnsi="Arial"/>
          <w:sz w:val="15"/>
          <w:szCs w:val="15"/>
          <w:color w:val="000000"/>
        </w:rPr>
        <w:t>dynamic character of planning processes. In this study we define tasks for each stage of the planning process, for example activities such as problem signaling and agenda setting that are performed during the initial stage of problem definition (</w:t>
      </w:r>
      <w:hyperlink w:anchor="page12">
        <w:r>
          <w:rPr>
            <w:rFonts w:ascii="Arial" w:cs="Arial" w:eastAsia="Arial" w:hAnsi="Arial"/>
            <w:sz w:val="15"/>
            <w:szCs w:val="15"/>
            <w:color w:val="206293"/>
          </w:rPr>
          <w:t>Vonk et al., 2007b</w:t>
        </w:r>
      </w:hyperlink>
      <w:r>
        <w:rPr>
          <w:rFonts w:ascii="Arial" w:cs="Arial" w:eastAsia="Arial" w:hAnsi="Arial"/>
          <w:sz w:val="15"/>
          <w:szCs w:val="15"/>
          <w:color w:val="000000"/>
        </w:rPr>
        <w:t xml:space="preserve">; </w:t>
      </w:r>
      <w:hyperlink w:anchor="page12">
        <w:r>
          <w:rPr>
            <w:rFonts w:ascii="Arial" w:cs="Arial" w:eastAsia="Arial" w:hAnsi="Arial"/>
            <w:sz w:val="15"/>
            <w:szCs w:val="15"/>
            <w:color w:val="206293"/>
          </w:rPr>
          <w:t>Vonk, Geertman,</w:t>
        </w:r>
      </w:hyperlink>
    </w:p>
    <w:p>
      <w:pPr>
        <w:spacing w:after="0" w:line="1" w:lineRule="exact"/>
        <w:rPr>
          <w:rFonts w:ascii="Arial" w:cs="Arial" w:eastAsia="Arial" w:hAnsi="Arial"/>
          <w:sz w:val="15"/>
          <w:szCs w:val="15"/>
          <w:color w:val="206293"/>
        </w:rPr>
      </w:pPr>
    </w:p>
    <w:p>
      <w:pPr>
        <w:jc w:val="both"/>
        <w:ind w:left="8" w:hanging="8"/>
        <w:spacing w:after="0" w:line="332" w:lineRule="auto"/>
        <w:tabs>
          <w:tab w:leader="none" w:pos="196" w:val="left"/>
        </w:tabs>
        <w:numPr>
          <w:ilvl w:val="0"/>
          <w:numId w:val="3"/>
        </w:numPr>
        <w:rPr>
          <w:rFonts w:ascii="Arial" w:cs="Arial" w:eastAsia="Arial" w:hAnsi="Arial"/>
          <w:sz w:val="16"/>
          <w:szCs w:val="16"/>
          <w:color w:val="206293"/>
        </w:rPr>
      </w:pPr>
      <w:hyperlink w:anchor="page12">
        <w:r>
          <w:rPr>
            <w:rFonts w:ascii="Arial" w:cs="Arial" w:eastAsia="Arial" w:hAnsi="Arial"/>
            <w:sz w:val="16"/>
            <w:szCs w:val="16"/>
            <w:color w:val="206293"/>
          </w:rPr>
          <w:t>Schot, 2007a</w:t>
        </w:r>
      </w:hyperlink>
      <w:r>
        <w:rPr>
          <w:rFonts w:ascii="Arial" w:cs="Arial" w:eastAsia="Arial" w:hAnsi="Arial"/>
          <w:sz w:val="16"/>
          <w:szCs w:val="16"/>
          <w:color w:val="000000"/>
        </w:rPr>
        <w:t>). We consider the support functions of a PSS to be</w:t>
      </w:r>
      <w:r>
        <w:rPr>
          <w:rFonts w:ascii="Arial" w:cs="Arial" w:eastAsia="Arial" w:hAnsi="Arial"/>
          <w:sz w:val="16"/>
          <w:szCs w:val="16"/>
          <w:color w:val="206293"/>
        </w:rPr>
        <w:t xml:space="preserve"> </w:t>
      </w:r>
      <w:r>
        <w:rPr>
          <w:rFonts w:ascii="Arial" w:cs="Arial" w:eastAsia="Arial" w:hAnsi="Arial"/>
          <w:sz w:val="16"/>
          <w:szCs w:val="16"/>
          <w:color w:val="000000"/>
        </w:rPr>
        <w:t>analysis, communication, design, information gathering, storage and retrieval, and visualization (</w:t>
      </w:r>
      <w:r>
        <w:rPr>
          <w:rFonts w:ascii="Arial" w:cs="Arial" w:eastAsia="Arial" w:hAnsi="Arial"/>
          <w:sz w:val="16"/>
          <w:szCs w:val="16"/>
          <w:color w:val="206293"/>
        </w:rPr>
        <w:t>Steinitz, 2012</w:t>
      </w:r>
      <w:r>
        <w:rPr>
          <w:rFonts w:ascii="Arial" w:cs="Arial" w:eastAsia="Arial" w:hAnsi="Arial"/>
          <w:sz w:val="16"/>
          <w:szCs w:val="16"/>
          <w:color w:val="000000"/>
        </w:rPr>
        <w:t xml:space="preserve">; </w:t>
      </w:r>
      <w:r>
        <w:rPr>
          <w:rFonts w:ascii="Arial" w:cs="Arial" w:eastAsia="Arial" w:hAnsi="Arial"/>
          <w:sz w:val="16"/>
          <w:szCs w:val="16"/>
          <w:color w:val="206293"/>
        </w:rPr>
        <w:t>Vonk et al., 2007b</w:t>
      </w:r>
      <w:r>
        <w:rPr>
          <w:rFonts w:ascii="Arial" w:cs="Arial" w:eastAsia="Arial" w:hAnsi="Arial"/>
          <w:sz w:val="16"/>
          <w:szCs w:val="16"/>
          <w:color w:val="000000"/>
        </w:rPr>
        <w:t>).</w:t>
      </w:r>
    </w:p>
    <w:p>
      <w:pPr>
        <w:spacing w:after="0" w:line="63" w:lineRule="exact"/>
        <w:rPr>
          <w:rFonts w:ascii="Arial" w:cs="Arial" w:eastAsia="Arial" w:hAnsi="Arial"/>
          <w:sz w:val="15"/>
          <w:szCs w:val="15"/>
          <w:color w:val="206293"/>
        </w:rPr>
      </w:pPr>
    </w:p>
    <w:p>
      <w:pPr>
        <w:ind w:left="8"/>
        <w:spacing w:after="0"/>
        <w:rPr>
          <w:sz w:val="20"/>
          <w:szCs w:val="20"/>
          <w:color w:val="auto"/>
        </w:rPr>
      </w:pPr>
      <w:r>
        <w:rPr>
          <w:rFonts w:ascii="Arial" w:cs="Arial" w:eastAsia="Arial" w:hAnsi="Arial"/>
          <w:sz w:val="16"/>
          <w:szCs w:val="16"/>
          <w:i w:val="1"/>
          <w:iCs w:val="1"/>
          <w:color w:val="auto"/>
        </w:rPr>
        <w:t>2.2.3. Towards implementation: best practices</w:t>
      </w:r>
    </w:p>
    <w:p>
      <w:pPr>
        <w:spacing w:after="0" w:line="35" w:lineRule="exact"/>
        <w:rPr>
          <w:rFonts w:ascii="Arial" w:cs="Arial" w:eastAsia="Arial" w:hAnsi="Arial"/>
          <w:sz w:val="15"/>
          <w:szCs w:val="15"/>
          <w:color w:val="206293"/>
        </w:rPr>
      </w:pPr>
    </w:p>
    <w:p>
      <w:pPr>
        <w:jc w:val="both"/>
        <w:ind w:left="8" w:firstLine="250"/>
        <w:spacing w:after="0" w:line="286" w:lineRule="auto"/>
        <w:rPr>
          <w:rFonts w:ascii="Arial" w:cs="Arial" w:eastAsia="Arial" w:hAnsi="Arial"/>
          <w:sz w:val="16"/>
          <w:szCs w:val="16"/>
          <w:color w:val="206293"/>
        </w:rPr>
      </w:pPr>
      <w:r>
        <w:rPr>
          <w:rFonts w:ascii="Arial" w:cs="Arial" w:eastAsia="Arial" w:hAnsi="Arial"/>
          <w:sz w:val="16"/>
          <w:szCs w:val="16"/>
          <w:color w:val="auto"/>
        </w:rPr>
        <w:t xml:space="preserve">As indicated, </w:t>
      </w:r>
      <w:r>
        <w:rPr>
          <w:rFonts w:ascii="Arial" w:cs="Arial" w:eastAsia="Arial" w:hAnsi="Arial"/>
          <w:sz w:val="16"/>
          <w:szCs w:val="16"/>
          <w:color w:val="206293"/>
        </w:rPr>
        <w:t>Geertman (2017)</w:t>
      </w:r>
      <w:r>
        <w:rPr>
          <w:rFonts w:ascii="Arial" w:cs="Arial" w:eastAsia="Arial" w:hAnsi="Arial"/>
          <w:sz w:val="16"/>
          <w:szCs w:val="16"/>
          <w:color w:val="auto"/>
        </w:rPr>
        <w:t xml:space="preserve"> suggested studying successful sys-tems support rather than explaining the PSS implementation gap. Successful systems support requires, amongst other things, good in-strumental infrastructure and appropriate organization (</w:t>
      </w:r>
      <w:hyperlink w:anchor="page12">
        <w:r>
          <w:rPr>
            <w:rFonts w:ascii="Arial" w:cs="Arial" w:eastAsia="Arial" w:hAnsi="Arial"/>
            <w:sz w:val="16"/>
            <w:szCs w:val="16"/>
            <w:color w:val="206293"/>
          </w:rPr>
          <w:t>Geertman,</w:t>
        </w:r>
      </w:hyperlink>
      <w:r>
        <w:rPr>
          <w:rFonts w:ascii="Arial" w:cs="Arial" w:eastAsia="Arial" w:hAnsi="Arial"/>
          <w:sz w:val="16"/>
          <w:szCs w:val="16"/>
          <w:color w:val="auto"/>
        </w:rPr>
        <w:t xml:space="preserve"> </w:t>
      </w:r>
      <w:hyperlink w:anchor="page12">
        <w:r>
          <w:rPr>
            <w:rFonts w:ascii="Arial" w:cs="Arial" w:eastAsia="Arial" w:hAnsi="Arial"/>
            <w:sz w:val="16"/>
            <w:szCs w:val="16"/>
            <w:color w:val="206293"/>
          </w:rPr>
          <w:t>2017</w:t>
        </w:r>
      </w:hyperlink>
      <w:r>
        <w:rPr>
          <w:rFonts w:ascii="Arial" w:cs="Arial" w:eastAsia="Arial" w:hAnsi="Arial"/>
          <w:sz w:val="16"/>
          <w:szCs w:val="16"/>
          <w:color w:val="000000"/>
        </w:rPr>
        <w:t>). It also requires sufficient access to data. And furthermore, like</w:t>
      </w:r>
      <w:r>
        <w:rPr>
          <w:rFonts w:ascii="Arial" w:cs="Arial" w:eastAsia="Arial" w:hAnsi="Arial"/>
          <w:sz w:val="16"/>
          <w:szCs w:val="16"/>
          <w:color w:val="206293"/>
        </w:rPr>
        <w:t xml:space="preserve"> </w:t>
      </w:r>
      <w:r>
        <w:rPr>
          <w:rFonts w:ascii="Arial" w:cs="Arial" w:eastAsia="Arial" w:hAnsi="Arial"/>
          <w:sz w:val="16"/>
          <w:szCs w:val="16"/>
          <w:color w:val="000000"/>
        </w:rPr>
        <w:t xml:space="preserve">expressed by </w:t>
      </w:r>
      <w:r>
        <w:rPr>
          <w:rFonts w:ascii="Arial" w:cs="Arial" w:eastAsia="Arial" w:hAnsi="Arial"/>
          <w:sz w:val="16"/>
          <w:szCs w:val="16"/>
          <w:color w:val="206293"/>
        </w:rPr>
        <w:t>Silva et al. (2017)</w:t>
      </w:r>
      <w:r>
        <w:rPr>
          <w:rFonts w:ascii="Arial" w:cs="Arial" w:eastAsia="Arial" w:hAnsi="Arial"/>
          <w:sz w:val="16"/>
          <w:szCs w:val="16"/>
          <w:color w:val="000000"/>
        </w:rPr>
        <w:t>, one needs to be aware of the organi-zational barriers and institutional limits of systems' uptake. The most important factor for PSS uptake is the application of the system in real-world planning to deal with real-world problems. This requires a shift from experimental PSS case studies towards application in factual</w:t>
      </w:r>
    </w:p>
    <w:p>
      <w:pPr>
        <w:spacing w:after="0" w:line="137" w:lineRule="exact"/>
        <w:rPr>
          <w:sz w:val="20"/>
          <w:szCs w:val="20"/>
          <w:color w:val="auto"/>
        </w:rPr>
      </w:pPr>
    </w:p>
    <w:p>
      <w:pPr>
        <w:sectPr>
          <w:pgSz w:w="11900" w:h="15874" w:orient="portrait"/>
          <w:cols w:equalWidth="0" w:num="2">
            <w:col w:w="5020" w:space="352"/>
            <w:col w:w="5028"/>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2</w:t>
      </w:r>
    </w:p>
    <w:p>
      <w:pPr>
        <w:sectPr>
          <w:pgSz w:w="11900" w:h="15874" w:orient="portrait"/>
          <w:cols w:equalWidth="0" w:num="1">
            <w:col w:w="10400"/>
          </w:cols>
          <w:pgMar w:left="760" w:top="676" w:right="746" w:bottom="37" w:gutter="0" w:footer="0" w:header="0"/>
          <w:type w:val="continuous"/>
        </w:sectPr>
      </w:pPr>
    </w:p>
    <w:bookmarkStart w:id="2" w:name="page3"/>
    <w:bookmarkEnd w:id="2"/>
    <w:p>
      <w:pPr>
        <w:spacing w:after="0" w:line="2" w:lineRule="exact"/>
        <w:rPr>
          <w:sz w:val="20"/>
          <w:szCs w:val="20"/>
          <w:color w:val="auto"/>
        </w:rPr>
      </w:pPr>
    </w:p>
    <w:p>
      <w:pPr>
        <w:spacing w:after="0"/>
        <w:rPr>
          <w:sz w:val="20"/>
          <w:szCs w:val="20"/>
          <w:color w:val="auto"/>
        </w:rPr>
      </w:pPr>
      <w:r>
        <w:rPr>
          <w:rFonts w:ascii="Arial" w:cs="Arial" w:eastAsia="Arial" w:hAnsi="Arial"/>
          <w:sz w:val="13"/>
          <w:szCs w:val="13"/>
          <w:i w:val="1"/>
          <w:iCs w:val="1"/>
          <w:color w:val="auto"/>
        </w:rPr>
        <w:t>E.P. Punt, et al.</w:t>
      </w:r>
    </w:p>
    <w:p>
      <w:pPr>
        <w:spacing w:after="0" w:line="274" w:lineRule="exact"/>
        <w:rPr>
          <w:sz w:val="20"/>
          <w:szCs w:val="20"/>
          <w:color w:val="auto"/>
        </w:rPr>
      </w:pPr>
    </w:p>
    <w:p>
      <w:pPr>
        <w:spacing w:after="0"/>
        <w:rPr>
          <w:sz w:val="20"/>
          <w:szCs w:val="20"/>
          <w:color w:val="auto"/>
        </w:rPr>
      </w:pPr>
      <w:r>
        <w:rPr>
          <w:rFonts w:ascii="Arial" w:cs="Arial" w:eastAsia="Arial" w:hAnsi="Arial"/>
          <w:sz w:val="16"/>
          <w:szCs w:val="16"/>
          <w:color w:val="auto"/>
        </w:rPr>
        <w:t>planning.</w:t>
      </w:r>
    </w:p>
    <w:p>
      <w:pPr>
        <w:spacing w:after="0" w:line="35" w:lineRule="exact"/>
        <w:rPr>
          <w:sz w:val="20"/>
          <w:szCs w:val="20"/>
          <w:color w:val="auto"/>
        </w:rPr>
      </w:pPr>
    </w:p>
    <w:p>
      <w:pPr>
        <w:jc w:val="both"/>
        <w:ind w:firstLine="249"/>
        <w:spacing w:after="0" w:line="297" w:lineRule="auto"/>
        <w:rPr>
          <w:rFonts w:ascii="Arial" w:cs="Arial" w:eastAsia="Arial" w:hAnsi="Arial"/>
          <w:sz w:val="15"/>
          <w:szCs w:val="15"/>
          <w:color w:val="auto"/>
        </w:rPr>
      </w:pPr>
      <w:r>
        <w:rPr>
          <w:rFonts w:ascii="Arial" w:cs="Arial" w:eastAsia="Arial" w:hAnsi="Arial"/>
          <w:sz w:val="15"/>
          <w:szCs w:val="15"/>
          <w:color w:val="auto"/>
        </w:rPr>
        <w:t xml:space="preserve">For this to happen, </w:t>
      </w:r>
      <w:r>
        <w:rPr>
          <w:rFonts w:ascii="Arial" w:cs="Arial" w:eastAsia="Arial" w:hAnsi="Arial"/>
          <w:sz w:val="15"/>
          <w:szCs w:val="15"/>
          <w:color w:val="206293"/>
        </w:rPr>
        <w:t>Geertman (2006)</w:t>
      </w:r>
      <w:r>
        <w:rPr>
          <w:rFonts w:ascii="Arial" w:cs="Arial" w:eastAsia="Arial" w:hAnsi="Arial"/>
          <w:sz w:val="15"/>
          <w:szCs w:val="15"/>
          <w:color w:val="auto"/>
        </w:rPr>
        <w:t xml:space="preserve"> proposed to focus on influ-ential factors of planning support adoption, which include context specificities of the planning process, explicitness and transparency in underlying premises, methods and outcomes, and the adaptation of planners. The factors of </w:t>
      </w:r>
      <w:r>
        <w:rPr>
          <w:rFonts w:ascii="Arial" w:cs="Arial" w:eastAsia="Arial" w:hAnsi="Arial"/>
          <w:sz w:val="15"/>
          <w:szCs w:val="15"/>
          <w:color w:val="206293"/>
        </w:rPr>
        <w:t>Geertman's (2006)</w:t>
      </w:r>
      <w:r>
        <w:rPr>
          <w:rFonts w:ascii="Arial" w:cs="Arial" w:eastAsia="Arial" w:hAnsi="Arial"/>
          <w:sz w:val="15"/>
          <w:szCs w:val="15"/>
          <w:color w:val="auto"/>
        </w:rPr>
        <w:t xml:space="preserve"> conceptual framework in-clude (1) the content of the planning issues at stake; (2) the char-acteristics of the users; (3) the characteristics of the planning and policy process; (4) the political context; (5) the characteristics of the instru-ments; and both the dominant (6) planning style and (7) policy model. This framework provides an interpretative model with which develop-ments within planning can be confronted with the actual and potential support functions of PSS tools. Despite critique that it lacks concept specificity and descriptions of relations between variables, the frame-work can be used to highlight the importance of context and user re-quirements in implementing a PSS (</w:t>
      </w:r>
      <w:r>
        <w:rPr>
          <w:rFonts w:ascii="Arial" w:cs="Arial" w:eastAsia="Arial" w:hAnsi="Arial"/>
          <w:sz w:val="15"/>
          <w:szCs w:val="15"/>
          <w:color w:val="206293"/>
        </w:rPr>
        <w:t>Goodspeed &amp; Hackel, 2017</w:t>
      </w:r>
      <w:r>
        <w:rPr>
          <w:rFonts w:ascii="Arial" w:cs="Arial" w:eastAsia="Arial" w:hAnsi="Arial"/>
          <w:sz w:val="15"/>
          <w:szCs w:val="15"/>
          <w:color w:val="auto"/>
        </w:rPr>
        <w:t xml:space="preserve">). </w:t>
      </w:r>
      <w:hyperlink w:anchor="page12">
        <w:r>
          <w:rPr>
            <w:rFonts w:ascii="Arial" w:cs="Arial" w:eastAsia="Arial" w:hAnsi="Arial"/>
            <w:sz w:val="15"/>
            <w:szCs w:val="15"/>
            <w:color w:val="206293"/>
          </w:rPr>
          <w:t>te</w:t>
        </w:r>
      </w:hyperlink>
      <w:r>
        <w:rPr>
          <w:rFonts w:ascii="Arial" w:cs="Arial" w:eastAsia="Arial" w:hAnsi="Arial"/>
          <w:sz w:val="15"/>
          <w:szCs w:val="15"/>
          <w:color w:val="auto"/>
        </w:rPr>
        <w:t xml:space="preserve"> </w:t>
      </w:r>
      <w:r>
        <w:rPr>
          <w:rFonts w:ascii="Arial" w:cs="Arial" w:eastAsia="Arial" w:hAnsi="Arial"/>
          <w:sz w:val="15"/>
          <w:szCs w:val="15"/>
          <w:color w:val="206293"/>
        </w:rPr>
        <w:t xml:space="preserve">Brömmelstroet and Bertolini (2008) </w:t>
      </w:r>
      <w:r>
        <w:rPr>
          <w:rFonts w:ascii="Arial" w:cs="Arial" w:eastAsia="Arial" w:hAnsi="Arial"/>
          <w:sz w:val="15"/>
          <w:szCs w:val="15"/>
          <w:color w:val="000000"/>
        </w:rPr>
        <w:t>argue that focusing on a common</w:t>
      </w:r>
      <w:r>
        <w:rPr>
          <w:rFonts w:ascii="Arial" w:cs="Arial" w:eastAsia="Arial" w:hAnsi="Arial"/>
          <w:sz w:val="15"/>
          <w:szCs w:val="15"/>
          <w:color w:val="206293"/>
        </w:rPr>
        <w:t xml:space="preserve"> </w:t>
      </w:r>
      <w:r>
        <w:rPr>
          <w:rFonts w:ascii="Arial" w:cs="Arial" w:eastAsia="Arial" w:hAnsi="Arial"/>
          <w:sz w:val="15"/>
          <w:szCs w:val="15"/>
          <w:color w:val="000000"/>
        </w:rPr>
        <w:t xml:space="preserve">language around these requirements can bridge differences in planning contexts; in ideas of planning theory and practice and in ideas between developers and users of planning support tools. Reducing these differ-ences leads to increased implementation of PSS tools. We use the con-ceptual framework by </w:t>
      </w:r>
      <w:r>
        <w:rPr>
          <w:rFonts w:ascii="Arial" w:cs="Arial" w:eastAsia="Arial" w:hAnsi="Arial"/>
          <w:sz w:val="15"/>
          <w:szCs w:val="15"/>
          <w:color w:val="206293"/>
        </w:rPr>
        <w:t>Geertman (2006)</w:t>
      </w:r>
      <w:r>
        <w:rPr>
          <w:rFonts w:ascii="Arial" w:cs="Arial" w:eastAsia="Arial" w:hAnsi="Arial"/>
          <w:sz w:val="15"/>
          <w:szCs w:val="15"/>
          <w:color w:val="000000"/>
        </w:rPr>
        <w:t xml:space="preserve"> to not only study the usefulness of a collection of PSS tools, but also include the discussion of contextual factors that ultimately facilitates a common language that contributes to the successful implementation of planning support theatres.</w:t>
      </w:r>
    </w:p>
    <w:p>
      <w:pPr>
        <w:spacing w:after="0" w:line="387"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2.3. Conceptual framework</w:t>
      </w:r>
    </w:p>
    <w:p>
      <w:pPr>
        <w:spacing w:after="0" w:line="234" w:lineRule="exact"/>
        <w:rPr>
          <w:sz w:val="20"/>
          <w:szCs w:val="20"/>
          <w:color w:val="auto"/>
        </w:rPr>
      </w:pPr>
    </w:p>
    <w:p>
      <w:pPr>
        <w:jc w:val="both"/>
        <w:ind w:firstLine="249"/>
        <w:spacing w:after="0" w:line="289" w:lineRule="auto"/>
        <w:rPr>
          <w:sz w:val="20"/>
          <w:szCs w:val="20"/>
          <w:color w:val="auto"/>
        </w:rPr>
      </w:pPr>
      <w:r>
        <w:rPr>
          <w:rFonts w:ascii="Arial" w:cs="Arial" w:eastAsia="Arial" w:hAnsi="Arial"/>
          <w:sz w:val="16"/>
          <w:szCs w:val="16"/>
          <w:color w:val="auto"/>
        </w:rPr>
        <w:t>Based on previous discussion, the usefulness of CAL can be found by determining its utility and usability (</w:t>
      </w:r>
      <w:r>
        <w:rPr>
          <w:rFonts w:ascii="Arial" w:cs="Arial" w:eastAsia="Arial" w:hAnsi="Arial"/>
          <w:sz w:val="16"/>
          <w:szCs w:val="16"/>
          <w:color w:val="206293"/>
        </w:rPr>
        <w:t>Fig. 1</w:t>
      </w:r>
      <w:r>
        <w:rPr>
          <w:rFonts w:ascii="Arial" w:cs="Arial" w:eastAsia="Arial" w:hAnsi="Arial"/>
          <w:sz w:val="16"/>
          <w:szCs w:val="16"/>
          <w:color w:val="auto"/>
        </w:rPr>
        <w:t>). This informs us on the fit between the support function of the technology and the planning task and the easiness of using the technology. This tells us how well-equipped CAL is to yield the promise of smart planning. Next, the lab's contribution to bridging the PSS implementation gap is studied by ex-amining a number of contextual factors that together with the useful-ness of the lab will tell us the success rate of implementation of CAL as a planning support theater.</w:t>
      </w:r>
    </w:p>
    <w:p>
      <w:pPr>
        <w:spacing w:after="0" w:line="174"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3. Methodology</w:t>
      </w:r>
    </w:p>
    <w:p>
      <w:pPr>
        <w:spacing w:after="0" w:line="234" w:lineRule="exact"/>
        <w:rPr>
          <w:sz w:val="20"/>
          <w:szCs w:val="20"/>
          <w:color w:val="auto"/>
        </w:rPr>
      </w:pPr>
    </w:p>
    <w:p>
      <w:pPr>
        <w:jc w:val="both"/>
        <w:ind w:firstLine="249"/>
        <w:spacing w:after="0" w:line="316" w:lineRule="auto"/>
        <w:rPr>
          <w:sz w:val="20"/>
          <w:szCs w:val="20"/>
          <w:color w:val="auto"/>
        </w:rPr>
      </w:pPr>
      <w:r>
        <w:rPr>
          <w:rFonts w:ascii="Arial" w:cs="Arial" w:eastAsia="Arial" w:hAnsi="Arial"/>
          <w:sz w:val="16"/>
          <w:szCs w:val="16"/>
          <w:color w:val="auto"/>
        </w:rPr>
        <w:t>To determine CAL's usefulness, a series of workshops (</w:t>
      </w:r>
      <w:r>
        <w:rPr>
          <w:rFonts w:ascii="Arial" w:cs="Arial" w:eastAsia="Arial" w:hAnsi="Arial"/>
          <w:sz w:val="16"/>
          <w:szCs w:val="16"/>
          <w:i w:val="1"/>
          <w:iCs w:val="1"/>
          <w:color w:val="auto"/>
        </w:rPr>
        <w:t>N</w:t>
      </w:r>
      <w:r>
        <w:rPr>
          <w:rFonts w:ascii="Arial" w:cs="Arial" w:eastAsia="Arial" w:hAnsi="Arial"/>
          <w:sz w:val="16"/>
          <w:szCs w:val="16"/>
          <w:color w:val="auto"/>
        </w:rPr>
        <w:t xml:space="preserve"> = 15) with participants (</w:t>
      </w:r>
      <w:r>
        <w:rPr>
          <w:rFonts w:ascii="Arial" w:cs="Arial" w:eastAsia="Arial" w:hAnsi="Arial"/>
          <w:sz w:val="16"/>
          <w:szCs w:val="16"/>
          <w:i w:val="1"/>
          <w:iCs w:val="1"/>
          <w:color w:val="auto"/>
        </w:rPr>
        <w:t>N</w:t>
      </w:r>
      <w:r>
        <w:rPr>
          <w:rFonts w:ascii="Arial" w:cs="Arial" w:eastAsia="Arial" w:hAnsi="Arial"/>
          <w:sz w:val="16"/>
          <w:szCs w:val="16"/>
          <w:color w:val="auto"/>
        </w:rPr>
        <w:t xml:space="preserve"> = 89) has been conducted between September 2018 and January 2019 using observational methods, group discussions and questionnaires.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948690</wp:posOffset>
            </wp:positionH>
            <wp:positionV relativeFrom="paragraph">
              <wp:posOffset>73660</wp:posOffset>
            </wp:positionV>
            <wp:extent cx="4696460" cy="24530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4696460" cy="245300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ind w:left="1560"/>
        <w:spacing w:after="0"/>
        <w:rPr>
          <w:sz w:val="20"/>
          <w:szCs w:val="20"/>
          <w:color w:val="auto"/>
        </w:rPr>
      </w:pPr>
      <w:r>
        <w:rPr>
          <w:rFonts w:ascii="Arial" w:cs="Arial" w:eastAsia="Arial" w:hAnsi="Arial"/>
          <w:sz w:val="12"/>
          <w:szCs w:val="12"/>
          <w:i w:val="1"/>
          <w:iCs w:val="1"/>
          <w:color w:val="auto"/>
        </w:rPr>
        <w:t>Computers, Environment and Urban Systems 82 (2020) 101485</w:t>
      </w:r>
    </w:p>
    <w:p>
      <w:pPr>
        <w:spacing w:after="0" w:line="287"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3.1. The city analytics lab</w:t>
      </w:r>
    </w:p>
    <w:p>
      <w:pPr>
        <w:spacing w:after="0" w:line="234" w:lineRule="exact"/>
        <w:rPr>
          <w:sz w:val="20"/>
          <w:szCs w:val="20"/>
          <w:color w:val="auto"/>
        </w:rPr>
      </w:pPr>
    </w:p>
    <w:p>
      <w:pPr>
        <w:jc w:val="both"/>
        <w:ind w:firstLine="250"/>
        <w:spacing w:after="0" w:line="295" w:lineRule="auto"/>
        <w:rPr>
          <w:sz w:val="20"/>
          <w:szCs w:val="20"/>
          <w:color w:val="auto"/>
        </w:rPr>
      </w:pPr>
      <w:r>
        <w:rPr>
          <w:rFonts w:ascii="Arial" w:cs="Arial" w:eastAsia="Arial" w:hAnsi="Arial"/>
          <w:sz w:val="15"/>
          <w:szCs w:val="15"/>
          <w:color w:val="auto"/>
        </w:rPr>
        <w:t>CAL is a space designed to support collaborative planning and user-centered design. CAL consists of a planning support theater, equipped with six high-resolution multi-touch tables on which various PSS tools can be loaded (</w:t>
      </w:r>
      <w:r>
        <w:rPr>
          <w:rFonts w:ascii="Arial" w:cs="Arial" w:eastAsia="Arial" w:hAnsi="Arial"/>
          <w:sz w:val="15"/>
          <w:szCs w:val="15"/>
          <w:color w:val="206293"/>
        </w:rPr>
        <w:t>Fig. 2</w:t>
      </w:r>
      <w:r>
        <w:rPr>
          <w:rFonts w:ascii="Arial" w:cs="Arial" w:eastAsia="Arial" w:hAnsi="Arial"/>
          <w:sz w:val="15"/>
          <w:szCs w:val="15"/>
          <w:color w:val="auto"/>
        </w:rPr>
        <w:t>), three Virtual Reality (VR)/Augmented Reality (AR) rooms, an Augmented Reality (AR) Sandbox (</w:t>
      </w:r>
      <w:r>
        <w:rPr>
          <w:rFonts w:ascii="Arial" w:cs="Arial" w:eastAsia="Arial" w:hAnsi="Arial"/>
          <w:sz w:val="15"/>
          <w:szCs w:val="15"/>
          <w:color w:val="206293"/>
        </w:rPr>
        <w:t>Fig. 3</w:t>
      </w:r>
      <w:r>
        <w:rPr>
          <w:rFonts w:ascii="Arial" w:cs="Arial" w:eastAsia="Arial" w:hAnsi="Arial"/>
          <w:sz w:val="15"/>
          <w:szCs w:val="15"/>
          <w:color w:val="auto"/>
        </w:rPr>
        <w:t>) and ob-servation rooms. CAL's primary goal is to support data augmented planning and design through the support of analytics, models, visuali-zations, and dashboards. CAL provides a collaborative space to bring together planning professionals, industry, citizens and governments in the formulation and evaluation of future city scenarios. Geodesign (</w:t>
      </w:r>
      <w:r>
        <w:rPr>
          <w:rFonts w:ascii="Arial" w:cs="Arial" w:eastAsia="Arial" w:hAnsi="Arial"/>
          <w:sz w:val="15"/>
          <w:szCs w:val="15"/>
          <w:color w:val="206293"/>
        </w:rPr>
        <w:t>Steinitz, 2012</w:t>
      </w:r>
      <w:r>
        <w:rPr>
          <w:rFonts w:ascii="Arial" w:cs="Arial" w:eastAsia="Arial" w:hAnsi="Arial"/>
          <w:sz w:val="15"/>
          <w:szCs w:val="15"/>
          <w:color w:val="auto"/>
        </w:rPr>
        <w:t>) is one of the design thinking methods for understanding place and space, supported in CAL. The geodesign framework creates and evaluates sustainable urban futures through proposing critical questions and collecting data and metrics (</w:t>
      </w:r>
      <w:r>
        <w:rPr>
          <w:rFonts w:ascii="Arial" w:cs="Arial" w:eastAsia="Arial" w:hAnsi="Arial"/>
          <w:sz w:val="15"/>
          <w:szCs w:val="15"/>
          <w:color w:val="206293"/>
        </w:rPr>
        <w:t>Pettit, Hawken, Ticzon, &amp;</w:t>
      </w:r>
      <w:r>
        <w:rPr>
          <w:rFonts w:ascii="Arial" w:cs="Arial" w:eastAsia="Arial" w:hAnsi="Arial"/>
          <w:sz w:val="15"/>
          <w:szCs w:val="15"/>
          <w:color w:val="auto"/>
        </w:rPr>
        <w:t xml:space="preserve"> </w:t>
      </w:r>
      <w:r>
        <w:rPr>
          <w:rFonts w:ascii="Arial" w:cs="Arial" w:eastAsia="Arial" w:hAnsi="Arial"/>
          <w:sz w:val="15"/>
          <w:szCs w:val="15"/>
          <w:color w:val="206293"/>
        </w:rPr>
        <w:t>Nakanishi, 2019</w:t>
      </w:r>
      <w:r>
        <w:rPr>
          <w:rFonts w:ascii="Arial" w:cs="Arial" w:eastAsia="Arial" w:hAnsi="Arial"/>
          <w:sz w:val="15"/>
          <w:szCs w:val="15"/>
          <w:color w:val="000000"/>
        </w:rPr>
        <w:t>;</w:t>
      </w:r>
      <w:r>
        <w:rPr>
          <w:rFonts w:ascii="Arial" w:cs="Arial" w:eastAsia="Arial" w:hAnsi="Arial"/>
          <w:sz w:val="15"/>
          <w:szCs w:val="15"/>
          <w:color w:val="206293"/>
        </w:rPr>
        <w:t xml:space="preserve"> Pettit, Hawken, Ticzon, Steinitz, et al., 2019</w:t>
      </w:r>
      <w:r>
        <w:rPr>
          <w:rFonts w:ascii="Arial" w:cs="Arial" w:eastAsia="Arial" w:hAnsi="Arial"/>
          <w:sz w:val="15"/>
          <w:szCs w:val="15"/>
          <w:color w:val="000000"/>
        </w:rPr>
        <w:t>). Geo-design and data analytics underpin the development and application of PSS tools in CAL to benefit smart planning.</w:t>
      </w:r>
    </w:p>
    <w:p>
      <w:pPr>
        <w:spacing w:after="0" w:line="174" w:lineRule="exact"/>
        <w:rPr>
          <w:sz w:val="20"/>
          <w:szCs w:val="20"/>
          <w:color w:val="auto"/>
        </w:rPr>
      </w:pPr>
    </w:p>
    <w:p>
      <w:pPr>
        <w:jc w:val="both"/>
        <w:ind w:firstLine="250"/>
        <w:spacing w:after="0" w:line="272" w:lineRule="auto"/>
        <w:rPr>
          <w:rFonts w:ascii="Arial" w:cs="Arial" w:eastAsia="Arial" w:hAnsi="Arial"/>
          <w:sz w:val="16"/>
          <w:szCs w:val="16"/>
          <w:color w:val="000000"/>
        </w:rPr>
      </w:pPr>
      <w:r>
        <w:rPr>
          <w:rFonts w:ascii="Arial" w:cs="Arial" w:eastAsia="Arial" w:hAnsi="Arial"/>
          <w:sz w:val="16"/>
          <w:szCs w:val="16"/>
          <w:color w:val="206293"/>
        </w:rPr>
        <w:t xml:space="preserve">Figs. 4–6 </w:t>
      </w:r>
      <w:r>
        <w:rPr>
          <w:rFonts w:ascii="Arial" w:cs="Arial" w:eastAsia="Arial" w:hAnsi="Arial"/>
          <w:sz w:val="16"/>
          <w:szCs w:val="16"/>
          <w:color w:val="000000"/>
        </w:rPr>
        <w:t>show the PSS tools available at CAL. Their most important</w:t>
      </w:r>
      <w:r>
        <w:rPr>
          <w:rFonts w:ascii="Arial" w:cs="Arial" w:eastAsia="Arial" w:hAnsi="Arial"/>
          <w:sz w:val="16"/>
          <w:szCs w:val="16"/>
          <w:color w:val="206293"/>
        </w:rPr>
        <w:t xml:space="preserve"> </w:t>
      </w:r>
      <w:r>
        <w:rPr>
          <w:rFonts w:ascii="Arial" w:cs="Arial" w:eastAsia="Arial" w:hAnsi="Arial"/>
          <w:sz w:val="16"/>
          <w:szCs w:val="16"/>
          <w:color w:val="000000"/>
        </w:rPr>
        <w:t>support functions are information gathering, storage and retrieval, vi-sualization, communication, analysis, modelling and design. CityViz (</w:t>
      </w:r>
      <w:r>
        <w:rPr>
          <w:rFonts w:ascii="Arial" w:cs="Arial" w:eastAsia="Arial" w:hAnsi="Arial"/>
          <w:sz w:val="16"/>
          <w:szCs w:val="16"/>
          <w:color w:val="206293"/>
        </w:rPr>
        <w:t>Fig. 4</w:t>
      </w:r>
      <w:r>
        <w:rPr>
          <w:rFonts w:ascii="Arial" w:cs="Arial" w:eastAsia="Arial" w:hAnsi="Arial"/>
          <w:sz w:val="16"/>
          <w:szCs w:val="16"/>
          <w:color w:val="000000"/>
        </w:rPr>
        <w:t>) is a data visualization and analytics platform that presents a comprehensive and integrated visual depiction of Sydney based on urban big data (</w:t>
      </w:r>
      <w:r>
        <w:rPr>
          <w:rFonts w:ascii="Arial" w:cs="Arial" w:eastAsia="Arial" w:hAnsi="Arial"/>
          <w:sz w:val="16"/>
          <w:szCs w:val="16"/>
          <w:color w:val="206293"/>
        </w:rPr>
        <w:t>Goodspeed, Pelzer, &amp; Pettit, 2018</w:t>
      </w:r>
      <w:r>
        <w:rPr>
          <w:rFonts w:ascii="Arial" w:cs="Arial" w:eastAsia="Arial" w:hAnsi="Arial"/>
          <w:sz w:val="16"/>
          <w:szCs w:val="16"/>
          <w:color w:val="000000"/>
        </w:rPr>
        <w:t>). It includes the ‘30 Min City’ visualization tool used in this study, which is based on smart card (Opal Card) data and depicts the travel time to reach key areas in Sydney Metropolitan Area (</w:t>
      </w:r>
      <w:r>
        <w:rPr>
          <w:rFonts w:ascii="Arial" w:cs="Arial" w:eastAsia="Arial" w:hAnsi="Arial"/>
          <w:sz w:val="16"/>
          <w:szCs w:val="16"/>
          <w:color w:val="206293"/>
        </w:rPr>
        <w:t>Leao, Pettit, Rashidi, Hassan, &amp; Jian, 2016</w:t>
      </w:r>
      <w:r>
        <w:rPr>
          <w:rFonts w:ascii="Arial" w:cs="Arial" w:eastAsia="Arial" w:hAnsi="Arial"/>
          <w:sz w:val="16"/>
          <w:szCs w:val="16"/>
          <w:color w:val="000000"/>
        </w:rPr>
        <w:t xml:space="preserve">; </w:t>
      </w:r>
      <w:r>
        <w:rPr>
          <w:rFonts w:ascii="Arial" w:cs="Arial" w:eastAsia="Arial" w:hAnsi="Arial"/>
          <w:sz w:val="16"/>
          <w:szCs w:val="16"/>
          <w:color w:val="206293"/>
        </w:rPr>
        <w:t>Pettit &amp; Leao, 2017</w:t>
      </w:r>
      <w:r>
        <w:rPr>
          <w:rFonts w:ascii="Arial" w:cs="Arial" w:eastAsia="Arial" w:hAnsi="Arial"/>
          <w:sz w:val="16"/>
          <w:szCs w:val="16"/>
          <w:color w:val="000000"/>
        </w:rPr>
        <w:t>). Other PSS tools available at CAL are CityData; City</w:t>
      </w:r>
      <w:r>
        <w:rPr>
          <w:rFonts w:ascii="Arial" w:cs="Arial" w:eastAsia="Arial" w:hAnsi="Arial"/>
          <w:sz w:val="16"/>
          <w:szCs w:val="16"/>
          <w:color w:val="206293"/>
        </w:rPr>
        <w:t xml:space="preserve"> </w:t>
      </w:r>
      <w:r>
        <w:rPr>
          <w:rFonts w:ascii="Arial" w:cs="Arial" w:eastAsia="Arial" w:hAnsi="Arial"/>
          <w:sz w:val="16"/>
          <w:szCs w:val="16"/>
          <w:color w:val="000000"/>
        </w:rPr>
        <w:t>Dashboard, also known as CityDash (</w:t>
      </w:r>
      <w:r>
        <w:rPr>
          <w:rFonts w:ascii="Arial" w:cs="Arial" w:eastAsia="Arial" w:hAnsi="Arial"/>
          <w:sz w:val="16"/>
          <w:szCs w:val="16"/>
          <w:color w:val="206293"/>
        </w:rPr>
        <w:t>Pettit, Lieske, &amp; Jamal, 2017</w:t>
      </w:r>
      <w:r>
        <w:rPr>
          <w:rFonts w:ascii="Arial" w:cs="Arial" w:eastAsia="Arial" w:hAnsi="Arial"/>
          <w:sz w:val="16"/>
          <w:szCs w:val="16"/>
          <w:color w:val="000000"/>
        </w:rPr>
        <w:t xml:space="preserve">; </w:t>
      </w:r>
      <w:r>
        <w:rPr>
          <w:rFonts w:ascii="Arial" w:cs="Arial" w:eastAsia="Arial" w:hAnsi="Arial"/>
          <w:sz w:val="16"/>
          <w:szCs w:val="16"/>
          <w:color w:val="206293"/>
        </w:rPr>
        <w:t>Pettit, Tice, &amp; Randolph, 2017</w:t>
      </w:r>
      <w:r>
        <w:rPr>
          <w:rFonts w:ascii="Arial" w:cs="Arial" w:eastAsia="Arial" w:hAnsi="Arial"/>
          <w:sz w:val="16"/>
          <w:szCs w:val="16"/>
          <w:color w:val="000000"/>
        </w:rPr>
        <w:t>), and the value uplift tool Rapid Ana-lytics Interactive Scenario Explorer (RAISE) (</w:t>
      </w:r>
      <w:r>
        <w:rPr>
          <w:rFonts w:ascii="Arial" w:cs="Arial" w:eastAsia="Arial" w:hAnsi="Arial"/>
          <w:sz w:val="16"/>
          <w:szCs w:val="16"/>
          <w:color w:val="206293"/>
        </w:rPr>
        <w:t>Lieske, van den</w:t>
      </w:r>
      <w:r>
        <w:rPr>
          <w:rFonts w:ascii="Arial" w:cs="Arial" w:eastAsia="Arial" w:hAnsi="Arial"/>
          <w:sz w:val="16"/>
          <w:szCs w:val="16"/>
          <w:color w:val="000000"/>
        </w:rPr>
        <w:t xml:space="preserve"> </w:t>
      </w:r>
      <w:r>
        <w:rPr>
          <w:rFonts w:ascii="Arial" w:cs="Arial" w:eastAsia="Arial" w:hAnsi="Arial"/>
          <w:sz w:val="16"/>
          <w:szCs w:val="16"/>
          <w:color w:val="206293"/>
        </w:rPr>
        <w:t>Nouwelant, Han, &amp; Pettit, 2019</w:t>
      </w:r>
      <w:r>
        <w:rPr>
          <w:rFonts w:ascii="Arial" w:cs="Arial" w:eastAsia="Arial" w:hAnsi="Arial"/>
          <w:sz w:val="16"/>
          <w:szCs w:val="16"/>
          <w:color w:val="000000"/>
        </w:rPr>
        <w:t>), which all support data gathering,</w:t>
      </w:r>
      <w:r>
        <w:rPr>
          <w:rFonts w:ascii="Arial" w:cs="Arial" w:eastAsia="Arial" w:hAnsi="Arial"/>
          <w:sz w:val="16"/>
          <w:szCs w:val="16"/>
          <w:color w:val="206293"/>
        </w:rPr>
        <w:t xml:space="preserve"> </w:t>
      </w:r>
      <w:r>
        <w:rPr>
          <w:rFonts w:ascii="Arial" w:cs="Arial" w:eastAsia="Arial" w:hAnsi="Arial"/>
          <w:sz w:val="16"/>
          <w:szCs w:val="16"/>
          <w:color w:val="000000"/>
        </w:rPr>
        <w:t>storage, retrieval, analysis and visualization (</w:t>
      </w:r>
      <w:r>
        <w:rPr>
          <w:rFonts w:ascii="Arial" w:cs="Arial" w:eastAsia="Arial" w:hAnsi="Arial"/>
          <w:sz w:val="16"/>
          <w:szCs w:val="16"/>
          <w:color w:val="206293"/>
        </w:rPr>
        <w:t>Figs. 5 and 6</w:t>
      </w:r>
      <w:r>
        <w:rPr>
          <w:rFonts w:ascii="Arial" w:cs="Arial" w:eastAsia="Arial" w:hAnsi="Arial"/>
          <w:sz w:val="16"/>
          <w:szCs w:val="16"/>
          <w:color w:val="000000"/>
        </w:rPr>
        <w:t>). Ad-ditionally, the Cruiser software allows data to be visualized, manipu-lated, and communicated (</w:t>
      </w:r>
      <w:r>
        <w:rPr>
          <w:rFonts w:ascii="Arial" w:cs="Arial" w:eastAsia="Arial" w:hAnsi="Arial"/>
          <w:sz w:val="16"/>
          <w:szCs w:val="16"/>
          <w:color w:val="206293"/>
        </w:rPr>
        <w:t>Fig. 6</w:t>
      </w:r>
      <w:r>
        <w:rPr>
          <w:rFonts w:ascii="Arial" w:cs="Arial" w:eastAsia="Arial" w:hAnsi="Arial"/>
          <w:sz w:val="16"/>
          <w:szCs w:val="16"/>
          <w:color w:val="000000"/>
        </w:rPr>
        <w:t xml:space="preserve">; </w:t>
      </w:r>
      <w:r>
        <w:rPr>
          <w:rFonts w:ascii="Arial" w:cs="Arial" w:eastAsia="Arial" w:hAnsi="Arial"/>
          <w:sz w:val="16"/>
          <w:szCs w:val="16"/>
          <w:color w:val="206293"/>
        </w:rPr>
        <w:t>Apted, Kay, &amp; Assad, 2005</w:t>
      </w:r>
      <w:r>
        <w:rPr>
          <w:rFonts w:ascii="Arial" w:cs="Arial" w:eastAsia="Arial" w:hAnsi="Arial"/>
          <w:sz w:val="16"/>
          <w:szCs w:val="16"/>
          <w:color w:val="000000"/>
        </w:rPr>
        <w:t>). CAL provides communication support through the ‘swipe’-function in Cruiser, which allows information to be send to other interactive tables. All planning support tools, except the AR Sandbox, can be run on the six interactive tables in the planning support theater. The AR Sandbox is set up in a separate room and can be used for the modelling and design of new landscapes (</w:t>
      </w:r>
      <w:hyperlink w:anchor="page12">
        <w:r>
          <w:rPr>
            <w:rFonts w:ascii="Arial" w:cs="Arial" w:eastAsia="Arial" w:hAnsi="Arial"/>
            <w:sz w:val="16"/>
            <w:szCs w:val="16"/>
            <w:color w:val="206293"/>
          </w:rPr>
          <w:t>Afrooz, Ballal, &amp; Pettit, 2018</w:t>
        </w:r>
      </w:hyperlink>
      <w:r>
        <w:rPr>
          <w:rFonts w:ascii="Arial" w:cs="Arial" w:eastAsia="Arial" w:hAnsi="Arial"/>
          <w:sz w:val="16"/>
          <w:szCs w:val="16"/>
          <w:color w:val="000000"/>
        </w:rPr>
        <w:t xml:space="preserve">; </w:t>
      </w:r>
      <w:hyperlink w:anchor="page4">
        <w:r>
          <w:rPr>
            <w:rFonts w:ascii="Arial" w:cs="Arial" w:eastAsia="Arial" w:hAnsi="Arial"/>
            <w:sz w:val="16"/>
            <w:szCs w:val="16"/>
            <w:color w:val="206293"/>
          </w:rPr>
          <w:t>Fig. 3</w:t>
        </w:r>
      </w:hyperlink>
      <w:r>
        <w:rPr>
          <w:rFonts w:ascii="Arial" w:cs="Arial" w:eastAsia="Arial" w:hAnsi="Arial"/>
          <w:sz w:val="16"/>
          <w:szCs w:val="16"/>
          <w:color w:val="000000"/>
        </w:rPr>
        <w:t>).</w:t>
      </w:r>
    </w:p>
    <w:p>
      <w:pPr>
        <w:spacing w:after="0" w:line="16" w:lineRule="exact"/>
        <w:rPr>
          <w:sz w:val="20"/>
          <w:szCs w:val="20"/>
          <w:color w:val="auto"/>
        </w:rPr>
      </w:pPr>
    </w:p>
    <w:p>
      <w:pPr>
        <w:jc w:val="both"/>
        <w:ind w:firstLine="250"/>
        <w:spacing w:after="0" w:line="434" w:lineRule="auto"/>
        <w:rPr>
          <w:rFonts w:ascii="Arial" w:cs="Arial" w:eastAsia="Arial" w:hAnsi="Arial"/>
          <w:sz w:val="15"/>
          <w:szCs w:val="15"/>
          <w:color w:val="auto"/>
        </w:rPr>
      </w:pPr>
      <w:r>
        <w:rPr>
          <w:rFonts w:ascii="Arial" w:cs="Arial" w:eastAsia="Arial" w:hAnsi="Arial"/>
          <w:sz w:val="15"/>
          <w:szCs w:val="15"/>
          <w:color w:val="auto"/>
        </w:rPr>
        <w:t>Ultimately CAL need to fit into the collaborative planning process to become useful to planning practitioners and policy makers (</w:t>
      </w:r>
      <w:hyperlink w:anchor="page12">
        <w:r>
          <w:rPr>
            <w:rFonts w:ascii="Arial" w:cs="Arial" w:eastAsia="Arial" w:hAnsi="Arial"/>
            <w:sz w:val="15"/>
            <w:szCs w:val="15"/>
            <w:color w:val="206293"/>
          </w:rPr>
          <w:t>Lissandrello</w:t>
        </w:r>
      </w:hyperlink>
    </w:p>
    <w:p>
      <w:pPr>
        <w:spacing w:after="0" w:line="268"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 xml:space="preserve">Fig. 1. </w:t>
      </w:r>
      <w:r>
        <w:rPr>
          <w:rFonts w:ascii="Arial" w:cs="Arial" w:eastAsia="Arial" w:hAnsi="Arial"/>
          <w:sz w:val="14"/>
          <w:szCs w:val="14"/>
          <w:color w:val="auto"/>
        </w:rPr>
        <w:t>Conceptual model for conducting usefulness evaluation of City Analytics Lab (adapted from</w:t>
      </w:r>
      <w:r>
        <w:rPr>
          <w:rFonts w:ascii="Arial" w:cs="Arial" w:eastAsia="Arial" w:hAnsi="Arial"/>
          <w:sz w:val="14"/>
          <w:szCs w:val="14"/>
          <w:b w:val="1"/>
          <w:bCs w:val="1"/>
          <w:color w:val="auto"/>
        </w:rPr>
        <w:t xml:space="preserve"> </w:t>
      </w:r>
      <w:r>
        <w:rPr>
          <w:rFonts w:ascii="Arial" w:cs="Arial" w:eastAsia="Arial" w:hAnsi="Arial"/>
          <w:sz w:val="14"/>
          <w:szCs w:val="14"/>
          <w:color w:val="206293"/>
        </w:rPr>
        <w:t>Pelzer, 2017</w:t>
      </w:r>
      <w:r>
        <w:rPr>
          <w:rFonts w:ascii="Arial" w:cs="Arial" w:eastAsia="Arial" w:hAnsi="Arial"/>
          <w:sz w:val="14"/>
          <w:szCs w:val="14"/>
          <w:b w:val="1"/>
          <w:bCs w:val="1"/>
          <w:color w:val="auto"/>
        </w:rPr>
        <w:t xml:space="preserve"> </w:t>
      </w:r>
      <w:r>
        <w:rPr>
          <w:rFonts w:ascii="Arial" w:cs="Arial" w:eastAsia="Arial" w:hAnsi="Arial"/>
          <w:sz w:val="14"/>
          <w:szCs w:val="14"/>
          <w:color w:val="auto"/>
        </w:rPr>
        <w:t>and</w:t>
      </w:r>
      <w:r>
        <w:rPr>
          <w:rFonts w:ascii="Arial" w:cs="Arial" w:eastAsia="Arial" w:hAnsi="Arial"/>
          <w:sz w:val="14"/>
          <w:szCs w:val="14"/>
          <w:b w:val="1"/>
          <w:bCs w:val="1"/>
          <w:color w:val="auto"/>
        </w:rPr>
        <w:t xml:space="preserve"> </w:t>
      </w:r>
      <w:r>
        <w:rPr>
          <w:rFonts w:ascii="Arial" w:cs="Arial" w:eastAsia="Arial" w:hAnsi="Arial"/>
          <w:sz w:val="14"/>
          <w:szCs w:val="14"/>
          <w:color w:val="206293"/>
        </w:rPr>
        <w:t>Geertman, 2006</w:t>
      </w:r>
      <w:r>
        <w:rPr>
          <w:rFonts w:ascii="Arial" w:cs="Arial" w:eastAsia="Arial" w:hAnsi="Arial"/>
          <w:sz w:val="14"/>
          <w:szCs w:val="14"/>
          <w:color w:val="auto"/>
        </w:rPr>
        <w:t>).</w:t>
      </w:r>
    </w:p>
    <w:p>
      <w:pPr>
        <w:sectPr>
          <w:pgSz w:w="11900" w:h="15874" w:orient="portrait"/>
          <w:cols w:equalWidth="0" w:num="1">
            <w:col w:w="10400"/>
          </w:cols>
          <w:pgMar w:left="760" w:top="676" w:right="746" w:bottom="37" w:gutter="0" w:footer="0" w:header="0"/>
          <w:type w:val="continuous"/>
        </w:sectPr>
      </w:pPr>
    </w:p>
    <w:p>
      <w:pPr>
        <w:spacing w:after="0" w:line="341"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3</w:t>
      </w:r>
    </w:p>
    <w:p>
      <w:pPr>
        <w:sectPr>
          <w:pgSz w:w="11900" w:h="15874" w:orient="portrait"/>
          <w:cols w:equalWidth="0" w:num="1">
            <w:col w:w="10400"/>
          </w:cols>
          <w:pgMar w:left="760" w:top="676" w:right="746" w:bottom="37" w:gutter="0" w:footer="0" w:header="0"/>
          <w:type w:val="continuous"/>
        </w:sectPr>
      </w:pPr>
    </w:p>
    <w:bookmarkStart w:id="3" w:name="page4"/>
    <w:bookmarkEnd w:id="3"/>
    <w:p>
      <w:pPr>
        <w:ind w:left="8"/>
        <w:spacing w:after="0"/>
        <w:tabs>
          <w:tab w:leader="none" w:pos="6928"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199390</wp:posOffset>
            </wp:positionV>
            <wp:extent cx="5059680" cy="37579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059680" cy="3757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7"/>
        <w:spacing w:after="0"/>
        <w:rPr>
          <w:sz w:val="20"/>
          <w:szCs w:val="20"/>
          <w:color w:val="auto"/>
        </w:rPr>
      </w:pPr>
      <w:r>
        <w:rPr>
          <w:rFonts w:ascii="Arial" w:cs="Arial" w:eastAsia="Arial" w:hAnsi="Arial"/>
          <w:sz w:val="14"/>
          <w:szCs w:val="14"/>
          <w:b w:val="1"/>
          <w:bCs w:val="1"/>
          <w:color w:val="auto"/>
        </w:rPr>
        <w:t xml:space="preserve">Fig. 2. </w:t>
      </w:r>
      <w:r>
        <w:rPr>
          <w:rFonts w:ascii="Arial" w:cs="Arial" w:eastAsia="Arial" w:hAnsi="Arial"/>
          <w:sz w:val="14"/>
          <w:szCs w:val="14"/>
          <w:color w:val="auto"/>
        </w:rPr>
        <w:t>Multi-touch tables with Cruiser software located in CAL (source: authors).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224155</wp:posOffset>
            </wp:positionV>
            <wp:extent cx="5059680" cy="33769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059680" cy="3376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7"/>
        <w:spacing w:after="0"/>
        <w:rPr>
          <w:sz w:val="20"/>
          <w:szCs w:val="20"/>
          <w:color w:val="auto"/>
        </w:rPr>
      </w:pPr>
      <w:r>
        <w:rPr>
          <w:rFonts w:ascii="Arial" w:cs="Arial" w:eastAsia="Arial" w:hAnsi="Arial"/>
          <w:sz w:val="14"/>
          <w:szCs w:val="14"/>
          <w:b w:val="1"/>
          <w:bCs w:val="1"/>
          <w:color w:val="auto"/>
        </w:rPr>
        <w:t xml:space="preserve">Fig. 3. </w:t>
      </w:r>
      <w:r>
        <w:rPr>
          <w:rFonts w:ascii="Arial" w:cs="Arial" w:eastAsia="Arial" w:hAnsi="Arial"/>
          <w:sz w:val="14"/>
          <w:szCs w:val="14"/>
          <w:color w:val="auto"/>
        </w:rPr>
        <w:t>AR Sandbox used by participants (source: authors).</w:t>
      </w:r>
    </w:p>
    <w:p>
      <w:pPr>
        <w:sectPr>
          <w:pgSz w:w="11900" w:h="15874" w:orient="portrait"/>
          <w:cols w:equalWidth="0" w:num="1">
            <w:col w:w="10408"/>
          </w:cols>
          <w:pgMar w:left="752" w:top="676" w:right="746" w:bottom="37" w:gutter="0" w:footer="0" w:header="0"/>
        </w:sectPr>
      </w:pPr>
    </w:p>
    <w:p>
      <w:pPr>
        <w:spacing w:after="0" w:line="304" w:lineRule="exact"/>
        <w:rPr>
          <w:sz w:val="20"/>
          <w:szCs w:val="20"/>
          <w:color w:val="auto"/>
        </w:rPr>
      </w:pPr>
    </w:p>
    <w:p>
      <w:pPr>
        <w:jc w:val="both"/>
        <w:ind w:left="8" w:hanging="8"/>
        <w:spacing w:after="0" w:line="330" w:lineRule="auto"/>
        <w:tabs>
          <w:tab w:leader="none" w:pos="163" w:val="left"/>
        </w:tabs>
        <w:numPr>
          <w:ilvl w:val="0"/>
          <w:numId w:val="4"/>
        </w:numPr>
        <w:rPr>
          <w:rFonts w:ascii="Arial" w:cs="Arial" w:eastAsia="Arial" w:hAnsi="Arial"/>
          <w:sz w:val="15"/>
          <w:szCs w:val="15"/>
          <w:color w:val="206293"/>
        </w:rPr>
      </w:pPr>
      <w:hyperlink w:anchor="page12">
        <w:r>
          <w:rPr>
            <w:rFonts w:ascii="Arial" w:cs="Arial" w:eastAsia="Arial" w:hAnsi="Arial"/>
            <w:sz w:val="15"/>
            <w:szCs w:val="15"/>
            <w:color w:val="206293"/>
          </w:rPr>
          <w:t>Grin, 2011</w:t>
        </w:r>
      </w:hyperlink>
      <w:r>
        <w:rPr>
          <w:rFonts w:ascii="Arial" w:cs="Arial" w:eastAsia="Arial" w:hAnsi="Arial"/>
          <w:sz w:val="15"/>
          <w:szCs w:val="15"/>
          <w:color w:val="000000"/>
        </w:rPr>
        <w:t>;</w:t>
      </w:r>
      <w:r>
        <w:rPr>
          <w:rFonts w:ascii="Arial" w:cs="Arial" w:eastAsia="Arial" w:hAnsi="Arial"/>
          <w:sz w:val="15"/>
          <w:szCs w:val="15"/>
          <w:color w:val="206293"/>
        </w:rPr>
        <w:t xml:space="preserve"> </w:t>
      </w:r>
      <w:hyperlink w:anchor="page12">
        <w:r>
          <w:rPr>
            <w:rFonts w:ascii="Arial" w:cs="Arial" w:eastAsia="Arial" w:hAnsi="Arial"/>
            <w:sz w:val="15"/>
            <w:szCs w:val="15"/>
            <w:color w:val="206293"/>
          </w:rPr>
          <w:t>Pelzer, 2017</w:t>
        </w:r>
      </w:hyperlink>
      <w:r>
        <w:rPr>
          <w:rFonts w:ascii="Arial" w:cs="Arial" w:eastAsia="Arial" w:hAnsi="Arial"/>
          <w:sz w:val="15"/>
          <w:szCs w:val="15"/>
          <w:color w:val="000000"/>
        </w:rPr>
        <w:t>). An example in Australia is the Department</w:t>
      </w:r>
      <w:r>
        <w:rPr>
          <w:rFonts w:ascii="Arial" w:cs="Arial" w:eastAsia="Arial" w:hAnsi="Arial"/>
          <w:sz w:val="15"/>
          <w:szCs w:val="15"/>
          <w:color w:val="206293"/>
        </w:rPr>
        <w:t xml:space="preserve"> </w:t>
      </w:r>
      <w:r>
        <w:rPr>
          <w:rFonts w:ascii="Arial" w:cs="Arial" w:eastAsia="Arial" w:hAnsi="Arial"/>
          <w:sz w:val="15"/>
          <w:szCs w:val="15"/>
          <w:color w:val="000000"/>
        </w:rPr>
        <w:t>of Industry, Innovation and Science's Cooperative Research Centres (CRC) program that involves policy makers, practitioners or industry collaboratively defining research questions and communicating results, often in ways geared towards non-academic audiences (</w:t>
      </w:r>
      <w:r>
        <w:rPr>
          <w:rFonts w:ascii="Arial" w:cs="Arial" w:eastAsia="Arial" w:hAnsi="Arial"/>
          <w:sz w:val="15"/>
          <w:szCs w:val="15"/>
          <w:color w:val="206293"/>
        </w:rPr>
        <w:t>Gurran, 2018</w:t>
      </w:r>
      <w:r>
        <w:rPr>
          <w:rFonts w:ascii="Arial" w:cs="Arial" w:eastAsia="Arial" w:hAnsi="Arial"/>
          <w:sz w:val="15"/>
          <w:szCs w:val="15"/>
          <w:color w:val="000000"/>
        </w:rPr>
        <w:t>).</w:t>
      </w:r>
    </w:p>
    <w:p>
      <w:pPr>
        <w:spacing w:after="0" w:line="20" w:lineRule="exact"/>
        <w:rPr>
          <w:rFonts w:ascii="Arial" w:cs="Arial" w:eastAsia="Arial" w:hAnsi="Arial"/>
          <w:sz w:val="15"/>
          <w:szCs w:val="15"/>
          <w:color w:val="206293"/>
        </w:rPr>
      </w:pPr>
      <w:r>
        <w:rPr>
          <w:rFonts w:ascii="Arial" w:cs="Arial" w:eastAsia="Arial" w:hAnsi="Arial"/>
          <w:sz w:val="15"/>
          <w:szCs w:val="15"/>
          <w:color w:val="206293"/>
        </w:rPr>
        <w:br w:type="column"/>
      </w:r>
    </w:p>
    <w:p>
      <w:pPr>
        <w:spacing w:after="0" w:line="284" w:lineRule="exact"/>
        <w:rPr>
          <w:rFonts w:ascii="Arial" w:cs="Arial" w:eastAsia="Arial" w:hAnsi="Arial"/>
          <w:sz w:val="15"/>
          <w:szCs w:val="15"/>
          <w:color w:val="206293"/>
        </w:rPr>
      </w:pPr>
    </w:p>
    <w:p>
      <w:pPr>
        <w:spacing w:after="0"/>
        <w:rPr>
          <w:sz w:val="20"/>
          <w:szCs w:val="20"/>
          <w:color w:val="auto"/>
        </w:rPr>
      </w:pPr>
      <w:r>
        <w:rPr>
          <w:rFonts w:ascii="Arial" w:cs="Arial" w:eastAsia="Arial" w:hAnsi="Arial"/>
          <w:sz w:val="16"/>
          <w:szCs w:val="16"/>
          <w:i w:val="1"/>
          <w:iCs w:val="1"/>
          <w:color w:val="auto"/>
        </w:rPr>
        <w:t>3.1.1. CAL compared to other planning support theatres</w:t>
      </w:r>
    </w:p>
    <w:p>
      <w:pPr>
        <w:spacing w:after="0" w:line="35" w:lineRule="exact"/>
        <w:rPr>
          <w:rFonts w:ascii="Arial" w:cs="Arial" w:eastAsia="Arial" w:hAnsi="Arial"/>
          <w:sz w:val="15"/>
          <w:szCs w:val="15"/>
          <w:color w:val="206293"/>
        </w:rPr>
      </w:pPr>
    </w:p>
    <w:p>
      <w:pPr>
        <w:jc w:val="both"/>
        <w:ind w:firstLine="250"/>
        <w:spacing w:after="0" w:line="302" w:lineRule="auto"/>
        <w:rPr>
          <w:sz w:val="20"/>
          <w:szCs w:val="20"/>
          <w:color w:val="auto"/>
        </w:rPr>
      </w:pPr>
      <w:r>
        <w:rPr>
          <w:rFonts w:ascii="Arial" w:cs="Arial" w:eastAsia="Arial" w:hAnsi="Arial"/>
          <w:sz w:val="16"/>
          <w:szCs w:val="16"/>
          <w:color w:val="auto"/>
        </w:rPr>
        <w:t>While local media called CAL the first dedicated lab that supports the planning and design of future cities (</w:t>
      </w:r>
      <w:r>
        <w:rPr>
          <w:rFonts w:ascii="Arial" w:cs="Arial" w:eastAsia="Arial" w:hAnsi="Arial"/>
          <w:sz w:val="16"/>
          <w:szCs w:val="16"/>
          <w:color w:val="206293"/>
        </w:rPr>
        <w:t>GovTech Review, 2018</w:t>
      </w:r>
      <w:r>
        <w:rPr>
          <w:rFonts w:ascii="Arial" w:cs="Arial" w:eastAsia="Arial" w:hAnsi="Arial"/>
          <w:sz w:val="16"/>
          <w:szCs w:val="16"/>
          <w:color w:val="auto"/>
        </w:rPr>
        <w:t xml:space="preserve">; </w:t>
      </w:r>
      <w:r>
        <w:rPr>
          <w:rFonts w:ascii="Arial" w:cs="Arial" w:eastAsia="Arial" w:hAnsi="Arial"/>
          <w:sz w:val="16"/>
          <w:szCs w:val="16"/>
          <w:color w:val="206293"/>
        </w:rPr>
        <w:t>Johnston, 2018</w:t>
      </w:r>
      <w:r>
        <w:rPr>
          <w:rFonts w:ascii="Arial" w:cs="Arial" w:eastAsia="Arial" w:hAnsi="Arial"/>
          <w:sz w:val="16"/>
          <w:szCs w:val="16"/>
          <w:color w:val="000000"/>
        </w:rPr>
        <w:t>;</w:t>
      </w:r>
      <w:r>
        <w:rPr>
          <w:rFonts w:ascii="Arial" w:cs="Arial" w:eastAsia="Arial" w:hAnsi="Arial"/>
          <w:sz w:val="16"/>
          <w:szCs w:val="16"/>
          <w:color w:val="206293"/>
        </w:rPr>
        <w:t xml:space="preserve"> Millman, 2018</w:t>
      </w:r>
      <w:r>
        <w:rPr>
          <w:rFonts w:ascii="Arial" w:cs="Arial" w:eastAsia="Arial" w:hAnsi="Arial"/>
          <w:sz w:val="16"/>
          <w:szCs w:val="16"/>
          <w:color w:val="000000"/>
        </w:rPr>
        <w:t>), there are other initiatives around the</w:t>
      </w:r>
      <w:r>
        <w:rPr>
          <w:rFonts w:ascii="Arial" w:cs="Arial" w:eastAsia="Arial" w:hAnsi="Arial"/>
          <w:sz w:val="16"/>
          <w:szCs w:val="16"/>
          <w:color w:val="206293"/>
        </w:rPr>
        <w:t xml:space="preserve"> </w:t>
      </w:r>
      <w:r>
        <w:rPr>
          <w:rFonts w:ascii="Arial" w:cs="Arial" w:eastAsia="Arial" w:hAnsi="Arial"/>
          <w:sz w:val="16"/>
          <w:szCs w:val="16"/>
          <w:color w:val="000000"/>
        </w:rPr>
        <w:t>world that aim for similar smart planning support. The City Science Group at MIT for example proposes a new methodology of interaction</w:t>
      </w:r>
    </w:p>
    <w:p>
      <w:pPr>
        <w:spacing w:after="0" w:line="200" w:lineRule="exact"/>
        <w:rPr>
          <w:rFonts w:ascii="Arial" w:cs="Arial" w:eastAsia="Arial" w:hAnsi="Arial"/>
          <w:sz w:val="15"/>
          <w:szCs w:val="15"/>
          <w:color w:val="206293"/>
        </w:rPr>
      </w:pPr>
    </w:p>
    <w:p>
      <w:pPr>
        <w:sectPr>
          <w:pgSz w:w="11900" w:h="15874" w:orient="portrait"/>
          <w:cols w:equalWidth="0" w:num="2">
            <w:col w:w="5028" w:space="360"/>
            <w:col w:w="5020"/>
          </w:cols>
          <w:pgMar w:left="752" w:top="676" w:right="746" w:bottom="37" w:gutter="0" w:footer="0" w:header="0"/>
          <w:type w:val="continuous"/>
        </w:sectPr>
      </w:pPr>
    </w:p>
    <w:p>
      <w:pPr>
        <w:spacing w:after="0" w:line="58" w:lineRule="exact"/>
        <w:rPr>
          <w:rFonts w:ascii="Arial" w:cs="Arial" w:eastAsia="Arial" w:hAnsi="Arial"/>
          <w:sz w:val="15"/>
          <w:szCs w:val="15"/>
          <w:color w:val="206293"/>
        </w:rPr>
      </w:pPr>
    </w:p>
    <w:p>
      <w:pPr>
        <w:jc w:val="center"/>
        <w:ind w:right="12"/>
        <w:spacing w:after="0"/>
        <w:rPr>
          <w:sz w:val="20"/>
          <w:szCs w:val="20"/>
          <w:color w:val="auto"/>
        </w:rPr>
      </w:pPr>
      <w:r>
        <w:rPr>
          <w:rFonts w:ascii="Arial" w:cs="Arial" w:eastAsia="Arial" w:hAnsi="Arial"/>
          <w:sz w:val="10"/>
          <w:szCs w:val="10"/>
          <w:color w:val="auto"/>
        </w:rPr>
        <w:t>4</w:t>
      </w:r>
    </w:p>
    <w:p>
      <w:pPr>
        <w:sectPr>
          <w:pgSz w:w="11900" w:h="15874" w:orient="portrait"/>
          <w:cols w:equalWidth="0" w:num="1">
            <w:col w:w="10408"/>
          </w:cols>
          <w:pgMar w:left="752" w:top="676" w:right="746" w:bottom="37" w:gutter="0" w:footer="0" w:header="0"/>
          <w:type w:val="continuous"/>
        </w:sectPr>
      </w:pPr>
    </w:p>
    <w:bookmarkStart w:id="4" w:name="page5"/>
    <w:bookmarkEnd w:id="4"/>
    <w:p>
      <w:pPr>
        <w:spacing w:after="0"/>
        <w:tabs>
          <w:tab w:leader="none" w:pos="6920"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199390</wp:posOffset>
            </wp:positionV>
            <wp:extent cx="6574155" cy="21824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574155" cy="2182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rFonts w:ascii="Arial" w:cs="Arial" w:eastAsia="Arial" w:hAnsi="Arial"/>
          <w:sz w:val="14"/>
          <w:szCs w:val="14"/>
          <w:b w:val="1"/>
          <w:bCs w:val="1"/>
          <w:color w:val="auto"/>
        </w:rPr>
      </w:pPr>
      <w:r>
        <w:rPr>
          <w:rFonts w:ascii="Arial" w:cs="Arial" w:eastAsia="Arial" w:hAnsi="Arial"/>
          <w:sz w:val="14"/>
          <w:szCs w:val="14"/>
          <w:b w:val="1"/>
          <w:bCs w:val="1"/>
          <w:color w:val="auto"/>
        </w:rPr>
        <w:t xml:space="preserve">Fig. 4. </w:t>
      </w:r>
      <w:r>
        <w:rPr>
          <w:rFonts w:ascii="Arial" w:cs="Arial" w:eastAsia="Arial" w:hAnsi="Arial"/>
          <w:sz w:val="14"/>
          <w:szCs w:val="14"/>
          <w:color w:val="auto"/>
        </w:rPr>
        <w:t>CityViz tool available at the City Analytics Lab, including the ‘30 Min City’ visualization map (source:</w:t>
      </w:r>
      <w:r>
        <w:rPr>
          <w:rFonts w:ascii="Arial" w:cs="Arial" w:eastAsia="Arial" w:hAnsi="Arial"/>
          <w:sz w:val="14"/>
          <w:szCs w:val="14"/>
          <w:b w:val="1"/>
          <w:bCs w:val="1"/>
          <w:color w:val="auto"/>
        </w:rPr>
        <w:t xml:space="preserve"> </w:t>
      </w:r>
      <w:hyperlink r:id="rId26">
        <w:r>
          <w:rPr>
            <w:rFonts w:ascii="Arial" w:cs="Arial" w:eastAsia="Arial" w:hAnsi="Arial"/>
            <w:sz w:val="14"/>
            <w:szCs w:val="14"/>
            <w:color w:val="206293"/>
          </w:rPr>
          <w:t>https://cityfutures.be.unsw.edu.au/cityviz/</w:t>
        </w:r>
      </w:hyperlink>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231140</wp:posOffset>
            </wp:positionV>
            <wp:extent cx="6565265" cy="16941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6565265" cy="1694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rFonts w:ascii="Arial" w:cs="Arial" w:eastAsia="Arial" w:hAnsi="Arial"/>
          <w:sz w:val="14"/>
          <w:szCs w:val="14"/>
          <w:b w:val="1"/>
          <w:bCs w:val="1"/>
          <w:color w:val="auto"/>
        </w:rPr>
      </w:pPr>
      <w:r>
        <w:rPr>
          <w:rFonts w:ascii="Arial" w:cs="Arial" w:eastAsia="Arial" w:hAnsi="Arial"/>
          <w:sz w:val="14"/>
          <w:szCs w:val="14"/>
          <w:b w:val="1"/>
          <w:bCs w:val="1"/>
          <w:color w:val="auto"/>
        </w:rPr>
        <w:t xml:space="preserve">Fig. 5. </w:t>
      </w:r>
      <w:r>
        <w:rPr>
          <w:rFonts w:ascii="Arial" w:cs="Arial" w:eastAsia="Arial" w:hAnsi="Arial"/>
          <w:sz w:val="14"/>
          <w:szCs w:val="14"/>
          <w:color w:val="auto"/>
        </w:rPr>
        <w:t>CityDash and City Data PSS support tools available at the City Analytics Lab (sources:</w:t>
      </w:r>
      <w:r>
        <w:rPr>
          <w:rFonts w:ascii="Arial" w:cs="Arial" w:eastAsia="Arial" w:hAnsi="Arial"/>
          <w:sz w:val="14"/>
          <w:szCs w:val="14"/>
          <w:b w:val="1"/>
          <w:bCs w:val="1"/>
          <w:color w:val="auto"/>
        </w:rPr>
        <w:t xml:space="preserve"> </w:t>
      </w:r>
      <w:hyperlink r:id="rId28">
        <w:r>
          <w:rPr>
            <w:rFonts w:ascii="Arial" w:cs="Arial" w:eastAsia="Arial" w:hAnsi="Arial"/>
            <w:sz w:val="14"/>
            <w:szCs w:val="14"/>
            <w:color w:val="206293"/>
          </w:rPr>
          <w:t>http://citydashboard.be.unsw.edu.au/</w:t>
        </w:r>
        <w:r>
          <w:rPr>
            <w:rFonts w:ascii="Arial" w:cs="Arial" w:eastAsia="Arial" w:hAnsi="Arial"/>
            <w:sz w:val="14"/>
            <w:szCs w:val="14"/>
            <w:b w:val="1"/>
            <w:bCs w:val="1"/>
            <w:color w:val="auto"/>
          </w:rPr>
          <w:t xml:space="preserve"> </w:t>
        </w:r>
      </w:hyperlink>
      <w:r>
        <w:rPr>
          <w:rFonts w:ascii="Arial" w:cs="Arial" w:eastAsia="Arial" w:hAnsi="Arial"/>
          <w:sz w:val="14"/>
          <w:szCs w:val="14"/>
          <w:color w:val="auto"/>
        </w:rPr>
        <w:t>and</w:t>
      </w:r>
      <w:r>
        <w:rPr>
          <w:rFonts w:ascii="Arial" w:cs="Arial" w:eastAsia="Arial" w:hAnsi="Arial"/>
          <w:sz w:val="14"/>
          <w:szCs w:val="14"/>
          <w:b w:val="1"/>
          <w:bCs w:val="1"/>
          <w:color w:val="auto"/>
        </w:rPr>
        <w:t xml:space="preserve"> </w:t>
      </w:r>
      <w:hyperlink r:id="rId29">
        <w:r>
          <w:rPr>
            <w:rFonts w:ascii="Arial" w:cs="Arial" w:eastAsia="Arial" w:hAnsi="Arial"/>
            <w:sz w:val="14"/>
            <w:szCs w:val="14"/>
            <w:color w:val="206293"/>
          </w:rPr>
          <w:t>https://citydata.be.unsw.</w:t>
        </w:r>
      </w:hyperlink>
    </w:p>
    <w:p>
      <w:pPr>
        <w:spacing w:after="0" w:line="41" w:lineRule="exact"/>
        <w:rPr>
          <w:sz w:val="20"/>
          <w:szCs w:val="20"/>
          <w:color w:val="auto"/>
        </w:rPr>
      </w:pPr>
    </w:p>
    <w:p>
      <w:pPr>
        <w:spacing w:after="0"/>
        <w:rPr>
          <w:rFonts w:ascii="Arial" w:cs="Arial" w:eastAsia="Arial" w:hAnsi="Arial"/>
          <w:sz w:val="14"/>
          <w:szCs w:val="14"/>
          <w:color w:val="206293"/>
        </w:rPr>
      </w:pPr>
      <w:hyperlink r:id="rId29">
        <w:r>
          <w:rPr>
            <w:rFonts w:ascii="Arial" w:cs="Arial" w:eastAsia="Arial" w:hAnsi="Arial"/>
            <w:sz w:val="14"/>
            <w:szCs w:val="14"/>
            <w:color w:val="206293"/>
          </w:rPr>
          <w:t>edu.au/</w:t>
        </w:r>
      </w:hyperlink>
      <w:r>
        <w:rPr>
          <w:rFonts w:ascii="Arial" w:cs="Arial" w:eastAsia="Arial" w:hAnsi="Arial"/>
          <w:sz w:val="14"/>
          <w:szCs w:val="14"/>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528320</wp:posOffset>
            </wp:positionV>
            <wp:extent cx="6574155" cy="20847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extLst>
                    </a:blip>
                    <a:srcRect/>
                    <a:stretch>
                      <a:fillRect/>
                    </a:stretch>
                  </pic:blipFill>
                  <pic:spPr bwMode="auto">
                    <a:xfrm>
                      <a:off x="0" y="0"/>
                      <a:ext cx="6574155" cy="2084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line="429" w:lineRule="auto"/>
        <w:rPr>
          <w:sz w:val="20"/>
          <w:szCs w:val="20"/>
          <w:color w:val="auto"/>
        </w:rPr>
      </w:pPr>
      <w:r>
        <w:rPr>
          <w:rFonts w:ascii="Arial" w:cs="Arial" w:eastAsia="Arial" w:hAnsi="Arial"/>
          <w:sz w:val="14"/>
          <w:szCs w:val="14"/>
          <w:b w:val="1"/>
          <w:bCs w:val="1"/>
          <w:color w:val="auto"/>
        </w:rPr>
        <w:t xml:space="preserve">Fig. 6. </w:t>
      </w:r>
      <w:r>
        <w:rPr>
          <w:rFonts w:ascii="Arial" w:cs="Arial" w:eastAsia="Arial" w:hAnsi="Arial"/>
          <w:sz w:val="14"/>
          <w:szCs w:val="14"/>
          <w:color w:val="auto"/>
        </w:rPr>
        <w:t>RAISE support tool and Cruiser software available at the City Analytics Lab (source:</w:t>
      </w:r>
      <w:r>
        <w:rPr>
          <w:rFonts w:ascii="Arial" w:cs="Arial" w:eastAsia="Arial" w:hAnsi="Arial"/>
          <w:sz w:val="14"/>
          <w:szCs w:val="14"/>
          <w:b w:val="1"/>
          <w:bCs w:val="1"/>
          <w:color w:val="auto"/>
        </w:rPr>
        <w:t xml:space="preserve"> </w:t>
      </w:r>
      <w:r>
        <w:rPr>
          <w:rFonts w:ascii="Arial" w:cs="Arial" w:eastAsia="Arial" w:hAnsi="Arial"/>
          <w:sz w:val="14"/>
          <w:szCs w:val="14"/>
          <w:color w:val="206293"/>
        </w:rPr>
        <w:t>https://cityfutures.be.unsw.edu.au/research/projects/rapid-analytics-interactive-scenario-explorer-raise/</w:t>
      </w:r>
      <w:r>
        <w:rPr>
          <w:rFonts w:ascii="Arial" w:cs="Arial" w:eastAsia="Arial" w:hAnsi="Arial"/>
          <w:sz w:val="14"/>
          <w:szCs w:val="14"/>
          <w:color w:val="000000"/>
        </w:rPr>
        <w:t>).</w:t>
      </w:r>
    </w:p>
    <w:p>
      <w:pPr>
        <w:sectPr>
          <w:pgSz w:w="11900" w:h="15874" w:orient="portrait"/>
          <w:cols w:equalWidth="0" w:num="1">
            <w:col w:w="10400"/>
          </w:cols>
          <w:pgMar w:left="760" w:top="676" w:right="746" w:bottom="37" w:gutter="0" w:footer="0" w:header="0"/>
        </w:sectPr>
      </w:pPr>
    </w:p>
    <w:p>
      <w:pPr>
        <w:spacing w:after="0" w:line="334" w:lineRule="exact"/>
        <w:rPr>
          <w:sz w:val="20"/>
          <w:szCs w:val="20"/>
          <w:color w:val="auto"/>
        </w:rPr>
      </w:pPr>
    </w:p>
    <w:p>
      <w:pPr>
        <w:jc w:val="both"/>
        <w:spacing w:after="0" w:line="295" w:lineRule="auto"/>
        <w:rPr>
          <w:sz w:val="20"/>
          <w:szCs w:val="20"/>
          <w:color w:val="auto"/>
        </w:rPr>
      </w:pPr>
      <w:r>
        <w:rPr>
          <w:rFonts w:ascii="Arial" w:cs="Arial" w:eastAsia="Arial" w:hAnsi="Arial"/>
          <w:sz w:val="16"/>
          <w:szCs w:val="16"/>
          <w:color w:val="auto"/>
        </w:rPr>
        <w:t>and collaboration called CityScope – a data-driven platform that si-mulates the impact of proposed interventions on urban ecosystems to enable better prediction and understanding (</w:t>
      </w:r>
      <w:r>
        <w:rPr>
          <w:rFonts w:ascii="Arial" w:cs="Arial" w:eastAsia="Arial" w:hAnsi="Arial"/>
          <w:sz w:val="16"/>
          <w:szCs w:val="16"/>
          <w:color w:val="206293"/>
        </w:rPr>
        <w:t>Fig. 7</w:t>
      </w:r>
      <w:r>
        <w:rPr>
          <w:rFonts w:ascii="Arial" w:cs="Arial" w:eastAsia="Arial" w:hAnsi="Arial"/>
          <w:sz w:val="16"/>
          <w:szCs w:val="16"/>
          <w:color w:val="auto"/>
        </w:rPr>
        <w:t>). Other planning support theatres such as the Arizona State University or the Aalto Built Environment Laboratory (ABE), actively encourage researchers and leaders to interact with visual solutions using collaborative, computing and display technologies (</w:t>
      </w:r>
      <w:r>
        <w:rPr>
          <w:rFonts w:ascii="Arial" w:cs="Arial" w:eastAsia="Arial" w:hAnsi="Arial"/>
          <w:sz w:val="16"/>
          <w:szCs w:val="16"/>
          <w:color w:val="206293"/>
        </w:rPr>
        <w:t>Arizona State University, 2014</w:t>
      </w:r>
      <w:r>
        <w:rPr>
          <w:rFonts w:ascii="Arial" w:cs="Arial" w:eastAsia="Arial" w:hAnsi="Arial"/>
          <w:sz w:val="16"/>
          <w:szCs w:val="16"/>
          <w:color w:val="auto"/>
        </w:rPr>
        <w:t xml:space="preserve">; </w:t>
      </w:r>
      <w:r>
        <w:rPr>
          <w:rFonts w:ascii="Arial" w:cs="Arial" w:eastAsia="Arial" w:hAnsi="Arial"/>
          <w:sz w:val="16"/>
          <w:szCs w:val="16"/>
          <w:color w:val="206293"/>
        </w:rPr>
        <w:t>Fig. 8</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br w:type="column"/>
      </w:r>
    </w:p>
    <w:p>
      <w:pPr>
        <w:spacing w:after="0" w:line="314" w:lineRule="exact"/>
        <w:rPr>
          <w:sz w:val="20"/>
          <w:szCs w:val="20"/>
          <w:color w:val="auto"/>
        </w:rPr>
      </w:pPr>
    </w:p>
    <w:p>
      <w:pPr>
        <w:jc w:val="both"/>
        <w:spacing w:after="0" w:line="317" w:lineRule="auto"/>
        <w:rPr>
          <w:sz w:val="20"/>
          <w:szCs w:val="20"/>
          <w:color w:val="auto"/>
        </w:rPr>
      </w:pPr>
      <w:r>
        <w:rPr>
          <w:rFonts w:ascii="Arial" w:cs="Arial" w:eastAsia="Arial" w:hAnsi="Arial"/>
          <w:sz w:val="15"/>
          <w:szCs w:val="15"/>
          <w:color w:val="206293"/>
        </w:rPr>
        <w:t>Staffans, Kahila-Tani, Geertman, Sillanpää, &amp; Horelli, 2020</w:t>
      </w:r>
      <w:r>
        <w:rPr>
          <w:rFonts w:ascii="Arial" w:cs="Arial" w:eastAsia="Arial" w:hAnsi="Arial"/>
          <w:sz w:val="15"/>
          <w:szCs w:val="15"/>
          <w:color w:val="000000"/>
        </w:rPr>
        <w:t>). These</w:t>
      </w:r>
      <w:r>
        <w:rPr>
          <w:rFonts w:ascii="Arial" w:cs="Arial" w:eastAsia="Arial" w:hAnsi="Arial"/>
          <w:sz w:val="15"/>
          <w:szCs w:val="15"/>
          <w:color w:val="206293"/>
        </w:rPr>
        <w:t xml:space="preserve"> </w:t>
      </w:r>
      <w:r>
        <w:rPr>
          <w:rFonts w:ascii="Arial" w:cs="Arial" w:eastAsia="Arial" w:hAnsi="Arial"/>
          <w:sz w:val="15"/>
          <w:szCs w:val="15"/>
          <w:color w:val="000000"/>
        </w:rPr>
        <w:t>theatres offer similar support like CAL, using a video wall instead of interactive and connected multi-touch screens. Additionally, there are various research groups and city councils that use virtual platforms to create digital immersive experiences, including city labs in Beijing, Berlin, Melbourne, and ETH Future Cities labs in Singapore, and Zurich. Each of these labs promote city analytics and offer augmented reality</w:t>
      </w:r>
    </w:p>
    <w:p>
      <w:pPr>
        <w:spacing w:after="0" w:line="155"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jc w:val="center"/>
        <w:ind w:right="20"/>
        <w:spacing w:after="0"/>
        <w:rPr>
          <w:sz w:val="20"/>
          <w:szCs w:val="20"/>
          <w:color w:val="auto"/>
        </w:rPr>
      </w:pPr>
      <w:r>
        <w:rPr>
          <w:rFonts w:ascii="Arial" w:cs="Arial" w:eastAsia="Arial" w:hAnsi="Arial"/>
          <w:sz w:val="10"/>
          <w:szCs w:val="10"/>
          <w:color w:val="auto"/>
        </w:rPr>
        <w:t>5</w:t>
      </w:r>
    </w:p>
    <w:p>
      <w:pPr>
        <w:sectPr>
          <w:pgSz w:w="11900" w:h="15874" w:orient="portrait"/>
          <w:cols w:equalWidth="0" w:num="1">
            <w:col w:w="10400"/>
          </w:cols>
          <w:pgMar w:left="760" w:top="676" w:right="746" w:bottom="37" w:gutter="0" w:footer="0" w:header="0"/>
          <w:type w:val="continuous"/>
        </w:sectPr>
      </w:pPr>
    </w:p>
    <w:bookmarkStart w:id="5" w:name="page6"/>
    <w:bookmarkEnd w:id="5"/>
    <w:p>
      <w:pPr>
        <w:spacing w:after="0"/>
        <w:tabs>
          <w:tab w:leader="none" w:pos="6920"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767080</wp:posOffset>
            </wp:positionH>
            <wp:positionV relativeFrom="paragraph">
              <wp:posOffset>199390</wp:posOffset>
            </wp:positionV>
            <wp:extent cx="5059680" cy="33794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extLst>
                    </a:blip>
                    <a:srcRect/>
                    <a:stretch>
                      <a:fillRect/>
                    </a:stretch>
                  </pic:blipFill>
                  <pic:spPr bwMode="auto">
                    <a:xfrm>
                      <a:off x="0" y="0"/>
                      <a:ext cx="5059680" cy="3379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 xml:space="preserve">Fig. 7. </w:t>
      </w:r>
      <w:r>
        <w:rPr>
          <w:rFonts w:ascii="Arial" w:cs="Arial" w:eastAsia="Arial" w:hAnsi="Arial"/>
          <w:sz w:val="14"/>
          <w:szCs w:val="14"/>
          <w:color w:val="auto"/>
        </w:rPr>
        <w:t>CityScope, MIT Media Lab (Source:</w:t>
      </w:r>
      <w:r>
        <w:rPr>
          <w:rFonts w:ascii="Arial" w:cs="Arial" w:eastAsia="Arial" w:hAnsi="Arial"/>
          <w:sz w:val="14"/>
          <w:szCs w:val="14"/>
          <w:b w:val="1"/>
          <w:bCs w:val="1"/>
          <w:color w:val="auto"/>
        </w:rPr>
        <w:t xml:space="preserve"> </w:t>
      </w:r>
      <w:r>
        <w:rPr>
          <w:rFonts w:ascii="Arial" w:cs="Arial" w:eastAsia="Arial" w:hAnsi="Arial"/>
          <w:sz w:val="14"/>
          <w:szCs w:val="14"/>
          <w:color w:val="206293"/>
        </w:rPr>
        <w:t>Grignard et al., 2018</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767080</wp:posOffset>
            </wp:positionH>
            <wp:positionV relativeFrom="paragraph">
              <wp:posOffset>222885</wp:posOffset>
            </wp:positionV>
            <wp:extent cx="5059680" cy="33794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extLst>
                    </a:blip>
                    <a:srcRect/>
                    <a:stretch>
                      <a:fillRect/>
                    </a:stretch>
                  </pic:blipFill>
                  <pic:spPr bwMode="auto">
                    <a:xfrm>
                      <a:off x="0" y="0"/>
                      <a:ext cx="5059680" cy="3379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 xml:space="preserve">Fig. 8. </w:t>
      </w:r>
      <w:r>
        <w:rPr>
          <w:rFonts w:ascii="Arial" w:cs="Arial" w:eastAsia="Arial" w:hAnsi="Arial"/>
          <w:sz w:val="14"/>
          <w:szCs w:val="14"/>
          <w:color w:val="auto"/>
        </w:rPr>
        <w:t>Decision Theater at Arizona State University (Source:</w:t>
      </w:r>
      <w:r>
        <w:rPr>
          <w:rFonts w:ascii="Arial" w:cs="Arial" w:eastAsia="Arial" w:hAnsi="Arial"/>
          <w:sz w:val="14"/>
          <w:szCs w:val="14"/>
          <w:b w:val="1"/>
          <w:bCs w:val="1"/>
          <w:color w:val="auto"/>
        </w:rPr>
        <w:t xml:space="preserve"> </w:t>
      </w:r>
      <w:r>
        <w:rPr>
          <w:rFonts w:ascii="Arial" w:cs="Arial" w:eastAsia="Arial" w:hAnsi="Arial"/>
          <w:sz w:val="14"/>
          <w:szCs w:val="14"/>
          <w:color w:val="206293"/>
        </w:rPr>
        <w:t>Hu, 2011</w:t>
      </w:r>
      <w:r>
        <w:rPr>
          <w:rFonts w:ascii="Arial" w:cs="Arial" w:eastAsia="Arial" w:hAnsi="Arial"/>
          <w:sz w:val="14"/>
          <w:szCs w:val="14"/>
          <w:color w:val="auto"/>
        </w:rPr>
        <w:t>).</w:t>
      </w:r>
    </w:p>
    <w:p>
      <w:pPr>
        <w:sectPr>
          <w:pgSz w:w="11900" w:h="15874" w:orient="portrait"/>
          <w:cols w:equalWidth="0" w:num="1">
            <w:col w:w="10400"/>
          </w:cols>
          <w:pgMar w:left="760" w:top="676" w:right="746" w:bottom="37" w:gutter="0" w:footer="0" w:header="0"/>
        </w:sectPr>
      </w:pPr>
    </w:p>
    <w:p>
      <w:pPr>
        <w:spacing w:after="0" w:line="304" w:lineRule="exact"/>
        <w:rPr>
          <w:sz w:val="20"/>
          <w:szCs w:val="20"/>
          <w:color w:val="auto"/>
        </w:rPr>
      </w:pPr>
    </w:p>
    <w:p>
      <w:pPr>
        <w:jc w:val="both"/>
        <w:spacing w:after="0" w:line="305" w:lineRule="auto"/>
        <w:rPr>
          <w:sz w:val="20"/>
          <w:szCs w:val="20"/>
          <w:color w:val="auto"/>
        </w:rPr>
      </w:pPr>
      <w:r>
        <w:rPr>
          <w:rFonts w:ascii="Arial" w:cs="Arial" w:eastAsia="Arial" w:hAnsi="Arial"/>
          <w:sz w:val="16"/>
          <w:szCs w:val="16"/>
          <w:color w:val="auto"/>
        </w:rPr>
        <w:t>and data-based support tools. They aim to visualize complex urban relations and create digital immersive and collaborative experiences. CAL aims for similar support and additionally is focused on actively engaging and collaborating with planning to further develop PSS tools to benefit smart planning.</w:t>
      </w:r>
    </w:p>
    <w:p>
      <w:pPr>
        <w:spacing w:after="0" w:line="182"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3.2. Study design and participants</w:t>
      </w:r>
    </w:p>
    <w:p>
      <w:pPr>
        <w:spacing w:after="0" w:line="234" w:lineRule="exact"/>
        <w:rPr>
          <w:sz w:val="20"/>
          <w:szCs w:val="20"/>
          <w:color w:val="auto"/>
        </w:rPr>
      </w:pPr>
    </w:p>
    <w:p>
      <w:pPr>
        <w:ind w:left="240"/>
        <w:spacing w:after="0"/>
        <w:rPr>
          <w:sz w:val="20"/>
          <w:szCs w:val="20"/>
          <w:color w:val="auto"/>
        </w:rPr>
      </w:pPr>
      <w:r>
        <w:rPr>
          <w:rFonts w:ascii="Arial" w:cs="Arial" w:eastAsia="Arial" w:hAnsi="Arial"/>
          <w:sz w:val="16"/>
          <w:szCs w:val="16"/>
          <w:color w:val="auto"/>
        </w:rPr>
        <w:t>We conducted a pilot study, 10 workshops and four reflective</w:t>
      </w:r>
    </w:p>
    <w:p>
      <w:pPr>
        <w:spacing w:after="0" w:line="20" w:lineRule="exact"/>
        <w:rPr>
          <w:sz w:val="20"/>
          <w:szCs w:val="20"/>
          <w:color w:val="auto"/>
        </w:rPr>
      </w:pPr>
      <w:r>
        <w:rPr>
          <w:sz w:val="20"/>
          <w:szCs w:val="20"/>
          <w:color w:val="auto"/>
        </w:rPr>
        <w:br w:type="column"/>
      </w:r>
    </w:p>
    <w:p>
      <w:pPr>
        <w:spacing w:after="0" w:line="284" w:lineRule="exact"/>
        <w:rPr>
          <w:sz w:val="20"/>
          <w:szCs w:val="20"/>
          <w:color w:val="auto"/>
        </w:rPr>
      </w:pPr>
    </w:p>
    <w:p>
      <w:pPr>
        <w:jc w:val="both"/>
        <w:spacing w:after="0" w:line="310" w:lineRule="auto"/>
        <w:rPr>
          <w:sz w:val="20"/>
          <w:szCs w:val="20"/>
          <w:color w:val="auto"/>
        </w:rPr>
      </w:pPr>
      <w:r>
        <w:rPr>
          <w:rFonts w:ascii="Arial" w:cs="Arial" w:eastAsia="Arial" w:hAnsi="Arial"/>
          <w:sz w:val="15"/>
          <w:szCs w:val="15"/>
          <w:color w:val="auto"/>
        </w:rPr>
        <w:t>workshops between September 2018 and January 2019 (</w:t>
      </w:r>
      <w:r>
        <w:rPr>
          <w:rFonts w:ascii="Arial" w:cs="Arial" w:eastAsia="Arial" w:hAnsi="Arial"/>
          <w:sz w:val="15"/>
          <w:szCs w:val="15"/>
          <w:color w:val="206293"/>
        </w:rPr>
        <w:t>Table 3</w:t>
      </w:r>
      <w:r>
        <w:rPr>
          <w:rFonts w:ascii="Arial" w:cs="Arial" w:eastAsia="Arial" w:hAnsi="Arial"/>
          <w:sz w:val="15"/>
          <w:szCs w:val="15"/>
          <w:color w:val="auto"/>
        </w:rPr>
        <w:t>) with the overall goal of engaging participants with CAL facilities specifically designed for collaborative and analytical planning. 89 participants took part in this study, including urban planners, policy makers, academics (architects, urban planners and designers), students and industry part-ners. Participants had various backgrounds including engineering, urban planning, geography, business, management, biology and climate studies; and had different levels of experiences with digital-supported planning workshops. These participants were self-selected to take part</w:t>
      </w:r>
    </w:p>
    <w:p>
      <w:pPr>
        <w:spacing w:after="0" w:line="20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22"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6</w:t>
      </w:r>
    </w:p>
    <w:p>
      <w:pPr>
        <w:sectPr>
          <w:pgSz w:w="11900" w:h="15874" w:orient="portrait"/>
          <w:cols w:equalWidth="0" w:num="1">
            <w:col w:w="10400"/>
          </w:cols>
          <w:pgMar w:left="760" w:top="676" w:right="746" w:bottom="37" w:gutter="0" w:footer="0" w:header="0"/>
          <w:type w:val="continuous"/>
        </w:sectPr>
      </w:pPr>
    </w:p>
    <w:bookmarkStart w:id="6" w:name="page7"/>
    <w:bookmarkEnd w:id="6"/>
    <w:p>
      <w:pPr>
        <w:spacing w:after="0" w:line="2" w:lineRule="exact"/>
        <w:rPr>
          <w:sz w:val="20"/>
          <w:szCs w:val="20"/>
          <w:color w:val="auto"/>
        </w:rPr>
      </w:pPr>
    </w:p>
    <w:p>
      <w:pPr>
        <w:spacing w:after="0"/>
        <w:rPr>
          <w:sz w:val="20"/>
          <w:szCs w:val="20"/>
          <w:color w:val="auto"/>
        </w:rPr>
      </w:pPr>
      <w:r>
        <w:rPr>
          <w:rFonts w:ascii="Arial" w:cs="Arial" w:eastAsia="Arial" w:hAnsi="Arial"/>
          <w:sz w:val="13"/>
          <w:szCs w:val="13"/>
          <w:i w:val="1"/>
          <w:iCs w:val="1"/>
          <w:color w:val="auto"/>
        </w:rPr>
        <w:t>E.P. Punt, et al.</w:t>
      </w:r>
    </w:p>
    <w:p>
      <w:pPr>
        <w:spacing w:after="0" w:line="293"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Table 3</w:t>
      </w:r>
    </w:p>
    <w:p>
      <w:pPr>
        <w:spacing w:after="0" w:line="39" w:lineRule="exact"/>
        <w:rPr>
          <w:sz w:val="20"/>
          <w:szCs w:val="20"/>
          <w:color w:val="auto"/>
        </w:rPr>
      </w:pPr>
    </w:p>
    <w:p>
      <w:pPr>
        <w:spacing w:after="0"/>
        <w:rPr>
          <w:sz w:val="20"/>
          <w:szCs w:val="20"/>
          <w:color w:val="auto"/>
        </w:rPr>
      </w:pPr>
      <w:r>
        <w:rPr>
          <w:rFonts w:ascii="Arial" w:cs="Arial" w:eastAsia="Arial" w:hAnsi="Arial"/>
          <w:sz w:val="14"/>
          <w:szCs w:val="14"/>
          <w:color w:val="auto"/>
        </w:rPr>
        <w:t>Workshop and participant characteristics (source: authors).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54610</wp:posOffset>
                </wp:positionV>
                <wp:extent cx="31877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pt" to="250.65pt,4.3pt" o:allowincell="f" strokecolor="#000000" strokeweight="0.498pt"/>
            </w:pict>
          </mc:Fallback>
        </mc:AlternateContent>
      </w:r>
    </w:p>
    <w:p>
      <w:pPr>
        <w:spacing w:after="0" w:line="116" w:lineRule="exact"/>
        <w:rPr>
          <w:sz w:val="20"/>
          <w:szCs w:val="20"/>
          <w:color w:val="auto"/>
        </w:rPr>
      </w:pPr>
    </w:p>
    <w:tbl>
      <w:tblPr>
        <w:tblLayout w:type="fixed"/>
        <w:tblInd w:w="0" w:type="dxa"/>
        <w:tblCellMar>
          <w:top w:w="0" w:type="dxa"/>
          <w:left w:w="0" w:type="dxa"/>
          <w:bottom w:w="0" w:type="dxa"/>
          <w:right w:w="0" w:type="dxa"/>
        </w:tblCellMar>
      </w:tblPr>
      <w:tr>
        <w:trPr>
          <w:trHeight w:val="227"/>
        </w:trPr>
        <w:tc>
          <w:tcPr>
            <w:tcW w:w="920" w:type="dxa"/>
            <w:vAlign w:val="bottom"/>
          </w:tcPr>
          <w:p>
            <w:pPr>
              <w:ind w:left="120"/>
              <w:spacing w:after="0"/>
              <w:rPr>
                <w:sz w:val="20"/>
                <w:szCs w:val="20"/>
                <w:color w:val="auto"/>
              </w:rPr>
            </w:pPr>
            <w:r>
              <w:rPr>
                <w:rFonts w:ascii="Arial" w:cs="Arial" w:eastAsia="Arial" w:hAnsi="Arial"/>
                <w:sz w:val="13"/>
                <w:szCs w:val="13"/>
                <w:color w:val="auto"/>
              </w:rPr>
              <w:t>Date</w:t>
            </w:r>
          </w:p>
        </w:tc>
        <w:tc>
          <w:tcPr>
            <w:tcW w:w="340" w:type="dxa"/>
            <w:vAlign w:val="bottom"/>
          </w:tcPr>
          <w:p>
            <w:pPr>
              <w:ind w:left="100"/>
              <w:spacing w:after="0"/>
              <w:rPr>
                <w:sz w:val="20"/>
                <w:szCs w:val="20"/>
                <w:color w:val="auto"/>
              </w:rPr>
            </w:pPr>
            <w:r>
              <w:rPr>
                <w:rFonts w:ascii="Arial" w:cs="Arial" w:eastAsia="Arial" w:hAnsi="Arial"/>
                <w:sz w:val="13"/>
                <w:szCs w:val="13"/>
                <w:i w:val="1"/>
                <w:iCs w:val="1"/>
                <w:color w:val="auto"/>
              </w:rPr>
              <w:t>N</w:t>
            </w:r>
          </w:p>
        </w:tc>
        <w:tc>
          <w:tcPr>
            <w:tcW w:w="880" w:type="dxa"/>
            <w:vAlign w:val="bottom"/>
          </w:tcPr>
          <w:p>
            <w:pPr>
              <w:ind w:left="100"/>
              <w:spacing w:after="0"/>
              <w:rPr>
                <w:sz w:val="20"/>
                <w:szCs w:val="20"/>
                <w:color w:val="auto"/>
              </w:rPr>
            </w:pPr>
            <w:r>
              <w:rPr>
                <w:rFonts w:ascii="Arial" w:cs="Arial" w:eastAsia="Arial" w:hAnsi="Arial"/>
                <w:sz w:val="13"/>
                <w:szCs w:val="13"/>
                <w:color w:val="auto"/>
              </w:rPr>
              <w:t>Sector</w:t>
            </w:r>
          </w:p>
        </w:tc>
        <w:tc>
          <w:tcPr>
            <w:tcW w:w="2880" w:type="dxa"/>
            <w:vAlign w:val="bottom"/>
          </w:tcPr>
          <w:p>
            <w:pPr>
              <w:ind w:left="100"/>
              <w:spacing w:after="0"/>
              <w:rPr>
                <w:sz w:val="20"/>
                <w:szCs w:val="20"/>
                <w:color w:val="auto"/>
              </w:rPr>
            </w:pPr>
            <w:r>
              <w:rPr>
                <w:rFonts w:ascii="Arial" w:cs="Arial" w:eastAsia="Arial" w:hAnsi="Arial"/>
                <w:sz w:val="13"/>
                <w:szCs w:val="13"/>
                <w:color w:val="auto"/>
              </w:rPr>
              <w:t>Association</w:t>
            </w:r>
          </w:p>
        </w:tc>
        <w:tc>
          <w:tcPr>
            <w:tcW w:w="0" w:type="dxa"/>
            <w:vAlign w:val="bottom"/>
          </w:tcPr>
          <w:p>
            <w:pPr>
              <w:spacing w:after="0"/>
              <w:rPr>
                <w:sz w:val="1"/>
                <w:szCs w:val="1"/>
                <w:color w:val="auto"/>
              </w:rPr>
            </w:pPr>
          </w:p>
        </w:tc>
      </w:tr>
      <w:tr>
        <w:trPr>
          <w:trHeight w:val="48"/>
        </w:trPr>
        <w:tc>
          <w:tcPr>
            <w:tcW w:w="920" w:type="dxa"/>
            <w:vAlign w:val="bottom"/>
            <w:tcBorders>
              <w:bottom w:val="single" w:sz="8" w:color="auto"/>
            </w:tcBorders>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880" w:type="dxa"/>
            <w:vAlign w:val="bottom"/>
            <w:tcBorders>
              <w:bottom w:val="single" w:sz="8" w:color="auto"/>
            </w:tcBorders>
          </w:tcPr>
          <w:p>
            <w:pPr>
              <w:spacing w:after="0"/>
              <w:rPr>
                <w:sz w:val="4"/>
                <w:szCs w:val="4"/>
                <w:color w:val="auto"/>
              </w:rPr>
            </w:pPr>
          </w:p>
        </w:tc>
        <w:tc>
          <w:tcPr>
            <w:tcW w:w="288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6"/>
        </w:trPr>
        <w:tc>
          <w:tcPr>
            <w:tcW w:w="920" w:type="dxa"/>
            <w:vAlign w:val="bottom"/>
          </w:tcPr>
          <w:p>
            <w:pPr>
              <w:ind w:left="120"/>
              <w:spacing w:after="0"/>
              <w:rPr>
                <w:sz w:val="20"/>
                <w:szCs w:val="20"/>
                <w:color w:val="auto"/>
              </w:rPr>
            </w:pPr>
            <w:r>
              <w:rPr>
                <w:rFonts w:ascii="Arial" w:cs="Arial" w:eastAsia="Arial" w:hAnsi="Arial"/>
                <w:sz w:val="13"/>
                <w:szCs w:val="13"/>
                <w:color w:val="auto"/>
              </w:rPr>
              <w:t>20/09/2018</w:t>
            </w:r>
          </w:p>
        </w:tc>
        <w:tc>
          <w:tcPr>
            <w:tcW w:w="340" w:type="dxa"/>
            <w:vAlign w:val="bottom"/>
          </w:tcPr>
          <w:p>
            <w:pPr>
              <w:ind w:left="100"/>
              <w:spacing w:after="0"/>
              <w:rPr>
                <w:sz w:val="20"/>
                <w:szCs w:val="20"/>
                <w:color w:val="auto"/>
              </w:rPr>
            </w:pPr>
            <w:r>
              <w:rPr>
                <w:rFonts w:ascii="Arial" w:cs="Arial" w:eastAsia="Arial" w:hAnsi="Arial"/>
                <w:sz w:val="13"/>
                <w:szCs w:val="13"/>
                <w:color w:val="auto"/>
              </w:rPr>
              <w:t>3</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Science Faculty UNSW</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28/09/2018</w:t>
            </w:r>
          </w:p>
        </w:tc>
        <w:tc>
          <w:tcPr>
            <w:tcW w:w="340" w:type="dxa"/>
            <w:vAlign w:val="bottom"/>
          </w:tcPr>
          <w:p>
            <w:pPr>
              <w:ind w:left="100"/>
              <w:spacing w:after="0"/>
              <w:rPr>
                <w:sz w:val="20"/>
                <w:szCs w:val="20"/>
                <w:color w:val="auto"/>
              </w:rPr>
            </w:pPr>
            <w:r>
              <w:rPr>
                <w:rFonts w:ascii="Arial" w:cs="Arial" w:eastAsia="Arial" w:hAnsi="Arial"/>
                <w:sz w:val="13"/>
                <w:szCs w:val="13"/>
                <w:color w:val="auto"/>
              </w:rPr>
              <w:t>9</w:t>
            </w:r>
          </w:p>
        </w:tc>
        <w:tc>
          <w:tcPr>
            <w:tcW w:w="880" w:type="dxa"/>
            <w:vAlign w:val="bottom"/>
          </w:tcPr>
          <w:p>
            <w:pPr>
              <w:ind w:left="100"/>
              <w:spacing w:after="0"/>
              <w:rPr>
                <w:sz w:val="20"/>
                <w:szCs w:val="20"/>
                <w:color w:val="auto"/>
              </w:rPr>
            </w:pPr>
            <w:r>
              <w:rPr>
                <w:rFonts w:ascii="Arial" w:cs="Arial" w:eastAsia="Arial" w:hAnsi="Arial"/>
                <w:sz w:val="13"/>
                <w:szCs w:val="13"/>
                <w:color w:val="auto"/>
              </w:rPr>
              <w:t>Government</w:t>
            </w:r>
          </w:p>
        </w:tc>
        <w:tc>
          <w:tcPr>
            <w:tcW w:w="2880" w:type="dxa"/>
            <w:vAlign w:val="bottom"/>
          </w:tcPr>
          <w:p>
            <w:pPr>
              <w:ind w:left="100"/>
              <w:spacing w:after="0"/>
              <w:rPr>
                <w:sz w:val="20"/>
                <w:szCs w:val="20"/>
                <w:color w:val="auto"/>
              </w:rPr>
            </w:pPr>
            <w:r>
              <w:rPr>
                <w:rFonts w:ascii="Arial" w:cs="Arial" w:eastAsia="Arial" w:hAnsi="Arial"/>
                <w:sz w:val="13"/>
                <w:szCs w:val="13"/>
                <w:color w:val="auto"/>
              </w:rPr>
              <w:t>NSW Local Government</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25/10/2018</w:t>
            </w:r>
          </w:p>
        </w:tc>
        <w:tc>
          <w:tcPr>
            <w:tcW w:w="340" w:type="dxa"/>
            <w:vAlign w:val="bottom"/>
          </w:tcPr>
          <w:p>
            <w:pPr>
              <w:ind w:left="100"/>
              <w:spacing w:after="0"/>
              <w:rPr>
                <w:sz w:val="20"/>
                <w:szCs w:val="20"/>
                <w:color w:val="auto"/>
              </w:rPr>
            </w:pPr>
            <w:r>
              <w:rPr>
                <w:rFonts w:ascii="Arial" w:cs="Arial" w:eastAsia="Arial" w:hAnsi="Arial"/>
                <w:sz w:val="13"/>
                <w:szCs w:val="13"/>
                <w:color w:val="auto"/>
              </w:rPr>
              <w:t>3</w:t>
            </w:r>
          </w:p>
        </w:tc>
        <w:tc>
          <w:tcPr>
            <w:tcW w:w="880" w:type="dxa"/>
            <w:vAlign w:val="bottom"/>
          </w:tcPr>
          <w:p>
            <w:pPr>
              <w:ind w:left="100"/>
              <w:spacing w:after="0"/>
              <w:rPr>
                <w:sz w:val="20"/>
                <w:szCs w:val="20"/>
                <w:color w:val="auto"/>
              </w:rPr>
            </w:pPr>
            <w:r>
              <w:rPr>
                <w:rFonts w:ascii="Arial" w:cs="Arial" w:eastAsia="Arial" w:hAnsi="Arial"/>
                <w:sz w:val="13"/>
                <w:szCs w:val="13"/>
                <w:color w:val="auto"/>
              </w:rPr>
              <w:t>Industry</w:t>
            </w:r>
          </w:p>
        </w:tc>
        <w:tc>
          <w:tcPr>
            <w:tcW w:w="2880" w:type="dxa"/>
            <w:vAlign w:val="bottom"/>
          </w:tcPr>
          <w:p>
            <w:pPr>
              <w:ind w:left="100"/>
              <w:spacing w:after="0"/>
              <w:rPr>
                <w:sz w:val="20"/>
                <w:szCs w:val="20"/>
                <w:color w:val="auto"/>
              </w:rPr>
            </w:pPr>
            <w:r>
              <w:rPr>
                <w:rFonts w:ascii="Arial" w:cs="Arial" w:eastAsia="Arial" w:hAnsi="Arial"/>
                <w:sz w:val="13"/>
                <w:szCs w:val="13"/>
                <w:color w:val="auto"/>
              </w:rPr>
              <w:t>WSP Global</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02/11/2018</w:t>
            </w:r>
          </w:p>
        </w:tc>
        <w:tc>
          <w:tcPr>
            <w:tcW w:w="340" w:type="dxa"/>
            <w:vAlign w:val="bottom"/>
          </w:tcPr>
          <w:p>
            <w:pPr>
              <w:ind w:left="100"/>
              <w:spacing w:after="0"/>
              <w:rPr>
                <w:sz w:val="20"/>
                <w:szCs w:val="20"/>
                <w:color w:val="auto"/>
              </w:rPr>
            </w:pPr>
            <w:r>
              <w:rPr>
                <w:rFonts w:ascii="Arial" w:cs="Arial" w:eastAsia="Arial" w:hAnsi="Arial"/>
                <w:sz w:val="13"/>
                <w:szCs w:val="13"/>
                <w:color w:val="auto"/>
              </w:rPr>
              <w:t>7</w:t>
            </w:r>
          </w:p>
        </w:tc>
        <w:tc>
          <w:tcPr>
            <w:tcW w:w="880" w:type="dxa"/>
            <w:vAlign w:val="bottom"/>
          </w:tcPr>
          <w:p>
            <w:pPr>
              <w:ind w:left="100"/>
              <w:spacing w:after="0"/>
              <w:rPr>
                <w:sz w:val="20"/>
                <w:szCs w:val="20"/>
                <w:color w:val="auto"/>
              </w:rPr>
            </w:pPr>
            <w:r>
              <w:rPr>
                <w:rFonts w:ascii="Arial" w:cs="Arial" w:eastAsia="Arial" w:hAnsi="Arial"/>
                <w:sz w:val="13"/>
                <w:szCs w:val="13"/>
                <w:color w:val="auto"/>
              </w:rPr>
              <w:t>Industry</w:t>
            </w:r>
          </w:p>
        </w:tc>
        <w:tc>
          <w:tcPr>
            <w:tcW w:w="2880" w:type="dxa"/>
            <w:vAlign w:val="bottom"/>
          </w:tcPr>
          <w:p>
            <w:pPr>
              <w:ind w:left="100"/>
              <w:spacing w:after="0"/>
              <w:rPr>
                <w:sz w:val="20"/>
                <w:szCs w:val="20"/>
                <w:color w:val="auto"/>
              </w:rPr>
            </w:pPr>
            <w:r>
              <w:rPr>
                <w:rFonts w:ascii="Arial" w:cs="Arial" w:eastAsia="Arial" w:hAnsi="Arial"/>
                <w:sz w:val="13"/>
                <w:szCs w:val="13"/>
                <w:color w:val="auto"/>
              </w:rPr>
              <w:t>China delegation</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02/11/2018</w:t>
            </w:r>
          </w:p>
        </w:tc>
        <w:tc>
          <w:tcPr>
            <w:tcW w:w="340" w:type="dxa"/>
            <w:vAlign w:val="bottom"/>
          </w:tcPr>
          <w:p>
            <w:pPr>
              <w:ind w:left="100"/>
              <w:spacing w:after="0"/>
              <w:rPr>
                <w:sz w:val="20"/>
                <w:szCs w:val="20"/>
                <w:color w:val="auto"/>
              </w:rPr>
            </w:pPr>
            <w:r>
              <w:rPr>
                <w:rFonts w:ascii="Arial" w:cs="Arial" w:eastAsia="Arial" w:hAnsi="Arial"/>
                <w:sz w:val="13"/>
                <w:szCs w:val="13"/>
                <w:color w:val="auto"/>
              </w:rPr>
              <w:t>5</w:t>
            </w:r>
          </w:p>
        </w:tc>
        <w:tc>
          <w:tcPr>
            <w:tcW w:w="880" w:type="dxa"/>
            <w:vAlign w:val="bottom"/>
          </w:tcPr>
          <w:p>
            <w:pPr>
              <w:ind w:left="100"/>
              <w:spacing w:after="0"/>
              <w:rPr>
                <w:sz w:val="20"/>
                <w:szCs w:val="20"/>
                <w:color w:val="auto"/>
              </w:rPr>
            </w:pPr>
            <w:r>
              <w:rPr>
                <w:rFonts w:ascii="Arial" w:cs="Arial" w:eastAsia="Arial" w:hAnsi="Arial"/>
                <w:sz w:val="13"/>
                <w:szCs w:val="13"/>
                <w:color w:val="auto"/>
              </w:rPr>
              <w:t>Industry</w:t>
            </w:r>
          </w:p>
        </w:tc>
        <w:tc>
          <w:tcPr>
            <w:tcW w:w="2880" w:type="dxa"/>
            <w:vAlign w:val="bottom"/>
          </w:tcPr>
          <w:p>
            <w:pPr>
              <w:ind w:left="100"/>
              <w:spacing w:after="0"/>
              <w:rPr>
                <w:sz w:val="20"/>
                <w:szCs w:val="20"/>
                <w:color w:val="auto"/>
              </w:rPr>
            </w:pPr>
            <w:r>
              <w:rPr>
                <w:rFonts w:ascii="Arial" w:cs="Arial" w:eastAsia="Arial" w:hAnsi="Arial"/>
                <w:sz w:val="13"/>
                <w:szCs w:val="13"/>
                <w:color w:val="auto"/>
              </w:rPr>
              <w:t>Austrade</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02/11/2018</w:t>
            </w:r>
          </w:p>
        </w:tc>
        <w:tc>
          <w:tcPr>
            <w:tcW w:w="340" w:type="dxa"/>
            <w:vAlign w:val="bottom"/>
          </w:tcPr>
          <w:p>
            <w:pPr>
              <w:ind w:left="100"/>
              <w:spacing w:after="0"/>
              <w:rPr>
                <w:sz w:val="20"/>
                <w:szCs w:val="20"/>
                <w:color w:val="auto"/>
              </w:rPr>
            </w:pPr>
            <w:r>
              <w:rPr>
                <w:rFonts w:ascii="Arial" w:cs="Arial" w:eastAsia="Arial" w:hAnsi="Arial"/>
                <w:sz w:val="13"/>
                <w:szCs w:val="13"/>
                <w:color w:val="auto"/>
              </w:rPr>
              <w:t>5</w:t>
            </w:r>
          </w:p>
        </w:tc>
        <w:tc>
          <w:tcPr>
            <w:tcW w:w="880" w:type="dxa"/>
            <w:vAlign w:val="bottom"/>
          </w:tcPr>
          <w:p>
            <w:pPr>
              <w:ind w:left="100"/>
              <w:spacing w:after="0"/>
              <w:rPr>
                <w:sz w:val="20"/>
                <w:szCs w:val="20"/>
                <w:color w:val="auto"/>
              </w:rPr>
            </w:pPr>
            <w:r>
              <w:rPr>
                <w:rFonts w:ascii="Arial" w:cs="Arial" w:eastAsia="Arial" w:hAnsi="Arial"/>
                <w:sz w:val="13"/>
                <w:szCs w:val="13"/>
                <w:color w:val="auto"/>
              </w:rPr>
              <w:t>Industry</w:t>
            </w:r>
          </w:p>
        </w:tc>
        <w:tc>
          <w:tcPr>
            <w:tcW w:w="2880" w:type="dxa"/>
            <w:vAlign w:val="bottom"/>
          </w:tcPr>
          <w:p>
            <w:pPr>
              <w:ind w:left="100"/>
              <w:spacing w:after="0"/>
              <w:rPr>
                <w:sz w:val="20"/>
                <w:szCs w:val="20"/>
                <w:color w:val="auto"/>
              </w:rPr>
            </w:pPr>
            <w:r>
              <w:rPr>
                <w:rFonts w:ascii="Arial" w:cs="Arial" w:eastAsia="Arial" w:hAnsi="Arial"/>
                <w:sz w:val="13"/>
                <w:szCs w:val="13"/>
                <w:color w:val="auto"/>
              </w:rPr>
              <w:t>Austrade</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07/11/2018</w:t>
            </w:r>
          </w:p>
        </w:tc>
        <w:tc>
          <w:tcPr>
            <w:tcW w:w="340" w:type="dxa"/>
            <w:vAlign w:val="bottom"/>
          </w:tcPr>
          <w:p>
            <w:pPr>
              <w:ind w:left="100"/>
              <w:spacing w:after="0"/>
              <w:rPr>
                <w:sz w:val="20"/>
                <w:szCs w:val="20"/>
                <w:color w:val="auto"/>
              </w:rPr>
            </w:pPr>
            <w:r>
              <w:rPr>
                <w:rFonts w:ascii="Arial" w:cs="Arial" w:eastAsia="Arial" w:hAnsi="Arial"/>
                <w:sz w:val="13"/>
                <w:szCs w:val="13"/>
                <w:color w:val="auto"/>
              </w:rPr>
              <w:t>8</w:t>
            </w:r>
          </w:p>
        </w:tc>
        <w:tc>
          <w:tcPr>
            <w:tcW w:w="880" w:type="dxa"/>
            <w:vAlign w:val="bottom"/>
          </w:tcPr>
          <w:p>
            <w:pPr>
              <w:ind w:left="100"/>
              <w:spacing w:after="0"/>
              <w:rPr>
                <w:sz w:val="20"/>
                <w:szCs w:val="20"/>
                <w:color w:val="auto"/>
              </w:rPr>
            </w:pPr>
            <w:r>
              <w:rPr>
                <w:rFonts w:ascii="Arial" w:cs="Arial" w:eastAsia="Arial" w:hAnsi="Arial"/>
                <w:sz w:val="13"/>
                <w:szCs w:val="13"/>
                <w:color w:val="auto"/>
              </w:rPr>
              <w:t>Government</w:t>
            </w:r>
          </w:p>
        </w:tc>
        <w:tc>
          <w:tcPr>
            <w:tcW w:w="2880" w:type="dxa"/>
            <w:vAlign w:val="bottom"/>
          </w:tcPr>
          <w:p>
            <w:pPr>
              <w:ind w:left="100"/>
              <w:spacing w:after="0"/>
              <w:rPr>
                <w:sz w:val="20"/>
                <w:szCs w:val="20"/>
                <w:color w:val="auto"/>
              </w:rPr>
            </w:pPr>
            <w:r>
              <w:rPr>
                <w:rFonts w:ascii="Arial" w:cs="Arial" w:eastAsia="Arial" w:hAnsi="Arial"/>
                <w:sz w:val="13"/>
                <w:szCs w:val="13"/>
                <w:color w:val="auto"/>
              </w:rPr>
              <w:t>Future Earth Australia – Australian Academy of</w:t>
            </w:r>
          </w:p>
        </w:tc>
        <w:tc>
          <w:tcPr>
            <w:tcW w:w="0" w:type="dxa"/>
            <w:vAlign w:val="bottom"/>
          </w:tcPr>
          <w:p>
            <w:pPr>
              <w:spacing w:after="0"/>
              <w:rPr>
                <w:sz w:val="1"/>
                <w:szCs w:val="1"/>
                <w:color w:val="auto"/>
              </w:rPr>
            </w:pPr>
          </w:p>
        </w:tc>
      </w:tr>
      <w:tr>
        <w:trPr>
          <w:trHeight w:val="172"/>
        </w:trPr>
        <w:tc>
          <w:tcPr>
            <w:tcW w:w="920" w:type="dxa"/>
            <w:vAlign w:val="bottom"/>
            <w:vMerge w:val="restart"/>
          </w:tcPr>
          <w:p>
            <w:pPr>
              <w:ind w:left="120"/>
              <w:spacing w:after="0"/>
              <w:rPr>
                <w:sz w:val="20"/>
                <w:szCs w:val="20"/>
                <w:color w:val="auto"/>
              </w:rPr>
            </w:pPr>
            <w:r>
              <w:rPr>
                <w:rFonts w:ascii="Arial" w:cs="Arial" w:eastAsia="Arial" w:hAnsi="Arial"/>
                <w:sz w:val="13"/>
                <w:szCs w:val="13"/>
                <w:color w:val="auto"/>
              </w:rPr>
              <w:t>07/11/2018</w:t>
            </w:r>
          </w:p>
        </w:tc>
        <w:tc>
          <w:tcPr>
            <w:tcW w:w="340" w:type="dxa"/>
            <w:vAlign w:val="bottom"/>
            <w:vMerge w:val="restart"/>
          </w:tcPr>
          <w:p>
            <w:pPr>
              <w:ind w:left="100"/>
              <w:spacing w:after="0"/>
              <w:rPr>
                <w:sz w:val="20"/>
                <w:szCs w:val="20"/>
                <w:color w:val="auto"/>
              </w:rPr>
            </w:pPr>
            <w:r>
              <w:rPr>
                <w:rFonts w:ascii="Arial" w:cs="Arial" w:eastAsia="Arial" w:hAnsi="Arial"/>
                <w:sz w:val="13"/>
                <w:szCs w:val="13"/>
                <w:color w:val="auto"/>
              </w:rPr>
              <w:t>15</w:t>
            </w:r>
          </w:p>
        </w:tc>
        <w:tc>
          <w:tcPr>
            <w:tcW w:w="880" w:type="dxa"/>
            <w:vAlign w:val="bottom"/>
            <w:vMerge w:val="restart"/>
          </w:tcPr>
          <w:p>
            <w:pPr>
              <w:ind w:left="100"/>
              <w:spacing w:after="0"/>
              <w:rPr>
                <w:sz w:val="20"/>
                <w:szCs w:val="20"/>
                <w:color w:val="auto"/>
              </w:rPr>
            </w:pPr>
            <w:r>
              <w:rPr>
                <w:rFonts w:ascii="Arial" w:cs="Arial" w:eastAsia="Arial" w:hAnsi="Arial"/>
                <w:sz w:val="13"/>
                <w:szCs w:val="13"/>
                <w:color w:val="auto"/>
              </w:rPr>
              <w:t>Government</w:t>
            </w:r>
          </w:p>
        </w:tc>
        <w:tc>
          <w:tcPr>
            <w:tcW w:w="2880" w:type="dxa"/>
            <w:vAlign w:val="bottom"/>
          </w:tcPr>
          <w:p>
            <w:pPr>
              <w:ind w:left="100"/>
              <w:spacing w:after="0"/>
              <w:rPr>
                <w:sz w:val="20"/>
                <w:szCs w:val="20"/>
                <w:color w:val="auto"/>
              </w:rPr>
            </w:pPr>
            <w:r>
              <w:rPr>
                <w:rFonts w:ascii="Arial" w:cs="Arial" w:eastAsia="Arial" w:hAnsi="Arial"/>
                <w:sz w:val="13"/>
                <w:szCs w:val="13"/>
                <w:color w:val="auto"/>
              </w:rPr>
              <w:t>Sciences</w:t>
            </w:r>
          </w:p>
        </w:tc>
        <w:tc>
          <w:tcPr>
            <w:tcW w:w="0" w:type="dxa"/>
            <w:vAlign w:val="bottom"/>
          </w:tcPr>
          <w:p>
            <w:pPr>
              <w:spacing w:after="0"/>
              <w:rPr>
                <w:sz w:val="1"/>
                <w:szCs w:val="1"/>
                <w:color w:val="auto"/>
              </w:rPr>
            </w:pPr>
          </w:p>
        </w:tc>
      </w:tr>
      <w:tr>
        <w:trPr>
          <w:trHeight w:val="171"/>
        </w:trPr>
        <w:tc>
          <w:tcPr>
            <w:tcW w:w="92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880" w:type="dxa"/>
            <w:vAlign w:val="bottom"/>
            <w:vMerge w:val="continue"/>
          </w:tcPr>
          <w:p>
            <w:pPr>
              <w:spacing w:after="0"/>
              <w:rPr>
                <w:sz w:val="14"/>
                <w:szCs w:val="14"/>
                <w:color w:val="auto"/>
              </w:rPr>
            </w:pPr>
          </w:p>
        </w:tc>
        <w:tc>
          <w:tcPr>
            <w:tcW w:w="2880" w:type="dxa"/>
            <w:vAlign w:val="bottom"/>
          </w:tcPr>
          <w:p>
            <w:pPr>
              <w:ind w:left="100"/>
              <w:spacing w:after="0"/>
              <w:rPr>
                <w:sz w:val="20"/>
                <w:szCs w:val="20"/>
                <w:color w:val="auto"/>
              </w:rPr>
            </w:pPr>
            <w:r>
              <w:rPr>
                <w:rFonts w:ascii="Arial" w:cs="Arial" w:eastAsia="Arial" w:hAnsi="Arial"/>
                <w:sz w:val="13"/>
                <w:szCs w:val="13"/>
                <w:color w:val="auto"/>
              </w:rPr>
              <w:t>Future Earth Australia – Australian Academy of</w:t>
            </w:r>
          </w:p>
        </w:tc>
        <w:tc>
          <w:tcPr>
            <w:tcW w:w="0" w:type="dxa"/>
            <w:vAlign w:val="bottom"/>
          </w:tcPr>
          <w:p>
            <w:pPr>
              <w:spacing w:after="0"/>
              <w:rPr>
                <w:sz w:val="1"/>
                <w:szCs w:val="1"/>
                <w:color w:val="auto"/>
              </w:rPr>
            </w:pPr>
          </w:p>
        </w:tc>
      </w:tr>
      <w:tr>
        <w:trPr>
          <w:trHeight w:val="171"/>
        </w:trPr>
        <w:tc>
          <w:tcPr>
            <w:tcW w:w="920" w:type="dxa"/>
            <w:vAlign w:val="bottom"/>
            <w:vMerge w:val="restart"/>
          </w:tcPr>
          <w:p>
            <w:pPr>
              <w:ind w:left="120"/>
              <w:spacing w:after="0"/>
              <w:rPr>
                <w:sz w:val="20"/>
                <w:szCs w:val="20"/>
                <w:color w:val="auto"/>
              </w:rPr>
            </w:pPr>
            <w:r>
              <w:rPr>
                <w:rFonts w:ascii="Arial" w:cs="Arial" w:eastAsia="Arial" w:hAnsi="Arial"/>
                <w:sz w:val="13"/>
                <w:szCs w:val="13"/>
                <w:color w:val="auto"/>
              </w:rPr>
              <w:t>14/11/2018</w:t>
            </w:r>
          </w:p>
        </w:tc>
        <w:tc>
          <w:tcPr>
            <w:tcW w:w="340" w:type="dxa"/>
            <w:vAlign w:val="bottom"/>
            <w:vMerge w:val="restart"/>
          </w:tcPr>
          <w:p>
            <w:pPr>
              <w:ind w:left="100"/>
              <w:spacing w:after="0"/>
              <w:rPr>
                <w:sz w:val="20"/>
                <w:szCs w:val="20"/>
                <w:color w:val="auto"/>
              </w:rPr>
            </w:pPr>
            <w:r>
              <w:rPr>
                <w:rFonts w:ascii="Arial" w:cs="Arial" w:eastAsia="Arial" w:hAnsi="Arial"/>
                <w:sz w:val="13"/>
                <w:szCs w:val="13"/>
                <w:color w:val="auto"/>
              </w:rPr>
              <w:t>2</w:t>
            </w:r>
          </w:p>
        </w:tc>
        <w:tc>
          <w:tcPr>
            <w:tcW w:w="880" w:type="dxa"/>
            <w:vAlign w:val="bottom"/>
            <w:vMerge w:val="restart"/>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Sciences</w:t>
            </w:r>
          </w:p>
        </w:tc>
        <w:tc>
          <w:tcPr>
            <w:tcW w:w="0" w:type="dxa"/>
            <w:vAlign w:val="bottom"/>
          </w:tcPr>
          <w:p>
            <w:pPr>
              <w:spacing w:after="0"/>
              <w:rPr>
                <w:sz w:val="1"/>
                <w:szCs w:val="1"/>
                <w:color w:val="auto"/>
              </w:rPr>
            </w:pPr>
          </w:p>
        </w:tc>
      </w:tr>
      <w:tr>
        <w:trPr>
          <w:trHeight w:val="171"/>
        </w:trPr>
        <w:tc>
          <w:tcPr>
            <w:tcW w:w="92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880" w:type="dxa"/>
            <w:vAlign w:val="bottom"/>
            <w:vMerge w:val="continue"/>
          </w:tcPr>
          <w:p>
            <w:pPr>
              <w:spacing w:after="0"/>
              <w:rPr>
                <w:sz w:val="14"/>
                <w:szCs w:val="14"/>
                <w:color w:val="auto"/>
              </w:rPr>
            </w:pPr>
          </w:p>
        </w:tc>
        <w:tc>
          <w:tcPr>
            <w:tcW w:w="2880" w:type="dxa"/>
            <w:vAlign w:val="bottom"/>
          </w:tcPr>
          <w:p>
            <w:pPr>
              <w:ind w:left="100"/>
              <w:spacing w:after="0"/>
              <w:rPr>
                <w:sz w:val="20"/>
                <w:szCs w:val="20"/>
                <w:color w:val="auto"/>
              </w:rPr>
            </w:pPr>
            <w:r>
              <w:rPr>
                <w:rFonts w:ascii="Arial" w:cs="Arial" w:eastAsia="Arial" w:hAnsi="Arial"/>
                <w:sz w:val="13"/>
                <w:szCs w:val="13"/>
                <w:color w:val="auto"/>
              </w:rPr>
              <w:t>Public Health Faculty UniSA</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23/11/2018</w:t>
            </w:r>
          </w:p>
        </w:tc>
        <w:tc>
          <w:tcPr>
            <w:tcW w:w="340" w:type="dxa"/>
            <w:vAlign w:val="bottom"/>
          </w:tcPr>
          <w:p>
            <w:pPr>
              <w:ind w:left="100"/>
              <w:spacing w:after="0"/>
              <w:rPr>
                <w:sz w:val="20"/>
                <w:szCs w:val="20"/>
                <w:color w:val="auto"/>
              </w:rPr>
            </w:pPr>
            <w:r>
              <w:rPr>
                <w:rFonts w:ascii="Arial" w:cs="Arial" w:eastAsia="Arial" w:hAnsi="Arial"/>
                <w:sz w:val="13"/>
                <w:szCs w:val="13"/>
                <w:color w:val="auto"/>
              </w:rPr>
              <w:t>22</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Electrical Engineering students</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28/11/2018</w:t>
            </w:r>
          </w:p>
        </w:tc>
        <w:tc>
          <w:tcPr>
            <w:tcW w:w="340" w:type="dxa"/>
            <w:vAlign w:val="bottom"/>
          </w:tcPr>
          <w:p>
            <w:pPr>
              <w:ind w:left="100"/>
              <w:spacing w:after="0"/>
              <w:rPr>
                <w:sz w:val="20"/>
                <w:szCs w:val="20"/>
                <w:color w:val="auto"/>
              </w:rPr>
            </w:pPr>
            <w:r>
              <w:rPr>
                <w:rFonts w:ascii="Arial" w:cs="Arial" w:eastAsia="Arial" w:hAnsi="Arial"/>
                <w:sz w:val="13"/>
                <w:szCs w:val="13"/>
                <w:color w:val="auto"/>
              </w:rPr>
              <w:t>3</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Built Environment Faculty UNSW</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29/11/2018</w:t>
            </w:r>
          </w:p>
        </w:tc>
        <w:tc>
          <w:tcPr>
            <w:tcW w:w="340" w:type="dxa"/>
            <w:vAlign w:val="bottom"/>
          </w:tcPr>
          <w:p>
            <w:pPr>
              <w:ind w:left="100"/>
              <w:spacing w:after="0"/>
              <w:rPr>
                <w:sz w:val="20"/>
                <w:szCs w:val="20"/>
                <w:color w:val="auto"/>
              </w:rPr>
            </w:pPr>
            <w:r>
              <w:rPr>
                <w:rFonts w:ascii="Arial" w:cs="Arial" w:eastAsia="Arial" w:hAnsi="Arial"/>
                <w:sz w:val="13"/>
                <w:szCs w:val="13"/>
                <w:color w:val="auto"/>
              </w:rPr>
              <w:t>2</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Built Environment Faculty UNSW</w:t>
            </w:r>
          </w:p>
        </w:tc>
        <w:tc>
          <w:tcPr>
            <w:tcW w:w="0" w:type="dxa"/>
            <w:vAlign w:val="bottom"/>
          </w:tcPr>
          <w:p>
            <w:pPr>
              <w:spacing w:after="0"/>
              <w:rPr>
                <w:sz w:val="1"/>
                <w:szCs w:val="1"/>
                <w:color w:val="auto"/>
              </w:rPr>
            </w:pPr>
          </w:p>
        </w:tc>
      </w:tr>
      <w:tr>
        <w:trPr>
          <w:trHeight w:val="171"/>
        </w:trPr>
        <w:tc>
          <w:tcPr>
            <w:tcW w:w="920" w:type="dxa"/>
            <w:vAlign w:val="bottom"/>
          </w:tcPr>
          <w:p>
            <w:pPr>
              <w:ind w:left="120"/>
              <w:spacing w:after="0"/>
              <w:rPr>
                <w:sz w:val="20"/>
                <w:szCs w:val="20"/>
                <w:color w:val="auto"/>
              </w:rPr>
            </w:pPr>
            <w:r>
              <w:rPr>
                <w:rFonts w:ascii="Arial" w:cs="Arial" w:eastAsia="Arial" w:hAnsi="Arial"/>
                <w:sz w:val="13"/>
                <w:szCs w:val="13"/>
                <w:color w:val="auto"/>
              </w:rPr>
              <w:t>29/11/2018</w:t>
            </w:r>
          </w:p>
        </w:tc>
        <w:tc>
          <w:tcPr>
            <w:tcW w:w="340" w:type="dxa"/>
            <w:vAlign w:val="bottom"/>
          </w:tcPr>
          <w:p>
            <w:pPr>
              <w:ind w:left="100"/>
              <w:spacing w:after="0"/>
              <w:rPr>
                <w:sz w:val="20"/>
                <w:szCs w:val="20"/>
                <w:color w:val="auto"/>
              </w:rPr>
            </w:pPr>
            <w:r>
              <w:rPr>
                <w:rFonts w:ascii="Arial" w:cs="Arial" w:eastAsia="Arial" w:hAnsi="Arial"/>
                <w:sz w:val="13"/>
                <w:szCs w:val="13"/>
                <w:color w:val="auto"/>
              </w:rPr>
              <w:t>2</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Built Environment Faculty UNSW</w:t>
            </w:r>
          </w:p>
        </w:tc>
        <w:tc>
          <w:tcPr>
            <w:tcW w:w="0" w:type="dxa"/>
            <w:vAlign w:val="bottom"/>
          </w:tcPr>
          <w:p>
            <w:pPr>
              <w:spacing w:after="0"/>
              <w:rPr>
                <w:sz w:val="1"/>
                <w:szCs w:val="1"/>
                <w:color w:val="auto"/>
              </w:rPr>
            </w:pPr>
          </w:p>
        </w:tc>
      </w:tr>
      <w:tr>
        <w:trPr>
          <w:trHeight w:val="172"/>
        </w:trPr>
        <w:tc>
          <w:tcPr>
            <w:tcW w:w="920" w:type="dxa"/>
            <w:vAlign w:val="bottom"/>
          </w:tcPr>
          <w:p>
            <w:pPr>
              <w:ind w:left="120"/>
              <w:spacing w:after="0"/>
              <w:rPr>
                <w:sz w:val="20"/>
                <w:szCs w:val="20"/>
                <w:color w:val="auto"/>
              </w:rPr>
            </w:pPr>
            <w:r>
              <w:rPr>
                <w:rFonts w:ascii="Arial" w:cs="Arial" w:eastAsia="Arial" w:hAnsi="Arial"/>
                <w:sz w:val="13"/>
                <w:szCs w:val="13"/>
                <w:color w:val="auto"/>
              </w:rPr>
              <w:t>14/12/2018</w:t>
            </w:r>
          </w:p>
        </w:tc>
        <w:tc>
          <w:tcPr>
            <w:tcW w:w="340" w:type="dxa"/>
            <w:vAlign w:val="bottom"/>
          </w:tcPr>
          <w:p>
            <w:pPr>
              <w:ind w:left="100"/>
              <w:spacing w:after="0"/>
              <w:rPr>
                <w:sz w:val="20"/>
                <w:szCs w:val="20"/>
                <w:color w:val="auto"/>
              </w:rPr>
            </w:pPr>
            <w:r>
              <w:rPr>
                <w:rFonts w:ascii="Arial" w:cs="Arial" w:eastAsia="Arial" w:hAnsi="Arial"/>
                <w:sz w:val="13"/>
                <w:szCs w:val="13"/>
                <w:color w:val="auto"/>
              </w:rPr>
              <w:t>4</w:t>
            </w:r>
          </w:p>
        </w:tc>
        <w:tc>
          <w:tcPr>
            <w:tcW w:w="880" w:type="dxa"/>
            <w:vAlign w:val="bottom"/>
          </w:tcPr>
          <w:p>
            <w:pPr>
              <w:ind w:left="100"/>
              <w:spacing w:after="0"/>
              <w:rPr>
                <w:sz w:val="20"/>
                <w:szCs w:val="20"/>
                <w:color w:val="auto"/>
              </w:rPr>
            </w:pPr>
            <w:r>
              <w:rPr>
                <w:rFonts w:ascii="Arial" w:cs="Arial" w:eastAsia="Arial" w:hAnsi="Arial"/>
                <w:sz w:val="13"/>
                <w:szCs w:val="13"/>
                <w:color w:val="auto"/>
              </w:rPr>
              <w:t>Government</w:t>
            </w:r>
          </w:p>
        </w:tc>
        <w:tc>
          <w:tcPr>
            <w:tcW w:w="2880" w:type="dxa"/>
            <w:vAlign w:val="bottom"/>
          </w:tcPr>
          <w:p>
            <w:pPr>
              <w:ind w:left="100"/>
              <w:spacing w:after="0"/>
              <w:rPr>
                <w:sz w:val="20"/>
                <w:szCs w:val="20"/>
                <w:color w:val="auto"/>
              </w:rPr>
            </w:pPr>
            <w:r>
              <w:rPr>
                <w:rFonts w:ascii="Arial" w:cs="Arial" w:eastAsia="Arial" w:hAnsi="Arial"/>
                <w:sz w:val="13"/>
                <w:szCs w:val="13"/>
                <w:color w:val="auto"/>
              </w:rPr>
              <w:t>Olympic Park Authority</w:t>
            </w:r>
          </w:p>
        </w:tc>
        <w:tc>
          <w:tcPr>
            <w:tcW w:w="0" w:type="dxa"/>
            <w:vAlign w:val="bottom"/>
          </w:tcPr>
          <w:p>
            <w:pPr>
              <w:spacing w:after="0"/>
              <w:rPr>
                <w:sz w:val="1"/>
                <w:szCs w:val="1"/>
                <w:color w:val="auto"/>
              </w:rPr>
            </w:pPr>
          </w:p>
        </w:tc>
      </w:tr>
      <w:tr>
        <w:trPr>
          <w:trHeight w:val="227"/>
        </w:trPr>
        <w:tc>
          <w:tcPr>
            <w:tcW w:w="920" w:type="dxa"/>
            <w:vAlign w:val="bottom"/>
          </w:tcPr>
          <w:p>
            <w:pPr>
              <w:ind w:left="120"/>
              <w:spacing w:after="0"/>
              <w:rPr>
                <w:sz w:val="20"/>
                <w:szCs w:val="20"/>
                <w:color w:val="auto"/>
              </w:rPr>
            </w:pPr>
            <w:r>
              <w:rPr>
                <w:rFonts w:ascii="Arial" w:cs="Arial" w:eastAsia="Arial" w:hAnsi="Arial"/>
                <w:sz w:val="13"/>
                <w:szCs w:val="13"/>
                <w:color w:val="auto"/>
              </w:rPr>
              <w:t>21/01/2019</w:t>
            </w:r>
          </w:p>
        </w:tc>
        <w:tc>
          <w:tcPr>
            <w:tcW w:w="340" w:type="dxa"/>
            <w:vAlign w:val="bottom"/>
          </w:tcPr>
          <w:p>
            <w:pPr>
              <w:ind w:left="100"/>
              <w:spacing w:after="0"/>
              <w:rPr>
                <w:sz w:val="20"/>
                <w:szCs w:val="20"/>
                <w:color w:val="auto"/>
              </w:rPr>
            </w:pPr>
            <w:r>
              <w:rPr>
                <w:rFonts w:ascii="Arial" w:cs="Arial" w:eastAsia="Arial" w:hAnsi="Arial"/>
                <w:sz w:val="13"/>
                <w:szCs w:val="13"/>
                <w:color w:val="auto"/>
              </w:rPr>
              <w:t>6</w:t>
            </w:r>
          </w:p>
        </w:tc>
        <w:tc>
          <w:tcPr>
            <w:tcW w:w="880" w:type="dxa"/>
            <w:vAlign w:val="bottom"/>
          </w:tcPr>
          <w:p>
            <w:pPr>
              <w:ind w:left="100"/>
              <w:spacing w:after="0"/>
              <w:rPr>
                <w:sz w:val="20"/>
                <w:szCs w:val="20"/>
                <w:color w:val="auto"/>
              </w:rPr>
            </w:pPr>
            <w:r>
              <w:rPr>
                <w:rFonts w:ascii="Arial" w:cs="Arial" w:eastAsia="Arial" w:hAnsi="Arial"/>
                <w:sz w:val="13"/>
                <w:szCs w:val="13"/>
                <w:color w:val="auto"/>
              </w:rPr>
              <w:t>Academia</w:t>
            </w:r>
          </w:p>
        </w:tc>
        <w:tc>
          <w:tcPr>
            <w:tcW w:w="2880" w:type="dxa"/>
            <w:vAlign w:val="bottom"/>
          </w:tcPr>
          <w:p>
            <w:pPr>
              <w:ind w:left="100"/>
              <w:spacing w:after="0"/>
              <w:rPr>
                <w:sz w:val="20"/>
                <w:szCs w:val="20"/>
                <w:color w:val="auto"/>
              </w:rPr>
            </w:pPr>
            <w:r>
              <w:rPr>
                <w:rFonts w:ascii="Arial" w:cs="Arial" w:eastAsia="Arial" w:hAnsi="Arial"/>
                <w:sz w:val="13"/>
                <w:szCs w:val="13"/>
                <w:color w:val="auto"/>
              </w:rPr>
              <w:t>Built Environment Faculty UNSW</w:t>
            </w:r>
          </w:p>
        </w:tc>
        <w:tc>
          <w:tcPr>
            <w:tcW w:w="0" w:type="dxa"/>
            <w:vAlign w:val="bottom"/>
          </w:tcPr>
          <w:p>
            <w:pPr>
              <w:spacing w:after="0"/>
              <w:rPr>
                <w:sz w:val="1"/>
                <w:szCs w:val="1"/>
                <w:color w:val="auto"/>
              </w:rPr>
            </w:pPr>
          </w:p>
        </w:tc>
      </w:tr>
      <w:tr>
        <w:trPr>
          <w:trHeight w:val="72"/>
        </w:trPr>
        <w:tc>
          <w:tcPr>
            <w:tcW w:w="920" w:type="dxa"/>
            <w:vAlign w:val="bottom"/>
            <w:tcBorders>
              <w:bottom w:val="single" w:sz="8" w:color="auto"/>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288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both"/>
        <w:spacing w:after="0" w:line="275" w:lineRule="auto"/>
        <w:rPr>
          <w:sz w:val="20"/>
          <w:szCs w:val="20"/>
          <w:color w:val="auto"/>
        </w:rPr>
      </w:pPr>
      <w:r>
        <w:rPr>
          <w:rFonts w:ascii="Arial" w:cs="Arial" w:eastAsia="Arial" w:hAnsi="Arial"/>
          <w:sz w:val="16"/>
          <w:szCs w:val="16"/>
          <w:color w:val="auto"/>
        </w:rPr>
        <w:t>in the workshops based on their previously shown interest in the lab. Participation was on a voluntary basis, with no compensation. Since this was a non-random selection method, there is to some degree an unavoidable bias in participants experiencing a positive disposition to attending the lab and exploring the available PSS.</w:t>
      </w:r>
    </w:p>
    <w:p>
      <w:pPr>
        <w:spacing w:after="0" w:line="1" w:lineRule="exact"/>
        <w:rPr>
          <w:sz w:val="20"/>
          <w:szCs w:val="20"/>
          <w:color w:val="auto"/>
        </w:rPr>
      </w:pPr>
    </w:p>
    <w:p>
      <w:pPr>
        <w:jc w:val="both"/>
        <w:ind w:firstLine="249"/>
        <w:spacing w:after="0" w:line="291" w:lineRule="auto"/>
        <w:rPr>
          <w:sz w:val="20"/>
          <w:szCs w:val="20"/>
          <w:color w:val="auto"/>
        </w:rPr>
      </w:pPr>
      <w:r>
        <w:rPr>
          <w:rFonts w:ascii="Arial" w:cs="Arial" w:eastAsia="Arial" w:hAnsi="Arial"/>
          <w:sz w:val="15"/>
          <w:szCs w:val="15"/>
          <w:color w:val="auto"/>
        </w:rPr>
        <w:t>Since there usually were multiple participants from the same or-ganization there was already a degree of familiarity between partici-pants. This is quite common in real world planning workshops and can potentially strengthen the collaboration process. For consistency pur-poses each workshop followed the same format: (1) an introduction to the lab; (2) a demonstration of lab functions (3) a scenario exercise using the ‘30 Min City’ project interactive map; and (4) a discussion about the usefulness of the lab based on the demo exercise. In the group discussions items related to the usefulness of the lab and the contextual factors that impact the implementation of CAL were identified and discussed. The aim of the workshops was to demonstrate and evaluate the usefulness of CAL for digitally supported collaborative planning. Additionally, four reflective workshops were held, one with industry, one with government, and two with academic staff, where the best practices regarding implementation of CAL as a planning support theater were discussed (</w:t>
      </w:r>
      <w:r>
        <w:rPr>
          <w:rFonts w:ascii="Arial" w:cs="Arial" w:eastAsia="Arial" w:hAnsi="Arial"/>
          <w:sz w:val="15"/>
          <w:szCs w:val="15"/>
          <w:color w:val="206293"/>
        </w:rPr>
        <w:t>Table 3</w:t>
      </w:r>
      <w:r>
        <w:rPr>
          <w:rFonts w:ascii="Arial" w:cs="Arial" w:eastAsia="Arial" w:hAnsi="Arial"/>
          <w:sz w:val="15"/>
          <w:szCs w:val="15"/>
          <w:color w:val="auto"/>
        </w:rPr>
        <w:t>). These sessions provided in-depth discussion on CAL's usefulness for participants' own work projects.</w:t>
      </w:r>
    </w:p>
    <w:p>
      <w:pPr>
        <w:spacing w:after="0" w:line="2" w:lineRule="exact"/>
        <w:rPr>
          <w:sz w:val="20"/>
          <w:szCs w:val="20"/>
          <w:color w:val="auto"/>
        </w:rPr>
      </w:pPr>
    </w:p>
    <w:p>
      <w:pPr>
        <w:jc w:val="both"/>
        <w:ind w:firstLine="249"/>
        <w:spacing w:after="0" w:line="278" w:lineRule="auto"/>
        <w:rPr>
          <w:sz w:val="20"/>
          <w:szCs w:val="20"/>
          <w:color w:val="auto"/>
        </w:rPr>
      </w:pPr>
      <w:r>
        <w:rPr>
          <w:rFonts w:ascii="Arial" w:cs="Arial" w:eastAsia="Arial" w:hAnsi="Arial"/>
          <w:sz w:val="16"/>
          <w:szCs w:val="16"/>
          <w:color w:val="auto"/>
        </w:rPr>
        <w:t>During the workshops, participants performed an exercise based on the ‘30 Min City’ project which looks at accessibility issues of public transport in Randwick City situated within the Greater Metropolitan Sydney. The concept of the ‘30 Min City’ in an integral component to the Greater Metropolitan Sydney Planning Strategy which aims to promote better accessibility to required services and activities within a travel time of 30 min (</w:t>
      </w:r>
      <w:r>
        <w:rPr>
          <w:rFonts w:ascii="Arial" w:cs="Arial" w:eastAsia="Arial" w:hAnsi="Arial"/>
          <w:sz w:val="16"/>
          <w:szCs w:val="16"/>
          <w:color w:val="206293"/>
        </w:rPr>
        <w:t>Greater Sydney Commission, 2018</w:t>
      </w:r>
      <w:r>
        <w:rPr>
          <w:rFonts w:ascii="Arial" w:cs="Arial" w:eastAsia="Arial" w:hAnsi="Arial"/>
          <w:sz w:val="16"/>
          <w:szCs w:val="16"/>
          <w:color w:val="auto"/>
        </w:rPr>
        <w:t>). This is vi-sualized via an online dashboard using ArcGIS StoryMaps (</w:t>
      </w:r>
      <w:r>
        <w:rPr>
          <w:rFonts w:ascii="Arial" w:cs="Arial" w:eastAsia="Arial" w:hAnsi="Arial"/>
          <w:sz w:val="16"/>
          <w:szCs w:val="16"/>
          <w:color w:val="206293"/>
        </w:rPr>
        <w:t>Fig. 9</w:t>
      </w:r>
      <w:r>
        <w:rPr>
          <w:rFonts w:ascii="Arial" w:cs="Arial" w:eastAsia="Arial" w:hAnsi="Arial"/>
          <w:sz w:val="16"/>
          <w:szCs w:val="16"/>
          <w:color w:val="auto"/>
        </w:rPr>
        <w:t>). The ‘30 Min City’ Dashboard identifies origin of public transport trips to key destinations in Sydney based on travel time and visualizes it in inter-active maps. It uses the tap-on and tap-off data provided by Transport for NSW's Opal Smart Card System to get a better understanding of the alignment or deviation of actual public transport trips to the ‘30 Min City’ (</w:t>
      </w:r>
      <w:r>
        <w:rPr>
          <w:rFonts w:ascii="Arial" w:cs="Arial" w:eastAsia="Arial" w:hAnsi="Arial"/>
          <w:sz w:val="16"/>
          <w:szCs w:val="16"/>
          <w:color w:val="206293"/>
        </w:rPr>
        <w:t>Leao et al., 2016</w:t>
      </w:r>
      <w:r>
        <w:rPr>
          <w:rFonts w:ascii="Arial" w:cs="Arial" w:eastAsia="Arial" w:hAnsi="Arial"/>
          <w:sz w:val="16"/>
          <w:szCs w:val="16"/>
          <w:color w:val="auto"/>
        </w:rPr>
        <w:t>). The tool indicates that only 44% of daily commuters into Randwick City reach the area within 30 min. After a brief introduction, participants were asked to consider new planning concepts and ideas which could improve the accessibility of Randwick City. Supporting digital information was provided through the ‘City Dashboard’ and ‘CityData’ tools (</w:t>
      </w:r>
      <w:r>
        <w:rPr>
          <w:rFonts w:ascii="Arial" w:cs="Arial" w:eastAsia="Arial" w:hAnsi="Arial"/>
          <w:sz w:val="16"/>
          <w:szCs w:val="16"/>
          <w:color w:val="206293"/>
        </w:rPr>
        <w:t>Fig. 5</w:t>
      </w:r>
      <w:r>
        <w:rPr>
          <w:rFonts w:ascii="Arial" w:cs="Arial" w:eastAsia="Arial" w:hAnsi="Arial"/>
          <w:sz w:val="16"/>
          <w:szCs w:val="16"/>
          <w:color w:val="auto"/>
        </w:rPr>
        <w:t>). Through this exercise partici-pants were able to test and evaluate a number of digital tools available in the City Analytics Lab in a collaborative environment.</w:t>
      </w:r>
    </w:p>
    <w:p>
      <w:pPr>
        <w:spacing w:after="0" w:line="20" w:lineRule="exact"/>
        <w:rPr>
          <w:sz w:val="20"/>
          <w:szCs w:val="20"/>
          <w:color w:val="auto"/>
        </w:rPr>
      </w:pPr>
      <w:r>
        <w:rPr>
          <w:sz w:val="20"/>
          <w:szCs w:val="20"/>
          <w:color w:val="auto"/>
        </w:rPr>
        <w:br w:type="column"/>
      </w:r>
    </w:p>
    <w:p>
      <w:pPr>
        <w:ind w:left="1560"/>
        <w:spacing w:after="0"/>
        <w:rPr>
          <w:sz w:val="20"/>
          <w:szCs w:val="20"/>
          <w:color w:val="auto"/>
        </w:rPr>
      </w:pPr>
      <w:r>
        <w:rPr>
          <w:rFonts w:ascii="Arial" w:cs="Arial" w:eastAsia="Arial" w:hAnsi="Arial"/>
          <w:sz w:val="12"/>
          <w:szCs w:val="12"/>
          <w:i w:val="1"/>
          <w:iCs w:val="1"/>
          <w:color w:val="auto"/>
        </w:rPr>
        <w:t>Computers, Environment and Urban Systems 82 (2020) 101485</w:t>
      </w:r>
    </w:p>
    <w:p>
      <w:pPr>
        <w:spacing w:after="0" w:line="287"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3.3. Procedure</w:t>
      </w:r>
    </w:p>
    <w:p>
      <w:pPr>
        <w:spacing w:after="0" w:line="234" w:lineRule="exact"/>
        <w:rPr>
          <w:sz w:val="20"/>
          <w:szCs w:val="20"/>
          <w:color w:val="auto"/>
        </w:rPr>
      </w:pPr>
    </w:p>
    <w:p>
      <w:pPr>
        <w:jc w:val="both"/>
        <w:ind w:firstLine="250"/>
        <w:spacing w:after="0" w:line="279" w:lineRule="auto"/>
        <w:rPr>
          <w:sz w:val="20"/>
          <w:szCs w:val="20"/>
          <w:color w:val="auto"/>
        </w:rPr>
      </w:pPr>
      <w:r>
        <w:rPr>
          <w:rFonts w:ascii="Arial" w:cs="Arial" w:eastAsia="Arial" w:hAnsi="Arial"/>
          <w:sz w:val="16"/>
          <w:szCs w:val="16"/>
          <w:color w:val="auto"/>
        </w:rPr>
        <w:t>Data collection methods included non-participant observations during the workshops, questionnaires, and group discussions.</w:t>
      </w:r>
    </w:p>
    <w:p>
      <w:pPr>
        <w:spacing w:after="0" w:line="1" w:lineRule="exact"/>
        <w:rPr>
          <w:sz w:val="20"/>
          <w:szCs w:val="20"/>
          <w:color w:val="auto"/>
        </w:rPr>
      </w:pPr>
    </w:p>
    <w:p>
      <w:pPr>
        <w:jc w:val="both"/>
        <w:ind w:firstLine="250"/>
        <w:spacing w:after="0" w:line="292" w:lineRule="auto"/>
        <w:rPr>
          <w:sz w:val="20"/>
          <w:szCs w:val="20"/>
          <w:color w:val="auto"/>
        </w:rPr>
      </w:pPr>
      <w:r>
        <w:rPr>
          <w:rFonts w:ascii="Arial" w:cs="Arial" w:eastAsia="Arial" w:hAnsi="Arial"/>
          <w:sz w:val="15"/>
          <w:szCs w:val="15"/>
          <w:color w:val="auto"/>
        </w:rPr>
        <w:t>By analyzing the recorded video footage of the workshops, the re-search team determined how participants used the equipment in the room, how often they interacted verbally and non-verbally and how often they used the collaborative function (swiping information across tables) on the Cruiser software. The video footage was replayed and observed by the researchers. An example of observation notes from the video footage includes: “</w:t>
      </w:r>
      <w:r>
        <w:rPr>
          <w:rFonts w:ascii="Arial" w:cs="Arial" w:eastAsia="Arial" w:hAnsi="Arial"/>
          <w:sz w:val="15"/>
          <w:szCs w:val="15"/>
          <w:i w:val="1"/>
          <w:iCs w:val="1"/>
          <w:color w:val="auto"/>
        </w:rPr>
        <w:t>Participants were found pointing to data on</w:t>
      </w:r>
      <w:r>
        <w:rPr>
          <w:rFonts w:ascii="Arial" w:cs="Arial" w:eastAsia="Arial" w:hAnsi="Arial"/>
          <w:sz w:val="15"/>
          <w:szCs w:val="15"/>
          <w:color w:val="auto"/>
        </w:rPr>
        <w:t xml:space="preserve"> </w:t>
      </w:r>
      <w:r>
        <w:rPr>
          <w:rFonts w:ascii="Arial" w:cs="Arial" w:eastAsia="Arial" w:hAnsi="Arial"/>
          <w:sz w:val="15"/>
          <w:szCs w:val="15"/>
          <w:i w:val="1"/>
          <w:iCs w:val="1"/>
          <w:color w:val="auto"/>
        </w:rPr>
        <w:t>screens and across the room. Participants followed the information send to other tables to check if it showed up. The ‘swipe’-function forced non-verbal interaction</w:t>
      </w:r>
      <w:r>
        <w:rPr>
          <w:rFonts w:ascii="Arial" w:cs="Arial" w:eastAsia="Arial" w:hAnsi="Arial"/>
          <w:sz w:val="15"/>
          <w:szCs w:val="15"/>
          <w:color w:val="auto"/>
        </w:rPr>
        <w:t>.” (notes from the workshop on 07/11/2018). The notes from</w:t>
      </w:r>
      <w:r>
        <w:rPr>
          <w:rFonts w:ascii="Arial" w:cs="Arial" w:eastAsia="Arial" w:hAnsi="Arial"/>
          <w:sz w:val="15"/>
          <w:szCs w:val="15"/>
          <w:i w:val="1"/>
          <w:iCs w:val="1"/>
          <w:color w:val="auto"/>
        </w:rPr>
        <w:t xml:space="preserve"> </w:t>
      </w:r>
      <w:r>
        <w:rPr>
          <w:rFonts w:ascii="Arial" w:cs="Arial" w:eastAsia="Arial" w:hAnsi="Arial"/>
          <w:sz w:val="15"/>
          <w:szCs w:val="15"/>
          <w:color w:val="auto"/>
        </w:rPr>
        <w:t>the video footage have been used to determine the collaborative nature of the lab regarding ‘people to technology’ and ‘people to people’ in-teraction. Additionally, the results of the scenario exercise based on screenshots of the Cruiser software (</w:t>
      </w:r>
      <w:r>
        <w:rPr>
          <w:rFonts w:ascii="Arial" w:cs="Arial" w:eastAsia="Arial" w:hAnsi="Arial"/>
          <w:sz w:val="15"/>
          <w:szCs w:val="15"/>
          <w:color w:val="206293"/>
        </w:rPr>
        <w:t>Fig. 10</w:t>
      </w:r>
      <w:r>
        <w:rPr>
          <w:rFonts w:ascii="Arial" w:cs="Arial" w:eastAsia="Arial" w:hAnsi="Arial"/>
          <w:sz w:val="15"/>
          <w:szCs w:val="15"/>
          <w:color w:val="auto"/>
        </w:rPr>
        <w:t>) have been studied to de-termine which PSS tools were used by the participants and how the features benefited the exercise. It was recorded how many data sources and cruiser software features participants used and what they did with those sources and features. Additionally, voice recorders were placed around the room to record both the discussions at each individual table and the group discussion at the end of the workshop. Those recordings were transcribed and studied to determine opinions expressed by par-ticipants about CAL. An example of a positive opinion expressed during a group discussion in a workshop is “</w:t>
      </w:r>
      <w:r>
        <w:rPr>
          <w:rFonts w:ascii="Arial" w:cs="Arial" w:eastAsia="Arial" w:hAnsi="Arial"/>
          <w:sz w:val="15"/>
          <w:szCs w:val="15"/>
          <w:i w:val="1"/>
          <w:iCs w:val="1"/>
          <w:color w:val="auto"/>
        </w:rPr>
        <w:t xml:space="preserve">[the tools in the lab] are such tan-gible, fun tools to play with” </w:t>
      </w:r>
      <w:r>
        <w:rPr>
          <w:rFonts w:ascii="Arial" w:cs="Arial" w:eastAsia="Arial" w:hAnsi="Arial"/>
          <w:sz w:val="15"/>
          <w:szCs w:val="15"/>
          <w:color w:val="auto"/>
        </w:rPr>
        <w:t>(Participant 2). A more critical perspective</w:t>
      </w:r>
      <w:r>
        <w:rPr>
          <w:rFonts w:ascii="Arial" w:cs="Arial" w:eastAsia="Arial" w:hAnsi="Arial"/>
          <w:sz w:val="15"/>
          <w:szCs w:val="15"/>
          <w:i w:val="1"/>
          <w:iCs w:val="1"/>
          <w:color w:val="auto"/>
        </w:rPr>
        <w:t xml:space="preserve"> </w:t>
      </w:r>
      <w:r>
        <w:rPr>
          <w:rFonts w:ascii="Arial" w:cs="Arial" w:eastAsia="Arial" w:hAnsi="Arial"/>
          <w:sz w:val="15"/>
          <w:szCs w:val="15"/>
          <w:color w:val="auto"/>
        </w:rPr>
        <w:t>was provided by another participant who argued some of the data sources were outdated and “they were not real-time data sources” (Participant 40). The data participants worked with was from 2016. The reflective workshops were recorded and analyzed to obtain information regarding the contextual factors that influence the best practices of implementation of CAL.</w:t>
      </w:r>
    </w:p>
    <w:p>
      <w:pPr>
        <w:spacing w:after="0" w:line="190" w:lineRule="exact"/>
        <w:rPr>
          <w:sz w:val="20"/>
          <w:szCs w:val="20"/>
          <w:color w:val="auto"/>
        </w:rPr>
      </w:pPr>
    </w:p>
    <w:p>
      <w:pPr>
        <w:jc w:val="both"/>
        <w:ind w:firstLine="250"/>
        <w:spacing w:after="0" w:line="283" w:lineRule="auto"/>
        <w:rPr>
          <w:sz w:val="20"/>
          <w:szCs w:val="20"/>
          <w:color w:val="auto"/>
        </w:rPr>
      </w:pPr>
      <w:r>
        <w:rPr>
          <w:rFonts w:ascii="Arial" w:cs="Arial" w:eastAsia="Arial" w:hAnsi="Arial"/>
          <w:sz w:val="16"/>
          <w:szCs w:val="16"/>
          <w:color w:val="auto"/>
        </w:rPr>
        <w:t>Furthermore, a questionnaire was designed to review the usefulness of CAL in smart planning. The questionnaire consisted of four sections: general questions about the participants, satisfaction rate of using CAL equipment, a general reflection of contextual factors and their interest in using CAL for their own work. The first section gathered information such as age, gender, professional background and experience with di-gitally supported workshops. The second section focussed on the use-fulness of CAL; strengths and weaknesses of the equipment; the us-ability of the Cruiser tables and questions related to the potential use of CAL and the equipment in the everyday work of participants. The questionnaire ended with a space to leave additional comments and rate their overall experience.</w:t>
      </w:r>
    </w:p>
    <w:p>
      <w:pPr>
        <w:spacing w:after="0" w:line="107"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4. Results</w:t>
      </w:r>
    </w:p>
    <w:p>
      <w:pPr>
        <w:spacing w:after="0" w:line="234" w:lineRule="exact"/>
        <w:rPr>
          <w:sz w:val="20"/>
          <w:szCs w:val="20"/>
          <w:color w:val="auto"/>
        </w:rPr>
      </w:pPr>
    </w:p>
    <w:p>
      <w:pPr>
        <w:jc w:val="both"/>
        <w:ind w:firstLine="250"/>
        <w:spacing w:after="0" w:line="316" w:lineRule="auto"/>
        <w:rPr>
          <w:sz w:val="20"/>
          <w:szCs w:val="20"/>
          <w:color w:val="auto"/>
        </w:rPr>
      </w:pPr>
      <w:r>
        <w:rPr>
          <w:rFonts w:ascii="Arial" w:cs="Arial" w:eastAsia="Arial" w:hAnsi="Arial"/>
          <w:sz w:val="16"/>
          <w:szCs w:val="16"/>
          <w:color w:val="auto"/>
        </w:rPr>
        <w:t>This section presents the findings of the study, including the use-fulness of CAL for participants at different stages of the planning pro-cess; the strengths and limitations of CAL and the contextual factors that influence the success rate of CAL as a planning support theater.</w:t>
      </w:r>
    </w:p>
    <w:p>
      <w:pPr>
        <w:spacing w:after="0" w:line="76"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4.1. Usefulness of the city analytics lab</w:t>
      </w:r>
    </w:p>
    <w:p>
      <w:pPr>
        <w:spacing w:after="0" w:line="234"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4.1.1. Utility</w:t>
      </w:r>
    </w:p>
    <w:p>
      <w:pPr>
        <w:spacing w:after="0" w:line="36" w:lineRule="exact"/>
        <w:rPr>
          <w:sz w:val="20"/>
          <w:szCs w:val="20"/>
          <w:color w:val="auto"/>
        </w:rPr>
      </w:pPr>
    </w:p>
    <w:p>
      <w:pPr>
        <w:jc w:val="both"/>
        <w:ind w:firstLine="250"/>
        <w:spacing w:after="0" w:line="308" w:lineRule="auto"/>
        <w:rPr>
          <w:sz w:val="20"/>
          <w:szCs w:val="20"/>
          <w:color w:val="auto"/>
        </w:rPr>
      </w:pPr>
      <w:r>
        <w:rPr>
          <w:rFonts w:ascii="Arial" w:cs="Arial" w:eastAsia="Arial" w:hAnsi="Arial"/>
          <w:sz w:val="15"/>
          <w:szCs w:val="15"/>
          <w:color w:val="auto"/>
        </w:rPr>
        <w:t>Overall participants indicated that the PSS tools at CAL fitted the task of initial problem identification of the accessibility issues within Randwick City. This is concluded from the questionnaire where parti-cipants generally valued the visualization, analysis and communication support CAL and the ‘30 Min City’ dashboard provided. They especially valued the visualization of Opal Card big data in the ‘30 Min City’ tool and the consequent simplification of average travel times and patterns across Sydney. Their understanding was enhanced through manip-ulating the ‘30 Min City’ data and other relevant data sources through</w:t>
      </w:r>
    </w:p>
    <w:p>
      <w:pPr>
        <w:spacing w:after="0" w:line="128"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7</w:t>
      </w:r>
    </w:p>
    <w:p>
      <w:pPr>
        <w:sectPr>
          <w:pgSz w:w="11900" w:h="15874" w:orient="portrait"/>
          <w:cols w:equalWidth="0" w:num="1">
            <w:col w:w="10400"/>
          </w:cols>
          <w:pgMar w:left="760" w:top="676" w:right="746" w:bottom="37" w:gutter="0" w:footer="0" w:header="0"/>
          <w:type w:val="continuous"/>
        </w:sectPr>
      </w:pPr>
    </w:p>
    <w:bookmarkStart w:id="7" w:name="page8"/>
    <w:bookmarkEnd w:id="7"/>
    <w:p>
      <w:pPr>
        <w:spacing w:after="0"/>
        <w:tabs>
          <w:tab w:leader="none" w:pos="6920"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wp:posOffset>
            </wp:positionH>
            <wp:positionV relativeFrom="paragraph">
              <wp:posOffset>199390</wp:posOffset>
            </wp:positionV>
            <wp:extent cx="6534785" cy="32975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extLst>
                    </a:blip>
                    <a:srcRect/>
                    <a:stretch>
                      <a:fillRect/>
                    </a:stretch>
                  </pic:blipFill>
                  <pic:spPr bwMode="auto">
                    <a:xfrm>
                      <a:off x="0" y="0"/>
                      <a:ext cx="6534785" cy="3297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line="429" w:lineRule="auto"/>
        <w:rPr>
          <w:sz w:val="20"/>
          <w:szCs w:val="20"/>
          <w:color w:val="auto"/>
        </w:rPr>
      </w:pPr>
      <w:r>
        <w:rPr>
          <w:rFonts w:ascii="Arial" w:cs="Arial" w:eastAsia="Arial" w:hAnsi="Arial"/>
          <w:sz w:val="14"/>
          <w:szCs w:val="14"/>
          <w:b w:val="1"/>
          <w:bCs w:val="1"/>
          <w:color w:val="auto"/>
        </w:rPr>
        <w:t xml:space="preserve">Fig. 9. </w:t>
      </w:r>
      <w:r>
        <w:rPr>
          <w:rFonts w:ascii="Arial" w:cs="Arial" w:eastAsia="Arial" w:hAnsi="Arial"/>
          <w:sz w:val="14"/>
          <w:szCs w:val="14"/>
          <w:color w:val="auto"/>
        </w:rPr>
        <w:t>Screenshot of ‘30 Min City’ Online Dashboard for the Randwick Employment Cluster. This figure illustrates the count of public transportation trips which took</w:t>
      </w:r>
      <w:r>
        <w:rPr>
          <w:rFonts w:ascii="Arial" w:cs="Arial" w:eastAsia="Arial" w:hAnsi="Arial"/>
          <w:sz w:val="14"/>
          <w:szCs w:val="14"/>
          <w:b w:val="1"/>
          <w:bCs w:val="1"/>
          <w:color w:val="auto"/>
        </w:rPr>
        <w:t xml:space="preserve"> </w:t>
      </w:r>
      <w:r>
        <w:rPr>
          <w:rFonts w:ascii="Arial" w:cs="Arial" w:eastAsia="Arial" w:hAnsi="Arial"/>
          <w:sz w:val="14"/>
          <w:szCs w:val="14"/>
          <w:color w:val="auto"/>
        </w:rPr>
        <w:t xml:space="preserve">less than 30 min to Randwick as destination of users. (source: </w:t>
      </w:r>
      <w:r>
        <w:rPr>
          <w:rFonts w:ascii="Arial" w:cs="Arial" w:eastAsia="Arial" w:hAnsi="Arial"/>
          <w:sz w:val="14"/>
          <w:szCs w:val="14"/>
          <w:color w:val="206293"/>
        </w:rPr>
        <w:t>https://cityfutures.be.unsw.edu.au/cityviz/30-min-city/</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wp:posOffset>
            </wp:positionH>
            <wp:positionV relativeFrom="paragraph">
              <wp:posOffset>80010</wp:posOffset>
            </wp:positionV>
            <wp:extent cx="6534150" cy="36810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extLst>
                    </a:blip>
                    <a:srcRect/>
                    <a:stretch>
                      <a:fillRect/>
                    </a:stretch>
                  </pic:blipFill>
                  <pic:spPr bwMode="auto">
                    <a:xfrm>
                      <a:off x="0" y="0"/>
                      <a:ext cx="6534150" cy="3681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 xml:space="preserve">Fig. 10. </w:t>
      </w:r>
      <w:r>
        <w:rPr>
          <w:rFonts w:ascii="Arial" w:cs="Arial" w:eastAsia="Arial" w:hAnsi="Arial"/>
          <w:sz w:val="14"/>
          <w:szCs w:val="14"/>
          <w:color w:val="auto"/>
        </w:rPr>
        <w:t>Image from Cruiser software used in the ‘30 min City’ exercise, showing all its features (including note-taking, screenshotting, annotating) (source: authors).</w:t>
      </w:r>
    </w:p>
    <w:p>
      <w:pPr>
        <w:sectPr>
          <w:pgSz w:w="11900" w:h="15874" w:orient="portrait"/>
          <w:cols w:equalWidth="0" w:num="1">
            <w:col w:w="10400"/>
          </w:cols>
          <w:pgMar w:left="760" w:top="676" w:right="746" w:bottom="37" w:gutter="0" w:footer="0" w:header="0"/>
        </w:sectPr>
      </w:pPr>
    </w:p>
    <w:p>
      <w:pPr>
        <w:spacing w:after="0" w:line="304" w:lineRule="exact"/>
        <w:rPr>
          <w:sz w:val="20"/>
          <w:szCs w:val="20"/>
          <w:color w:val="auto"/>
        </w:rPr>
      </w:pPr>
    </w:p>
    <w:p>
      <w:pPr>
        <w:jc w:val="both"/>
        <w:spacing w:after="0" w:line="322" w:lineRule="auto"/>
        <w:rPr>
          <w:sz w:val="20"/>
          <w:szCs w:val="20"/>
          <w:color w:val="auto"/>
        </w:rPr>
      </w:pPr>
      <w:r>
        <w:rPr>
          <w:rFonts w:ascii="Arial" w:cs="Arial" w:eastAsia="Arial" w:hAnsi="Arial"/>
          <w:sz w:val="15"/>
          <w:szCs w:val="15"/>
          <w:color w:val="auto"/>
        </w:rPr>
        <w:t>the screenshot, drawing and note-taking features of the Cruiser soft-ware (</w:t>
      </w:r>
      <w:r>
        <w:rPr>
          <w:rFonts w:ascii="Arial" w:cs="Arial" w:eastAsia="Arial" w:hAnsi="Arial"/>
          <w:sz w:val="15"/>
          <w:szCs w:val="15"/>
          <w:color w:val="206293"/>
        </w:rPr>
        <w:t>Fig. 10</w:t>
      </w:r>
      <w:r>
        <w:rPr>
          <w:rFonts w:ascii="Arial" w:cs="Arial" w:eastAsia="Arial" w:hAnsi="Arial"/>
          <w:sz w:val="15"/>
          <w:szCs w:val="15"/>
          <w:color w:val="auto"/>
        </w:rPr>
        <w:t>). In terms of communication support, the ‘swipe’-function in Cruiser was found to promote engagement and dynamic team-based discussion (</w:t>
      </w:r>
      <w:r>
        <w:rPr>
          <w:rFonts w:ascii="Arial" w:cs="Arial" w:eastAsia="Arial" w:hAnsi="Arial"/>
          <w:sz w:val="15"/>
          <w:szCs w:val="15"/>
          <w:color w:val="206293"/>
        </w:rPr>
        <w:t>Fig. 11</w:t>
      </w:r>
      <w:r>
        <w:rPr>
          <w:rFonts w:ascii="Arial" w:cs="Arial" w:eastAsia="Arial" w:hAnsi="Arial"/>
          <w:sz w:val="15"/>
          <w:szCs w:val="15"/>
          <w:color w:val="auto"/>
        </w:rPr>
        <w:t>). In the observations of the sessions participants frequently pointed to data on the multi-touch screens to support their statements, and movement around the room to gather information was</w:t>
      </w:r>
    </w:p>
    <w:p>
      <w:pPr>
        <w:spacing w:after="0" w:line="20" w:lineRule="exact"/>
        <w:rPr>
          <w:sz w:val="20"/>
          <w:szCs w:val="20"/>
          <w:color w:val="auto"/>
        </w:rPr>
      </w:pPr>
      <w:r>
        <w:rPr>
          <w:sz w:val="20"/>
          <w:szCs w:val="20"/>
          <w:color w:val="auto"/>
        </w:rPr>
        <w:br w:type="column"/>
      </w:r>
    </w:p>
    <w:p>
      <w:pPr>
        <w:spacing w:after="0" w:line="284" w:lineRule="exact"/>
        <w:rPr>
          <w:sz w:val="20"/>
          <w:szCs w:val="20"/>
          <w:color w:val="auto"/>
        </w:rPr>
      </w:pPr>
    </w:p>
    <w:p>
      <w:pPr>
        <w:jc w:val="both"/>
        <w:spacing w:after="0" w:line="298" w:lineRule="auto"/>
        <w:rPr>
          <w:sz w:val="20"/>
          <w:szCs w:val="20"/>
          <w:color w:val="auto"/>
        </w:rPr>
      </w:pPr>
      <w:r>
        <w:rPr>
          <w:rFonts w:ascii="Arial" w:cs="Arial" w:eastAsia="Arial" w:hAnsi="Arial"/>
          <w:sz w:val="16"/>
          <w:szCs w:val="16"/>
          <w:color w:val="auto"/>
        </w:rPr>
        <w:t>easy. Participants often discussed the data and its interpretation amongst each other. They were particularly interested in how the data was obtained and visualized. At the same time however, participants did not always initiate discussions amongst themselves without inter-vention from the facilitating researchers. This indicates that the tools were initially difficult to operate. However, after familiarizing</w:t>
      </w:r>
    </w:p>
    <w:p>
      <w:pPr>
        <w:spacing w:after="0" w:line="217"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104"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8</w:t>
      </w:r>
    </w:p>
    <w:p>
      <w:pPr>
        <w:sectPr>
          <w:pgSz w:w="11900" w:h="15874" w:orient="portrait"/>
          <w:cols w:equalWidth="0" w:num="1">
            <w:col w:w="10400"/>
          </w:cols>
          <w:pgMar w:left="760" w:top="676" w:right="746" w:bottom="37" w:gutter="0" w:footer="0" w:header="0"/>
          <w:type w:val="continuous"/>
        </w:sectPr>
      </w:pPr>
    </w:p>
    <w:bookmarkStart w:id="8" w:name="page9"/>
    <w:bookmarkEnd w:id="8"/>
    <w:p>
      <w:pPr>
        <w:spacing w:after="0"/>
        <w:tabs>
          <w:tab w:leader="none" w:pos="6920"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wp:posOffset>
            </wp:positionH>
            <wp:positionV relativeFrom="paragraph">
              <wp:posOffset>199390</wp:posOffset>
            </wp:positionV>
            <wp:extent cx="6534785" cy="65347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extLst>
                    </a:blip>
                    <a:srcRect/>
                    <a:stretch>
                      <a:fillRect/>
                    </a:stretch>
                  </pic:blipFill>
                  <pic:spPr bwMode="auto">
                    <a:xfrm>
                      <a:off x="0" y="0"/>
                      <a:ext cx="6534785" cy="6534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 xml:space="preserve">Fig. 11. </w:t>
      </w:r>
      <w:r>
        <w:rPr>
          <w:rFonts w:ascii="Arial" w:cs="Arial" w:eastAsia="Arial" w:hAnsi="Arial"/>
          <w:sz w:val="14"/>
          <w:szCs w:val="14"/>
          <w:color w:val="auto"/>
        </w:rPr>
        <w:t>Observations from various workshops of participants interacting in the City Analytics Lab (source: authors).</w:t>
      </w:r>
    </w:p>
    <w:p>
      <w:pPr>
        <w:sectPr>
          <w:pgSz w:w="11900" w:h="15874" w:orient="portrait"/>
          <w:cols w:equalWidth="0" w:num="1">
            <w:col w:w="10400"/>
          </w:cols>
          <w:pgMar w:left="760" w:top="676" w:right="746" w:bottom="37" w:gutter="0" w:footer="0" w:header="0"/>
        </w:sectPr>
      </w:pPr>
    </w:p>
    <w:p>
      <w:pPr>
        <w:spacing w:after="0" w:line="303" w:lineRule="exact"/>
        <w:rPr>
          <w:sz w:val="20"/>
          <w:szCs w:val="20"/>
          <w:color w:val="auto"/>
        </w:rPr>
      </w:pPr>
    </w:p>
    <w:p>
      <w:pPr>
        <w:jc w:val="both"/>
        <w:spacing w:after="0" w:line="277" w:lineRule="auto"/>
        <w:rPr>
          <w:sz w:val="20"/>
          <w:szCs w:val="20"/>
          <w:color w:val="auto"/>
        </w:rPr>
      </w:pPr>
      <w:r>
        <w:rPr>
          <w:rFonts w:ascii="Arial" w:cs="Arial" w:eastAsia="Arial" w:hAnsi="Arial"/>
          <w:sz w:val="16"/>
          <w:szCs w:val="16"/>
          <w:color w:val="auto"/>
        </w:rPr>
        <w:t>themselves with the equipment, participants started to collaborate. This led to an understanding of the technology and resulted in ideas and solutions.</w:t>
      </w:r>
    </w:p>
    <w:p>
      <w:pPr>
        <w:spacing w:after="0" w:line="1" w:lineRule="exact"/>
        <w:rPr>
          <w:sz w:val="20"/>
          <w:szCs w:val="20"/>
          <w:color w:val="auto"/>
        </w:rPr>
      </w:pPr>
    </w:p>
    <w:p>
      <w:pPr>
        <w:jc w:val="both"/>
        <w:ind w:firstLine="249"/>
        <w:spacing w:after="0" w:line="305" w:lineRule="auto"/>
        <w:rPr>
          <w:sz w:val="20"/>
          <w:szCs w:val="20"/>
          <w:color w:val="auto"/>
        </w:rPr>
      </w:pPr>
      <w:r>
        <w:rPr>
          <w:rFonts w:ascii="Arial" w:cs="Arial" w:eastAsia="Arial" w:hAnsi="Arial"/>
          <w:sz w:val="15"/>
          <w:szCs w:val="15"/>
          <w:color w:val="auto"/>
        </w:rPr>
        <w:t>Participants also saw opportunities to use CAL for other purposes. From the questionnaire it was apparent that participants would like to use CAL for stakeholder engagement, academic exchange; group col-laboration; data visualization, spatial data analysis; and co-design workshops (</w:t>
      </w:r>
      <w:r>
        <w:rPr>
          <w:rFonts w:ascii="Arial" w:cs="Arial" w:eastAsia="Arial" w:hAnsi="Arial"/>
          <w:sz w:val="15"/>
          <w:szCs w:val="15"/>
          <w:color w:val="206293"/>
        </w:rPr>
        <w:t>Table 5</w:t>
      </w:r>
      <w:r>
        <w:rPr>
          <w:rFonts w:ascii="Arial" w:cs="Arial" w:eastAsia="Arial" w:hAnsi="Arial"/>
          <w:sz w:val="15"/>
          <w:szCs w:val="15"/>
          <w:color w:val="auto"/>
        </w:rPr>
        <w:t>). However, there were a few concerns in translating the support of CAL to the requirements of their own work. One parti-cipant enquired whether CAL can be used “on topics that are not visual data” (Participant 2); another questioned whether it is possible to “run more advanced spatial analysis using for example ArcGIS” (Participant 64). Large touch screens, like the ones in CAL, are generally not opti-mized or configured for a number of software packages such as ArcGIS.</w:t>
      </w:r>
    </w:p>
    <w:p>
      <w:pPr>
        <w:spacing w:after="0" w:line="20" w:lineRule="exact"/>
        <w:rPr>
          <w:sz w:val="20"/>
          <w:szCs w:val="20"/>
          <w:color w:val="auto"/>
        </w:rPr>
      </w:pPr>
      <w:r>
        <w:rPr>
          <w:sz w:val="20"/>
          <w:szCs w:val="20"/>
          <w:color w:val="auto"/>
        </w:rPr>
        <w:br w:type="column"/>
      </w:r>
    </w:p>
    <w:p>
      <w:pPr>
        <w:spacing w:after="0" w:line="283" w:lineRule="exact"/>
        <w:rPr>
          <w:sz w:val="20"/>
          <w:szCs w:val="20"/>
          <w:color w:val="auto"/>
        </w:rPr>
      </w:pPr>
    </w:p>
    <w:p>
      <w:pPr>
        <w:jc w:val="both"/>
        <w:spacing w:after="0" w:line="316" w:lineRule="auto"/>
        <w:rPr>
          <w:sz w:val="20"/>
          <w:szCs w:val="20"/>
          <w:color w:val="auto"/>
        </w:rPr>
      </w:pPr>
      <w:r>
        <w:rPr>
          <w:rFonts w:ascii="Arial" w:cs="Arial" w:eastAsia="Arial" w:hAnsi="Arial"/>
          <w:sz w:val="16"/>
          <w:szCs w:val="16"/>
          <w:color w:val="auto"/>
        </w:rPr>
        <w:t>From these findings, we argue that the utility of CAL for certain tasks, such as early solution generation, is high, but that issues appear for more detailed analytical tasks performed in specialised software packages which are not optimized for large multi-touch screens.</w:t>
      </w:r>
    </w:p>
    <w:p>
      <w:pPr>
        <w:spacing w:after="0" w:line="79"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4.1.2. Usability</w:t>
      </w:r>
    </w:p>
    <w:p>
      <w:pPr>
        <w:spacing w:after="0" w:line="35" w:lineRule="exact"/>
        <w:rPr>
          <w:sz w:val="20"/>
          <w:szCs w:val="20"/>
          <w:color w:val="auto"/>
        </w:rPr>
      </w:pPr>
    </w:p>
    <w:p>
      <w:pPr>
        <w:jc w:val="both"/>
        <w:ind w:firstLine="250"/>
        <w:spacing w:after="0" w:line="289" w:lineRule="auto"/>
        <w:rPr>
          <w:sz w:val="20"/>
          <w:szCs w:val="20"/>
          <w:color w:val="auto"/>
        </w:rPr>
      </w:pPr>
      <w:r>
        <w:rPr>
          <w:rFonts w:ascii="Arial" w:cs="Arial" w:eastAsia="Arial" w:hAnsi="Arial"/>
          <w:sz w:val="16"/>
          <w:szCs w:val="16"/>
          <w:color w:val="auto"/>
        </w:rPr>
        <w:t xml:space="preserve">The usability rating of the support tools at CAL is based on di-mensions identified by </w:t>
      </w:r>
      <w:r>
        <w:rPr>
          <w:rFonts w:ascii="Arial" w:cs="Arial" w:eastAsia="Arial" w:hAnsi="Arial"/>
          <w:sz w:val="16"/>
          <w:szCs w:val="16"/>
          <w:color w:val="206293"/>
        </w:rPr>
        <w:t>Pelzer (2017)</w:t>
      </w:r>
      <w:r>
        <w:rPr>
          <w:rFonts w:ascii="Arial" w:cs="Arial" w:eastAsia="Arial" w:hAnsi="Arial"/>
          <w:sz w:val="16"/>
          <w:szCs w:val="16"/>
          <w:color w:val="auto"/>
        </w:rPr>
        <w:t xml:space="preserve">. There are eight indicators in total. </w:t>
      </w:r>
      <w:r>
        <w:rPr>
          <w:rFonts w:ascii="Arial" w:cs="Arial" w:eastAsia="Arial" w:hAnsi="Arial"/>
          <w:sz w:val="16"/>
          <w:szCs w:val="16"/>
          <w:color w:val="206293"/>
        </w:rPr>
        <w:t>Table 4</w:t>
      </w:r>
      <w:r>
        <w:rPr>
          <w:rFonts w:ascii="Arial" w:cs="Arial" w:eastAsia="Arial" w:hAnsi="Arial"/>
          <w:sz w:val="16"/>
          <w:szCs w:val="16"/>
          <w:color w:val="auto"/>
        </w:rPr>
        <w:t xml:space="preserve"> shows the mean score and standard deviation for each dimension separated by sector (industry, academia, government). In-terestingly, there are significant differences in responses for the in-dicators of user-friendliness, data adequacy, level of detail and reliable results between sectors. Overall, the government sector was more cri-tical than the other sectors, while the academic sector was mostly</w:t>
      </w:r>
    </w:p>
    <w:p>
      <w:pPr>
        <w:spacing w:after="0" w:line="139"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jc w:val="center"/>
        <w:ind w:right="20"/>
        <w:spacing w:after="0"/>
        <w:rPr>
          <w:sz w:val="20"/>
          <w:szCs w:val="20"/>
          <w:color w:val="auto"/>
        </w:rPr>
      </w:pPr>
      <w:r>
        <w:rPr>
          <w:rFonts w:ascii="Arial" w:cs="Arial" w:eastAsia="Arial" w:hAnsi="Arial"/>
          <w:sz w:val="10"/>
          <w:szCs w:val="10"/>
          <w:color w:val="auto"/>
        </w:rPr>
        <w:t>9</w:t>
      </w:r>
    </w:p>
    <w:p>
      <w:pPr>
        <w:sectPr>
          <w:pgSz w:w="11900" w:h="15874" w:orient="portrait"/>
          <w:cols w:equalWidth="0" w:num="1">
            <w:col w:w="10400"/>
          </w:cols>
          <w:pgMar w:left="760" w:top="676" w:right="746" w:bottom="37" w:gutter="0" w:footer="0" w:header="0"/>
          <w:type w:val="continuous"/>
        </w:sectPr>
      </w:pPr>
    </w:p>
    <w:bookmarkStart w:id="9" w:name="page10"/>
    <w:bookmarkEnd w:id="9"/>
    <w:p>
      <w:pPr>
        <w:spacing w:after="0"/>
        <w:tabs>
          <w:tab w:leader="none" w:pos="6920" w:val="left"/>
        </w:tabs>
        <w:rPr>
          <w:sz w:val="20"/>
          <w:szCs w:val="20"/>
          <w:color w:val="auto"/>
        </w:rPr>
      </w:pPr>
      <w:r>
        <w:rPr>
          <w:rFonts w:ascii="Arial" w:cs="Arial" w:eastAsia="Arial" w:hAnsi="Arial"/>
          <w:sz w:val="13"/>
          <w:szCs w:val="13"/>
          <w:i w:val="1"/>
          <w:iCs w:val="1"/>
          <w:color w:val="auto"/>
        </w:rPr>
        <w:t>E.P. Punt, et al.</w:t>
      </w:r>
      <w:r>
        <w:rPr>
          <w:sz w:val="20"/>
          <w:szCs w:val="20"/>
          <w:color w:val="auto"/>
        </w:rPr>
        <w:tab/>
      </w:r>
      <w:r>
        <w:rPr>
          <w:rFonts w:ascii="Arial" w:cs="Arial" w:eastAsia="Arial" w:hAnsi="Arial"/>
          <w:sz w:val="12"/>
          <w:szCs w:val="12"/>
          <w:i w:val="1"/>
          <w:iCs w:val="1"/>
          <w:color w:val="auto"/>
        </w:rPr>
        <w:t>Computers, Environment and Urban Systems 82 (2020) 101485</w:t>
      </w:r>
    </w:p>
    <w:p>
      <w:pPr>
        <w:sectPr>
          <w:pgSz w:w="11900" w:h="15874" w:orient="portrait"/>
          <w:cols w:equalWidth="0" w:num="1">
            <w:col w:w="10400"/>
          </w:cols>
          <w:pgMar w:left="760" w:top="676" w:right="746" w:bottom="14" w:gutter="0" w:footer="0" w:header="0"/>
        </w:sectPr>
      </w:pPr>
    </w:p>
    <w:p>
      <w:pPr>
        <w:spacing w:after="0" w:line="295"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Table 4</w:t>
      </w:r>
    </w:p>
    <w:p>
      <w:pPr>
        <w:spacing w:after="0" w:line="39" w:lineRule="exact"/>
        <w:rPr>
          <w:sz w:val="20"/>
          <w:szCs w:val="20"/>
          <w:color w:val="auto"/>
        </w:rPr>
      </w:pPr>
    </w:p>
    <w:p>
      <w:pPr>
        <w:spacing w:after="0"/>
        <w:rPr>
          <w:sz w:val="20"/>
          <w:szCs w:val="20"/>
          <w:color w:val="auto"/>
        </w:rPr>
      </w:pPr>
      <w:r>
        <w:rPr>
          <w:rFonts w:ascii="Arial" w:cs="Arial" w:eastAsia="Arial" w:hAnsi="Arial"/>
          <w:sz w:val="14"/>
          <w:szCs w:val="14"/>
          <w:color w:val="auto"/>
        </w:rPr>
        <w:t>Mean scores (out of 5) of indicators of usability for different sectors (source:</w:t>
      </w:r>
    </w:p>
    <w:p>
      <w:pPr>
        <w:spacing w:after="0" w:line="31" w:lineRule="exact"/>
        <w:rPr>
          <w:sz w:val="20"/>
          <w:szCs w:val="20"/>
          <w:color w:val="auto"/>
        </w:rPr>
      </w:pPr>
    </w:p>
    <w:p>
      <w:pPr>
        <w:spacing w:after="0"/>
        <w:rPr>
          <w:sz w:val="20"/>
          <w:szCs w:val="20"/>
          <w:color w:val="auto"/>
        </w:rPr>
      </w:pPr>
      <w:r>
        <w:rPr>
          <w:rFonts w:ascii="Arial" w:cs="Arial" w:eastAsia="Arial" w:hAnsi="Arial"/>
          <w:sz w:val="14"/>
          <w:szCs w:val="14"/>
          <w:color w:val="auto"/>
        </w:rPr>
        <w:t>authors).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54610</wp:posOffset>
                </wp:positionV>
                <wp:extent cx="31877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pt" to="250.65pt,4.3pt" o:allowincell="f" strokecolor="#000000" strokeweight="0.498pt"/>
            </w:pict>
          </mc:Fallback>
        </mc:AlternateContent>
      </w:r>
    </w:p>
    <w:p>
      <w:pPr>
        <w:spacing w:after="0" w:line="115" w:lineRule="exact"/>
        <w:rPr>
          <w:sz w:val="20"/>
          <w:szCs w:val="20"/>
          <w:color w:val="auto"/>
        </w:rPr>
      </w:pPr>
    </w:p>
    <w:tbl>
      <w:tblPr>
        <w:tblLayout w:type="fixed"/>
        <w:tblInd w:w="0" w:type="dxa"/>
        <w:tblCellMar>
          <w:top w:w="0" w:type="dxa"/>
          <w:left w:w="0" w:type="dxa"/>
          <w:bottom w:w="0" w:type="dxa"/>
          <w:right w:w="0" w:type="dxa"/>
        </w:tblCellMar>
      </w:tblPr>
      <w:tr>
        <w:trPr>
          <w:trHeight w:val="227"/>
        </w:trPr>
        <w:tc>
          <w:tcPr>
            <w:tcW w:w="2560" w:type="dxa"/>
            <w:vAlign w:val="bottom"/>
          </w:tcPr>
          <w:p>
            <w:pPr>
              <w:spacing w:after="0"/>
              <w:rPr>
                <w:sz w:val="19"/>
                <w:szCs w:val="19"/>
                <w:color w:val="auto"/>
              </w:rPr>
            </w:pPr>
          </w:p>
        </w:tc>
        <w:tc>
          <w:tcPr>
            <w:tcW w:w="760" w:type="dxa"/>
            <w:vAlign w:val="bottom"/>
          </w:tcPr>
          <w:p>
            <w:pPr>
              <w:ind w:left="100"/>
              <w:spacing w:after="0"/>
              <w:rPr>
                <w:sz w:val="20"/>
                <w:szCs w:val="20"/>
                <w:color w:val="auto"/>
              </w:rPr>
            </w:pPr>
            <w:r>
              <w:rPr>
                <w:rFonts w:ascii="Arial" w:cs="Arial" w:eastAsia="Arial" w:hAnsi="Arial"/>
                <w:sz w:val="13"/>
                <w:szCs w:val="13"/>
                <w:color w:val="auto"/>
              </w:rPr>
              <w:t>Academia</w:t>
            </w:r>
          </w:p>
        </w:tc>
        <w:tc>
          <w:tcPr>
            <w:tcW w:w="900" w:type="dxa"/>
            <w:vAlign w:val="bottom"/>
          </w:tcPr>
          <w:p>
            <w:pPr>
              <w:jc w:val="center"/>
              <w:spacing w:after="0"/>
              <w:rPr>
                <w:sz w:val="20"/>
                <w:szCs w:val="20"/>
                <w:color w:val="auto"/>
              </w:rPr>
            </w:pPr>
            <w:r>
              <w:rPr>
                <w:rFonts w:ascii="Arial" w:cs="Arial" w:eastAsia="Arial" w:hAnsi="Arial"/>
                <w:sz w:val="13"/>
                <w:szCs w:val="13"/>
                <w:color w:val="auto"/>
                <w:w w:val="97"/>
              </w:rPr>
              <w:t>Government</w:t>
            </w:r>
          </w:p>
        </w:tc>
        <w:tc>
          <w:tcPr>
            <w:tcW w:w="800" w:type="dxa"/>
            <w:vAlign w:val="bottom"/>
          </w:tcPr>
          <w:p>
            <w:pPr>
              <w:ind w:left="100"/>
              <w:spacing w:after="0"/>
              <w:rPr>
                <w:sz w:val="20"/>
                <w:szCs w:val="20"/>
                <w:color w:val="auto"/>
              </w:rPr>
            </w:pPr>
            <w:r>
              <w:rPr>
                <w:rFonts w:ascii="Arial" w:cs="Arial" w:eastAsia="Arial" w:hAnsi="Arial"/>
                <w:sz w:val="13"/>
                <w:szCs w:val="13"/>
                <w:color w:val="auto"/>
              </w:rPr>
              <w:t>Industry</w:t>
            </w:r>
          </w:p>
        </w:tc>
        <w:tc>
          <w:tcPr>
            <w:tcW w:w="0" w:type="dxa"/>
            <w:vAlign w:val="bottom"/>
          </w:tcPr>
          <w:p>
            <w:pPr>
              <w:spacing w:after="0"/>
              <w:rPr>
                <w:sz w:val="1"/>
                <w:szCs w:val="1"/>
                <w:color w:val="auto"/>
              </w:rPr>
            </w:pPr>
          </w:p>
        </w:tc>
      </w:tr>
      <w:tr>
        <w:trPr>
          <w:trHeight w:val="49"/>
        </w:trPr>
        <w:tc>
          <w:tcPr>
            <w:tcW w:w="256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6"/>
        </w:trPr>
        <w:tc>
          <w:tcPr>
            <w:tcW w:w="2560" w:type="dxa"/>
            <w:vAlign w:val="bottom"/>
          </w:tcPr>
          <w:p>
            <w:pPr>
              <w:ind w:left="120"/>
              <w:spacing w:after="0"/>
              <w:rPr>
                <w:sz w:val="20"/>
                <w:szCs w:val="20"/>
                <w:color w:val="auto"/>
              </w:rPr>
            </w:pPr>
            <w:r>
              <w:rPr>
                <w:rFonts w:ascii="Arial" w:cs="Arial" w:eastAsia="Arial" w:hAnsi="Arial"/>
                <w:sz w:val="13"/>
                <w:szCs w:val="13"/>
                <w:color w:val="auto"/>
              </w:rPr>
              <w:t>The equipment was transparent</w:t>
            </w:r>
          </w:p>
        </w:tc>
        <w:tc>
          <w:tcPr>
            <w:tcW w:w="760" w:type="dxa"/>
            <w:vAlign w:val="bottom"/>
          </w:tcPr>
          <w:p>
            <w:pPr>
              <w:ind w:left="100"/>
              <w:spacing w:after="0"/>
              <w:rPr>
                <w:sz w:val="20"/>
                <w:szCs w:val="20"/>
                <w:color w:val="auto"/>
              </w:rPr>
            </w:pPr>
            <w:r>
              <w:rPr>
                <w:rFonts w:ascii="Arial" w:cs="Arial" w:eastAsia="Arial" w:hAnsi="Arial"/>
                <w:sz w:val="13"/>
                <w:szCs w:val="13"/>
                <w:color w:val="auto"/>
              </w:rPr>
              <w:t>4.53 (0.6)</w:t>
            </w:r>
          </w:p>
        </w:tc>
        <w:tc>
          <w:tcPr>
            <w:tcW w:w="900" w:type="dxa"/>
            <w:vAlign w:val="bottom"/>
          </w:tcPr>
          <w:p>
            <w:pPr>
              <w:jc w:val="center"/>
              <w:spacing w:after="0"/>
              <w:rPr>
                <w:sz w:val="20"/>
                <w:szCs w:val="20"/>
                <w:color w:val="auto"/>
              </w:rPr>
            </w:pPr>
            <w:r>
              <w:rPr>
                <w:rFonts w:ascii="Arial" w:cs="Arial" w:eastAsia="Arial" w:hAnsi="Arial"/>
                <w:sz w:val="13"/>
                <w:szCs w:val="13"/>
                <w:color w:val="auto"/>
              </w:rPr>
              <w:t>4.15 (0.7)</w:t>
            </w:r>
          </w:p>
        </w:tc>
        <w:tc>
          <w:tcPr>
            <w:tcW w:w="800" w:type="dxa"/>
            <w:vAlign w:val="bottom"/>
          </w:tcPr>
          <w:p>
            <w:pPr>
              <w:ind w:left="100"/>
              <w:spacing w:after="0"/>
              <w:rPr>
                <w:sz w:val="20"/>
                <w:szCs w:val="20"/>
                <w:color w:val="auto"/>
              </w:rPr>
            </w:pPr>
            <w:r>
              <w:rPr>
                <w:rFonts w:ascii="Arial" w:cs="Arial" w:eastAsia="Arial" w:hAnsi="Arial"/>
                <w:sz w:val="13"/>
                <w:szCs w:val="13"/>
                <w:color w:val="auto"/>
              </w:rPr>
              <w:t>4.43 (0.6)</w:t>
            </w: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rPr>
                <w:sz w:val="20"/>
                <w:szCs w:val="20"/>
                <w:color w:val="auto"/>
              </w:rPr>
            </w:pPr>
            <w:r>
              <w:rPr>
                <w:rFonts w:ascii="Arial" w:cs="Arial" w:eastAsia="Arial" w:hAnsi="Arial"/>
                <w:sz w:val="13"/>
                <w:szCs w:val="13"/>
                <w:color w:val="auto"/>
              </w:rPr>
              <w:t>.The communication value of the</w:t>
            </w:r>
          </w:p>
        </w:tc>
        <w:tc>
          <w:tcPr>
            <w:tcW w:w="760" w:type="dxa"/>
            <w:vAlign w:val="bottom"/>
          </w:tcPr>
          <w:p>
            <w:pPr>
              <w:ind w:left="100"/>
              <w:spacing w:after="0"/>
              <w:rPr>
                <w:sz w:val="20"/>
                <w:szCs w:val="20"/>
                <w:color w:val="auto"/>
              </w:rPr>
            </w:pPr>
            <w:r>
              <w:rPr>
                <w:rFonts w:ascii="Arial" w:cs="Arial" w:eastAsia="Arial" w:hAnsi="Arial"/>
                <w:sz w:val="13"/>
                <w:szCs w:val="13"/>
                <w:color w:val="auto"/>
              </w:rPr>
              <w:t>4.31 (0.7)</w:t>
            </w:r>
          </w:p>
        </w:tc>
        <w:tc>
          <w:tcPr>
            <w:tcW w:w="900" w:type="dxa"/>
            <w:vAlign w:val="bottom"/>
          </w:tcPr>
          <w:p>
            <w:pPr>
              <w:jc w:val="center"/>
              <w:spacing w:after="0"/>
              <w:rPr>
                <w:sz w:val="20"/>
                <w:szCs w:val="20"/>
                <w:color w:val="auto"/>
              </w:rPr>
            </w:pPr>
            <w:r>
              <w:rPr>
                <w:rFonts w:ascii="Arial" w:cs="Arial" w:eastAsia="Arial" w:hAnsi="Arial"/>
                <w:sz w:val="13"/>
                <w:szCs w:val="13"/>
                <w:color w:val="auto"/>
              </w:rPr>
              <w:t>4.35 (0.5)</w:t>
            </w:r>
          </w:p>
        </w:tc>
        <w:tc>
          <w:tcPr>
            <w:tcW w:w="800" w:type="dxa"/>
            <w:vAlign w:val="bottom"/>
          </w:tcPr>
          <w:p>
            <w:pPr>
              <w:ind w:left="100"/>
              <w:spacing w:after="0"/>
              <w:rPr>
                <w:sz w:val="20"/>
                <w:szCs w:val="20"/>
                <w:color w:val="auto"/>
              </w:rPr>
            </w:pPr>
            <w:r>
              <w:rPr>
                <w:rFonts w:ascii="Arial" w:cs="Arial" w:eastAsia="Arial" w:hAnsi="Arial"/>
                <w:sz w:val="13"/>
                <w:szCs w:val="13"/>
                <w:color w:val="auto"/>
              </w:rPr>
              <w:t>4.36 (0.6)</w:t>
            </w:r>
          </w:p>
        </w:tc>
        <w:tc>
          <w:tcPr>
            <w:tcW w:w="0" w:type="dxa"/>
            <w:vAlign w:val="bottom"/>
          </w:tcPr>
          <w:p>
            <w:pPr>
              <w:spacing w:after="0"/>
              <w:rPr>
                <w:sz w:val="1"/>
                <w:szCs w:val="1"/>
                <w:color w:val="auto"/>
              </w:rPr>
            </w:pPr>
          </w:p>
        </w:tc>
      </w:tr>
      <w:tr>
        <w:trPr>
          <w:trHeight w:val="172"/>
        </w:trPr>
        <w:tc>
          <w:tcPr>
            <w:tcW w:w="2560" w:type="dxa"/>
            <w:vAlign w:val="bottom"/>
          </w:tcPr>
          <w:p>
            <w:pPr>
              <w:ind w:left="360"/>
              <w:spacing w:after="0"/>
              <w:rPr>
                <w:sz w:val="20"/>
                <w:szCs w:val="20"/>
                <w:color w:val="auto"/>
              </w:rPr>
            </w:pPr>
            <w:r>
              <w:rPr>
                <w:rFonts w:ascii="Arial" w:cs="Arial" w:eastAsia="Arial" w:hAnsi="Arial"/>
                <w:sz w:val="13"/>
                <w:szCs w:val="13"/>
                <w:color w:val="auto"/>
              </w:rPr>
              <w:t>equipment was high</w:t>
            </w:r>
          </w:p>
        </w:tc>
        <w:tc>
          <w:tcPr>
            <w:tcW w:w="760" w:type="dxa"/>
            <w:vAlign w:val="bottom"/>
            <w:vMerge w:val="restart"/>
          </w:tcPr>
          <w:p>
            <w:pPr>
              <w:ind w:left="100"/>
              <w:spacing w:after="0"/>
              <w:rPr>
                <w:sz w:val="20"/>
                <w:szCs w:val="20"/>
                <w:color w:val="auto"/>
              </w:rPr>
            </w:pPr>
            <w:r>
              <w:rPr>
                <w:rFonts w:ascii="Arial" w:cs="Arial" w:eastAsia="Arial" w:hAnsi="Arial"/>
                <w:sz w:val="13"/>
                <w:szCs w:val="13"/>
                <w:color w:val="auto"/>
              </w:rPr>
              <w:t>4.56 (0.7)</w:t>
            </w:r>
          </w:p>
        </w:tc>
        <w:tc>
          <w:tcPr>
            <w:tcW w:w="900" w:type="dxa"/>
            <w:vAlign w:val="bottom"/>
            <w:vMerge w:val="restart"/>
          </w:tcPr>
          <w:p>
            <w:pPr>
              <w:jc w:val="center"/>
              <w:spacing w:after="0"/>
              <w:rPr>
                <w:sz w:val="20"/>
                <w:szCs w:val="20"/>
                <w:color w:val="auto"/>
              </w:rPr>
            </w:pPr>
            <w:r>
              <w:rPr>
                <w:rFonts w:ascii="Arial" w:cs="Arial" w:eastAsia="Arial" w:hAnsi="Arial"/>
                <w:sz w:val="13"/>
                <w:szCs w:val="13"/>
                <w:color w:val="auto"/>
              </w:rPr>
              <w:t>3.90 (0.9)</w:t>
            </w:r>
          </w:p>
        </w:tc>
        <w:tc>
          <w:tcPr>
            <w:tcW w:w="800" w:type="dxa"/>
            <w:vAlign w:val="bottom"/>
            <w:vMerge w:val="restart"/>
          </w:tcPr>
          <w:p>
            <w:pPr>
              <w:ind w:left="100"/>
              <w:spacing w:after="0"/>
              <w:rPr>
                <w:sz w:val="20"/>
                <w:szCs w:val="20"/>
                <w:color w:val="auto"/>
              </w:rPr>
            </w:pPr>
            <w:r>
              <w:rPr>
                <w:rFonts w:ascii="Arial" w:cs="Arial" w:eastAsia="Arial" w:hAnsi="Arial"/>
                <w:sz w:val="13"/>
                <w:szCs w:val="13"/>
                <w:color w:val="auto"/>
              </w:rPr>
              <w:t>4.29 (0.5)</w:t>
            </w: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line="150" w:lineRule="exact"/>
              <w:rPr>
                <w:sz w:val="20"/>
                <w:szCs w:val="20"/>
                <w:color w:val="auto"/>
              </w:rPr>
            </w:pPr>
            <w:r>
              <w:rPr>
                <w:rFonts w:ascii="Arial" w:cs="Arial" w:eastAsia="Arial" w:hAnsi="Arial"/>
                <w:sz w:val="13"/>
                <w:szCs w:val="13"/>
                <w:color w:val="auto"/>
              </w:rPr>
              <w:t>The equipment was user-friendly</w:t>
            </w:r>
          </w:p>
        </w:tc>
        <w:tc>
          <w:tcPr>
            <w:tcW w:w="760" w:type="dxa"/>
            <w:vAlign w:val="bottom"/>
            <w:vMerge w:val="continue"/>
          </w:tcPr>
          <w:p>
            <w:pPr>
              <w:spacing w:after="0"/>
              <w:rPr>
                <w:sz w:val="14"/>
                <w:szCs w:val="14"/>
                <w:color w:val="auto"/>
              </w:rPr>
            </w:pPr>
          </w:p>
        </w:tc>
        <w:tc>
          <w:tcPr>
            <w:tcW w:w="900" w:type="dxa"/>
            <w:vAlign w:val="bottom"/>
            <w:vMerge w:val="continue"/>
          </w:tcPr>
          <w:p>
            <w:pPr>
              <w:spacing w:after="0"/>
              <w:rPr>
                <w:sz w:val="14"/>
                <w:szCs w:val="14"/>
                <w:color w:val="auto"/>
              </w:rPr>
            </w:pPr>
          </w:p>
        </w:tc>
        <w:tc>
          <w:tcPr>
            <w:tcW w:w="8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rPr>
                <w:sz w:val="20"/>
                <w:szCs w:val="20"/>
                <w:color w:val="auto"/>
              </w:rPr>
            </w:pPr>
            <w:r>
              <w:rPr>
                <w:rFonts w:ascii="Arial" w:cs="Arial" w:eastAsia="Arial" w:hAnsi="Arial"/>
                <w:sz w:val="13"/>
                <w:szCs w:val="13"/>
                <w:color w:val="auto"/>
              </w:rPr>
              <w:t>The equipment could be used</w:t>
            </w:r>
          </w:p>
        </w:tc>
        <w:tc>
          <w:tcPr>
            <w:tcW w:w="760" w:type="dxa"/>
            <w:vAlign w:val="bottom"/>
          </w:tcPr>
          <w:p>
            <w:pPr>
              <w:ind w:left="100"/>
              <w:spacing w:after="0"/>
              <w:rPr>
                <w:sz w:val="20"/>
                <w:szCs w:val="20"/>
                <w:color w:val="auto"/>
              </w:rPr>
            </w:pPr>
            <w:r>
              <w:rPr>
                <w:rFonts w:ascii="Arial" w:cs="Arial" w:eastAsia="Arial" w:hAnsi="Arial"/>
                <w:sz w:val="13"/>
                <w:szCs w:val="13"/>
                <w:color w:val="auto"/>
              </w:rPr>
              <w:t>4.53 (0.7)</w:t>
            </w:r>
          </w:p>
        </w:tc>
        <w:tc>
          <w:tcPr>
            <w:tcW w:w="900" w:type="dxa"/>
            <w:vAlign w:val="bottom"/>
          </w:tcPr>
          <w:p>
            <w:pPr>
              <w:jc w:val="center"/>
              <w:spacing w:after="0"/>
              <w:rPr>
                <w:sz w:val="20"/>
                <w:szCs w:val="20"/>
                <w:color w:val="auto"/>
              </w:rPr>
            </w:pPr>
            <w:r>
              <w:rPr>
                <w:rFonts w:ascii="Arial" w:cs="Arial" w:eastAsia="Arial" w:hAnsi="Arial"/>
                <w:sz w:val="13"/>
                <w:szCs w:val="13"/>
                <w:color w:val="auto"/>
              </w:rPr>
              <w:t>4.40 (0.5)</w:t>
            </w:r>
          </w:p>
        </w:tc>
        <w:tc>
          <w:tcPr>
            <w:tcW w:w="800" w:type="dxa"/>
            <w:vAlign w:val="bottom"/>
          </w:tcPr>
          <w:p>
            <w:pPr>
              <w:ind w:left="100"/>
              <w:spacing w:after="0"/>
              <w:rPr>
                <w:sz w:val="20"/>
                <w:szCs w:val="20"/>
                <w:color w:val="auto"/>
              </w:rPr>
            </w:pPr>
            <w:r>
              <w:rPr>
                <w:rFonts w:ascii="Arial" w:cs="Arial" w:eastAsia="Arial" w:hAnsi="Arial"/>
                <w:sz w:val="13"/>
                <w:szCs w:val="13"/>
                <w:color w:val="auto"/>
              </w:rPr>
              <w:t>4.57 (0.6)</w:t>
            </w:r>
          </w:p>
        </w:tc>
        <w:tc>
          <w:tcPr>
            <w:tcW w:w="0" w:type="dxa"/>
            <w:vAlign w:val="bottom"/>
          </w:tcPr>
          <w:p>
            <w:pPr>
              <w:spacing w:after="0"/>
              <w:rPr>
                <w:sz w:val="1"/>
                <w:szCs w:val="1"/>
                <w:color w:val="auto"/>
              </w:rPr>
            </w:pPr>
          </w:p>
        </w:tc>
      </w:tr>
      <w:tr>
        <w:trPr>
          <w:trHeight w:val="171"/>
        </w:trPr>
        <w:tc>
          <w:tcPr>
            <w:tcW w:w="2560" w:type="dxa"/>
            <w:vAlign w:val="bottom"/>
          </w:tcPr>
          <w:p>
            <w:pPr>
              <w:ind w:left="360"/>
              <w:spacing w:after="0"/>
              <w:rPr>
                <w:sz w:val="20"/>
                <w:szCs w:val="20"/>
                <w:color w:val="auto"/>
              </w:rPr>
            </w:pPr>
            <w:r>
              <w:rPr>
                <w:rFonts w:ascii="Arial" w:cs="Arial" w:eastAsia="Arial" w:hAnsi="Arial"/>
                <w:sz w:val="13"/>
                <w:szCs w:val="13"/>
                <w:color w:val="auto"/>
              </w:rPr>
              <w:t>interactively</w:t>
            </w:r>
          </w:p>
        </w:tc>
        <w:tc>
          <w:tcPr>
            <w:tcW w:w="760" w:type="dxa"/>
            <w:vAlign w:val="bottom"/>
            <w:vMerge w:val="restart"/>
          </w:tcPr>
          <w:p>
            <w:pPr>
              <w:ind w:left="100"/>
              <w:spacing w:after="0"/>
              <w:rPr>
                <w:sz w:val="20"/>
                <w:szCs w:val="20"/>
                <w:color w:val="auto"/>
              </w:rPr>
            </w:pPr>
            <w:r>
              <w:rPr>
                <w:rFonts w:ascii="Arial" w:cs="Arial" w:eastAsia="Arial" w:hAnsi="Arial"/>
                <w:sz w:val="13"/>
                <w:szCs w:val="13"/>
                <w:color w:val="auto"/>
              </w:rPr>
              <w:t>4.09 (0.9)</w:t>
            </w:r>
          </w:p>
        </w:tc>
        <w:tc>
          <w:tcPr>
            <w:tcW w:w="900" w:type="dxa"/>
            <w:vAlign w:val="bottom"/>
            <w:vMerge w:val="restart"/>
          </w:tcPr>
          <w:p>
            <w:pPr>
              <w:jc w:val="center"/>
              <w:spacing w:after="0"/>
              <w:rPr>
                <w:sz w:val="20"/>
                <w:szCs w:val="20"/>
                <w:color w:val="auto"/>
              </w:rPr>
            </w:pPr>
            <w:r>
              <w:rPr>
                <w:rFonts w:ascii="Arial" w:cs="Arial" w:eastAsia="Arial" w:hAnsi="Arial"/>
                <w:sz w:val="13"/>
                <w:szCs w:val="13"/>
                <w:color w:val="auto"/>
              </w:rPr>
              <w:t>4.10 (0.6)</w:t>
            </w:r>
          </w:p>
        </w:tc>
        <w:tc>
          <w:tcPr>
            <w:tcW w:w="800" w:type="dxa"/>
            <w:vAlign w:val="bottom"/>
            <w:vMerge w:val="restart"/>
          </w:tcPr>
          <w:p>
            <w:pPr>
              <w:ind w:left="100"/>
              <w:spacing w:after="0"/>
              <w:rPr>
                <w:sz w:val="20"/>
                <w:szCs w:val="20"/>
                <w:color w:val="auto"/>
              </w:rPr>
            </w:pPr>
            <w:r>
              <w:rPr>
                <w:rFonts w:ascii="Arial" w:cs="Arial" w:eastAsia="Arial" w:hAnsi="Arial"/>
                <w:sz w:val="13"/>
                <w:szCs w:val="13"/>
                <w:color w:val="auto"/>
              </w:rPr>
              <w:t>4.29 (0.5)</w:t>
            </w: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rPr>
                <w:sz w:val="20"/>
                <w:szCs w:val="20"/>
                <w:color w:val="auto"/>
              </w:rPr>
            </w:pPr>
            <w:r>
              <w:rPr>
                <w:rFonts w:ascii="Arial" w:cs="Arial" w:eastAsia="Arial" w:hAnsi="Arial"/>
                <w:sz w:val="13"/>
                <w:szCs w:val="13"/>
                <w:color w:val="auto"/>
              </w:rPr>
              <w:t>The equipment was flexible in use</w:t>
            </w:r>
          </w:p>
        </w:tc>
        <w:tc>
          <w:tcPr>
            <w:tcW w:w="760" w:type="dxa"/>
            <w:vAlign w:val="bottom"/>
            <w:vMerge w:val="continue"/>
          </w:tcPr>
          <w:p>
            <w:pPr>
              <w:spacing w:after="0"/>
              <w:rPr>
                <w:sz w:val="14"/>
                <w:szCs w:val="14"/>
                <w:color w:val="auto"/>
              </w:rPr>
            </w:pPr>
          </w:p>
        </w:tc>
        <w:tc>
          <w:tcPr>
            <w:tcW w:w="900" w:type="dxa"/>
            <w:vAlign w:val="bottom"/>
            <w:vMerge w:val="continue"/>
          </w:tcPr>
          <w:p>
            <w:pPr>
              <w:spacing w:after="0"/>
              <w:rPr>
                <w:sz w:val="14"/>
                <w:szCs w:val="14"/>
                <w:color w:val="auto"/>
              </w:rPr>
            </w:pPr>
          </w:p>
        </w:tc>
        <w:tc>
          <w:tcPr>
            <w:tcW w:w="8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rPr>
                <w:sz w:val="20"/>
                <w:szCs w:val="20"/>
                <w:color w:val="auto"/>
              </w:rPr>
            </w:pPr>
            <w:r>
              <w:rPr>
                <w:rFonts w:ascii="Arial" w:cs="Arial" w:eastAsia="Arial" w:hAnsi="Arial"/>
                <w:sz w:val="13"/>
                <w:szCs w:val="13"/>
                <w:color w:val="auto"/>
                <w:w w:val="99"/>
              </w:rPr>
              <w:t>The data available during the session was</w:t>
            </w:r>
          </w:p>
        </w:tc>
        <w:tc>
          <w:tcPr>
            <w:tcW w:w="760" w:type="dxa"/>
            <w:vAlign w:val="bottom"/>
          </w:tcPr>
          <w:p>
            <w:pPr>
              <w:ind w:left="100"/>
              <w:spacing w:after="0"/>
              <w:rPr>
                <w:sz w:val="20"/>
                <w:szCs w:val="20"/>
                <w:color w:val="auto"/>
              </w:rPr>
            </w:pPr>
            <w:r>
              <w:rPr>
                <w:rFonts w:ascii="Arial" w:cs="Arial" w:eastAsia="Arial" w:hAnsi="Arial"/>
                <w:sz w:val="13"/>
                <w:szCs w:val="13"/>
                <w:color w:val="auto"/>
              </w:rPr>
              <w:t>4.29 (0.8)</w:t>
            </w:r>
          </w:p>
        </w:tc>
        <w:tc>
          <w:tcPr>
            <w:tcW w:w="900" w:type="dxa"/>
            <w:vAlign w:val="bottom"/>
          </w:tcPr>
          <w:p>
            <w:pPr>
              <w:jc w:val="center"/>
              <w:spacing w:after="0"/>
              <w:rPr>
                <w:sz w:val="20"/>
                <w:szCs w:val="20"/>
                <w:color w:val="auto"/>
              </w:rPr>
            </w:pPr>
            <w:r>
              <w:rPr>
                <w:rFonts w:ascii="Arial" w:cs="Arial" w:eastAsia="Arial" w:hAnsi="Arial"/>
                <w:sz w:val="13"/>
                <w:szCs w:val="13"/>
                <w:color w:val="auto"/>
              </w:rPr>
              <w:t>3.60 (0.8)</w:t>
            </w:r>
          </w:p>
        </w:tc>
        <w:tc>
          <w:tcPr>
            <w:tcW w:w="800" w:type="dxa"/>
            <w:vAlign w:val="bottom"/>
          </w:tcPr>
          <w:p>
            <w:pPr>
              <w:ind w:left="100"/>
              <w:spacing w:after="0"/>
              <w:rPr>
                <w:sz w:val="20"/>
                <w:szCs w:val="20"/>
                <w:color w:val="auto"/>
              </w:rPr>
            </w:pPr>
            <w:r>
              <w:rPr>
                <w:rFonts w:ascii="Arial" w:cs="Arial" w:eastAsia="Arial" w:hAnsi="Arial"/>
                <w:sz w:val="13"/>
                <w:szCs w:val="13"/>
                <w:color w:val="auto"/>
              </w:rPr>
              <w:t>3.71 (1.0)</w:t>
            </w:r>
          </w:p>
        </w:tc>
        <w:tc>
          <w:tcPr>
            <w:tcW w:w="0" w:type="dxa"/>
            <w:vAlign w:val="bottom"/>
          </w:tcPr>
          <w:p>
            <w:pPr>
              <w:spacing w:after="0"/>
              <w:rPr>
                <w:sz w:val="1"/>
                <w:szCs w:val="1"/>
                <w:color w:val="auto"/>
              </w:rPr>
            </w:pPr>
          </w:p>
        </w:tc>
      </w:tr>
      <w:tr>
        <w:trPr>
          <w:trHeight w:val="171"/>
        </w:trPr>
        <w:tc>
          <w:tcPr>
            <w:tcW w:w="2560" w:type="dxa"/>
            <w:vAlign w:val="bottom"/>
          </w:tcPr>
          <w:p>
            <w:pPr>
              <w:ind w:left="360"/>
              <w:spacing w:after="0" w:line="150" w:lineRule="exact"/>
              <w:rPr>
                <w:sz w:val="20"/>
                <w:szCs w:val="20"/>
                <w:color w:val="auto"/>
              </w:rPr>
            </w:pPr>
            <w:r>
              <w:rPr>
                <w:rFonts w:ascii="Arial" w:cs="Arial" w:eastAsia="Arial" w:hAnsi="Arial"/>
                <w:sz w:val="13"/>
                <w:szCs w:val="13"/>
                <w:color w:val="auto"/>
              </w:rPr>
              <w:t>adequate</w:t>
            </w:r>
          </w:p>
        </w:tc>
        <w:tc>
          <w:tcPr>
            <w:tcW w:w="760" w:type="dxa"/>
            <w:vAlign w:val="bottom"/>
            <w:vMerge w:val="restart"/>
          </w:tcPr>
          <w:p>
            <w:pPr>
              <w:ind w:left="100"/>
              <w:spacing w:after="0"/>
              <w:rPr>
                <w:sz w:val="20"/>
                <w:szCs w:val="20"/>
                <w:color w:val="auto"/>
              </w:rPr>
            </w:pPr>
            <w:r>
              <w:rPr>
                <w:rFonts w:ascii="Arial" w:cs="Arial" w:eastAsia="Arial" w:hAnsi="Arial"/>
                <w:sz w:val="13"/>
                <w:szCs w:val="13"/>
                <w:color w:val="auto"/>
              </w:rPr>
              <w:t>4.37 (0.9)</w:t>
            </w:r>
          </w:p>
        </w:tc>
        <w:tc>
          <w:tcPr>
            <w:tcW w:w="900" w:type="dxa"/>
            <w:vAlign w:val="bottom"/>
            <w:vMerge w:val="restart"/>
          </w:tcPr>
          <w:p>
            <w:pPr>
              <w:jc w:val="center"/>
              <w:spacing w:after="0"/>
              <w:rPr>
                <w:sz w:val="20"/>
                <w:szCs w:val="20"/>
                <w:color w:val="auto"/>
              </w:rPr>
            </w:pPr>
            <w:r>
              <w:rPr>
                <w:rFonts w:ascii="Arial" w:cs="Arial" w:eastAsia="Arial" w:hAnsi="Arial"/>
                <w:sz w:val="13"/>
                <w:szCs w:val="13"/>
                <w:color w:val="auto"/>
              </w:rPr>
              <w:t>3.55 (0.8)</w:t>
            </w:r>
          </w:p>
        </w:tc>
        <w:tc>
          <w:tcPr>
            <w:tcW w:w="800" w:type="dxa"/>
            <w:vAlign w:val="bottom"/>
            <w:vMerge w:val="restart"/>
          </w:tcPr>
          <w:p>
            <w:pPr>
              <w:ind w:left="100"/>
              <w:spacing w:after="0"/>
              <w:rPr>
                <w:sz w:val="20"/>
                <w:szCs w:val="20"/>
                <w:color w:val="auto"/>
              </w:rPr>
            </w:pPr>
            <w:r>
              <w:rPr>
                <w:rFonts w:ascii="Arial" w:cs="Arial" w:eastAsia="Arial" w:hAnsi="Arial"/>
                <w:sz w:val="13"/>
                <w:szCs w:val="13"/>
                <w:color w:val="auto"/>
              </w:rPr>
              <w:t>3.57 (1.0)</w:t>
            </w:r>
          </w:p>
        </w:tc>
        <w:tc>
          <w:tcPr>
            <w:tcW w:w="0" w:type="dxa"/>
            <w:vAlign w:val="bottom"/>
          </w:tcPr>
          <w:p>
            <w:pPr>
              <w:spacing w:after="0"/>
              <w:rPr>
                <w:sz w:val="1"/>
                <w:szCs w:val="1"/>
                <w:color w:val="auto"/>
              </w:rPr>
            </w:pPr>
          </w:p>
        </w:tc>
      </w:tr>
      <w:tr>
        <w:trPr>
          <w:trHeight w:val="172"/>
        </w:trPr>
        <w:tc>
          <w:tcPr>
            <w:tcW w:w="2560" w:type="dxa"/>
            <w:vAlign w:val="bottom"/>
          </w:tcPr>
          <w:p>
            <w:pPr>
              <w:ind w:left="120"/>
              <w:spacing w:after="0" w:line="150" w:lineRule="exact"/>
              <w:rPr>
                <w:sz w:val="20"/>
                <w:szCs w:val="20"/>
                <w:color w:val="auto"/>
              </w:rPr>
            </w:pPr>
            <w:r>
              <w:rPr>
                <w:rFonts w:ascii="Arial" w:cs="Arial" w:eastAsia="Arial" w:hAnsi="Arial"/>
                <w:sz w:val="13"/>
                <w:szCs w:val="13"/>
                <w:color w:val="auto"/>
              </w:rPr>
              <w:t>The level of detail was acceptable</w:t>
            </w:r>
          </w:p>
        </w:tc>
        <w:tc>
          <w:tcPr>
            <w:tcW w:w="760" w:type="dxa"/>
            <w:vAlign w:val="bottom"/>
            <w:vMerge w:val="continue"/>
          </w:tcPr>
          <w:p>
            <w:pPr>
              <w:spacing w:after="0"/>
              <w:rPr>
                <w:sz w:val="14"/>
                <w:szCs w:val="14"/>
                <w:color w:val="auto"/>
              </w:rPr>
            </w:pPr>
          </w:p>
        </w:tc>
        <w:tc>
          <w:tcPr>
            <w:tcW w:w="900" w:type="dxa"/>
            <w:vAlign w:val="bottom"/>
            <w:vMerge w:val="continue"/>
          </w:tcPr>
          <w:p>
            <w:pPr>
              <w:spacing w:after="0"/>
              <w:rPr>
                <w:sz w:val="14"/>
                <w:szCs w:val="14"/>
                <w:color w:val="auto"/>
              </w:rPr>
            </w:pPr>
          </w:p>
        </w:tc>
        <w:tc>
          <w:tcPr>
            <w:tcW w:w="8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2560" w:type="dxa"/>
            <w:vAlign w:val="bottom"/>
          </w:tcPr>
          <w:p>
            <w:pPr>
              <w:ind w:left="120"/>
              <w:spacing w:after="0"/>
              <w:rPr>
                <w:sz w:val="20"/>
                <w:szCs w:val="20"/>
                <w:color w:val="auto"/>
              </w:rPr>
            </w:pPr>
            <w:r>
              <w:rPr>
                <w:rFonts w:ascii="Arial" w:cs="Arial" w:eastAsia="Arial" w:hAnsi="Arial"/>
                <w:sz w:val="13"/>
                <w:szCs w:val="13"/>
                <w:color w:val="auto"/>
              </w:rPr>
              <w:t>I consider the results of the session to be</w:t>
            </w:r>
          </w:p>
        </w:tc>
        <w:tc>
          <w:tcPr>
            <w:tcW w:w="760" w:type="dxa"/>
            <w:vAlign w:val="bottom"/>
          </w:tcPr>
          <w:p>
            <w:pPr>
              <w:ind w:left="100"/>
              <w:spacing w:after="0"/>
              <w:rPr>
                <w:sz w:val="20"/>
                <w:szCs w:val="20"/>
                <w:color w:val="auto"/>
              </w:rPr>
            </w:pPr>
            <w:r>
              <w:rPr>
                <w:rFonts w:ascii="Arial" w:cs="Arial" w:eastAsia="Arial" w:hAnsi="Arial"/>
                <w:sz w:val="13"/>
                <w:szCs w:val="13"/>
                <w:color w:val="auto"/>
              </w:rPr>
              <w:t>4.52 (0.7)</w:t>
            </w:r>
          </w:p>
        </w:tc>
        <w:tc>
          <w:tcPr>
            <w:tcW w:w="900" w:type="dxa"/>
            <w:vAlign w:val="bottom"/>
          </w:tcPr>
          <w:p>
            <w:pPr>
              <w:jc w:val="center"/>
              <w:spacing w:after="0"/>
              <w:rPr>
                <w:sz w:val="20"/>
                <w:szCs w:val="20"/>
                <w:color w:val="auto"/>
              </w:rPr>
            </w:pPr>
            <w:r>
              <w:rPr>
                <w:rFonts w:ascii="Arial" w:cs="Arial" w:eastAsia="Arial" w:hAnsi="Arial"/>
                <w:sz w:val="13"/>
                <w:szCs w:val="13"/>
                <w:color w:val="auto"/>
              </w:rPr>
              <w:t>3.60 (0.8)</w:t>
            </w:r>
          </w:p>
        </w:tc>
        <w:tc>
          <w:tcPr>
            <w:tcW w:w="800" w:type="dxa"/>
            <w:vAlign w:val="bottom"/>
          </w:tcPr>
          <w:p>
            <w:pPr>
              <w:ind w:left="100"/>
              <w:spacing w:after="0"/>
              <w:rPr>
                <w:sz w:val="20"/>
                <w:szCs w:val="20"/>
                <w:color w:val="auto"/>
              </w:rPr>
            </w:pPr>
            <w:r>
              <w:rPr>
                <w:rFonts w:ascii="Arial" w:cs="Arial" w:eastAsia="Arial" w:hAnsi="Arial"/>
                <w:sz w:val="13"/>
                <w:szCs w:val="13"/>
                <w:color w:val="auto"/>
              </w:rPr>
              <w:t>4.00 (0.8)</w:t>
            </w:r>
          </w:p>
        </w:tc>
        <w:tc>
          <w:tcPr>
            <w:tcW w:w="0" w:type="dxa"/>
            <w:vAlign w:val="bottom"/>
          </w:tcPr>
          <w:p>
            <w:pPr>
              <w:spacing w:after="0"/>
              <w:rPr>
                <w:sz w:val="1"/>
                <w:szCs w:val="1"/>
                <w:color w:val="auto"/>
              </w:rPr>
            </w:pPr>
          </w:p>
        </w:tc>
      </w:tr>
      <w:tr>
        <w:trPr>
          <w:trHeight w:val="227"/>
        </w:trPr>
        <w:tc>
          <w:tcPr>
            <w:tcW w:w="2560" w:type="dxa"/>
            <w:vAlign w:val="bottom"/>
          </w:tcPr>
          <w:p>
            <w:pPr>
              <w:ind w:left="360"/>
              <w:spacing w:after="0" w:line="150" w:lineRule="exact"/>
              <w:rPr>
                <w:sz w:val="20"/>
                <w:szCs w:val="20"/>
                <w:color w:val="auto"/>
              </w:rPr>
            </w:pPr>
            <w:r>
              <w:rPr>
                <w:rFonts w:ascii="Arial" w:cs="Arial" w:eastAsia="Arial" w:hAnsi="Arial"/>
                <w:sz w:val="13"/>
                <w:szCs w:val="13"/>
                <w:color w:val="auto"/>
              </w:rPr>
              <w:t>reliable</w:t>
            </w:r>
          </w:p>
        </w:tc>
        <w:tc>
          <w:tcPr>
            <w:tcW w:w="7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48260</wp:posOffset>
                </wp:positionV>
                <wp:extent cx="31877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3.8pt" to="250.65pt,3.8pt" o:allowincell="f" strokecolor="#000000" strokeweight="0.498pt"/>
            </w:pict>
          </mc:Fallback>
        </mc:AlternateContent>
      </w:r>
    </w:p>
    <w:p>
      <w:pPr>
        <w:spacing w:after="0" w:line="90" w:lineRule="exact"/>
        <w:rPr>
          <w:sz w:val="20"/>
          <w:szCs w:val="20"/>
          <w:color w:val="auto"/>
        </w:rPr>
      </w:pPr>
    </w:p>
    <w:p>
      <w:pPr>
        <w:spacing w:after="0" w:line="161" w:lineRule="exact"/>
        <w:tabs>
          <w:tab w:leader="none" w:pos="1020" w:val="left"/>
          <w:tab w:leader="none" w:pos="1780" w:val="left"/>
        </w:tabs>
        <w:rPr>
          <w:sz w:val="20"/>
          <w:szCs w:val="20"/>
          <w:color w:val="auto"/>
        </w:rPr>
      </w:pPr>
      <w:r>
        <w:rPr>
          <w:rFonts w:ascii="Arial" w:cs="Arial" w:eastAsia="Arial" w:hAnsi="Arial"/>
          <w:sz w:val="14"/>
          <w:szCs w:val="14"/>
          <w:color w:val="auto"/>
        </w:rPr>
        <w:t xml:space="preserve">Sig: </w:t>
      </w:r>
      <w:r>
        <w:rPr>
          <w:rFonts w:ascii="Arial" w:cs="Arial" w:eastAsia="Arial" w:hAnsi="Arial"/>
          <w:sz w:val="14"/>
          <w:szCs w:val="14"/>
          <w:i w:val="1"/>
          <w:iCs w:val="1"/>
          <w:color w:val="auto"/>
        </w:rPr>
        <w:t>p</w:t>
      </w:r>
      <w:r>
        <w:rPr>
          <w:rFonts w:ascii="Arial" w:cs="Arial" w:eastAsia="Arial" w:hAnsi="Arial"/>
          <w:sz w:val="14"/>
          <w:szCs w:val="14"/>
          <w:color w:val="auto"/>
        </w:rPr>
        <w:t xml:space="preserve"> &lt; .05;</w:t>
      </w:r>
      <w:r>
        <w:rPr>
          <w:sz w:val="20"/>
          <w:szCs w:val="20"/>
          <w:color w:val="auto"/>
        </w:rPr>
        <w:tab/>
      </w:r>
      <w:r>
        <w:rPr>
          <w:rFonts w:ascii="Arial" w:cs="Arial" w:eastAsia="Arial" w:hAnsi="Arial"/>
          <w:sz w:val="14"/>
          <w:szCs w:val="14"/>
          <w:i w:val="1"/>
          <w:iCs w:val="1"/>
          <w:color w:val="auto"/>
        </w:rPr>
        <w:t xml:space="preserve">p </w:t>
      </w:r>
      <w:r>
        <w:rPr>
          <w:rFonts w:ascii="Arial" w:cs="Arial" w:eastAsia="Arial" w:hAnsi="Arial"/>
          <w:sz w:val="14"/>
          <w:szCs w:val="14"/>
          <w:color w:val="auto"/>
        </w:rPr>
        <w:t>&lt; .01;</w:t>
      </w:r>
      <w:r>
        <w:rPr>
          <w:rFonts w:ascii="Arial" w:cs="Arial" w:eastAsia="Arial" w:hAnsi="Arial"/>
          <w:sz w:val="14"/>
          <w:szCs w:val="14"/>
          <w:i w:val="1"/>
          <w:iCs w:val="1"/>
          <w:color w:val="auto"/>
        </w:rPr>
        <w:tab/>
        <w:t xml:space="preserve">p </w:t>
      </w:r>
      <w:r>
        <w:rPr>
          <w:rFonts w:ascii="Arial" w:cs="Arial" w:eastAsia="Arial" w:hAnsi="Arial"/>
          <w:sz w:val="14"/>
          <w:szCs w:val="14"/>
          <w:color w:val="auto"/>
        </w:rPr>
        <w:t>&lt; .000.</w:t>
      </w:r>
    </w:p>
    <w:p>
      <w:pPr>
        <w:spacing w:after="0" w:line="238" w:lineRule="exact"/>
        <w:rPr>
          <w:sz w:val="20"/>
          <w:szCs w:val="20"/>
          <w:color w:val="auto"/>
        </w:rPr>
      </w:pPr>
    </w:p>
    <w:p>
      <w:pPr>
        <w:jc w:val="both"/>
        <w:spacing w:after="0" w:line="291" w:lineRule="auto"/>
        <w:rPr>
          <w:sz w:val="20"/>
          <w:szCs w:val="20"/>
          <w:color w:val="auto"/>
        </w:rPr>
      </w:pPr>
      <w:r>
        <w:rPr>
          <w:rFonts w:ascii="Arial" w:cs="Arial" w:eastAsia="Arial" w:hAnsi="Arial"/>
          <w:sz w:val="16"/>
          <w:szCs w:val="16"/>
          <w:color w:val="auto"/>
        </w:rPr>
        <w:t>positive about the usability scores. This implies that CAL requires fur-ther consideration in attuning to the demands of the government sector. Additionally, scores for level of detail and data availability were rela-tively low and the interactivity and communication value of the equipment was high for all sectors. This reflects the nature of the workshop and equipment that particularly focused on collaboration and brainstorming. Overall, the scores are relatively high, the lowest score being 3.55 for level of detail, indicating high usability.</w:t>
      </w:r>
    </w:p>
    <w:p>
      <w:pPr>
        <w:spacing w:after="0" w:line="307"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4.1.3. Usefulness</w:t>
      </w:r>
    </w:p>
    <w:p>
      <w:pPr>
        <w:spacing w:after="0" w:line="35" w:lineRule="exact"/>
        <w:rPr>
          <w:sz w:val="20"/>
          <w:szCs w:val="20"/>
          <w:color w:val="auto"/>
        </w:rPr>
      </w:pPr>
    </w:p>
    <w:p>
      <w:pPr>
        <w:jc w:val="both"/>
        <w:ind w:firstLine="249"/>
        <w:spacing w:after="0" w:line="298" w:lineRule="auto"/>
        <w:rPr>
          <w:sz w:val="20"/>
          <w:szCs w:val="20"/>
          <w:color w:val="auto"/>
        </w:rPr>
      </w:pPr>
      <w:r>
        <w:rPr>
          <w:rFonts w:ascii="Arial" w:cs="Arial" w:eastAsia="Arial" w:hAnsi="Arial"/>
          <w:sz w:val="15"/>
          <w:szCs w:val="15"/>
          <w:color w:val="auto"/>
        </w:rPr>
        <w:t>From the previous discussion, we can argue that CAL has a high usability and utility rating, even if this is dependent on the type of task performed and the support functions available in CAL. Additionally, we find that needs between participants differ. The academic sector argued to use CAL for more efficient research translation to practice. Government would use CAL to create more informed outcomes and the industry sector believed CAL could facilitate better cooperation be-tween industry and government. Participants identified various strengths and limitations of CAL (</w:t>
      </w:r>
      <w:r>
        <w:rPr>
          <w:rFonts w:ascii="Arial" w:cs="Arial" w:eastAsia="Arial" w:hAnsi="Arial"/>
          <w:sz w:val="15"/>
          <w:szCs w:val="15"/>
          <w:color w:val="206293"/>
        </w:rPr>
        <w:t>Table 5</w:t>
      </w:r>
      <w:r>
        <w:rPr>
          <w:rFonts w:ascii="Arial" w:cs="Arial" w:eastAsia="Arial" w:hAnsi="Arial"/>
          <w:sz w:val="15"/>
          <w:szCs w:val="15"/>
          <w:color w:val="auto"/>
        </w:rPr>
        <w:t>). The ability to instantly share data and the responsiveness of tool attributes were considered strengths. Participants were concerned about limited software support, which can be contributed to the lack of optimization of PSS tools pre-sented for performance on the interactive touch screens. Participants were also concerned about the breadth of functionality of some of the PSS tools and the lack of data export options. A participant questioned “</w:t>
      </w:r>
      <w:r>
        <w:rPr>
          <w:rFonts w:ascii="Arial" w:cs="Arial" w:eastAsia="Arial" w:hAnsi="Arial"/>
          <w:sz w:val="15"/>
          <w:szCs w:val="15"/>
          <w:i w:val="1"/>
          <w:iCs w:val="1"/>
          <w:color w:val="auto"/>
        </w:rPr>
        <w:t>when everyone has contributed, and you've got this screen [in Cruiser</w:t>
      </w:r>
      <w:r>
        <w:rPr>
          <w:rFonts w:ascii="Arial" w:cs="Arial" w:eastAsia="Arial" w:hAnsi="Arial"/>
          <w:sz w:val="15"/>
          <w:szCs w:val="15"/>
          <w:color w:val="auto"/>
        </w:rPr>
        <w:t xml:space="preserve"> </w:t>
      </w:r>
      <w:r>
        <w:rPr>
          <w:rFonts w:ascii="Arial" w:cs="Arial" w:eastAsia="Arial" w:hAnsi="Arial"/>
          <w:sz w:val="15"/>
          <w:szCs w:val="15"/>
          <w:i w:val="1"/>
          <w:iCs w:val="1"/>
          <w:color w:val="auto"/>
        </w:rPr>
        <w:t xml:space="preserve">software]. How do you save it? Is it just </w:t>
      </w:r>
      <w:r>
        <w:rPr>
          <w:rFonts w:ascii="Arial" w:cs="Arial" w:eastAsia="Arial" w:hAnsi="Arial"/>
          <w:sz w:val="15"/>
          <w:szCs w:val="15"/>
          <w:color w:val="auto"/>
        </w:rPr>
        <w:t>a</w:t>
      </w:r>
      <w:r>
        <w:rPr>
          <w:rFonts w:ascii="Arial" w:cs="Arial" w:eastAsia="Arial" w:hAnsi="Arial"/>
          <w:sz w:val="15"/>
          <w:szCs w:val="15"/>
          <w:i w:val="1"/>
          <w:iCs w:val="1"/>
          <w:color w:val="auto"/>
        </w:rPr>
        <w:t xml:space="preserve"> screenshot?</w:t>
      </w:r>
      <w:r>
        <w:rPr>
          <w:rFonts w:ascii="Arial" w:cs="Arial" w:eastAsia="Arial" w:hAnsi="Arial"/>
          <w:sz w:val="15"/>
          <w:szCs w:val="15"/>
          <w:color w:val="auto"/>
        </w:rPr>
        <w:t>” (Participant 3). It</w:t>
      </w:r>
      <w:r>
        <w:rPr>
          <w:rFonts w:ascii="Arial" w:cs="Arial" w:eastAsia="Arial" w:hAnsi="Arial"/>
          <w:sz w:val="15"/>
          <w:szCs w:val="15"/>
          <w:i w:val="1"/>
          <w:iCs w:val="1"/>
          <w:color w:val="auto"/>
        </w:rPr>
        <w:t xml:space="preserve"> </w:t>
      </w:r>
      <w:r>
        <w:rPr>
          <w:rFonts w:ascii="Arial" w:cs="Arial" w:eastAsia="Arial" w:hAnsi="Arial"/>
          <w:sz w:val="15"/>
          <w:szCs w:val="15"/>
          <w:color w:val="auto"/>
        </w:rPr>
        <w:t>can be difficult to export results without access to Cruiser software. This can limit the usefulness of CAL for some purposes. Overall, we find that CAL is useful to a range of activities, but it is ultimately dependent on the type of tasks, the type of users and the structure of the workshop.</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Arial" w:cs="Arial" w:eastAsia="Arial" w:hAnsi="Arial"/>
          <w:sz w:val="16"/>
          <w:szCs w:val="16"/>
          <w:i w:val="1"/>
          <w:iCs w:val="1"/>
          <w:color w:val="auto"/>
        </w:rPr>
        <w:t>4.2. Best practice: implementation of PSS into smart planning</w:t>
      </w:r>
    </w:p>
    <w:p>
      <w:pPr>
        <w:spacing w:after="0" w:line="234" w:lineRule="exact"/>
        <w:rPr>
          <w:sz w:val="20"/>
          <w:szCs w:val="20"/>
          <w:color w:val="auto"/>
        </w:rPr>
      </w:pPr>
    </w:p>
    <w:p>
      <w:pPr>
        <w:jc w:val="both"/>
        <w:ind w:firstLine="250"/>
        <w:spacing w:after="0" w:line="273" w:lineRule="auto"/>
        <w:rPr>
          <w:rFonts w:ascii="Arial" w:cs="Arial" w:eastAsia="Arial" w:hAnsi="Arial"/>
          <w:sz w:val="16"/>
          <w:szCs w:val="16"/>
          <w:color w:val="206293"/>
        </w:rPr>
      </w:pPr>
      <w:r>
        <w:rPr>
          <w:rFonts w:ascii="Arial" w:cs="Arial" w:eastAsia="Arial" w:hAnsi="Arial"/>
          <w:sz w:val="16"/>
          <w:szCs w:val="16"/>
          <w:color w:val="auto"/>
        </w:rPr>
        <w:t>From the literature it becomes apparent that there are a few shortcomings of PSS that have contributed to the implementation gap, despite some PSS having been successfully implemented in collabora-tive and adaptive planning processes in recent years, such as a public participation GIS tool used in the Helsinki Master Plan process (</w:t>
      </w:r>
      <w:r>
        <w:rPr>
          <w:rFonts w:ascii="Arial" w:cs="Arial" w:eastAsia="Arial" w:hAnsi="Arial"/>
          <w:sz w:val="16"/>
          <w:szCs w:val="16"/>
          <w:color w:val="206293"/>
        </w:rPr>
        <w:t>Kahila-Tani, Broberg, Kyttä, &amp; Tyger, 2016</w:t>
      </w:r>
      <w:r>
        <w:rPr>
          <w:rFonts w:ascii="Arial" w:cs="Arial" w:eastAsia="Arial" w:hAnsi="Arial"/>
          <w:sz w:val="16"/>
          <w:szCs w:val="16"/>
          <w:color w:val="000000"/>
        </w:rPr>
        <w:t>). Shortcomings include, a lack of</w:t>
      </w:r>
      <w:r>
        <w:rPr>
          <w:rFonts w:ascii="Arial" w:cs="Arial" w:eastAsia="Arial" w:hAnsi="Arial"/>
          <w:sz w:val="16"/>
          <w:szCs w:val="16"/>
          <w:color w:val="206293"/>
        </w:rPr>
        <w:t xml:space="preserve"> </w:t>
      </w:r>
      <w:r>
        <w:rPr>
          <w:rFonts w:ascii="Arial" w:cs="Arial" w:eastAsia="Arial" w:hAnsi="Arial"/>
          <w:sz w:val="16"/>
          <w:szCs w:val="16"/>
          <w:color w:val="000000"/>
        </w:rPr>
        <w:t>collaboration and co-design in the development processes – to over-come the PSS supply/user demand discrepancy – and an under-represented role for contextual factors (</w:t>
      </w:r>
      <w:r>
        <w:rPr>
          <w:rFonts w:ascii="Arial" w:cs="Arial" w:eastAsia="Arial" w:hAnsi="Arial"/>
          <w:sz w:val="16"/>
          <w:szCs w:val="16"/>
          <w:color w:val="206293"/>
        </w:rPr>
        <w:t>te Brömmelstroet &amp; Bertolini,</w:t>
      </w:r>
      <w:r>
        <w:rPr>
          <w:rFonts w:ascii="Arial" w:cs="Arial" w:eastAsia="Arial" w:hAnsi="Arial"/>
          <w:sz w:val="16"/>
          <w:szCs w:val="16"/>
          <w:color w:val="000000"/>
        </w:rPr>
        <w:t xml:space="preserve"> </w:t>
      </w:r>
      <w:hyperlink w:anchor="page12">
        <w:r>
          <w:rPr>
            <w:rFonts w:ascii="Arial" w:cs="Arial" w:eastAsia="Arial" w:hAnsi="Arial"/>
            <w:sz w:val="16"/>
            <w:szCs w:val="16"/>
            <w:color w:val="206293"/>
          </w:rPr>
          <w:t>2008</w:t>
        </w:r>
      </w:hyperlink>
      <w:r>
        <w:rPr>
          <w:rFonts w:ascii="Arial" w:cs="Arial" w:eastAsia="Arial" w:hAnsi="Arial"/>
          <w:sz w:val="16"/>
          <w:szCs w:val="16"/>
          <w:color w:val="000000"/>
        </w:rPr>
        <w:t>;</w:t>
      </w:r>
      <w:r>
        <w:rPr>
          <w:rFonts w:ascii="Arial" w:cs="Arial" w:eastAsia="Arial" w:hAnsi="Arial"/>
          <w:sz w:val="16"/>
          <w:szCs w:val="16"/>
          <w:color w:val="206293"/>
        </w:rPr>
        <w:t xml:space="preserve"> Geertman, 2006; Kahila-Tani, Broberg, Kyttä, &amp; Tyger, 2016 </w:t>
      </w:r>
      <w:r>
        <w:rPr>
          <w:rFonts w:ascii="Arial" w:cs="Arial" w:eastAsia="Arial" w:hAnsi="Arial"/>
          <w:sz w:val="16"/>
          <w:szCs w:val="16"/>
          <w:color w:val="000000"/>
        </w:rPr>
        <w:t>. To</w:t>
      </w:r>
      <w:r>
        <w:rPr>
          <w:rFonts w:ascii="Arial" w:cs="Arial" w:eastAsia="Arial" w:hAnsi="Arial"/>
          <w:sz w:val="16"/>
          <w:szCs w:val="16"/>
          <w:color w:val="206293"/>
        </w:rPr>
        <w:t xml:space="preserve"> </w:t>
      </w:r>
      <w:r>
        <w:rPr>
          <w:rFonts w:ascii="Arial" w:cs="Arial" w:eastAsia="Arial" w:hAnsi="Arial"/>
          <w:sz w:val="16"/>
          <w:szCs w:val="16"/>
          <w:color w:val="000000"/>
        </w:rPr>
        <w:t>bridge the PSS implementation gap, an understanding of the usefulness of PSS in combination with the most valuable contextual factors, such as user preferences, policy characteristics, planning style, policy context and development of the tools is required. These characteristics have been assessed in the CAL case to show how the lab serves as a best practice of PSS implementation.</w:t>
      </w:r>
    </w:p>
    <w:p>
      <w:pPr>
        <w:spacing w:after="0" w:line="9" w:lineRule="exact"/>
        <w:rPr>
          <w:sz w:val="20"/>
          <w:szCs w:val="20"/>
          <w:color w:val="auto"/>
        </w:rPr>
      </w:pPr>
    </w:p>
    <w:p>
      <w:pPr>
        <w:jc w:val="both"/>
        <w:ind w:firstLine="250"/>
        <w:spacing w:after="0" w:line="293" w:lineRule="auto"/>
        <w:rPr>
          <w:sz w:val="20"/>
          <w:szCs w:val="20"/>
          <w:color w:val="auto"/>
        </w:rPr>
      </w:pPr>
      <w:r>
        <w:rPr>
          <w:rFonts w:ascii="Arial" w:cs="Arial" w:eastAsia="Arial" w:hAnsi="Arial"/>
          <w:sz w:val="15"/>
          <w:szCs w:val="15"/>
          <w:color w:val="auto"/>
        </w:rPr>
        <w:t>Based on discussions with participants during the workshops, we found that most important for bridging the PSS implementation gap were a consideration of policy, context and user preferences in the development of PSS tools. Integrating user preferences is difficult, since user preferences differ per sector and generation, usually around the content of planning issues, the planning process or the role of support functions (</w:t>
      </w:r>
      <w:r>
        <w:rPr>
          <w:rFonts w:ascii="Arial" w:cs="Arial" w:eastAsia="Arial" w:hAnsi="Arial"/>
          <w:sz w:val="15"/>
          <w:szCs w:val="15"/>
          <w:color w:val="206293"/>
        </w:rPr>
        <w:t>Mouter &amp; Pelzer, 2014</w:t>
      </w:r>
      <w:r>
        <w:rPr>
          <w:rFonts w:ascii="Arial" w:cs="Arial" w:eastAsia="Arial" w:hAnsi="Arial"/>
          <w:sz w:val="15"/>
          <w:szCs w:val="15"/>
          <w:color w:val="auto"/>
        </w:rPr>
        <w:t xml:space="preserve">). Some participants were instantly drawn to the technological side of CAL, while others were more inter-ested in the interpretation of visualized data. For some participants it was difficult to identify how CAL can fit into their planning style and work. For example, the Austrade group from Singapore argue: </w:t>
      </w:r>
      <w:r>
        <w:rPr>
          <w:rFonts w:ascii="Arial" w:cs="Arial" w:eastAsia="Arial" w:hAnsi="Arial"/>
          <w:sz w:val="15"/>
          <w:szCs w:val="15"/>
          <w:i w:val="1"/>
          <w:iCs w:val="1"/>
          <w:color w:val="auto"/>
        </w:rPr>
        <w:t>“We are</w:t>
      </w:r>
      <w:r>
        <w:rPr>
          <w:rFonts w:ascii="Arial" w:cs="Arial" w:eastAsia="Arial" w:hAnsi="Arial"/>
          <w:sz w:val="15"/>
          <w:szCs w:val="15"/>
          <w:color w:val="auto"/>
        </w:rPr>
        <w:t xml:space="preserve"> </w:t>
      </w:r>
      <w:r>
        <w:rPr>
          <w:rFonts w:ascii="Arial" w:cs="Arial" w:eastAsia="Arial" w:hAnsi="Arial"/>
          <w:sz w:val="15"/>
          <w:szCs w:val="15"/>
          <w:i w:val="1"/>
          <w:iCs w:val="1"/>
          <w:color w:val="auto"/>
        </w:rPr>
        <w:t xml:space="preserve">not looking at cityscapes, more at individual buildings, but we are interested in smart initiatives and smart cities. We are not sure how we want to in-tegrate that into our work” </w:t>
      </w:r>
      <w:r>
        <w:rPr>
          <w:rFonts w:ascii="Arial" w:cs="Arial" w:eastAsia="Arial" w:hAnsi="Arial"/>
          <w:sz w:val="15"/>
          <w:szCs w:val="15"/>
          <w:color w:val="auto"/>
        </w:rPr>
        <w:t>(Workshop 02/11). Other participants argued</w:t>
      </w:r>
      <w:r>
        <w:rPr>
          <w:rFonts w:ascii="Arial" w:cs="Arial" w:eastAsia="Arial" w:hAnsi="Arial"/>
          <w:sz w:val="15"/>
          <w:szCs w:val="15"/>
          <w:i w:val="1"/>
          <w:iCs w:val="1"/>
          <w:color w:val="auto"/>
        </w:rPr>
        <w:t xml:space="preserve"> </w:t>
      </w:r>
      <w:r>
        <w:rPr>
          <w:rFonts w:ascii="Arial" w:cs="Arial" w:eastAsia="Arial" w:hAnsi="Arial"/>
          <w:sz w:val="15"/>
          <w:szCs w:val="15"/>
          <w:color w:val="auto"/>
        </w:rPr>
        <w:t xml:space="preserve">that the tools would need to be adjusted to fit their work, for example by adding databases to tools. A first step to solve these issues of com-patibility is to facilitate conversation and find common ground, before specifying how CAL can be useful for the work each organization does. This is also something that </w:t>
      </w:r>
      <w:r>
        <w:rPr>
          <w:rFonts w:ascii="Arial" w:cs="Arial" w:eastAsia="Arial" w:hAnsi="Arial"/>
          <w:sz w:val="15"/>
          <w:szCs w:val="15"/>
          <w:color w:val="206293"/>
        </w:rPr>
        <w:t>te Brömmelstroet and Bertolini (2008)</w:t>
      </w:r>
      <w:r>
        <w:rPr>
          <w:rFonts w:ascii="Arial" w:cs="Arial" w:eastAsia="Arial" w:hAnsi="Arial"/>
          <w:sz w:val="15"/>
          <w:szCs w:val="15"/>
          <w:color w:val="auto"/>
        </w:rPr>
        <w:t xml:space="preserve"> re-commend: finding a common language. CAL is developing this common language through collaborating with government and industry part-ners. By co-designing and collaboratively developing tools, CAL con-tributes to bridging the PSS implementation gap.</w:t>
      </w:r>
    </w:p>
    <w:p>
      <w:pPr>
        <w:spacing w:after="0" w:line="179" w:lineRule="exact"/>
        <w:rPr>
          <w:sz w:val="20"/>
          <w:szCs w:val="20"/>
          <w:color w:val="auto"/>
        </w:rPr>
      </w:pPr>
    </w:p>
    <w:p>
      <w:pPr>
        <w:jc w:val="both"/>
        <w:ind w:firstLine="250"/>
        <w:spacing w:after="0" w:line="306" w:lineRule="auto"/>
        <w:rPr>
          <w:sz w:val="20"/>
          <w:szCs w:val="20"/>
          <w:color w:val="auto"/>
        </w:rPr>
      </w:pPr>
      <w:r>
        <w:rPr>
          <w:rFonts w:ascii="Arial" w:cs="Arial" w:eastAsia="Arial" w:hAnsi="Arial"/>
          <w:sz w:val="15"/>
          <w:szCs w:val="15"/>
          <w:color w:val="auto"/>
        </w:rPr>
        <w:t>Additionally, there are opportunities for CAL to tie in with policy plans around Sydney as a smart city (</w:t>
      </w:r>
      <w:r>
        <w:rPr>
          <w:rFonts w:ascii="Arial" w:cs="Arial" w:eastAsia="Arial" w:hAnsi="Arial"/>
          <w:sz w:val="15"/>
          <w:szCs w:val="15"/>
          <w:color w:val="206293"/>
        </w:rPr>
        <w:t>Australian Government, 2016</w:t>
      </w:r>
      <w:r>
        <w:rPr>
          <w:rFonts w:ascii="Arial" w:cs="Arial" w:eastAsia="Arial" w:hAnsi="Arial"/>
          <w:sz w:val="15"/>
          <w:szCs w:val="15"/>
          <w:color w:val="auto"/>
        </w:rPr>
        <w:t xml:space="preserve">; </w:t>
      </w:r>
      <w:r>
        <w:rPr>
          <w:rFonts w:ascii="Arial" w:cs="Arial" w:eastAsia="Arial" w:hAnsi="Arial"/>
          <w:sz w:val="15"/>
          <w:szCs w:val="15"/>
          <w:color w:val="206293"/>
        </w:rPr>
        <w:t>Greater Sydney Commission, 2018</w:t>
      </w:r>
      <w:r>
        <w:rPr>
          <w:rFonts w:ascii="Arial" w:cs="Arial" w:eastAsia="Arial" w:hAnsi="Arial"/>
          <w:sz w:val="15"/>
          <w:szCs w:val="15"/>
          <w:color w:val="000000"/>
        </w:rPr>
        <w:t>). CAL has developed PSS tools like</w:t>
      </w:r>
      <w:r>
        <w:rPr>
          <w:rFonts w:ascii="Arial" w:cs="Arial" w:eastAsia="Arial" w:hAnsi="Arial"/>
          <w:sz w:val="15"/>
          <w:szCs w:val="15"/>
          <w:color w:val="206293"/>
        </w:rPr>
        <w:t xml:space="preserve"> </w:t>
      </w:r>
      <w:r>
        <w:rPr>
          <w:rFonts w:ascii="Arial" w:cs="Arial" w:eastAsia="Arial" w:hAnsi="Arial"/>
          <w:sz w:val="15"/>
          <w:szCs w:val="15"/>
          <w:color w:val="000000"/>
        </w:rPr>
        <w:t>the ‘30 Min City’ Dashboard to address key planning policies and out-comes. In the workshops it was highlighted that: “</w:t>
      </w:r>
      <w:r>
        <w:rPr>
          <w:rFonts w:ascii="Arial" w:cs="Arial" w:eastAsia="Arial" w:hAnsi="Arial"/>
          <w:sz w:val="15"/>
          <w:szCs w:val="15"/>
          <w:i w:val="1"/>
          <w:iCs w:val="1"/>
          <w:color w:val="000000"/>
        </w:rPr>
        <w:t>The lightrail doesn't</w:t>
      </w:r>
      <w:r>
        <w:rPr>
          <w:rFonts w:ascii="Arial" w:cs="Arial" w:eastAsia="Arial" w:hAnsi="Arial"/>
          <w:sz w:val="15"/>
          <w:szCs w:val="15"/>
          <w:color w:val="000000"/>
        </w:rPr>
        <w:t xml:space="preserve"> </w:t>
      </w:r>
      <w:r>
        <w:rPr>
          <w:rFonts w:ascii="Arial" w:cs="Arial" w:eastAsia="Arial" w:hAnsi="Arial"/>
          <w:sz w:val="15"/>
          <w:szCs w:val="15"/>
          <w:i w:val="1"/>
          <w:iCs w:val="1"/>
          <w:color w:val="000000"/>
        </w:rPr>
        <w:t>have green light priorities, it is not given preference. That's one of the major issues in terms of actually travel times. If it doesn't have the green light, it doesn't actually travel faster than the bus</w:t>
      </w:r>
      <w:r>
        <w:rPr>
          <w:rFonts w:ascii="Arial" w:cs="Arial" w:eastAsia="Arial" w:hAnsi="Arial"/>
          <w:sz w:val="15"/>
          <w:szCs w:val="15"/>
          <w:color w:val="000000"/>
        </w:rPr>
        <w:t>.” (Participant 1). This in-formation contributes to knowledge of Sydney as a 30-min city. Fea-tures like this have been developed through research at the university in</w:t>
      </w:r>
    </w:p>
    <w:p>
      <w:pPr>
        <w:spacing w:after="0" w:line="148" w:lineRule="exact"/>
        <w:rPr>
          <w:sz w:val="20"/>
          <w:szCs w:val="20"/>
          <w:color w:val="auto"/>
        </w:rPr>
      </w:pPr>
    </w:p>
    <w:p>
      <w:pPr>
        <w:sectPr>
          <w:pgSz w:w="11900" w:h="15874" w:orient="portrait"/>
          <w:cols w:equalWidth="0" w:num="2">
            <w:col w:w="5020" w:space="360"/>
            <w:col w:w="5020"/>
          </w:cols>
          <w:pgMar w:left="760" w:top="676" w:right="746" w:bottom="14" w:gutter="0" w:footer="0" w:header="0"/>
          <w:type w:val="continuous"/>
        </w:sectPr>
      </w:pPr>
    </w:p>
    <w:p>
      <w:pPr>
        <w:ind w:left="820"/>
        <w:spacing w:after="0"/>
        <w:rPr>
          <w:sz w:val="20"/>
          <w:szCs w:val="20"/>
          <w:color w:val="auto"/>
        </w:rPr>
      </w:pPr>
      <w:r>
        <w:rPr>
          <w:rFonts w:ascii="Arial" w:cs="Arial" w:eastAsia="Arial" w:hAnsi="Arial"/>
          <w:sz w:val="14"/>
          <w:szCs w:val="14"/>
          <w:b w:val="1"/>
          <w:bCs w:val="1"/>
          <w:color w:val="auto"/>
        </w:rPr>
        <w:t>Table 5</w:t>
      </w:r>
    </w:p>
    <w:p>
      <w:pPr>
        <w:spacing w:after="0" w:line="39" w:lineRule="exact"/>
        <w:rPr>
          <w:sz w:val="20"/>
          <w:szCs w:val="20"/>
          <w:color w:val="auto"/>
        </w:rPr>
      </w:pPr>
    </w:p>
    <w:p>
      <w:pPr>
        <w:ind w:left="820"/>
        <w:spacing w:after="0"/>
        <w:rPr>
          <w:sz w:val="20"/>
          <w:szCs w:val="20"/>
          <w:color w:val="auto"/>
        </w:rPr>
      </w:pPr>
      <w:r>
        <w:rPr>
          <w:rFonts w:ascii="Arial" w:cs="Arial" w:eastAsia="Arial" w:hAnsi="Arial"/>
          <w:sz w:val="14"/>
          <w:szCs w:val="14"/>
          <w:color w:val="auto"/>
        </w:rPr>
        <w:t>Analysis of the strengths and limitations of the city analytics lab (source: authors).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524510</wp:posOffset>
                </wp:positionH>
                <wp:positionV relativeFrom="paragraph">
                  <wp:posOffset>54610</wp:posOffset>
                </wp:positionV>
                <wp:extent cx="554545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45455"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pt,4.3pt" to="477.95pt,4.3pt" o:allowincell="f" strokecolor="#000000" strokeweight="0.498pt"/>
            </w:pict>
          </mc:Fallback>
        </mc:AlternateContent>
      </w:r>
    </w:p>
    <w:p>
      <w:pPr>
        <w:spacing w:after="0" w:line="116" w:lineRule="exact"/>
        <w:rPr>
          <w:sz w:val="20"/>
          <w:szCs w:val="20"/>
          <w:color w:val="auto"/>
        </w:rPr>
      </w:pPr>
    </w:p>
    <w:tbl>
      <w:tblPr>
        <w:tblLayout w:type="fixed"/>
        <w:tblInd w:w="820" w:type="dxa"/>
        <w:tblCellMar>
          <w:top w:w="0" w:type="dxa"/>
          <w:left w:w="0" w:type="dxa"/>
          <w:bottom w:w="0" w:type="dxa"/>
          <w:right w:w="0" w:type="dxa"/>
        </w:tblCellMar>
      </w:tblPr>
      <w:tr>
        <w:trPr>
          <w:trHeight w:val="227"/>
        </w:trPr>
        <w:tc>
          <w:tcPr>
            <w:tcW w:w="4240" w:type="dxa"/>
            <w:vAlign w:val="bottom"/>
          </w:tcPr>
          <w:p>
            <w:pPr>
              <w:ind w:left="120"/>
              <w:spacing w:after="0"/>
              <w:rPr>
                <w:sz w:val="20"/>
                <w:szCs w:val="20"/>
                <w:color w:val="auto"/>
              </w:rPr>
            </w:pPr>
            <w:r>
              <w:rPr>
                <w:rFonts w:ascii="Arial" w:cs="Arial" w:eastAsia="Arial" w:hAnsi="Arial"/>
                <w:sz w:val="13"/>
                <w:szCs w:val="13"/>
                <w:color w:val="auto"/>
              </w:rPr>
              <w:t>Strengths</w:t>
            </w:r>
          </w:p>
        </w:tc>
        <w:tc>
          <w:tcPr>
            <w:tcW w:w="4500" w:type="dxa"/>
            <w:vAlign w:val="bottom"/>
          </w:tcPr>
          <w:p>
            <w:pPr>
              <w:ind w:left="840"/>
              <w:spacing w:after="0"/>
              <w:rPr>
                <w:sz w:val="20"/>
                <w:szCs w:val="20"/>
                <w:color w:val="auto"/>
              </w:rPr>
            </w:pPr>
            <w:r>
              <w:rPr>
                <w:rFonts w:ascii="Arial" w:cs="Arial" w:eastAsia="Arial" w:hAnsi="Arial"/>
                <w:sz w:val="13"/>
                <w:szCs w:val="13"/>
                <w:color w:val="auto"/>
              </w:rPr>
              <w:t>Weaknesses</w:t>
            </w:r>
          </w:p>
        </w:tc>
      </w:tr>
      <w:tr>
        <w:trPr>
          <w:trHeight w:val="48"/>
        </w:trPr>
        <w:tc>
          <w:tcPr>
            <w:tcW w:w="4240" w:type="dxa"/>
            <w:vAlign w:val="bottom"/>
            <w:tcBorders>
              <w:bottom w:val="single" w:sz="8" w:color="auto"/>
            </w:tcBorders>
          </w:tcPr>
          <w:p>
            <w:pPr>
              <w:spacing w:after="0"/>
              <w:rPr>
                <w:sz w:val="4"/>
                <w:szCs w:val="4"/>
                <w:color w:val="auto"/>
              </w:rPr>
            </w:pPr>
          </w:p>
        </w:tc>
        <w:tc>
          <w:tcPr>
            <w:tcW w:w="4500" w:type="dxa"/>
            <w:vAlign w:val="bottom"/>
            <w:tcBorders>
              <w:bottom w:val="single" w:sz="8" w:color="auto"/>
            </w:tcBorders>
          </w:tcPr>
          <w:p>
            <w:pPr>
              <w:spacing w:after="0"/>
              <w:rPr>
                <w:sz w:val="4"/>
                <w:szCs w:val="4"/>
                <w:color w:val="auto"/>
              </w:rPr>
            </w:pPr>
          </w:p>
        </w:tc>
      </w:tr>
      <w:tr>
        <w:trPr>
          <w:trHeight w:val="206"/>
        </w:trPr>
        <w:tc>
          <w:tcPr>
            <w:tcW w:w="4240" w:type="dxa"/>
            <w:vAlign w:val="bottom"/>
          </w:tcPr>
          <w:p>
            <w:pPr>
              <w:ind w:left="120"/>
              <w:spacing w:after="0"/>
              <w:rPr>
                <w:sz w:val="20"/>
                <w:szCs w:val="20"/>
                <w:color w:val="auto"/>
              </w:rPr>
            </w:pPr>
            <w:r>
              <w:rPr>
                <w:rFonts w:ascii="Arial" w:cs="Arial" w:eastAsia="Arial" w:hAnsi="Arial"/>
                <w:sz w:val="13"/>
                <w:szCs w:val="13"/>
                <w:color w:val="auto"/>
              </w:rPr>
              <w:t>Responsiveness of tool attributes</w:t>
            </w:r>
          </w:p>
        </w:tc>
        <w:tc>
          <w:tcPr>
            <w:tcW w:w="4500" w:type="dxa"/>
            <w:vAlign w:val="bottom"/>
          </w:tcPr>
          <w:p>
            <w:pPr>
              <w:ind w:left="840"/>
              <w:spacing w:after="0"/>
              <w:rPr>
                <w:sz w:val="20"/>
                <w:szCs w:val="20"/>
                <w:color w:val="auto"/>
              </w:rPr>
            </w:pPr>
            <w:r>
              <w:rPr>
                <w:rFonts w:ascii="Arial" w:cs="Arial" w:eastAsia="Arial" w:hAnsi="Arial"/>
                <w:sz w:val="13"/>
                <w:szCs w:val="13"/>
                <w:color w:val="auto"/>
              </w:rPr>
              <w:t>Technology takes up a lot of space</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Ability to instantly share data</w:t>
            </w:r>
          </w:p>
        </w:tc>
        <w:tc>
          <w:tcPr>
            <w:tcW w:w="4500" w:type="dxa"/>
            <w:vAlign w:val="bottom"/>
          </w:tcPr>
          <w:p>
            <w:pPr>
              <w:ind w:left="840"/>
              <w:spacing w:after="0"/>
              <w:rPr>
                <w:sz w:val="20"/>
                <w:szCs w:val="20"/>
                <w:color w:val="auto"/>
              </w:rPr>
            </w:pPr>
            <w:r>
              <w:rPr>
                <w:rFonts w:ascii="Arial" w:cs="Arial" w:eastAsia="Arial" w:hAnsi="Arial"/>
                <w:sz w:val="13"/>
                <w:szCs w:val="13"/>
                <w:color w:val="auto"/>
              </w:rPr>
              <w:t>Tools are touch sensitive when typing or writing</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Easy operation of tools</w:t>
            </w:r>
          </w:p>
        </w:tc>
        <w:tc>
          <w:tcPr>
            <w:tcW w:w="4500" w:type="dxa"/>
            <w:vAlign w:val="bottom"/>
          </w:tcPr>
          <w:p>
            <w:pPr>
              <w:ind w:left="840"/>
              <w:spacing w:after="0"/>
              <w:rPr>
                <w:sz w:val="20"/>
                <w:szCs w:val="20"/>
                <w:color w:val="auto"/>
              </w:rPr>
            </w:pPr>
            <w:r>
              <w:rPr>
                <w:rFonts w:ascii="Arial" w:cs="Arial" w:eastAsia="Arial" w:hAnsi="Arial"/>
                <w:sz w:val="13"/>
                <w:szCs w:val="13"/>
                <w:color w:val="auto"/>
              </w:rPr>
              <w:t>Limited functionality of tools</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Simplification of geographical data analysis</w:t>
            </w:r>
          </w:p>
        </w:tc>
        <w:tc>
          <w:tcPr>
            <w:tcW w:w="4500" w:type="dxa"/>
            <w:vAlign w:val="bottom"/>
          </w:tcPr>
          <w:p>
            <w:pPr>
              <w:ind w:left="840"/>
              <w:spacing w:after="0"/>
              <w:rPr>
                <w:sz w:val="20"/>
                <w:szCs w:val="20"/>
                <w:color w:val="auto"/>
              </w:rPr>
            </w:pPr>
            <w:r>
              <w:rPr>
                <w:rFonts w:ascii="Arial" w:cs="Arial" w:eastAsia="Arial" w:hAnsi="Arial"/>
                <w:sz w:val="13"/>
                <w:szCs w:val="13"/>
                <w:color w:val="auto"/>
              </w:rPr>
              <w:t>Limited ability to export data and remote access</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Clear data visualization</w:t>
            </w:r>
          </w:p>
        </w:tc>
        <w:tc>
          <w:tcPr>
            <w:tcW w:w="4500" w:type="dxa"/>
            <w:vAlign w:val="bottom"/>
          </w:tcPr>
          <w:p>
            <w:pPr>
              <w:ind w:left="840"/>
              <w:spacing w:after="0"/>
              <w:rPr>
                <w:sz w:val="20"/>
                <w:szCs w:val="20"/>
                <w:color w:val="auto"/>
              </w:rPr>
            </w:pPr>
            <w:r>
              <w:rPr>
                <w:rFonts w:ascii="Arial" w:cs="Arial" w:eastAsia="Arial" w:hAnsi="Arial"/>
                <w:sz w:val="13"/>
                <w:szCs w:val="13"/>
                <w:color w:val="auto"/>
              </w:rPr>
              <w:t>Lack of user knowledge</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Flexibility</w:t>
            </w:r>
          </w:p>
        </w:tc>
        <w:tc>
          <w:tcPr>
            <w:tcW w:w="4500" w:type="dxa"/>
            <w:vAlign w:val="bottom"/>
          </w:tcPr>
          <w:p>
            <w:pPr>
              <w:ind w:left="840"/>
              <w:spacing w:after="0"/>
              <w:rPr>
                <w:sz w:val="20"/>
                <w:szCs w:val="20"/>
                <w:color w:val="auto"/>
              </w:rPr>
            </w:pPr>
            <w:r>
              <w:rPr>
                <w:rFonts w:ascii="Arial" w:cs="Arial" w:eastAsia="Arial" w:hAnsi="Arial"/>
                <w:sz w:val="13"/>
                <w:szCs w:val="13"/>
                <w:color w:val="auto"/>
              </w:rPr>
              <w:t>Not as flexible as designing or planning on paper</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Access to different data sources simultaneously</w:t>
            </w:r>
          </w:p>
        </w:tc>
        <w:tc>
          <w:tcPr>
            <w:tcW w:w="4500" w:type="dxa"/>
            <w:vAlign w:val="bottom"/>
          </w:tcPr>
          <w:p>
            <w:pPr>
              <w:ind w:left="840"/>
              <w:spacing w:after="0"/>
              <w:rPr>
                <w:sz w:val="20"/>
                <w:szCs w:val="20"/>
                <w:color w:val="auto"/>
              </w:rPr>
            </w:pPr>
            <w:r>
              <w:rPr>
                <w:rFonts w:ascii="Arial" w:cs="Arial" w:eastAsia="Arial" w:hAnsi="Arial"/>
                <w:sz w:val="13"/>
                <w:szCs w:val="13"/>
                <w:color w:val="auto"/>
              </w:rPr>
              <w:t>Only as strong as the data available</w:t>
            </w:r>
          </w:p>
        </w:tc>
      </w:tr>
      <w:tr>
        <w:trPr>
          <w:trHeight w:val="172"/>
        </w:trPr>
        <w:tc>
          <w:tcPr>
            <w:tcW w:w="4240" w:type="dxa"/>
            <w:vAlign w:val="bottom"/>
          </w:tcPr>
          <w:p>
            <w:pPr>
              <w:ind w:left="120"/>
              <w:spacing w:after="0"/>
              <w:rPr>
                <w:sz w:val="20"/>
                <w:szCs w:val="20"/>
                <w:color w:val="auto"/>
              </w:rPr>
            </w:pPr>
            <w:r>
              <w:rPr>
                <w:rFonts w:ascii="Arial" w:cs="Arial" w:eastAsia="Arial" w:hAnsi="Arial"/>
                <w:sz w:val="13"/>
                <w:szCs w:val="13"/>
                <w:color w:val="auto"/>
              </w:rPr>
              <w:t>Co-design support</w:t>
            </w:r>
          </w:p>
        </w:tc>
        <w:tc>
          <w:tcPr>
            <w:tcW w:w="4500" w:type="dxa"/>
            <w:vAlign w:val="bottom"/>
          </w:tcPr>
          <w:p>
            <w:pPr>
              <w:ind w:left="840"/>
              <w:spacing w:after="0"/>
              <w:rPr>
                <w:sz w:val="20"/>
                <w:szCs w:val="20"/>
                <w:color w:val="auto"/>
              </w:rPr>
            </w:pPr>
            <w:r>
              <w:rPr>
                <w:rFonts w:ascii="Arial" w:cs="Arial" w:eastAsia="Arial" w:hAnsi="Arial"/>
                <w:sz w:val="13"/>
                <w:szCs w:val="13"/>
                <w:color w:val="auto"/>
              </w:rPr>
              <w:t>Difficult to integrate advanced analysis tools on touch screens</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Suited for strategic scenario planning</w:t>
            </w:r>
          </w:p>
        </w:tc>
        <w:tc>
          <w:tcPr>
            <w:tcW w:w="4500" w:type="dxa"/>
            <w:vAlign w:val="bottom"/>
          </w:tcPr>
          <w:p>
            <w:pPr>
              <w:ind w:left="840"/>
              <w:spacing w:after="0"/>
              <w:rPr>
                <w:sz w:val="20"/>
                <w:szCs w:val="20"/>
                <w:color w:val="auto"/>
              </w:rPr>
            </w:pPr>
            <w:r>
              <w:rPr>
                <w:rFonts w:ascii="Arial" w:cs="Arial" w:eastAsia="Arial" w:hAnsi="Arial"/>
                <w:sz w:val="13"/>
                <w:szCs w:val="13"/>
                <w:color w:val="auto"/>
              </w:rPr>
              <w:t>Focus on technology rather than content</w:t>
            </w:r>
          </w:p>
        </w:tc>
      </w:tr>
      <w:tr>
        <w:trPr>
          <w:trHeight w:val="171"/>
        </w:trPr>
        <w:tc>
          <w:tcPr>
            <w:tcW w:w="4240" w:type="dxa"/>
            <w:vAlign w:val="bottom"/>
          </w:tcPr>
          <w:p>
            <w:pPr>
              <w:ind w:left="120"/>
              <w:spacing w:after="0"/>
              <w:rPr>
                <w:sz w:val="20"/>
                <w:szCs w:val="20"/>
                <w:color w:val="auto"/>
              </w:rPr>
            </w:pPr>
            <w:r>
              <w:rPr>
                <w:rFonts w:ascii="Arial" w:cs="Arial" w:eastAsia="Arial" w:hAnsi="Arial"/>
                <w:sz w:val="13"/>
                <w:szCs w:val="13"/>
                <w:color w:val="auto"/>
              </w:rPr>
              <w:t>Large space to bring in groups</w:t>
            </w:r>
          </w:p>
        </w:tc>
        <w:tc>
          <w:tcPr>
            <w:tcW w:w="4500" w:type="dxa"/>
            <w:vAlign w:val="bottom"/>
          </w:tcPr>
          <w:p>
            <w:pPr>
              <w:ind w:left="840"/>
              <w:spacing w:after="0"/>
              <w:rPr>
                <w:sz w:val="20"/>
                <w:szCs w:val="20"/>
                <w:color w:val="auto"/>
              </w:rPr>
            </w:pPr>
            <w:r>
              <w:rPr>
                <w:rFonts w:ascii="Arial" w:cs="Arial" w:eastAsia="Arial" w:hAnsi="Arial"/>
                <w:sz w:val="13"/>
                <w:szCs w:val="13"/>
                <w:color w:val="auto"/>
              </w:rPr>
              <w:t>Limited software support</w:t>
            </w:r>
          </w:p>
        </w:tc>
      </w:tr>
      <w:tr>
        <w:trPr>
          <w:trHeight w:val="227"/>
        </w:trPr>
        <w:tc>
          <w:tcPr>
            <w:tcW w:w="4240" w:type="dxa"/>
            <w:vAlign w:val="bottom"/>
          </w:tcPr>
          <w:p>
            <w:pPr>
              <w:ind w:left="120"/>
              <w:spacing w:after="0"/>
              <w:rPr>
                <w:sz w:val="20"/>
                <w:szCs w:val="20"/>
                <w:color w:val="auto"/>
              </w:rPr>
            </w:pPr>
            <w:r>
              <w:rPr>
                <w:rFonts w:ascii="Arial" w:cs="Arial" w:eastAsia="Arial" w:hAnsi="Arial"/>
                <w:sz w:val="13"/>
                <w:szCs w:val="13"/>
                <w:color w:val="auto"/>
              </w:rPr>
              <w:t>Suitable for workshops, group collaboration and teaching</w:t>
            </w:r>
          </w:p>
        </w:tc>
        <w:tc>
          <w:tcPr>
            <w:tcW w:w="4500" w:type="dxa"/>
            <w:vAlign w:val="bottom"/>
          </w:tcPr>
          <w:p>
            <w:pPr>
              <w:spacing w:after="0"/>
              <w:rPr>
                <w:sz w:val="19"/>
                <w:szCs w:val="19"/>
                <w:color w:val="auto"/>
              </w:rPr>
            </w:pPr>
          </w:p>
        </w:tc>
      </w:tr>
      <w:tr>
        <w:trPr>
          <w:trHeight w:val="72"/>
        </w:trPr>
        <w:tc>
          <w:tcPr>
            <w:tcW w:w="4240" w:type="dxa"/>
            <w:vAlign w:val="bottom"/>
            <w:tcBorders>
              <w:bottom w:val="single" w:sz="8" w:color="auto"/>
            </w:tcBorders>
          </w:tcPr>
          <w:p>
            <w:pPr>
              <w:spacing w:after="0"/>
              <w:rPr>
                <w:sz w:val="6"/>
                <w:szCs w:val="6"/>
                <w:color w:val="auto"/>
              </w:rPr>
            </w:pPr>
          </w:p>
        </w:tc>
        <w:tc>
          <w:tcPr>
            <w:tcW w:w="450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5874" w:orient="portrait"/>
          <w:cols w:equalWidth="0" w:num="1">
            <w:col w:w="10400"/>
          </w:cols>
          <w:pgMar w:left="760" w:top="676" w:right="746" w:bottom="14" w:gutter="0" w:footer="0" w:header="0"/>
          <w:type w:val="continuous"/>
        </w:sectPr>
      </w:pPr>
    </w:p>
    <w:p>
      <w:pPr>
        <w:spacing w:after="0" w:line="72"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10</w:t>
      </w:r>
    </w:p>
    <w:p>
      <w:pPr>
        <w:sectPr>
          <w:pgSz w:w="11900" w:h="15874" w:orient="portrait"/>
          <w:cols w:equalWidth="0" w:num="1">
            <w:col w:w="10400"/>
          </w:cols>
          <w:pgMar w:left="760" w:top="676" w:right="746" w:bottom="14" w:gutter="0" w:footer="0" w:header="0"/>
          <w:type w:val="continuous"/>
        </w:sectPr>
      </w:pPr>
    </w:p>
    <w:bookmarkStart w:id="10" w:name="page11"/>
    <w:bookmarkEnd w:id="10"/>
    <w:p>
      <w:pPr>
        <w:spacing w:after="0" w:line="2" w:lineRule="exact"/>
        <w:rPr>
          <w:sz w:val="20"/>
          <w:szCs w:val="20"/>
          <w:color w:val="auto"/>
        </w:rPr>
      </w:pPr>
    </w:p>
    <w:p>
      <w:pPr>
        <w:spacing w:after="0"/>
        <w:rPr>
          <w:sz w:val="20"/>
          <w:szCs w:val="20"/>
          <w:color w:val="auto"/>
        </w:rPr>
      </w:pPr>
      <w:r>
        <w:rPr>
          <w:rFonts w:ascii="Arial" w:cs="Arial" w:eastAsia="Arial" w:hAnsi="Arial"/>
          <w:sz w:val="13"/>
          <w:szCs w:val="13"/>
          <w:i w:val="1"/>
          <w:iCs w:val="1"/>
          <w:color w:val="auto"/>
        </w:rPr>
        <w:t>E.P. Punt, et al.</w:t>
      </w:r>
    </w:p>
    <w:p>
      <w:pPr>
        <w:spacing w:after="0" w:line="274" w:lineRule="exact"/>
        <w:rPr>
          <w:sz w:val="20"/>
          <w:szCs w:val="20"/>
          <w:color w:val="auto"/>
        </w:rPr>
      </w:pPr>
    </w:p>
    <w:p>
      <w:pPr>
        <w:jc w:val="both"/>
        <w:spacing w:after="0" w:line="273" w:lineRule="auto"/>
        <w:rPr>
          <w:rFonts w:ascii="Arial" w:cs="Arial" w:eastAsia="Arial" w:hAnsi="Arial"/>
          <w:sz w:val="16"/>
          <w:szCs w:val="16"/>
          <w:color w:val="206293"/>
        </w:rPr>
      </w:pPr>
      <w:r>
        <w:rPr>
          <w:rFonts w:ascii="Arial" w:cs="Arial" w:eastAsia="Arial" w:hAnsi="Arial"/>
          <w:sz w:val="16"/>
          <w:szCs w:val="16"/>
          <w:color w:val="auto"/>
        </w:rPr>
        <w:t xml:space="preserve">collaboration with external partners. The 30-min city visualization tool was designed in collaboration with NSW Transport, and Cruiser soft-ware, which support the multi-touch tables, has been developed by Cruiser Interactive. The city analytics research team is actively enga-ging with both industry and local government to develop tools based on their needs. With the numerous tools available at CAL and the con-tinuous development of these tools, CAL has potential to deal with a variety of planning issues in Sydney. Especially since </w:t>
      </w:r>
      <w:r>
        <w:rPr>
          <w:rFonts w:ascii="Arial" w:cs="Arial" w:eastAsia="Arial" w:hAnsi="Arial"/>
          <w:sz w:val="16"/>
          <w:szCs w:val="16"/>
          <w:color w:val="206293"/>
        </w:rPr>
        <w:t>Champlin et al.</w:t>
      </w:r>
      <w:r>
        <w:rPr>
          <w:rFonts w:ascii="Arial" w:cs="Arial" w:eastAsia="Arial" w:hAnsi="Arial"/>
          <w:sz w:val="16"/>
          <w:szCs w:val="16"/>
          <w:color w:val="auto"/>
        </w:rPr>
        <w:t xml:space="preserve"> </w:t>
      </w:r>
      <w:hyperlink w:anchor="page12">
        <w:r>
          <w:rPr>
            <w:rFonts w:ascii="Arial" w:cs="Arial" w:eastAsia="Arial" w:hAnsi="Arial"/>
            <w:sz w:val="16"/>
            <w:szCs w:val="16"/>
            <w:color w:val="206293"/>
          </w:rPr>
          <w:t xml:space="preserve">(2019) </w:t>
        </w:r>
      </w:hyperlink>
      <w:r>
        <w:rPr>
          <w:rFonts w:ascii="Arial" w:cs="Arial" w:eastAsia="Arial" w:hAnsi="Arial"/>
          <w:sz w:val="16"/>
          <w:szCs w:val="16"/>
          <w:color w:val="000000"/>
        </w:rPr>
        <w:t>suggest</w:t>
      </w:r>
      <w:r>
        <w:rPr>
          <w:rFonts w:ascii="Arial" w:cs="Arial" w:eastAsia="Arial" w:hAnsi="Arial"/>
          <w:sz w:val="16"/>
          <w:szCs w:val="16"/>
          <w:color w:val="206293"/>
        </w:rPr>
        <w:t xml:space="preserve"> </w:t>
      </w:r>
      <w:r>
        <w:rPr>
          <w:rFonts w:ascii="Arial" w:cs="Arial" w:eastAsia="Arial" w:hAnsi="Arial"/>
          <w:sz w:val="16"/>
          <w:szCs w:val="16"/>
          <w:color w:val="000000"/>
        </w:rPr>
        <w:t>that process facilitation that provides both in-dividualized support for idea generation and collaborative support for evaluating ideas could be beneficial to the added value of PSS for planning practitioners. As a result, the tools in CAL are fitted to match contextual factors.</w:t>
      </w:r>
    </w:p>
    <w:p>
      <w:pPr>
        <w:spacing w:after="0" w:line="8" w:lineRule="exact"/>
        <w:rPr>
          <w:sz w:val="20"/>
          <w:szCs w:val="20"/>
          <w:color w:val="auto"/>
        </w:rPr>
      </w:pPr>
    </w:p>
    <w:p>
      <w:pPr>
        <w:jc w:val="both"/>
        <w:ind w:firstLine="249"/>
        <w:spacing w:after="0" w:line="298" w:lineRule="auto"/>
        <w:rPr>
          <w:sz w:val="20"/>
          <w:szCs w:val="20"/>
          <w:color w:val="auto"/>
        </w:rPr>
      </w:pPr>
      <w:r>
        <w:rPr>
          <w:rFonts w:ascii="Arial" w:cs="Arial" w:eastAsia="Arial" w:hAnsi="Arial"/>
          <w:sz w:val="15"/>
          <w:szCs w:val="15"/>
          <w:color w:val="auto"/>
        </w:rPr>
        <w:t>We find that CAL can be used to support a conversation around a myriad of planning tasks and thus there is not one predefined use for CAL. A conversation between user and developer needs to be held on how to optimally use the technology available in CAL. One of the strengths of CAL is its collaborative nature in providing a physical space to co-design and further develop support tools and functions in part-nership with government and industry end users. When also re-cognizing the differences in user preferences, CAL can be reconfigured both physically and digitally, increasing its versatility as a planning support theater. This characteristic of support theatres is different from support tools, such as public participation GIS or Maptable (</w:t>
      </w:r>
      <w:r>
        <w:rPr>
          <w:rFonts w:ascii="Arial" w:cs="Arial" w:eastAsia="Arial" w:hAnsi="Arial"/>
          <w:sz w:val="15"/>
          <w:szCs w:val="15"/>
          <w:color w:val="206293"/>
        </w:rPr>
        <w:t>Kahila-Tani, Broberg, Kyttä, &amp; Tyger, 2016; Pelzer, Arciniegas, Geertman, &amp; de Kroes, 2013</w:t>
      </w:r>
      <w:r>
        <w:rPr>
          <w:rFonts w:ascii="Arial" w:cs="Arial" w:eastAsia="Arial" w:hAnsi="Arial"/>
          <w:sz w:val="15"/>
          <w:szCs w:val="15"/>
          <w:color w:val="000000"/>
        </w:rPr>
        <w:t>), that are less capable of providing a collaborative space for</w:t>
      </w:r>
      <w:r>
        <w:rPr>
          <w:rFonts w:ascii="Arial" w:cs="Arial" w:eastAsia="Arial" w:hAnsi="Arial"/>
          <w:sz w:val="15"/>
          <w:szCs w:val="15"/>
          <w:color w:val="206293"/>
        </w:rPr>
        <w:t xml:space="preserve"> </w:t>
      </w:r>
      <w:r>
        <w:rPr>
          <w:rFonts w:ascii="Arial" w:cs="Arial" w:eastAsia="Arial" w:hAnsi="Arial"/>
          <w:sz w:val="15"/>
          <w:szCs w:val="15"/>
          <w:color w:val="000000"/>
        </w:rPr>
        <w:t>planning support. Other planning support theatres, such as the one at Arizona State University are also integrating both physical and digital supportive tools or, like the City Science labs, focus on new meth-odologies of interaction and collaboration based on data analytics. What makes CAL unique compared to other labs is that it collaborates and engages more actively with planning practice to further develop PSS tools to benefit smarter planning. This ultimately contributes to bridging the PSS implementation gap.</w:t>
      </w:r>
    </w:p>
    <w:p>
      <w:pPr>
        <w:spacing w:after="0" w:line="310"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5. Conclusion</w:t>
      </w:r>
    </w:p>
    <w:p>
      <w:pPr>
        <w:spacing w:after="0" w:line="234" w:lineRule="exact"/>
        <w:rPr>
          <w:sz w:val="20"/>
          <w:szCs w:val="20"/>
          <w:color w:val="auto"/>
        </w:rPr>
      </w:pPr>
    </w:p>
    <w:p>
      <w:pPr>
        <w:jc w:val="both"/>
        <w:ind w:firstLine="249"/>
        <w:spacing w:after="0" w:line="296" w:lineRule="auto"/>
        <w:rPr>
          <w:sz w:val="20"/>
          <w:szCs w:val="20"/>
          <w:color w:val="auto"/>
        </w:rPr>
      </w:pPr>
      <w:r>
        <w:rPr>
          <w:rFonts w:ascii="Arial" w:cs="Arial" w:eastAsia="Arial" w:hAnsi="Arial"/>
          <w:sz w:val="15"/>
          <w:szCs w:val="15"/>
          <w:color w:val="auto"/>
        </w:rPr>
        <w:t>There has been significant research undertaken on PSS, especially regarding their added value for smart planning. Globally, the use of PSS supports smart planning, through big data analysis, visualization and modelling. In this study, we have moved away from this experimental tradition in which the usefulness of a PSS is usually established, by focusing on the PSS implementation gap through the study of the use-fulness of CAL as a planning support theater. CAL is reconfigurable through the use of movable multi-touch screens and can embed PSS including the interactive ‘30 Min city’ dashboard. While the user feedback reported on some limitations to CAL including limited soft-ware support (software not specifically designed for touch screens) and the limited ability to export data (i.e. ‘technology-to-people’ interac-tion), the digital tools available in CAL were considered to promote engagement and dynamic team-based discussions and provide visuali-zation support (i.e. ‘people-to-people’ interactions). Additionally, the access to different data sources simultaneously and the ease of opera-tion of the tools were considered strengths. The results of the usability of CAL, based on the indicators of user-friendliness, data adequacy and reliability, were generally considered to be high, despite the govern-ment sector being more critical regarding data adequacy and level of detail. Overall, we found that CAL is useful for a range of activities, including stakeholder engagement, teaching, group collaboration, spa-tial data analysis and co-design. While CAL facilitates smart planning, it should be noted that CAL needs further refinement to ensure it will become better attuned to the demands of users. It is a continued process where a shared language needs to be developed, and tools are co-de-signed, and user preferences are further considered in the refinement of CAL to support collaborative planning.</w:t>
      </w:r>
    </w:p>
    <w:p>
      <w:pPr>
        <w:spacing w:after="0" w:line="20" w:lineRule="exact"/>
        <w:rPr>
          <w:sz w:val="20"/>
          <w:szCs w:val="20"/>
          <w:color w:val="auto"/>
        </w:rPr>
      </w:pPr>
      <w:r>
        <w:rPr>
          <w:sz w:val="20"/>
          <w:szCs w:val="20"/>
          <w:color w:val="auto"/>
        </w:rPr>
        <w:br w:type="column"/>
      </w:r>
    </w:p>
    <w:p>
      <w:pPr>
        <w:ind w:left="1560"/>
        <w:spacing w:after="0"/>
        <w:rPr>
          <w:sz w:val="20"/>
          <w:szCs w:val="20"/>
          <w:color w:val="auto"/>
        </w:rPr>
      </w:pPr>
      <w:r>
        <w:rPr>
          <w:rFonts w:ascii="Arial" w:cs="Arial" w:eastAsia="Arial" w:hAnsi="Arial"/>
          <w:sz w:val="12"/>
          <w:szCs w:val="12"/>
          <w:i w:val="1"/>
          <w:iCs w:val="1"/>
          <w:color w:val="auto"/>
        </w:rPr>
        <w:t>Computers, Environment and Urban Systems 82 (2020) 101485</w:t>
      </w:r>
    </w:p>
    <w:p>
      <w:pPr>
        <w:spacing w:after="0" w:line="287" w:lineRule="exact"/>
        <w:rPr>
          <w:sz w:val="20"/>
          <w:szCs w:val="20"/>
          <w:color w:val="auto"/>
        </w:rPr>
      </w:pPr>
    </w:p>
    <w:p>
      <w:pPr>
        <w:jc w:val="both"/>
        <w:ind w:firstLine="250"/>
        <w:spacing w:after="0" w:line="293" w:lineRule="auto"/>
        <w:rPr>
          <w:rFonts w:ascii="Arial" w:cs="Arial" w:eastAsia="Arial" w:hAnsi="Arial"/>
          <w:sz w:val="15"/>
          <w:szCs w:val="15"/>
          <w:color w:val="auto"/>
        </w:rPr>
      </w:pPr>
      <w:r>
        <w:rPr>
          <w:rFonts w:ascii="Arial" w:cs="Arial" w:eastAsia="Arial" w:hAnsi="Arial"/>
          <w:sz w:val="15"/>
          <w:szCs w:val="15"/>
          <w:color w:val="auto"/>
        </w:rPr>
        <w:t>The lack of collaboration and co-design in the development pro-cesses of PSS tools has previously been defined as a shortcoming of PSS tools that contributed to the PSS implementation gap. Thus, an im-portant aspect when considering the success rate of PSS, is the con-tinued conversation that is held between the tool developer and users in which context and user requirements for implementation are con-sidered (</w:t>
      </w:r>
      <w:r>
        <w:rPr>
          <w:rFonts w:ascii="Arial" w:cs="Arial" w:eastAsia="Arial" w:hAnsi="Arial"/>
          <w:sz w:val="15"/>
          <w:szCs w:val="15"/>
          <w:color w:val="206293"/>
        </w:rPr>
        <w:t>te Brömmelstroet &amp; Bertolini, 2008</w:t>
      </w:r>
      <w:r>
        <w:rPr>
          <w:rFonts w:ascii="Arial" w:cs="Arial" w:eastAsia="Arial" w:hAnsi="Arial"/>
          <w:sz w:val="15"/>
          <w:szCs w:val="15"/>
          <w:color w:val="auto"/>
        </w:rPr>
        <w:t>). We have observed that CAL actively engages with both industry and government partners to develop tools based on their needs However, developing a shared lan-guage requires time and close collaboration between key stakeholders. CAL was established in May 2018 and further refinement of CAL and its facilities are envisioned to further bridge the PSS implementation gap between planners and digital planning tool developers. Additionally, we have found that a particular benefit of CAL is the development of PSS tools which address key planning policies and outcomes such as the ‘30 Min City’ concept which is embedded in the Greater Sydney Me-tropolitan Strategy and the Smart Cities Plan for Australia (</w:t>
      </w:r>
      <w:hyperlink w:anchor="page12">
        <w:r>
          <w:rPr>
            <w:rFonts w:ascii="Arial" w:cs="Arial" w:eastAsia="Arial" w:hAnsi="Arial"/>
            <w:sz w:val="15"/>
            <w:szCs w:val="15"/>
            <w:color w:val="206293"/>
          </w:rPr>
          <w:t>Australian</w:t>
        </w:r>
      </w:hyperlink>
      <w:r>
        <w:rPr>
          <w:rFonts w:ascii="Arial" w:cs="Arial" w:eastAsia="Arial" w:hAnsi="Arial"/>
          <w:sz w:val="15"/>
          <w:szCs w:val="15"/>
          <w:color w:val="auto"/>
        </w:rPr>
        <w:t xml:space="preserve"> </w:t>
      </w:r>
      <w:r>
        <w:rPr>
          <w:rFonts w:ascii="Arial" w:cs="Arial" w:eastAsia="Arial" w:hAnsi="Arial"/>
          <w:sz w:val="15"/>
          <w:szCs w:val="15"/>
          <w:color w:val="206293"/>
        </w:rPr>
        <w:t>Government, 2016</w:t>
      </w:r>
      <w:r>
        <w:rPr>
          <w:rFonts w:ascii="Arial" w:cs="Arial" w:eastAsia="Arial" w:hAnsi="Arial"/>
          <w:sz w:val="15"/>
          <w:szCs w:val="15"/>
          <w:color w:val="000000"/>
        </w:rPr>
        <w:t>). This is an example of a PSS tool development in</w:t>
      </w:r>
      <w:r>
        <w:rPr>
          <w:rFonts w:ascii="Arial" w:cs="Arial" w:eastAsia="Arial" w:hAnsi="Arial"/>
          <w:sz w:val="15"/>
          <w:szCs w:val="15"/>
          <w:color w:val="206293"/>
        </w:rPr>
        <w:t xml:space="preserve"> </w:t>
      </w:r>
      <w:r>
        <w:rPr>
          <w:rFonts w:ascii="Arial" w:cs="Arial" w:eastAsia="Arial" w:hAnsi="Arial"/>
          <w:sz w:val="15"/>
          <w:szCs w:val="15"/>
          <w:color w:val="000000"/>
        </w:rPr>
        <w:t>CAL where the political context, planning issues and policy models have been considered explicitly. This ultimately benefits the implementation and the uptake of CAL as a planning support theater. However, other contextual factors, especially user characteristics and preferences that differ per sector and generation are more difficult to integrate. In-tegrating these preferences requires time and effort and involves facil-itating conversations and finding common ground. Not only between developer and user, but also between different types of users.</w:t>
      </w:r>
    </w:p>
    <w:p>
      <w:pPr>
        <w:spacing w:after="0" w:line="185" w:lineRule="exact"/>
        <w:rPr>
          <w:sz w:val="20"/>
          <w:szCs w:val="20"/>
          <w:color w:val="auto"/>
        </w:rPr>
      </w:pPr>
    </w:p>
    <w:p>
      <w:pPr>
        <w:jc w:val="both"/>
        <w:ind w:firstLine="250"/>
        <w:spacing w:after="0" w:line="295" w:lineRule="auto"/>
        <w:rPr>
          <w:sz w:val="20"/>
          <w:szCs w:val="20"/>
          <w:color w:val="auto"/>
        </w:rPr>
      </w:pPr>
      <w:r>
        <w:rPr>
          <w:rFonts w:ascii="Arial" w:cs="Arial" w:eastAsia="Arial" w:hAnsi="Arial"/>
          <w:sz w:val="15"/>
          <w:szCs w:val="15"/>
          <w:color w:val="auto"/>
        </w:rPr>
        <w:t>Ultimately planning support theatres will be beneficial to smart planning through mainstream use in facilitating groups of key actors to collaboratively plan and design smart cities. CAL has been considered useful by participants as a collaborative space that supports a number of key actors (20–30 people) to come together and interact with a suite of digital planning and design tools to formulate and explore current and future urban environments. Compared to other planning support theatres, it has attempted to address the PSS implementation gap by considering contextual factors and user preferences in the development and application of PSS tools made available to participants through a configuration of six multi-touch screens, two wall mounted projectors and an Augmented Reality Sandbox. As a result, we argue that the CAL can serve as an example in addressing the PSS implementation gap. However, it should be noted that there is not yet enough research on best practices of these planning theatres to be able to fully compare planning support theatres or other PSS tools with the CAL. Additionally, it is recommended that the role of power dynamics and citizen en-gagement should be further studied in relation to the PSS im-plementation gap, since it is essential that citizens and local commu-nities are engaged in the use and development of PSS. It remains a challenge to incorporate a wide range of user preferences in the de-velopment and application of digital planning tools. This research suggests that the field of Planning Support Science should shift from not merely studying PSS tools in an experimental manner to study the collaboration and co-design processes in which such digital tools are used, to address the PSS implementation gap. Planning Support Theatres such as the City Analytics Lab presented in this paper not only provides access to a suite of digital planning tools but importantly provides a dedicated space to enable a deeper level of collaboration and co-design across the citizenry and other key actors in process of city shaping. If life indeed is a scene, and we are the actors, it might benefit Planning Support Theatres in achieving smart planning to focus not just on the scenery but also increasingly on the actors' play.</w:t>
      </w: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Declaration of competing interest</w:t>
      </w:r>
    </w:p>
    <w:p>
      <w:pPr>
        <w:spacing w:after="0" w:line="284" w:lineRule="exact"/>
        <w:rPr>
          <w:sz w:val="20"/>
          <w:szCs w:val="20"/>
          <w:color w:val="auto"/>
        </w:rPr>
      </w:pPr>
    </w:p>
    <w:p>
      <w:pPr>
        <w:jc w:val="both"/>
        <w:ind w:firstLine="250"/>
        <w:spacing w:after="0" w:line="403" w:lineRule="auto"/>
        <w:rPr>
          <w:sz w:val="20"/>
          <w:szCs w:val="20"/>
          <w:color w:val="auto"/>
        </w:rPr>
      </w:pPr>
      <w:r>
        <w:rPr>
          <w:rFonts w:ascii="Arial" w:cs="Arial" w:eastAsia="Arial" w:hAnsi="Arial"/>
          <w:sz w:val="16"/>
          <w:szCs w:val="16"/>
          <w:color w:val="auto"/>
        </w:rPr>
        <w:t>This work has been facilitated by City Futures at the University of New South Wales.</w:t>
      </w:r>
    </w:p>
    <w:p>
      <w:pPr>
        <w:spacing w:after="0" w:line="200" w:lineRule="exact"/>
        <w:rPr>
          <w:sz w:val="20"/>
          <w:szCs w:val="20"/>
          <w:color w:val="auto"/>
        </w:rPr>
      </w:pPr>
    </w:p>
    <w:p>
      <w:pPr>
        <w:sectPr>
          <w:pgSz w:w="11900" w:h="15874" w:orient="portrait"/>
          <w:cols w:equalWidth="0" w:num="2">
            <w:col w:w="5020" w:space="360"/>
            <w:col w:w="5020"/>
          </w:cols>
          <w:pgMar w:left="760" w:top="676" w:right="746" w:bottom="14" w:gutter="0" w:footer="0" w:header="0"/>
        </w:sectPr>
      </w:pPr>
    </w:p>
    <w:p>
      <w:pPr>
        <w:spacing w:after="0" w:line="57"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11</w:t>
      </w:r>
    </w:p>
    <w:p>
      <w:pPr>
        <w:sectPr>
          <w:pgSz w:w="11900" w:h="15874" w:orient="portrait"/>
          <w:cols w:equalWidth="0" w:num="1">
            <w:col w:w="10400"/>
          </w:cols>
          <w:pgMar w:left="760" w:top="676" w:right="746" w:bottom="14" w:gutter="0" w:footer="0" w:header="0"/>
          <w:type w:val="continuous"/>
        </w:sectPr>
      </w:pPr>
    </w:p>
    <w:bookmarkStart w:id="11" w:name="page12"/>
    <w:bookmarkEnd w:id="11"/>
    <w:p>
      <w:pPr>
        <w:spacing w:after="0" w:line="2" w:lineRule="exact"/>
        <w:rPr>
          <w:sz w:val="20"/>
          <w:szCs w:val="20"/>
          <w:color w:val="auto"/>
        </w:rPr>
      </w:pPr>
    </w:p>
    <w:p>
      <w:pPr>
        <w:spacing w:after="0"/>
        <w:rPr>
          <w:sz w:val="20"/>
          <w:szCs w:val="20"/>
          <w:color w:val="auto"/>
        </w:rPr>
      </w:pPr>
      <w:r>
        <w:rPr>
          <w:rFonts w:ascii="Arial" w:cs="Arial" w:eastAsia="Arial" w:hAnsi="Arial"/>
          <w:sz w:val="13"/>
          <w:szCs w:val="13"/>
          <w:i w:val="1"/>
          <w:iCs w:val="1"/>
          <w:color w:val="auto"/>
        </w:rPr>
        <w:t>E.P. Punt, et al.</w:t>
      </w:r>
    </w:p>
    <w:p>
      <w:pPr>
        <w:spacing w:after="0" w:line="274"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Acknowledgements</w:t>
      </w:r>
    </w:p>
    <w:p>
      <w:pPr>
        <w:spacing w:after="0" w:line="234" w:lineRule="exact"/>
        <w:rPr>
          <w:sz w:val="20"/>
          <w:szCs w:val="20"/>
          <w:color w:val="auto"/>
        </w:rPr>
      </w:pPr>
    </w:p>
    <w:p>
      <w:pPr>
        <w:jc w:val="both"/>
        <w:ind w:firstLine="249"/>
        <w:spacing w:after="0" w:line="338" w:lineRule="auto"/>
        <w:rPr>
          <w:sz w:val="20"/>
          <w:szCs w:val="20"/>
          <w:color w:val="auto"/>
        </w:rPr>
      </w:pPr>
      <w:r>
        <w:rPr>
          <w:rFonts w:ascii="Arial" w:cs="Arial" w:eastAsia="Arial" w:hAnsi="Arial"/>
          <w:sz w:val="16"/>
          <w:szCs w:val="16"/>
          <w:color w:val="auto"/>
        </w:rPr>
        <w:t>We would like to thank all participants for their time. Many thanks also to the City Futures research group at the University of New South Wales for facilitating this research.</w:t>
      </w:r>
    </w:p>
    <w:p>
      <w:pPr>
        <w:spacing w:after="0" w:line="59" w:lineRule="exact"/>
        <w:rPr>
          <w:sz w:val="20"/>
          <w:szCs w:val="20"/>
          <w:color w:val="auto"/>
        </w:rPr>
      </w:pPr>
    </w:p>
    <w:p>
      <w:pPr>
        <w:spacing w:after="0"/>
        <w:rPr>
          <w:sz w:val="20"/>
          <w:szCs w:val="20"/>
          <w:color w:val="auto"/>
        </w:rPr>
      </w:pPr>
      <w:r>
        <w:rPr>
          <w:rFonts w:ascii="Arial" w:cs="Arial" w:eastAsia="Arial" w:hAnsi="Arial"/>
          <w:sz w:val="16"/>
          <w:szCs w:val="16"/>
          <w:b w:val="1"/>
          <w:bCs w:val="1"/>
          <w:color w:val="auto"/>
        </w:rPr>
        <w:t>References</w:t>
      </w:r>
    </w:p>
    <w:p>
      <w:pPr>
        <w:spacing w:after="0" w:line="275" w:lineRule="exact"/>
        <w:rPr>
          <w:sz w:val="20"/>
          <w:szCs w:val="20"/>
          <w:color w:val="auto"/>
        </w:rPr>
      </w:pPr>
    </w:p>
    <w:p>
      <w:pPr>
        <w:ind w:left="240" w:hanging="238"/>
        <w:spacing w:after="0" w:line="259" w:lineRule="auto"/>
        <w:rPr>
          <w:rFonts w:ascii="Arial" w:cs="Arial" w:eastAsia="Arial" w:hAnsi="Arial"/>
          <w:sz w:val="13"/>
          <w:szCs w:val="13"/>
          <w:i w:val="1"/>
          <w:iCs w:val="1"/>
          <w:color w:val="206293"/>
        </w:rPr>
      </w:pPr>
      <w:r>
        <w:rPr>
          <w:rFonts w:ascii="Arial" w:cs="Arial" w:eastAsia="Arial" w:hAnsi="Arial"/>
          <w:sz w:val="13"/>
          <w:szCs w:val="13"/>
          <w:color w:val="206293"/>
        </w:rPr>
        <w:t xml:space="preserve">Afrooz, A., Ballal, H., &amp; Pettit, C. (2018). Implementing augmented reality sandbox in geodesign: A future for geodesign. </w:t>
      </w:r>
      <w:r>
        <w:rPr>
          <w:rFonts w:ascii="Arial" w:cs="Arial" w:eastAsia="Arial" w:hAnsi="Arial"/>
          <w:sz w:val="13"/>
          <w:szCs w:val="13"/>
          <w:i w:val="1"/>
          <w:iCs w:val="1"/>
          <w:color w:val="206293"/>
        </w:rPr>
        <w:t>ISPRS Annals of Photogrammetry, Remote Sensing &amp;</w:t>
      </w:r>
      <w:r>
        <w:rPr>
          <w:rFonts w:ascii="Arial" w:cs="Arial" w:eastAsia="Arial" w:hAnsi="Arial"/>
          <w:sz w:val="13"/>
          <w:szCs w:val="13"/>
          <w:color w:val="206293"/>
        </w:rPr>
        <w:t xml:space="preserve"> </w:t>
      </w:r>
      <w:hyperlink r:id="rId36">
        <w:r>
          <w:rPr>
            <w:rFonts w:ascii="Arial" w:cs="Arial" w:eastAsia="Arial" w:hAnsi="Arial"/>
            <w:sz w:val="13"/>
            <w:szCs w:val="13"/>
            <w:i w:val="1"/>
            <w:iCs w:val="1"/>
            <w:color w:val="206293"/>
          </w:rPr>
          <w:t>Spatial Information Sciences, 4</w:t>
        </w:r>
        <w:r>
          <w:rPr>
            <w:rFonts w:ascii="Arial" w:cs="Arial" w:eastAsia="Arial" w:hAnsi="Arial"/>
            <w:sz w:val="13"/>
            <w:szCs w:val="13"/>
            <w:color w:val="206293"/>
          </w:rPr>
          <w:t>(4), 5–12</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Apted, T., Kay, J., &amp; Assad, M. (2005). Sharing digital media on collaborative tables and </w:t>
      </w:r>
      <w:hyperlink r:id="rId37">
        <w:r>
          <w:rPr>
            <w:rFonts w:ascii="Arial" w:cs="Arial" w:eastAsia="Arial" w:hAnsi="Arial"/>
            <w:sz w:val="13"/>
            <w:szCs w:val="13"/>
            <w:color w:val="206293"/>
          </w:rPr>
          <w:t xml:space="preserve">displays. </w:t>
        </w:r>
        <w:r>
          <w:rPr>
            <w:rFonts w:ascii="Arial" w:cs="Arial" w:eastAsia="Arial" w:hAnsi="Arial"/>
            <w:sz w:val="13"/>
            <w:szCs w:val="13"/>
            <w:i w:val="1"/>
            <w:iCs w:val="1"/>
            <w:color w:val="206293"/>
          </w:rPr>
          <w:t>(a) A, 1</w:t>
        </w:r>
        <w:r>
          <w:rPr>
            <w:rFonts w:ascii="Arial" w:cs="Arial" w:eastAsia="Arial" w:hAnsi="Arial"/>
            <w:sz w:val="13"/>
            <w:szCs w:val="13"/>
            <w:color w:val="206293"/>
          </w:rPr>
          <w:t xml:space="preserve"> 2</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right="14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Arciniegas, G., Janssen, R., &amp; Rietveld, P. (2013). Effectiveness of collaborative map-based decision support tools: Results of an experiment. </w:t>
      </w:r>
      <w:r>
        <w:rPr>
          <w:rFonts w:ascii="Arial" w:cs="Arial" w:eastAsia="Arial" w:hAnsi="Arial"/>
          <w:sz w:val="13"/>
          <w:szCs w:val="13"/>
          <w:i w:val="1"/>
          <w:iCs w:val="1"/>
          <w:color w:val="206293"/>
        </w:rPr>
        <w:t>Environmental Modelling &amp;</w:t>
      </w:r>
      <w:r>
        <w:rPr>
          <w:rFonts w:ascii="Arial" w:cs="Arial" w:eastAsia="Arial" w:hAnsi="Arial"/>
          <w:sz w:val="13"/>
          <w:szCs w:val="13"/>
          <w:color w:val="206293"/>
        </w:rPr>
        <w:t xml:space="preserve"> </w:t>
      </w:r>
      <w:hyperlink r:id="rId38">
        <w:r>
          <w:rPr>
            <w:rFonts w:ascii="Arial" w:cs="Arial" w:eastAsia="Arial" w:hAnsi="Arial"/>
            <w:sz w:val="13"/>
            <w:szCs w:val="13"/>
            <w:i w:val="1"/>
            <w:iCs w:val="1"/>
            <w:color w:val="206293"/>
          </w:rPr>
          <w:t>Software, 39</w:t>
        </w:r>
        <w:r>
          <w:rPr>
            <w:rFonts w:ascii="Arial" w:cs="Arial" w:eastAsia="Arial" w:hAnsi="Arial"/>
            <w:sz w:val="13"/>
            <w:szCs w:val="13"/>
            <w:color w:val="206293"/>
          </w:rPr>
          <w:t>, 159–175</w:t>
        </w:r>
      </w:hyperlink>
      <w:r>
        <w:rPr>
          <w:rFonts w:ascii="Arial" w:cs="Arial" w:eastAsia="Arial" w:hAnsi="Arial"/>
          <w:sz w:val="13"/>
          <w:szCs w:val="13"/>
          <w:color w:val="000000"/>
        </w:rPr>
        <w:t>.</w:t>
      </w:r>
    </w:p>
    <w:p>
      <w:pPr>
        <w:spacing w:after="0" w:line="1" w:lineRule="exact"/>
        <w:rPr>
          <w:sz w:val="20"/>
          <w:szCs w:val="20"/>
          <w:color w:val="auto"/>
        </w:rPr>
      </w:pPr>
    </w:p>
    <w:p>
      <w:pPr>
        <w:spacing w:after="0"/>
        <w:rPr>
          <w:rFonts w:ascii="Arial" w:cs="Arial" w:eastAsia="Arial" w:hAnsi="Arial"/>
          <w:sz w:val="12"/>
          <w:szCs w:val="12"/>
          <w:i w:val="1"/>
          <w:iCs w:val="1"/>
          <w:color w:val="auto"/>
        </w:rPr>
      </w:pPr>
      <w:r>
        <w:rPr>
          <w:rFonts w:ascii="Arial" w:cs="Arial" w:eastAsia="Arial" w:hAnsi="Arial"/>
          <w:sz w:val="12"/>
          <w:szCs w:val="12"/>
          <w:i w:val="1"/>
          <w:iCs w:val="1"/>
          <w:color w:val="auto"/>
        </w:rPr>
        <w:t xml:space="preserve">Arizona State University. Video: Decision theatre. (2014, March 7). </w:t>
      </w:r>
      <w:r>
        <w:rPr>
          <w:rFonts w:ascii="Arial" w:cs="Arial" w:eastAsia="Arial" w:hAnsi="Arial"/>
          <w:sz w:val="12"/>
          <w:szCs w:val="12"/>
          <w:color w:val="auto"/>
        </w:rPr>
        <w:t>Accessed at:</w:t>
      </w:r>
      <w:r>
        <w:rPr>
          <w:rFonts w:ascii="Arial" w:cs="Arial" w:eastAsia="Arial" w:hAnsi="Arial"/>
          <w:sz w:val="12"/>
          <w:szCs w:val="12"/>
          <w:i w:val="1"/>
          <w:iCs w:val="1"/>
          <w:color w:val="auto"/>
        </w:rPr>
        <w:t xml:space="preserve"> </w:t>
      </w:r>
      <w:hyperlink r:id="rId39">
        <w:r>
          <w:rPr>
            <w:rFonts w:ascii="Arial" w:cs="Arial" w:eastAsia="Arial" w:hAnsi="Arial"/>
            <w:sz w:val="12"/>
            <w:szCs w:val="12"/>
            <w:color w:val="206293"/>
          </w:rPr>
          <w:t>https://</w:t>
        </w:r>
      </w:hyperlink>
    </w:p>
    <w:p>
      <w:pPr>
        <w:spacing w:after="0" w:line="22" w:lineRule="exact"/>
        <w:rPr>
          <w:sz w:val="20"/>
          <w:szCs w:val="20"/>
          <w:color w:val="auto"/>
        </w:rPr>
      </w:pPr>
    </w:p>
    <w:p>
      <w:pPr>
        <w:ind w:left="240"/>
        <w:spacing w:after="0"/>
        <w:rPr>
          <w:rFonts w:ascii="Arial" w:cs="Arial" w:eastAsia="Arial" w:hAnsi="Arial"/>
          <w:sz w:val="13"/>
          <w:szCs w:val="13"/>
          <w:color w:val="206293"/>
        </w:rPr>
      </w:pPr>
      <w:hyperlink r:id="rId39">
        <w:r>
          <w:rPr>
            <w:rFonts w:ascii="Arial" w:cs="Arial" w:eastAsia="Arial" w:hAnsi="Arial"/>
            <w:sz w:val="13"/>
            <w:szCs w:val="13"/>
            <w:color w:val="206293"/>
          </w:rPr>
          <w:t xml:space="preserve">vimeo.com/88455683 </w:t>
        </w:r>
      </w:hyperlink>
      <w:r>
        <w:rPr>
          <w:rFonts w:ascii="Arial" w:cs="Arial" w:eastAsia="Arial" w:hAnsi="Arial"/>
          <w:sz w:val="13"/>
          <w:szCs w:val="13"/>
          <w:color w:val="000000"/>
        </w:rPr>
        <w:t>Accessed</w:t>
      </w:r>
      <w:r>
        <w:rPr>
          <w:rFonts w:ascii="Arial" w:cs="Arial" w:eastAsia="Arial" w:hAnsi="Arial"/>
          <w:sz w:val="13"/>
          <w:szCs w:val="13"/>
          <w:color w:val="206293"/>
        </w:rPr>
        <w:t xml:space="preserve"> </w:t>
      </w:r>
      <w:r>
        <w:rPr>
          <w:rFonts w:ascii="Arial" w:cs="Arial" w:eastAsia="Arial" w:hAnsi="Arial"/>
          <w:sz w:val="13"/>
          <w:szCs w:val="13"/>
          <w:color w:val="000000"/>
        </w:rPr>
        <w:t>on: 16 August 2019 .</w:t>
      </w:r>
    </w:p>
    <w:p>
      <w:pPr>
        <w:spacing w:after="0" w:line="9" w:lineRule="exact"/>
        <w:rPr>
          <w:sz w:val="20"/>
          <w:szCs w:val="20"/>
          <w:color w:val="auto"/>
        </w:rPr>
      </w:pPr>
    </w:p>
    <w:p>
      <w:pPr>
        <w:jc w:val="both"/>
        <w:ind w:left="240" w:right="180" w:hanging="238"/>
        <w:spacing w:after="0" w:line="256" w:lineRule="auto"/>
        <w:rPr>
          <w:rFonts w:ascii="Arial" w:cs="Arial" w:eastAsia="Arial" w:hAnsi="Arial"/>
          <w:sz w:val="13"/>
          <w:szCs w:val="13"/>
          <w:color w:val="206293"/>
        </w:rPr>
      </w:pPr>
      <w:r>
        <w:rPr>
          <w:rFonts w:ascii="Arial" w:cs="Arial" w:eastAsia="Arial" w:hAnsi="Arial"/>
          <w:sz w:val="13"/>
          <w:szCs w:val="13"/>
          <w:i w:val="1"/>
          <w:iCs w:val="1"/>
          <w:color w:val="auto"/>
        </w:rPr>
        <w:t xml:space="preserve">Australian Government, Department of the Prime Minister and Cabinet. Smart cities plan. (2016). </w:t>
      </w:r>
      <w:r>
        <w:rPr>
          <w:rFonts w:ascii="Arial" w:cs="Arial" w:eastAsia="Arial" w:hAnsi="Arial"/>
          <w:sz w:val="13"/>
          <w:szCs w:val="13"/>
          <w:color w:val="auto"/>
        </w:rPr>
        <w:t>Accessed at:</w:t>
      </w:r>
      <w:r>
        <w:rPr>
          <w:rFonts w:ascii="Arial" w:cs="Arial" w:eastAsia="Arial" w:hAnsi="Arial"/>
          <w:sz w:val="13"/>
          <w:szCs w:val="13"/>
          <w:i w:val="1"/>
          <w:iCs w:val="1"/>
          <w:color w:val="auto"/>
        </w:rPr>
        <w:t xml:space="preserve"> </w:t>
      </w:r>
      <w:r>
        <w:rPr>
          <w:rFonts w:ascii="Arial" w:cs="Arial" w:eastAsia="Arial" w:hAnsi="Arial"/>
          <w:sz w:val="13"/>
          <w:szCs w:val="13"/>
          <w:color w:val="206293"/>
        </w:rPr>
        <w:t>https://infrastructure.gov.au/cities/smart-cities/plan/files/</w:t>
      </w:r>
      <w:r>
        <w:rPr>
          <w:rFonts w:ascii="Arial" w:cs="Arial" w:eastAsia="Arial" w:hAnsi="Arial"/>
          <w:sz w:val="13"/>
          <w:szCs w:val="13"/>
          <w:i w:val="1"/>
          <w:iCs w:val="1"/>
          <w:color w:val="auto"/>
        </w:rPr>
        <w:t xml:space="preserve"> </w:t>
      </w:r>
      <w:hyperlink r:id="rId40">
        <w:r>
          <w:rPr>
            <w:rFonts w:ascii="Arial" w:cs="Arial" w:eastAsia="Arial" w:hAnsi="Arial"/>
            <w:sz w:val="13"/>
            <w:szCs w:val="13"/>
            <w:color w:val="206293"/>
          </w:rPr>
          <w:t xml:space="preserve">Smart_Cities_Plan.pdf </w:t>
        </w:r>
      </w:hyperlink>
      <w:r>
        <w:rPr>
          <w:rFonts w:ascii="Arial" w:cs="Arial" w:eastAsia="Arial" w:hAnsi="Arial"/>
          <w:sz w:val="13"/>
          <w:szCs w:val="13"/>
          <w:color w:val="000000"/>
        </w:rPr>
        <w:t>Accessed</w:t>
      </w:r>
      <w:r>
        <w:rPr>
          <w:rFonts w:ascii="Arial" w:cs="Arial" w:eastAsia="Arial" w:hAnsi="Arial"/>
          <w:sz w:val="13"/>
          <w:szCs w:val="13"/>
          <w:color w:val="206293"/>
        </w:rPr>
        <w:t xml:space="preserve"> </w:t>
      </w:r>
      <w:r>
        <w:rPr>
          <w:rFonts w:ascii="Arial" w:cs="Arial" w:eastAsia="Arial" w:hAnsi="Arial"/>
          <w:sz w:val="13"/>
          <w:szCs w:val="13"/>
          <w:color w:val="000000"/>
        </w:rPr>
        <w:t>on: 14 April 2019 .</w:t>
      </w:r>
    </w:p>
    <w:p>
      <w:pPr>
        <w:ind w:left="240" w:right="40" w:hanging="238"/>
        <w:spacing w:after="0" w:line="277" w:lineRule="auto"/>
        <w:rPr>
          <w:rFonts w:ascii="Arial" w:cs="Arial" w:eastAsia="Arial" w:hAnsi="Arial"/>
          <w:sz w:val="12"/>
          <w:szCs w:val="12"/>
          <w:color w:val="206293"/>
        </w:rPr>
      </w:pPr>
      <w:r>
        <w:rPr>
          <w:rFonts w:ascii="Arial" w:cs="Arial" w:eastAsia="Arial" w:hAnsi="Arial"/>
          <w:sz w:val="12"/>
          <w:szCs w:val="12"/>
          <w:color w:val="206293"/>
        </w:rPr>
        <w:t xml:space="preserve">te Brömmelstroet, M. (2013). Performance of planning support systems: What is it, and </w:t>
      </w:r>
      <w:hyperlink r:id="rId41">
        <w:r>
          <w:rPr>
            <w:rFonts w:ascii="Arial" w:cs="Arial" w:eastAsia="Arial" w:hAnsi="Arial"/>
            <w:sz w:val="12"/>
            <w:szCs w:val="12"/>
            <w:color w:val="206293"/>
          </w:rPr>
          <w:t xml:space="preserve">how do we report on it? </w:t>
        </w:r>
        <w:r>
          <w:rPr>
            <w:rFonts w:ascii="Arial" w:cs="Arial" w:eastAsia="Arial" w:hAnsi="Arial"/>
            <w:sz w:val="12"/>
            <w:szCs w:val="12"/>
            <w:i w:val="1"/>
            <w:iCs w:val="1"/>
            <w:color w:val="206293"/>
          </w:rPr>
          <w:t>Computers, Environment and Urban Systems, 41</w:t>
        </w:r>
        <w:r>
          <w:rPr>
            <w:rFonts w:ascii="Arial" w:cs="Arial" w:eastAsia="Arial" w:hAnsi="Arial"/>
            <w:sz w:val="12"/>
            <w:szCs w:val="12"/>
            <w:color w:val="206293"/>
          </w:rPr>
          <w:t>, 299–308</w:t>
        </w:r>
      </w:hyperlink>
      <w:r>
        <w:rPr>
          <w:rFonts w:ascii="Arial" w:cs="Arial" w:eastAsia="Arial" w:hAnsi="Arial"/>
          <w:sz w:val="12"/>
          <w:szCs w:val="12"/>
          <w:color w:val="000000"/>
        </w:rPr>
        <w:t>.</w:t>
      </w:r>
    </w:p>
    <w:p>
      <w:pPr>
        <w:ind w:left="240" w:right="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te Brömmelstroet, M. (2017). PSS are more user-friendly, but are they also increasingly </w:t>
      </w:r>
      <w:hyperlink r:id="rId42">
        <w:r>
          <w:rPr>
            <w:rFonts w:ascii="Arial" w:cs="Arial" w:eastAsia="Arial" w:hAnsi="Arial"/>
            <w:sz w:val="13"/>
            <w:szCs w:val="13"/>
            <w:color w:val="206293"/>
          </w:rPr>
          <w:t xml:space="preserve">useful? </w:t>
        </w:r>
        <w:r>
          <w:rPr>
            <w:rFonts w:ascii="Arial" w:cs="Arial" w:eastAsia="Arial" w:hAnsi="Arial"/>
            <w:sz w:val="13"/>
            <w:szCs w:val="13"/>
            <w:i w:val="1"/>
            <w:iCs w:val="1"/>
            <w:color w:val="206293"/>
          </w:rPr>
          <w:t>Transport Research Part A, 104</w:t>
        </w:r>
        <w:r>
          <w:rPr>
            <w:rFonts w:ascii="Arial" w:cs="Arial" w:eastAsia="Arial" w:hAnsi="Arial"/>
            <w:sz w:val="13"/>
            <w:szCs w:val="13"/>
            <w:color w:val="206293"/>
          </w:rPr>
          <w:t>, 96–107</w:t>
        </w:r>
      </w:hyperlink>
      <w:r>
        <w:rPr>
          <w:rFonts w:ascii="Arial" w:cs="Arial" w:eastAsia="Arial" w:hAnsi="Arial"/>
          <w:sz w:val="13"/>
          <w:szCs w:val="13"/>
          <w:color w:val="000000"/>
        </w:rPr>
        <w:t>.</w:t>
      </w:r>
    </w:p>
    <w:p>
      <w:pPr>
        <w:spacing w:after="0" w:line="1" w:lineRule="exact"/>
        <w:rPr>
          <w:sz w:val="20"/>
          <w:szCs w:val="20"/>
          <w:color w:val="auto"/>
        </w:rPr>
      </w:pPr>
    </w:p>
    <w:p>
      <w:pPr>
        <w:ind w:left="240" w:right="18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te Brömmelstroet, M., &amp; Bertolini, L. (2008). Developing land use and transport PSS: ‘Meaningful information through a dialogue between modelers and planners’ </w:t>
      </w:r>
      <w:hyperlink r:id="rId43">
        <w:r>
          <w:rPr>
            <w:rFonts w:ascii="Arial" w:cs="Arial" w:eastAsia="Arial" w:hAnsi="Arial"/>
            <w:sz w:val="13"/>
            <w:szCs w:val="13"/>
            <w:i w:val="1"/>
            <w:iCs w:val="1"/>
            <w:color w:val="206293"/>
          </w:rPr>
          <w:t>Transport Policy, 15</w:t>
        </w:r>
        <w:r>
          <w:rPr>
            <w:rFonts w:ascii="Arial" w:cs="Arial" w:eastAsia="Arial" w:hAnsi="Arial"/>
            <w:sz w:val="13"/>
            <w:szCs w:val="13"/>
            <w:color w:val="206293"/>
          </w:rPr>
          <w:t>, 251–259</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te Brömmelstroet, M., Curtis, C., Larsson, A., &amp; Milakis, D. (2016). Strengths and weak-nesses of accessibility instruments in planning practice: Technological rules based on </w:t>
      </w:r>
      <w:hyperlink r:id="rId44">
        <w:r>
          <w:rPr>
            <w:rFonts w:ascii="Arial" w:cs="Arial" w:eastAsia="Arial" w:hAnsi="Arial"/>
            <w:sz w:val="13"/>
            <w:szCs w:val="13"/>
            <w:color w:val="206293"/>
          </w:rPr>
          <w:t xml:space="preserve">experiential workshops. </w:t>
        </w:r>
        <w:r>
          <w:rPr>
            <w:rFonts w:ascii="Arial" w:cs="Arial" w:eastAsia="Arial" w:hAnsi="Arial"/>
            <w:sz w:val="13"/>
            <w:szCs w:val="13"/>
            <w:i w:val="1"/>
            <w:iCs w:val="1"/>
            <w:color w:val="206293"/>
          </w:rPr>
          <w:t>European Planning Studies, 24</w:t>
        </w:r>
        <w:r>
          <w:rPr>
            <w:rFonts w:ascii="Arial" w:cs="Arial" w:eastAsia="Arial" w:hAnsi="Arial"/>
            <w:sz w:val="13"/>
            <w:szCs w:val="13"/>
            <w:color w:val="206293"/>
          </w:rPr>
          <w:t>(6), 1175–1196</w:t>
        </w:r>
      </w:hyperlink>
      <w:r>
        <w:rPr>
          <w:rFonts w:ascii="Arial" w:cs="Arial" w:eastAsia="Arial" w:hAnsi="Arial"/>
          <w:sz w:val="13"/>
          <w:szCs w:val="13"/>
          <w:color w:val="000000"/>
        </w:rPr>
        <w:t>.</w:t>
      </w:r>
    </w:p>
    <w:p>
      <w:pPr>
        <w:jc w:val="both"/>
        <w:ind w:left="240" w:right="6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Champlin, C., te Brömmelstroet, M., &amp; Pelzer, P. (2019). Tables, tablets and flexibility: Evaluating planning support system performance under different conditions of use. </w:t>
      </w:r>
      <w:hyperlink r:id="rId45">
        <w:r>
          <w:rPr>
            <w:rFonts w:ascii="Arial" w:cs="Arial" w:eastAsia="Arial" w:hAnsi="Arial"/>
            <w:sz w:val="13"/>
            <w:szCs w:val="13"/>
            <w:i w:val="1"/>
            <w:iCs w:val="1"/>
            <w:color w:val="206293"/>
          </w:rPr>
          <w:t>Applied Spatial Analysis and Policy, 12</w:t>
        </w:r>
        <w:r>
          <w:rPr>
            <w:rFonts w:ascii="Arial" w:cs="Arial" w:eastAsia="Arial" w:hAnsi="Arial"/>
            <w:sz w:val="13"/>
            <w:szCs w:val="13"/>
            <w:color w:val="206293"/>
          </w:rPr>
          <w:t>(3), 467–491</w:t>
        </w:r>
      </w:hyperlink>
      <w:r>
        <w:rPr>
          <w:rFonts w:ascii="Arial" w:cs="Arial" w:eastAsia="Arial" w:hAnsi="Arial"/>
          <w:sz w:val="13"/>
          <w:szCs w:val="13"/>
          <w:color w:val="000000"/>
        </w:rPr>
        <w:t>.</w:t>
      </w:r>
    </w:p>
    <w:p>
      <w:pPr>
        <w:ind w:left="240" w:right="6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Dishaw, M., &amp; Strong, D. (1998). Assessing software maintenance tool utilization using task-technology fit and fitness-for-use models. </w:t>
      </w:r>
      <w:r>
        <w:rPr>
          <w:rFonts w:ascii="Arial" w:cs="Arial" w:eastAsia="Arial" w:hAnsi="Arial"/>
          <w:sz w:val="13"/>
          <w:szCs w:val="13"/>
          <w:i w:val="1"/>
          <w:iCs w:val="1"/>
          <w:color w:val="206293"/>
        </w:rPr>
        <w:t>Journal of Software Maintenance</w:t>
      </w:r>
      <w:r>
        <w:rPr>
          <w:rFonts w:ascii="Arial" w:cs="Arial" w:eastAsia="Arial" w:hAnsi="Arial"/>
          <w:sz w:val="13"/>
          <w:szCs w:val="13"/>
          <w:color w:val="206293"/>
        </w:rPr>
        <w:t xml:space="preserve"> </w:t>
      </w:r>
      <w:hyperlink r:id="rId46">
        <w:r>
          <w:rPr>
            <w:rFonts w:ascii="Arial" w:cs="Arial" w:eastAsia="Arial" w:hAnsi="Arial"/>
            <w:sz w:val="13"/>
            <w:szCs w:val="13"/>
            <w:i w:val="1"/>
            <w:iCs w:val="1"/>
            <w:color w:val="206293"/>
          </w:rPr>
          <w:t>Research and Practice, 10</w:t>
        </w:r>
        <w:r>
          <w:rPr>
            <w:rFonts w:ascii="Arial" w:cs="Arial" w:eastAsia="Arial" w:hAnsi="Arial"/>
            <w:sz w:val="13"/>
            <w:szCs w:val="13"/>
            <w:color w:val="206293"/>
          </w:rPr>
          <w:t>(3), 151–179</w:t>
        </w:r>
      </w:hyperlink>
      <w:r>
        <w:rPr>
          <w:rFonts w:ascii="Arial" w:cs="Arial" w:eastAsia="Arial" w:hAnsi="Arial"/>
          <w:sz w:val="13"/>
          <w:szCs w:val="13"/>
          <w:color w:val="000000"/>
        </w:rPr>
        <w:t>.</w:t>
      </w:r>
    </w:p>
    <w:p>
      <w:pPr>
        <w:spacing w:after="0"/>
        <w:rPr>
          <w:rFonts w:ascii="Arial" w:cs="Arial" w:eastAsia="Arial" w:hAnsi="Arial"/>
          <w:sz w:val="13"/>
          <w:szCs w:val="13"/>
          <w:color w:val="206293"/>
        </w:rPr>
      </w:pPr>
      <w:hyperlink r:id="rId47">
        <w:r>
          <w:rPr>
            <w:rFonts w:ascii="Arial" w:cs="Arial" w:eastAsia="Arial" w:hAnsi="Arial"/>
            <w:sz w:val="13"/>
            <w:szCs w:val="13"/>
            <w:color w:val="206293"/>
          </w:rPr>
          <w:t>Geertman, S. (2006). Potentials for planning support: A planning-conceptual approach.</w:t>
        </w:r>
      </w:hyperlink>
    </w:p>
    <w:p>
      <w:pPr>
        <w:spacing w:after="0" w:line="9" w:lineRule="exact"/>
        <w:rPr>
          <w:sz w:val="20"/>
          <w:szCs w:val="20"/>
          <w:color w:val="auto"/>
        </w:rPr>
      </w:pPr>
    </w:p>
    <w:p>
      <w:pPr>
        <w:ind w:left="240"/>
        <w:spacing w:after="0"/>
        <w:rPr>
          <w:rFonts w:ascii="Arial" w:cs="Arial" w:eastAsia="Arial" w:hAnsi="Arial"/>
          <w:sz w:val="13"/>
          <w:szCs w:val="13"/>
          <w:i w:val="1"/>
          <w:iCs w:val="1"/>
          <w:color w:val="206293"/>
        </w:rPr>
      </w:pPr>
      <w:hyperlink r:id="rId47">
        <w:r>
          <w:rPr>
            <w:rFonts w:ascii="Arial" w:cs="Arial" w:eastAsia="Arial" w:hAnsi="Arial"/>
            <w:sz w:val="13"/>
            <w:szCs w:val="13"/>
            <w:i w:val="1"/>
            <w:iCs w:val="1"/>
            <w:color w:val="206293"/>
          </w:rPr>
          <w:t>Environment and Planning. B, Planning &amp; Design, 33</w:t>
        </w:r>
        <w:r>
          <w:rPr>
            <w:rFonts w:ascii="Arial" w:cs="Arial" w:eastAsia="Arial" w:hAnsi="Arial"/>
            <w:sz w:val="13"/>
            <w:szCs w:val="13"/>
            <w:color w:val="206293"/>
          </w:rPr>
          <w:t>(6), 863–880</w:t>
        </w:r>
      </w:hyperlink>
      <w:r>
        <w:rPr>
          <w:rFonts w:ascii="Arial" w:cs="Arial" w:eastAsia="Arial" w:hAnsi="Arial"/>
          <w:sz w:val="13"/>
          <w:szCs w:val="13"/>
          <w:color w:val="000000"/>
        </w:rPr>
        <w:t>.</w:t>
      </w:r>
    </w:p>
    <w:p>
      <w:pPr>
        <w:spacing w:after="0" w:line="10" w:lineRule="exact"/>
        <w:rPr>
          <w:sz w:val="20"/>
          <w:szCs w:val="20"/>
          <w:color w:val="auto"/>
        </w:rPr>
      </w:pPr>
    </w:p>
    <w:p>
      <w:pPr>
        <w:spacing w:after="0"/>
        <w:rPr>
          <w:rFonts w:ascii="Arial" w:cs="Arial" w:eastAsia="Arial" w:hAnsi="Arial"/>
          <w:sz w:val="12"/>
          <w:szCs w:val="12"/>
          <w:color w:val="206293"/>
        </w:rPr>
      </w:pPr>
      <w:hyperlink r:id="rId48">
        <w:r>
          <w:rPr>
            <w:rFonts w:ascii="Arial" w:cs="Arial" w:eastAsia="Arial" w:hAnsi="Arial"/>
            <w:sz w:val="12"/>
            <w:szCs w:val="12"/>
            <w:color w:val="206293"/>
          </w:rPr>
          <w:t xml:space="preserve">Geertman, S. (2017). PSS: Beyond the implementation gap. </w:t>
        </w:r>
        <w:r>
          <w:rPr>
            <w:rFonts w:ascii="Arial" w:cs="Arial" w:eastAsia="Arial" w:hAnsi="Arial"/>
            <w:sz w:val="12"/>
            <w:szCs w:val="12"/>
            <w:i w:val="1"/>
            <w:iCs w:val="1"/>
            <w:color w:val="206293"/>
          </w:rPr>
          <w:t>Transportation Research Part A:</w:t>
        </w:r>
      </w:hyperlink>
    </w:p>
    <w:p>
      <w:pPr>
        <w:spacing w:after="0" w:line="21" w:lineRule="exact"/>
        <w:rPr>
          <w:sz w:val="20"/>
          <w:szCs w:val="20"/>
          <w:color w:val="auto"/>
        </w:rPr>
      </w:pPr>
    </w:p>
    <w:p>
      <w:pPr>
        <w:ind w:left="240"/>
        <w:spacing w:after="0"/>
        <w:rPr>
          <w:rFonts w:ascii="Arial" w:cs="Arial" w:eastAsia="Arial" w:hAnsi="Arial"/>
          <w:sz w:val="13"/>
          <w:szCs w:val="13"/>
          <w:i w:val="1"/>
          <w:iCs w:val="1"/>
          <w:color w:val="206293"/>
        </w:rPr>
      </w:pPr>
      <w:hyperlink r:id="rId48">
        <w:r>
          <w:rPr>
            <w:rFonts w:ascii="Arial" w:cs="Arial" w:eastAsia="Arial" w:hAnsi="Arial"/>
            <w:sz w:val="13"/>
            <w:szCs w:val="13"/>
            <w:i w:val="1"/>
            <w:iCs w:val="1"/>
            <w:color w:val="206293"/>
          </w:rPr>
          <w:t>Policy and Practice, 104</w:t>
        </w:r>
        <w:r>
          <w:rPr>
            <w:rFonts w:ascii="Arial" w:cs="Arial" w:eastAsia="Arial" w:hAnsi="Arial"/>
            <w:sz w:val="13"/>
            <w:szCs w:val="13"/>
            <w:color w:val="206293"/>
          </w:rPr>
          <w:t>, 70–76</w:t>
        </w:r>
      </w:hyperlink>
      <w:r>
        <w:rPr>
          <w:rFonts w:ascii="Arial" w:cs="Arial" w:eastAsia="Arial" w:hAnsi="Arial"/>
          <w:sz w:val="13"/>
          <w:szCs w:val="13"/>
          <w:color w:val="000000"/>
        </w:rPr>
        <w:t>.</w:t>
      </w:r>
    </w:p>
    <w:p>
      <w:pPr>
        <w:spacing w:after="0" w:line="10" w:lineRule="exact"/>
        <w:rPr>
          <w:sz w:val="20"/>
          <w:szCs w:val="20"/>
          <w:color w:val="auto"/>
        </w:rPr>
      </w:pPr>
    </w:p>
    <w:p>
      <w:pPr>
        <w:ind w:left="240" w:right="80" w:hanging="238"/>
        <w:spacing w:after="0" w:line="255" w:lineRule="auto"/>
        <w:rPr>
          <w:rFonts w:ascii="Arial" w:cs="Arial" w:eastAsia="Arial" w:hAnsi="Arial"/>
          <w:sz w:val="13"/>
          <w:szCs w:val="13"/>
          <w:color w:val="206293"/>
        </w:rPr>
      </w:pPr>
      <w:r>
        <w:rPr>
          <w:rFonts w:ascii="Arial" w:cs="Arial" w:eastAsia="Arial" w:hAnsi="Arial"/>
          <w:sz w:val="13"/>
          <w:szCs w:val="13"/>
          <w:color w:val="auto"/>
        </w:rPr>
        <w:t xml:space="preserve">Goodspeed, R., &amp; Hackel, C. (2017). Lessons for developing a planning support system infrastructure: The case of Southern California's Scenario Planning Model. </w:t>
      </w:r>
      <w:r>
        <w:rPr>
          <w:rFonts w:ascii="Arial" w:cs="Arial" w:eastAsia="Arial" w:hAnsi="Arial"/>
          <w:sz w:val="13"/>
          <w:szCs w:val="13"/>
          <w:i w:val="1"/>
          <w:iCs w:val="1"/>
          <w:color w:val="auto"/>
        </w:rPr>
        <w:t>Environment and Planning B: Urban Analytics and City Science</w:t>
      </w:r>
      <w:r>
        <w:rPr>
          <w:rFonts w:ascii="Arial" w:cs="Arial" w:eastAsia="Arial" w:hAnsi="Arial"/>
          <w:sz w:val="13"/>
          <w:szCs w:val="13"/>
          <w:color w:val="auto"/>
        </w:rPr>
        <w:t>.</w:t>
      </w:r>
      <w:r>
        <w:rPr>
          <w:rFonts w:ascii="Arial" w:cs="Arial" w:eastAsia="Arial" w:hAnsi="Arial"/>
          <w:sz w:val="13"/>
          <w:szCs w:val="13"/>
          <w:i w:val="1"/>
          <w:iCs w:val="1"/>
          <w:color w:val="auto"/>
        </w:rPr>
        <w:t xml:space="preserve"> </w:t>
      </w:r>
      <w:hyperlink r:id="rId49">
        <w:r>
          <w:rPr>
            <w:rFonts w:ascii="Arial" w:cs="Arial" w:eastAsia="Arial" w:hAnsi="Arial"/>
            <w:sz w:val="13"/>
            <w:szCs w:val="13"/>
            <w:color w:val="206293"/>
          </w:rPr>
          <w:t>https://doi.org/10.</w:t>
        </w:r>
      </w:hyperlink>
      <w:r>
        <w:rPr>
          <w:rFonts w:ascii="Arial" w:cs="Arial" w:eastAsia="Arial" w:hAnsi="Arial"/>
          <w:sz w:val="13"/>
          <w:szCs w:val="13"/>
          <w:i w:val="1"/>
          <w:iCs w:val="1"/>
          <w:color w:val="auto"/>
        </w:rPr>
        <w:t xml:space="preserve"> </w:t>
      </w:r>
      <w:hyperlink r:id="rId49">
        <w:r>
          <w:rPr>
            <w:rFonts w:ascii="Arial" w:cs="Arial" w:eastAsia="Arial" w:hAnsi="Arial"/>
            <w:sz w:val="13"/>
            <w:szCs w:val="13"/>
            <w:color w:val="206293"/>
          </w:rPr>
          <w:t>1177/2399808317727004</w:t>
        </w:r>
      </w:hyperlink>
      <w:r>
        <w:rPr>
          <w:rFonts w:ascii="Arial" w:cs="Arial" w:eastAsia="Arial" w:hAnsi="Arial"/>
          <w:sz w:val="13"/>
          <w:szCs w:val="13"/>
          <w:color w:val="000000"/>
        </w:rPr>
        <w:t>.</w:t>
      </w:r>
    </w:p>
    <w:p>
      <w:pPr>
        <w:spacing w:after="0" w:line="2" w:lineRule="exact"/>
        <w:rPr>
          <w:sz w:val="20"/>
          <w:szCs w:val="20"/>
          <w:color w:val="auto"/>
        </w:rPr>
      </w:pPr>
    </w:p>
    <w:p>
      <w:pPr>
        <w:jc w:val="center"/>
        <w:spacing w:after="0"/>
        <w:rPr>
          <w:rFonts w:ascii="Arial" w:cs="Arial" w:eastAsia="Arial" w:hAnsi="Arial"/>
          <w:sz w:val="12"/>
          <w:szCs w:val="12"/>
          <w:color w:val="206293"/>
        </w:rPr>
      </w:pPr>
      <w:hyperlink r:id="rId50">
        <w:r>
          <w:rPr>
            <w:rFonts w:ascii="Arial" w:cs="Arial" w:eastAsia="Arial" w:hAnsi="Arial"/>
            <w:sz w:val="12"/>
            <w:szCs w:val="12"/>
            <w:color w:val="206293"/>
          </w:rPr>
          <w:t>Goodspeed, R., Pelzer, P., &amp; Pettit, C. (2018). Planning our future cities: the role computer</w:t>
        </w:r>
      </w:hyperlink>
    </w:p>
    <w:p>
      <w:pPr>
        <w:spacing w:after="0" w:line="22" w:lineRule="exact"/>
        <w:rPr>
          <w:sz w:val="20"/>
          <w:szCs w:val="20"/>
          <w:color w:val="auto"/>
        </w:rPr>
      </w:pPr>
    </w:p>
    <w:p>
      <w:pPr>
        <w:ind w:left="240"/>
        <w:spacing w:after="0"/>
        <w:rPr>
          <w:rFonts w:ascii="Arial" w:cs="Arial" w:eastAsia="Arial" w:hAnsi="Arial"/>
          <w:sz w:val="13"/>
          <w:szCs w:val="13"/>
          <w:color w:val="206293"/>
        </w:rPr>
      </w:pPr>
      <w:hyperlink r:id="rId50">
        <w:r>
          <w:rPr>
            <w:rFonts w:ascii="Arial" w:cs="Arial" w:eastAsia="Arial" w:hAnsi="Arial"/>
            <w:sz w:val="13"/>
            <w:szCs w:val="13"/>
            <w:color w:val="206293"/>
          </w:rPr>
          <w:t xml:space="preserve">technologies can play. </w:t>
        </w:r>
        <w:r>
          <w:rPr>
            <w:rFonts w:ascii="Arial" w:cs="Arial" w:eastAsia="Arial" w:hAnsi="Arial"/>
            <w:sz w:val="13"/>
            <w:szCs w:val="13"/>
            <w:i w:val="1"/>
            <w:iCs w:val="1"/>
            <w:color w:val="206293"/>
          </w:rPr>
          <w:t>For urban planning knowledge and research</w:t>
        </w:r>
        <w:r>
          <w:rPr>
            <w:rFonts w:ascii="Arial" w:cs="Arial" w:eastAsia="Arial" w:hAnsi="Arial"/>
            <w:sz w:val="13"/>
            <w:szCs w:val="13"/>
            <w:color w:val="206293"/>
          </w:rPr>
          <w:t xml:space="preserve"> (pp. 210–225).</w:t>
        </w:r>
      </w:hyperlink>
    </w:p>
    <w:p>
      <w:pPr>
        <w:spacing w:after="0" w:line="9" w:lineRule="exact"/>
        <w:rPr>
          <w:sz w:val="20"/>
          <w:szCs w:val="20"/>
          <w:color w:val="auto"/>
        </w:rPr>
      </w:pPr>
    </w:p>
    <w:p>
      <w:pPr>
        <w:ind w:left="240"/>
        <w:spacing w:after="0"/>
        <w:rPr>
          <w:rFonts w:ascii="Arial" w:cs="Arial" w:eastAsia="Arial" w:hAnsi="Arial"/>
          <w:sz w:val="13"/>
          <w:szCs w:val="13"/>
          <w:color w:val="206293"/>
        </w:rPr>
      </w:pPr>
      <w:hyperlink r:id="rId50">
        <w:r>
          <w:rPr>
            <w:rFonts w:ascii="Arial" w:cs="Arial" w:eastAsia="Arial" w:hAnsi="Arial"/>
            <w:sz w:val="13"/>
            <w:szCs w:val="13"/>
            <w:color w:val="206293"/>
          </w:rPr>
          <w:t>Routledge (Ed T.W. Sanchez)</w:t>
        </w:r>
      </w:hyperlink>
      <w:r>
        <w:rPr>
          <w:rFonts w:ascii="Arial" w:cs="Arial" w:eastAsia="Arial" w:hAnsi="Arial"/>
          <w:sz w:val="13"/>
          <w:szCs w:val="13"/>
          <w:color w:val="000000"/>
        </w:rPr>
        <w:t>.</w:t>
      </w:r>
    </w:p>
    <w:p>
      <w:pPr>
        <w:spacing w:after="0" w:line="10" w:lineRule="exact"/>
        <w:rPr>
          <w:sz w:val="20"/>
          <w:szCs w:val="20"/>
          <w:color w:val="auto"/>
        </w:rPr>
      </w:pPr>
    </w:p>
    <w:p>
      <w:pPr>
        <w:jc w:val="both"/>
        <w:ind w:left="240" w:right="140" w:hanging="238"/>
        <w:spacing w:after="0" w:line="277" w:lineRule="auto"/>
        <w:rPr>
          <w:rFonts w:ascii="Arial" w:cs="Arial" w:eastAsia="Arial" w:hAnsi="Arial"/>
          <w:sz w:val="12"/>
          <w:szCs w:val="12"/>
          <w:color w:val="206293"/>
        </w:rPr>
      </w:pPr>
      <w:r>
        <w:rPr>
          <w:rFonts w:ascii="Arial" w:cs="Arial" w:eastAsia="Arial" w:hAnsi="Arial"/>
          <w:sz w:val="12"/>
          <w:szCs w:val="12"/>
          <w:color w:val="auto"/>
        </w:rPr>
        <w:t xml:space="preserve">GovTech Review (2018, May 7). </w:t>
      </w:r>
      <w:r>
        <w:rPr>
          <w:rFonts w:ascii="Arial" w:cs="Arial" w:eastAsia="Arial" w:hAnsi="Arial"/>
          <w:sz w:val="12"/>
          <w:szCs w:val="12"/>
          <w:i w:val="1"/>
          <w:iCs w:val="1"/>
          <w:color w:val="auto"/>
        </w:rPr>
        <w:t>Future cities lab launched at UNSW.</w:t>
      </w:r>
      <w:r>
        <w:rPr>
          <w:rFonts w:ascii="Arial" w:cs="Arial" w:eastAsia="Arial" w:hAnsi="Arial"/>
          <w:sz w:val="12"/>
          <w:szCs w:val="12"/>
          <w:color w:val="auto"/>
        </w:rPr>
        <w:t xml:space="preserve"> GovTech Review. Accessed at: </w:t>
      </w:r>
      <w:r>
        <w:rPr>
          <w:rFonts w:ascii="Arial" w:cs="Arial" w:eastAsia="Arial" w:hAnsi="Arial"/>
          <w:sz w:val="12"/>
          <w:szCs w:val="12"/>
          <w:color w:val="206293"/>
        </w:rPr>
        <w:t>https://www.govtechreview.com.au/content/gov-geospatial/news/</w:t>
      </w:r>
      <w:r>
        <w:rPr>
          <w:rFonts w:ascii="Arial" w:cs="Arial" w:eastAsia="Arial" w:hAnsi="Arial"/>
          <w:sz w:val="12"/>
          <w:szCs w:val="12"/>
          <w:color w:val="auto"/>
        </w:rPr>
        <w:t xml:space="preserve"> </w:t>
      </w:r>
      <w:hyperlink r:id="rId51">
        <w:r>
          <w:rPr>
            <w:rFonts w:ascii="Arial" w:cs="Arial" w:eastAsia="Arial" w:hAnsi="Arial"/>
            <w:sz w:val="12"/>
            <w:szCs w:val="12"/>
            <w:color w:val="206293"/>
          </w:rPr>
          <w:t xml:space="preserve">future-cities-lab-launched-at-unsw-37343840 </w:t>
        </w:r>
      </w:hyperlink>
      <w:r>
        <w:rPr>
          <w:rFonts w:ascii="Arial" w:cs="Arial" w:eastAsia="Arial" w:hAnsi="Arial"/>
          <w:sz w:val="12"/>
          <w:szCs w:val="12"/>
          <w:color w:val="000000"/>
        </w:rPr>
        <w:t>Accessed</w:t>
      </w:r>
      <w:r>
        <w:rPr>
          <w:rFonts w:ascii="Arial" w:cs="Arial" w:eastAsia="Arial" w:hAnsi="Arial"/>
          <w:sz w:val="12"/>
          <w:szCs w:val="12"/>
          <w:color w:val="206293"/>
        </w:rPr>
        <w:t xml:space="preserve"> </w:t>
      </w:r>
      <w:r>
        <w:rPr>
          <w:rFonts w:ascii="Arial" w:cs="Arial" w:eastAsia="Arial" w:hAnsi="Arial"/>
          <w:sz w:val="12"/>
          <w:szCs w:val="12"/>
          <w:color w:val="000000"/>
        </w:rPr>
        <w:t>on: 14 April 2019 .</w:t>
      </w:r>
    </w:p>
    <w:p>
      <w:pPr>
        <w:spacing w:after="0" w:line="1" w:lineRule="exact"/>
        <w:rPr>
          <w:sz w:val="20"/>
          <w:szCs w:val="20"/>
          <w:color w:val="auto"/>
        </w:rPr>
      </w:pPr>
    </w:p>
    <w:p>
      <w:pPr>
        <w:ind w:left="240" w:right="8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Greater Sydney Commission (2018). </w:t>
      </w:r>
      <w:r>
        <w:rPr>
          <w:rFonts w:ascii="Arial" w:cs="Arial" w:eastAsia="Arial" w:hAnsi="Arial"/>
          <w:sz w:val="13"/>
          <w:szCs w:val="13"/>
          <w:i w:val="1"/>
          <w:iCs w:val="1"/>
          <w:color w:val="206293"/>
        </w:rPr>
        <w:t>Greater Sydney regional plan – A metropolis of three</w:t>
      </w:r>
      <w:r>
        <w:rPr>
          <w:rFonts w:ascii="Arial" w:cs="Arial" w:eastAsia="Arial" w:hAnsi="Arial"/>
          <w:sz w:val="13"/>
          <w:szCs w:val="13"/>
          <w:color w:val="206293"/>
        </w:rPr>
        <w:t xml:space="preserve"> </w:t>
      </w:r>
      <w:hyperlink r:id="rId52">
        <w:r>
          <w:rPr>
            <w:rFonts w:ascii="Arial" w:cs="Arial" w:eastAsia="Arial" w:hAnsi="Arial"/>
            <w:sz w:val="13"/>
            <w:szCs w:val="13"/>
            <w:i w:val="1"/>
            <w:iCs w:val="1"/>
            <w:color w:val="206293"/>
          </w:rPr>
          <w:t xml:space="preserve">cities, March 2018. </w:t>
        </w:r>
        <w:r>
          <w:rPr>
            <w:rFonts w:ascii="Arial" w:cs="Arial" w:eastAsia="Arial" w:hAnsi="Arial"/>
            <w:sz w:val="13"/>
            <w:szCs w:val="13"/>
            <w:color w:val="206293"/>
          </w:rPr>
          <w:t>Sydney, NSW</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77" w:lineRule="auto"/>
        <w:rPr>
          <w:rFonts w:ascii="Arial" w:cs="Arial" w:eastAsia="Arial" w:hAnsi="Arial"/>
          <w:sz w:val="12"/>
          <w:szCs w:val="12"/>
          <w:color w:val="206293"/>
        </w:rPr>
      </w:pPr>
      <w:r>
        <w:rPr>
          <w:rFonts w:ascii="Arial" w:cs="Arial" w:eastAsia="Arial" w:hAnsi="Arial"/>
          <w:sz w:val="12"/>
          <w:szCs w:val="12"/>
          <w:color w:val="206293"/>
        </w:rPr>
        <w:t xml:space="preserve">Grignard, A., Alonso, L., Taillandier, P., Gaudou, B., Nguyen-Huu, T., Gruel, W., &amp; Larson, K. (2018, July). The impact of new mobility modes on a city: A generic approach </w:t>
      </w:r>
      <w:hyperlink r:id="rId53">
        <w:r>
          <w:rPr>
            <w:rFonts w:ascii="Arial" w:cs="Arial" w:eastAsia="Arial" w:hAnsi="Arial"/>
            <w:sz w:val="12"/>
            <w:szCs w:val="12"/>
            <w:color w:val="206293"/>
          </w:rPr>
          <w:t xml:space="preserve">using abm. </w:t>
        </w:r>
        <w:r>
          <w:rPr>
            <w:rFonts w:ascii="Arial" w:cs="Arial" w:eastAsia="Arial" w:hAnsi="Arial"/>
            <w:sz w:val="12"/>
            <w:szCs w:val="12"/>
            <w:i w:val="1"/>
            <w:iCs w:val="1"/>
            <w:color w:val="206293"/>
          </w:rPr>
          <w:t>International conference on complex systems</w:t>
        </w:r>
        <w:r>
          <w:rPr>
            <w:rFonts w:ascii="Arial" w:cs="Arial" w:eastAsia="Arial" w:hAnsi="Arial"/>
            <w:sz w:val="12"/>
            <w:szCs w:val="12"/>
            <w:color w:val="206293"/>
          </w:rPr>
          <w:t xml:space="preserve"> (pp. 272–280). Cham: Springer</w:t>
        </w:r>
      </w:hyperlink>
      <w:r>
        <w:rPr>
          <w:rFonts w:ascii="Arial" w:cs="Arial" w:eastAsia="Arial" w:hAnsi="Arial"/>
          <w:sz w:val="12"/>
          <w:szCs w:val="12"/>
          <w:color w:val="000000"/>
        </w:rPr>
        <w:t>.</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Gurran, N. (2018). Public cities, public scholars? Questioning urban policy and research </w:t>
      </w:r>
      <w:hyperlink r:id="rId54">
        <w:r>
          <w:rPr>
            <w:rFonts w:ascii="Arial" w:cs="Arial" w:eastAsia="Arial" w:hAnsi="Arial"/>
            <w:sz w:val="13"/>
            <w:szCs w:val="13"/>
            <w:color w:val="206293"/>
          </w:rPr>
          <w:t xml:space="preserve">in Australia. </w:t>
        </w:r>
        <w:r>
          <w:rPr>
            <w:rFonts w:ascii="Arial" w:cs="Arial" w:eastAsia="Arial" w:hAnsi="Arial"/>
            <w:sz w:val="13"/>
            <w:szCs w:val="13"/>
            <w:i w:val="1"/>
            <w:iCs w:val="1"/>
            <w:color w:val="206293"/>
          </w:rPr>
          <w:t>Urban Policy and Research, 36</w:t>
        </w:r>
        <w:r>
          <w:rPr>
            <w:rFonts w:ascii="Arial" w:cs="Arial" w:eastAsia="Arial" w:hAnsi="Arial"/>
            <w:sz w:val="13"/>
            <w:szCs w:val="13"/>
            <w:color w:val="206293"/>
          </w:rPr>
          <w:t>(1), 1–10</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Hopkins, L. (2001). </w:t>
      </w:r>
      <w:r>
        <w:rPr>
          <w:rFonts w:ascii="Arial" w:cs="Arial" w:eastAsia="Arial" w:hAnsi="Arial"/>
          <w:sz w:val="13"/>
          <w:szCs w:val="13"/>
          <w:i w:val="1"/>
          <w:iCs w:val="1"/>
          <w:color w:val="206293"/>
        </w:rPr>
        <w:t>Urban development: The logic of making plans.</w:t>
      </w:r>
      <w:r>
        <w:rPr>
          <w:rFonts w:ascii="Arial" w:cs="Arial" w:eastAsia="Arial" w:hAnsi="Arial"/>
          <w:sz w:val="13"/>
          <w:szCs w:val="13"/>
          <w:color w:val="206293"/>
        </w:rPr>
        <w:t xml:space="preserve"> Washington, DC: Island </w:t>
      </w:r>
      <w:hyperlink r:id="rId55">
        <w:r>
          <w:rPr>
            <w:rFonts w:ascii="Arial" w:cs="Arial" w:eastAsia="Arial" w:hAnsi="Arial"/>
            <w:sz w:val="13"/>
            <w:szCs w:val="13"/>
            <w:color w:val="206293"/>
          </w:rPr>
          <w:t>Press</w:t>
        </w:r>
      </w:hyperlink>
      <w:r>
        <w:rPr>
          <w:rFonts w:ascii="Arial" w:cs="Arial" w:eastAsia="Arial" w:hAnsi="Arial"/>
          <w:sz w:val="13"/>
          <w:szCs w:val="13"/>
          <w:color w:val="000000"/>
        </w:rPr>
        <w:t>.</w:t>
      </w:r>
    </w:p>
    <w:p>
      <w:pPr>
        <w:spacing w:after="0" w:line="1" w:lineRule="exact"/>
        <w:rPr>
          <w:sz w:val="20"/>
          <w:szCs w:val="20"/>
          <w:color w:val="auto"/>
        </w:rPr>
      </w:pPr>
    </w:p>
    <w:p>
      <w:pPr>
        <w:ind w:left="240" w:right="4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Hu, Q. (2011). </w:t>
      </w:r>
      <w:r>
        <w:rPr>
          <w:rFonts w:ascii="Arial" w:cs="Arial" w:eastAsia="Arial" w:hAnsi="Arial"/>
          <w:sz w:val="13"/>
          <w:szCs w:val="13"/>
          <w:i w:val="1"/>
          <w:iCs w:val="1"/>
          <w:color w:val="206293"/>
        </w:rPr>
        <w:t>Fostering collaboration through IT tools: An experimental study of public de-</w:t>
      </w:r>
      <w:hyperlink r:id="rId56">
        <w:r>
          <w:rPr>
            <w:rFonts w:ascii="Arial" w:cs="Arial" w:eastAsia="Arial" w:hAnsi="Arial"/>
            <w:sz w:val="13"/>
            <w:szCs w:val="13"/>
            <w:i w:val="1"/>
            <w:iCs w:val="1"/>
            <w:color w:val="206293"/>
          </w:rPr>
          <w:t xml:space="preserve">liberation on water sustainability. </w:t>
        </w:r>
        <w:r>
          <w:rPr>
            <w:rFonts w:ascii="Arial" w:cs="Arial" w:eastAsia="Arial" w:hAnsi="Arial"/>
            <w:sz w:val="13"/>
            <w:szCs w:val="13"/>
            <w:color w:val="206293"/>
          </w:rPr>
          <w:t>Arizona State University</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6" w:lineRule="auto"/>
        <w:rPr>
          <w:sz w:val="20"/>
          <w:szCs w:val="20"/>
          <w:color w:val="auto"/>
        </w:rPr>
      </w:pPr>
      <w:r>
        <w:rPr>
          <w:rFonts w:ascii="Arial" w:cs="Arial" w:eastAsia="Arial" w:hAnsi="Arial"/>
          <w:sz w:val="13"/>
          <w:szCs w:val="13"/>
          <w:color w:val="auto"/>
        </w:rPr>
        <w:t xml:space="preserve">Johnston, M. (2018, May 7). </w:t>
      </w:r>
      <w:r>
        <w:rPr>
          <w:rFonts w:ascii="Arial" w:cs="Arial" w:eastAsia="Arial" w:hAnsi="Arial"/>
          <w:sz w:val="13"/>
          <w:szCs w:val="13"/>
          <w:i w:val="1"/>
          <w:iCs w:val="1"/>
          <w:color w:val="auto"/>
        </w:rPr>
        <w:t>Uses big data to create a “30-minute city”</w:t>
      </w:r>
      <w:r>
        <w:rPr>
          <w:rFonts w:ascii="Arial" w:cs="Arial" w:eastAsia="Arial" w:hAnsi="Arial"/>
          <w:sz w:val="13"/>
          <w:szCs w:val="13"/>
          <w:color w:val="auto"/>
        </w:rPr>
        <w:t xml:space="preserve"> ITnews. Accessed at: </w:t>
      </w:r>
      <w:r>
        <w:rPr>
          <w:rFonts w:ascii="Arial" w:cs="Arial" w:eastAsia="Arial" w:hAnsi="Arial"/>
          <w:sz w:val="13"/>
          <w:szCs w:val="13"/>
          <w:color w:val="206293"/>
        </w:rPr>
        <w:t xml:space="preserve">https://www.itnews.com.au/news/unsw-opens-smart-city-analytics-lab-490319 </w:t>
      </w:r>
      <w:r>
        <w:rPr>
          <w:rFonts w:ascii="Arial" w:cs="Arial" w:eastAsia="Arial" w:hAnsi="Arial"/>
          <w:sz w:val="13"/>
          <w:szCs w:val="13"/>
          <w:color w:val="000000"/>
        </w:rPr>
        <w:t>Accessed date: 14 April 2019 .</w:t>
      </w:r>
    </w:p>
    <w:p>
      <w:pPr>
        <w:jc w:val="both"/>
        <w:ind w:left="24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Kahila-Tani, M., Broberg, A., Kyttä, M., &amp; Tyger, T. (2016). Let the citizens map - Public participation GIS as a planning support system in the Helsinki master plan process. </w:t>
      </w:r>
      <w:hyperlink r:id="rId57">
        <w:r>
          <w:rPr>
            <w:rFonts w:ascii="Arial" w:cs="Arial" w:eastAsia="Arial" w:hAnsi="Arial"/>
            <w:sz w:val="13"/>
            <w:szCs w:val="13"/>
            <w:i w:val="1"/>
            <w:iCs w:val="1"/>
            <w:color w:val="206293"/>
          </w:rPr>
          <w:t>Planning practice &amp; research, 31</w:t>
        </w:r>
        <w:r>
          <w:rPr>
            <w:rFonts w:ascii="Arial" w:cs="Arial" w:eastAsia="Arial" w:hAnsi="Arial"/>
            <w:sz w:val="13"/>
            <w:szCs w:val="13"/>
            <w:color w:val="206293"/>
          </w:rPr>
          <w:t>(2), 195–214</w:t>
        </w:r>
      </w:hyperlink>
      <w:r>
        <w:rPr>
          <w:rFonts w:ascii="Arial" w:cs="Arial" w:eastAsia="Arial" w:hAnsi="Arial"/>
          <w:sz w:val="13"/>
          <w:szCs w:val="13"/>
          <w:color w:val="000000"/>
        </w:rPr>
        <w:t>.</w:t>
      </w:r>
    </w:p>
    <w:p>
      <w:pPr>
        <w:ind w:left="240" w:hanging="238"/>
        <w:spacing w:after="0" w:line="311" w:lineRule="auto"/>
        <w:rPr>
          <w:rFonts w:ascii="Arial" w:cs="Arial" w:eastAsia="Arial" w:hAnsi="Arial"/>
          <w:sz w:val="13"/>
          <w:szCs w:val="13"/>
          <w:color w:val="auto"/>
        </w:rPr>
      </w:pPr>
      <w:r>
        <w:rPr>
          <w:rFonts w:ascii="Arial" w:cs="Arial" w:eastAsia="Arial" w:hAnsi="Arial"/>
          <w:sz w:val="13"/>
          <w:szCs w:val="13"/>
          <w:color w:val="auto"/>
        </w:rPr>
        <w:t xml:space="preserve">Leao, S., Pettit, C., Rashidi, T., Hassan, M., &amp; Jian, S. (2016). The 30 Min city, analysis of Sydney employment clusters. Accessed at: </w:t>
      </w:r>
      <w:hyperlink r:id="rId58">
        <w:r>
          <w:rPr>
            <w:rFonts w:ascii="Arial" w:cs="Arial" w:eastAsia="Arial" w:hAnsi="Arial"/>
            <w:sz w:val="13"/>
            <w:szCs w:val="13"/>
            <w:color w:val="206293"/>
          </w:rPr>
          <w:t>https://cityfutures.be.unsw.edu.au/</w:t>
        </w:r>
      </w:hyperlink>
      <w:r>
        <w:rPr>
          <w:rFonts w:ascii="Arial" w:cs="Arial" w:eastAsia="Arial" w:hAnsi="Arial"/>
          <w:sz w:val="13"/>
          <w:szCs w:val="13"/>
          <w:color w:val="auto"/>
        </w:rPr>
        <w:t xml:space="preserve"> </w:t>
      </w:r>
      <w:r>
        <w:rPr>
          <w:rFonts w:ascii="Arial" w:cs="Arial" w:eastAsia="Arial" w:hAnsi="Arial"/>
          <w:sz w:val="13"/>
          <w:szCs w:val="13"/>
          <w:color w:val="206293"/>
        </w:rPr>
        <w:t>cityviz/30-min-city/</w:t>
      </w:r>
      <w:r>
        <w:rPr>
          <w:rFonts w:ascii="Arial" w:cs="Arial" w:eastAsia="Arial" w:hAnsi="Arial"/>
          <w:sz w:val="13"/>
          <w:szCs w:val="13"/>
          <w:color w:val="000000"/>
        </w:rPr>
        <w:t>.</w:t>
      </w:r>
    </w:p>
    <w:p>
      <w:pPr>
        <w:spacing w:after="0" w:line="20" w:lineRule="exact"/>
        <w:rPr>
          <w:sz w:val="20"/>
          <w:szCs w:val="20"/>
          <w:color w:val="auto"/>
        </w:rPr>
      </w:pPr>
      <w:r>
        <w:rPr>
          <w:sz w:val="20"/>
          <w:szCs w:val="20"/>
          <w:color w:val="auto"/>
        </w:rPr>
        <w:br w:type="column"/>
      </w:r>
    </w:p>
    <w:p>
      <w:pPr>
        <w:ind w:left="1560"/>
        <w:spacing w:after="0"/>
        <w:rPr>
          <w:sz w:val="20"/>
          <w:szCs w:val="20"/>
          <w:color w:val="auto"/>
        </w:rPr>
      </w:pPr>
      <w:r>
        <w:rPr>
          <w:rFonts w:ascii="Arial" w:cs="Arial" w:eastAsia="Arial" w:hAnsi="Arial"/>
          <w:sz w:val="12"/>
          <w:szCs w:val="12"/>
          <w:i w:val="1"/>
          <w:iCs w:val="1"/>
          <w:color w:val="auto"/>
        </w:rPr>
        <w:t>Computers, Environment and Urban Systems 82 (2020) 101485</w:t>
      </w:r>
    </w:p>
    <w:p>
      <w:pPr>
        <w:spacing w:after="0" w:line="328" w:lineRule="exact"/>
        <w:rPr>
          <w:sz w:val="20"/>
          <w:szCs w:val="20"/>
          <w:color w:val="auto"/>
        </w:rPr>
      </w:pPr>
    </w:p>
    <w:p>
      <w:pPr>
        <w:ind w:left="240" w:hanging="238"/>
        <w:spacing w:after="0" w:line="259" w:lineRule="auto"/>
        <w:rPr>
          <w:rFonts w:ascii="Arial" w:cs="Arial" w:eastAsia="Arial" w:hAnsi="Arial"/>
          <w:sz w:val="13"/>
          <w:szCs w:val="13"/>
          <w:color w:val="206293"/>
        </w:rPr>
      </w:pPr>
      <w:r>
        <w:rPr>
          <w:rFonts w:ascii="Arial" w:cs="Arial" w:eastAsia="Arial" w:hAnsi="Arial"/>
          <w:sz w:val="13"/>
          <w:szCs w:val="13"/>
          <w:color w:val="206293"/>
        </w:rPr>
        <w:t xml:space="preserve">Lieske, S., van den Nouwelant, R., Han, H. J., &amp; Pettit, C. J. (2019). A novel hedonic price modelling approach for estimating the impact of transportation infrastructure on </w:t>
      </w:r>
      <w:hyperlink r:id="rId59">
        <w:r>
          <w:rPr>
            <w:rFonts w:ascii="Arial" w:cs="Arial" w:eastAsia="Arial" w:hAnsi="Arial"/>
            <w:sz w:val="13"/>
            <w:szCs w:val="13"/>
            <w:color w:val="206293"/>
          </w:rPr>
          <w:t xml:space="preserve">property prices. </w:t>
        </w:r>
        <w:r>
          <w:rPr>
            <w:rFonts w:ascii="Arial" w:cs="Arial" w:eastAsia="Arial" w:hAnsi="Arial"/>
            <w:sz w:val="13"/>
            <w:szCs w:val="13"/>
            <w:i w:val="1"/>
            <w:iCs w:val="1"/>
            <w:color w:val="206293"/>
          </w:rPr>
          <w:t>Urban Studies</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Lissandrello, E., &amp; Grin, J. (2011). Reflexive planning as design and work: Lessons from </w:t>
      </w:r>
      <w:hyperlink r:id="rId60">
        <w:r>
          <w:rPr>
            <w:rFonts w:ascii="Arial" w:cs="Arial" w:eastAsia="Arial" w:hAnsi="Arial"/>
            <w:sz w:val="13"/>
            <w:szCs w:val="13"/>
            <w:color w:val="206293"/>
          </w:rPr>
          <w:t xml:space="preserve">the Port of Amsterdam. </w:t>
        </w:r>
        <w:r>
          <w:rPr>
            <w:rFonts w:ascii="Arial" w:cs="Arial" w:eastAsia="Arial" w:hAnsi="Arial"/>
            <w:sz w:val="13"/>
            <w:szCs w:val="13"/>
            <w:i w:val="1"/>
            <w:iCs w:val="1"/>
            <w:color w:val="206293"/>
          </w:rPr>
          <w:t>Planning Theory &amp; Practice, 12</w:t>
        </w:r>
        <w:r>
          <w:rPr>
            <w:rFonts w:ascii="Arial" w:cs="Arial" w:eastAsia="Arial" w:hAnsi="Arial"/>
            <w:sz w:val="13"/>
            <w:szCs w:val="13"/>
            <w:color w:val="206293"/>
          </w:rPr>
          <w:t>(2), 223–248</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77" w:lineRule="auto"/>
        <w:rPr>
          <w:rFonts w:ascii="Arial" w:cs="Arial" w:eastAsia="Arial" w:hAnsi="Arial"/>
          <w:sz w:val="12"/>
          <w:szCs w:val="12"/>
          <w:color w:val="206293"/>
        </w:rPr>
      </w:pPr>
      <w:r>
        <w:rPr>
          <w:rFonts w:ascii="Arial" w:cs="Arial" w:eastAsia="Arial" w:hAnsi="Arial"/>
          <w:sz w:val="12"/>
          <w:szCs w:val="12"/>
          <w:color w:val="auto"/>
        </w:rPr>
        <w:t xml:space="preserve">Millman, R. (2018, May 1). </w:t>
      </w:r>
      <w:r>
        <w:rPr>
          <w:rFonts w:ascii="Arial" w:cs="Arial" w:eastAsia="Arial" w:hAnsi="Arial"/>
          <w:sz w:val="12"/>
          <w:szCs w:val="12"/>
          <w:i w:val="1"/>
          <w:iCs w:val="1"/>
          <w:color w:val="auto"/>
        </w:rPr>
        <w:t>World’s first smart city research lab opens in Sydney.</w:t>
      </w:r>
      <w:r>
        <w:rPr>
          <w:rFonts w:ascii="Arial" w:cs="Arial" w:eastAsia="Arial" w:hAnsi="Arial"/>
          <w:sz w:val="12"/>
          <w:szCs w:val="12"/>
          <w:color w:val="auto"/>
        </w:rPr>
        <w:t xml:space="preserve"> Internet of Business. Accessed at: </w:t>
      </w:r>
      <w:r>
        <w:rPr>
          <w:rFonts w:ascii="Arial" w:cs="Arial" w:eastAsia="Arial" w:hAnsi="Arial"/>
          <w:sz w:val="12"/>
          <w:szCs w:val="12"/>
          <w:color w:val="206293"/>
        </w:rPr>
        <w:t>https://internetofbusiness.com/research-lab-opens-up-in-</w:t>
      </w:r>
      <w:hyperlink r:id="rId61">
        <w:r>
          <w:rPr>
            <w:rFonts w:ascii="Arial" w:cs="Arial" w:eastAsia="Arial" w:hAnsi="Arial"/>
            <w:sz w:val="12"/>
            <w:szCs w:val="12"/>
            <w:color w:val="206293"/>
          </w:rPr>
          <w:t xml:space="preserve">sydney-to-help-plan-future-smart-cities/ </w:t>
        </w:r>
      </w:hyperlink>
      <w:r>
        <w:rPr>
          <w:rFonts w:ascii="Arial" w:cs="Arial" w:eastAsia="Arial" w:hAnsi="Arial"/>
          <w:sz w:val="12"/>
          <w:szCs w:val="12"/>
          <w:color w:val="000000"/>
        </w:rPr>
        <w:t>Accessed</w:t>
      </w:r>
      <w:r>
        <w:rPr>
          <w:rFonts w:ascii="Arial" w:cs="Arial" w:eastAsia="Arial" w:hAnsi="Arial"/>
          <w:sz w:val="12"/>
          <w:szCs w:val="12"/>
          <w:color w:val="206293"/>
        </w:rPr>
        <w:t xml:space="preserve"> </w:t>
      </w:r>
      <w:r>
        <w:rPr>
          <w:rFonts w:ascii="Arial" w:cs="Arial" w:eastAsia="Arial" w:hAnsi="Arial"/>
          <w:sz w:val="12"/>
          <w:szCs w:val="12"/>
          <w:color w:val="000000"/>
        </w:rPr>
        <w:t>date: 20 February 2019 .</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Mouter, N., &amp; Pelzer, P. (2014). Een wensenlijst voor planondersteuning. </w:t>
      </w:r>
      <w:r>
        <w:rPr>
          <w:rFonts w:ascii="Arial" w:cs="Arial" w:eastAsia="Arial" w:hAnsi="Arial"/>
          <w:sz w:val="13"/>
          <w:szCs w:val="13"/>
          <w:i w:val="1"/>
          <w:iCs w:val="1"/>
          <w:color w:val="206293"/>
        </w:rPr>
        <w:t>Rooilijn, 47</w:t>
      </w:r>
      <w:r>
        <w:rPr>
          <w:rFonts w:ascii="Arial" w:cs="Arial" w:eastAsia="Arial" w:hAnsi="Arial"/>
          <w:sz w:val="13"/>
          <w:szCs w:val="13"/>
          <w:color w:val="206293"/>
        </w:rPr>
        <w:t xml:space="preserve">(1), </w:t>
      </w:r>
      <w:hyperlink r:id="rId62">
        <w:r>
          <w:rPr>
            <w:rFonts w:ascii="Arial" w:cs="Arial" w:eastAsia="Arial" w:hAnsi="Arial"/>
            <w:sz w:val="13"/>
            <w:szCs w:val="13"/>
            <w:color w:val="206293"/>
          </w:rPr>
          <w:t>31–35</w:t>
        </w:r>
      </w:hyperlink>
      <w:r>
        <w:rPr>
          <w:rFonts w:ascii="Arial" w:cs="Arial" w:eastAsia="Arial" w:hAnsi="Arial"/>
          <w:sz w:val="13"/>
          <w:szCs w:val="13"/>
          <w:color w:val="000000"/>
        </w:rPr>
        <w:t>.</w:t>
      </w:r>
    </w:p>
    <w:p>
      <w:pPr>
        <w:spacing w:after="0" w:line="1" w:lineRule="exact"/>
        <w:rPr>
          <w:sz w:val="20"/>
          <w:szCs w:val="20"/>
          <w:color w:val="auto"/>
        </w:rPr>
      </w:pPr>
    </w:p>
    <w:p>
      <w:pPr>
        <w:ind w:left="240" w:right="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Nam, T., &amp; Pardo, T. A. (2011). Conceptualizing smart city with dimensions of tech-nology, people, and institutions. </w:t>
      </w:r>
      <w:r>
        <w:rPr>
          <w:rFonts w:ascii="Arial" w:cs="Arial" w:eastAsia="Arial" w:hAnsi="Arial"/>
          <w:sz w:val="13"/>
          <w:szCs w:val="13"/>
          <w:i w:val="1"/>
          <w:iCs w:val="1"/>
          <w:color w:val="206293"/>
        </w:rPr>
        <w:t>Proceedings of the 12th annual international digital</w:t>
      </w:r>
      <w:r>
        <w:rPr>
          <w:rFonts w:ascii="Arial" w:cs="Arial" w:eastAsia="Arial" w:hAnsi="Arial"/>
          <w:sz w:val="13"/>
          <w:szCs w:val="13"/>
          <w:color w:val="206293"/>
        </w:rPr>
        <w:t xml:space="preserve"> </w:t>
      </w:r>
      <w:r>
        <w:rPr>
          <w:rFonts w:ascii="Arial" w:cs="Arial" w:eastAsia="Arial" w:hAnsi="Arial"/>
          <w:sz w:val="13"/>
          <w:szCs w:val="13"/>
          <w:i w:val="1"/>
          <w:iCs w:val="1"/>
          <w:color w:val="206293"/>
        </w:rPr>
        <w:t xml:space="preserve">government research conference: Digital government innovation in challenging times </w:t>
      </w:r>
      <w:r>
        <w:rPr>
          <w:rFonts w:ascii="Arial" w:cs="Arial" w:eastAsia="Arial" w:hAnsi="Arial"/>
          <w:sz w:val="13"/>
          <w:szCs w:val="13"/>
          <w:color w:val="206293"/>
        </w:rPr>
        <w:t>(pp.</w:t>
      </w:r>
      <w:r>
        <w:rPr>
          <w:rFonts w:ascii="Arial" w:cs="Arial" w:eastAsia="Arial" w:hAnsi="Arial"/>
          <w:sz w:val="13"/>
          <w:szCs w:val="13"/>
          <w:i w:val="1"/>
          <w:iCs w:val="1"/>
          <w:color w:val="206293"/>
        </w:rPr>
        <w:t xml:space="preserve"> </w:t>
      </w:r>
      <w:hyperlink r:id="rId63">
        <w:r>
          <w:rPr>
            <w:rFonts w:ascii="Arial" w:cs="Arial" w:eastAsia="Arial" w:hAnsi="Arial"/>
            <w:sz w:val="13"/>
            <w:szCs w:val="13"/>
            <w:color w:val="206293"/>
          </w:rPr>
          <w:t>282–291). ACM</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Nam, T., &amp; Pardo, T. A. (2014). The changing face of a city government: A case study of </w:t>
      </w:r>
      <w:hyperlink r:id="rId64">
        <w:r>
          <w:rPr>
            <w:rFonts w:ascii="Arial" w:cs="Arial" w:eastAsia="Arial" w:hAnsi="Arial"/>
            <w:sz w:val="13"/>
            <w:szCs w:val="13"/>
            <w:color w:val="206293"/>
          </w:rPr>
          <w:t xml:space="preserve">Philly311. </w:t>
        </w:r>
        <w:r>
          <w:rPr>
            <w:rFonts w:ascii="Arial" w:cs="Arial" w:eastAsia="Arial" w:hAnsi="Arial"/>
            <w:sz w:val="13"/>
            <w:szCs w:val="13"/>
            <w:i w:val="1"/>
            <w:iCs w:val="1"/>
            <w:color w:val="206293"/>
          </w:rPr>
          <w:t>Government Information Quarterly, 31</w:t>
        </w:r>
        <w:r>
          <w:rPr>
            <w:rFonts w:ascii="Arial" w:cs="Arial" w:eastAsia="Arial" w:hAnsi="Arial"/>
            <w:sz w:val="13"/>
            <w:szCs w:val="13"/>
            <w:color w:val="206293"/>
          </w:rPr>
          <w:t>(Supplement), 1–9</w:t>
        </w:r>
      </w:hyperlink>
      <w:r>
        <w:rPr>
          <w:rFonts w:ascii="Arial" w:cs="Arial" w:eastAsia="Arial" w:hAnsi="Arial"/>
          <w:sz w:val="13"/>
          <w:szCs w:val="13"/>
          <w:color w:val="000000"/>
        </w:rPr>
        <w:t>.</w:t>
      </w:r>
    </w:p>
    <w:p>
      <w:pPr>
        <w:spacing w:after="0" w:line="1" w:lineRule="exact"/>
        <w:rPr>
          <w:sz w:val="20"/>
          <w:szCs w:val="20"/>
          <w:color w:val="auto"/>
        </w:rPr>
      </w:pPr>
    </w:p>
    <w:p>
      <w:pPr>
        <w:spacing w:after="0"/>
        <w:rPr>
          <w:rFonts w:ascii="Arial" w:cs="Arial" w:eastAsia="Arial" w:hAnsi="Arial"/>
          <w:sz w:val="13"/>
          <w:szCs w:val="13"/>
          <w:color w:val="206293"/>
        </w:rPr>
      </w:pPr>
      <w:hyperlink r:id="rId65">
        <w:r>
          <w:rPr>
            <w:rFonts w:ascii="Arial" w:cs="Arial" w:eastAsia="Arial" w:hAnsi="Arial"/>
            <w:sz w:val="13"/>
            <w:szCs w:val="13"/>
            <w:color w:val="206293"/>
          </w:rPr>
          <w:t xml:space="preserve">Nielsen, J. (1993). </w:t>
        </w:r>
        <w:r>
          <w:rPr>
            <w:rFonts w:ascii="Arial" w:cs="Arial" w:eastAsia="Arial" w:hAnsi="Arial"/>
            <w:sz w:val="13"/>
            <w:szCs w:val="13"/>
            <w:i w:val="1"/>
            <w:iCs w:val="1"/>
            <w:color w:val="206293"/>
          </w:rPr>
          <w:t>Usability engineering.</w:t>
        </w:r>
        <w:r>
          <w:rPr>
            <w:rFonts w:ascii="Arial" w:cs="Arial" w:eastAsia="Arial" w:hAnsi="Arial"/>
            <w:sz w:val="13"/>
            <w:szCs w:val="13"/>
            <w:color w:val="206293"/>
          </w:rPr>
          <w:t xml:space="preserve"> San Diego, CA: Academic Press</w:t>
        </w:r>
      </w:hyperlink>
      <w:r>
        <w:rPr>
          <w:rFonts w:ascii="Arial" w:cs="Arial" w:eastAsia="Arial" w:hAnsi="Arial"/>
          <w:sz w:val="13"/>
          <w:szCs w:val="13"/>
          <w:color w:val="000000"/>
        </w:rPr>
        <w:t>.</w:t>
      </w:r>
    </w:p>
    <w:p>
      <w:pPr>
        <w:spacing w:after="0" w:line="9" w:lineRule="exact"/>
        <w:rPr>
          <w:sz w:val="20"/>
          <w:szCs w:val="20"/>
          <w:color w:val="auto"/>
        </w:rPr>
      </w:pPr>
    </w:p>
    <w:p>
      <w:pPr>
        <w:ind w:left="240" w:right="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Pelzer, P. (2017). Usefulness of planning support systems: A conceptual framework and an empirical illustration. </w:t>
      </w:r>
      <w:r>
        <w:rPr>
          <w:rFonts w:ascii="Arial" w:cs="Arial" w:eastAsia="Arial" w:hAnsi="Arial"/>
          <w:sz w:val="13"/>
          <w:szCs w:val="13"/>
          <w:i w:val="1"/>
          <w:iCs w:val="1"/>
          <w:color w:val="206293"/>
        </w:rPr>
        <w:t>Transportation Research Part A: Policy and Practice, 104</w:t>
      </w:r>
      <w:r>
        <w:rPr>
          <w:rFonts w:ascii="Arial" w:cs="Arial" w:eastAsia="Arial" w:hAnsi="Arial"/>
          <w:sz w:val="13"/>
          <w:szCs w:val="13"/>
          <w:color w:val="206293"/>
        </w:rPr>
        <w:t xml:space="preserve">, </w:t>
      </w:r>
      <w:hyperlink r:id="rId66">
        <w:r>
          <w:rPr>
            <w:rFonts w:ascii="Arial" w:cs="Arial" w:eastAsia="Arial" w:hAnsi="Arial"/>
            <w:sz w:val="13"/>
            <w:szCs w:val="13"/>
            <w:color w:val="206293"/>
          </w:rPr>
          <w:t>84–95</w:t>
        </w:r>
      </w:hyperlink>
      <w:r>
        <w:rPr>
          <w:rFonts w:ascii="Arial" w:cs="Arial" w:eastAsia="Arial" w:hAnsi="Arial"/>
          <w:sz w:val="13"/>
          <w:szCs w:val="13"/>
          <w:color w:val="000000"/>
        </w:rPr>
        <w:t>.</w:t>
      </w:r>
    </w:p>
    <w:p>
      <w:pPr>
        <w:jc w:val="both"/>
        <w:ind w:left="240" w:right="40" w:hanging="238"/>
        <w:spacing w:after="0" w:line="277" w:lineRule="auto"/>
        <w:rPr>
          <w:rFonts w:ascii="Arial" w:cs="Arial" w:eastAsia="Arial" w:hAnsi="Arial"/>
          <w:sz w:val="12"/>
          <w:szCs w:val="12"/>
          <w:i w:val="1"/>
          <w:iCs w:val="1"/>
          <w:color w:val="206293"/>
        </w:rPr>
      </w:pPr>
      <w:r>
        <w:rPr>
          <w:rFonts w:ascii="Arial" w:cs="Arial" w:eastAsia="Arial" w:hAnsi="Arial"/>
          <w:sz w:val="12"/>
          <w:szCs w:val="12"/>
          <w:color w:val="206293"/>
        </w:rPr>
        <w:t xml:space="preserve">Pelzer, P., Arciniegas, G., Geertman, S., &amp; de Kroes, J. (2013). Using maptable to learn about sustainable urban development. In S. C. M. Geertman, (Ed.). </w:t>
      </w:r>
      <w:r>
        <w:rPr>
          <w:rFonts w:ascii="Arial" w:cs="Arial" w:eastAsia="Arial" w:hAnsi="Arial"/>
          <w:sz w:val="12"/>
          <w:szCs w:val="12"/>
          <w:i w:val="1"/>
          <w:iCs w:val="1"/>
          <w:color w:val="206293"/>
        </w:rPr>
        <w:t>Planning support</w:t>
      </w:r>
      <w:r>
        <w:rPr>
          <w:rFonts w:ascii="Arial" w:cs="Arial" w:eastAsia="Arial" w:hAnsi="Arial"/>
          <w:sz w:val="12"/>
          <w:szCs w:val="12"/>
          <w:color w:val="206293"/>
        </w:rPr>
        <w:t xml:space="preserve"> </w:t>
      </w:r>
      <w:hyperlink r:id="rId67">
        <w:r>
          <w:rPr>
            <w:rFonts w:ascii="Arial" w:cs="Arial" w:eastAsia="Arial" w:hAnsi="Arial"/>
            <w:sz w:val="12"/>
            <w:szCs w:val="12"/>
            <w:i w:val="1"/>
            <w:iCs w:val="1"/>
            <w:color w:val="206293"/>
          </w:rPr>
          <w:t xml:space="preserve">systems for sustainable urban development </w:t>
        </w:r>
        <w:r>
          <w:rPr>
            <w:rFonts w:ascii="Arial" w:cs="Arial" w:eastAsia="Arial" w:hAnsi="Arial"/>
            <w:sz w:val="12"/>
            <w:szCs w:val="12"/>
            <w:color w:val="206293"/>
          </w:rPr>
          <w:t>(pp. 167–186). Berlin: Springer</w:t>
        </w:r>
      </w:hyperlink>
      <w:r>
        <w:rPr>
          <w:rFonts w:ascii="Arial" w:cs="Arial" w:eastAsia="Arial" w:hAnsi="Arial"/>
          <w:sz w:val="12"/>
          <w:szCs w:val="12"/>
          <w:color w:val="000000"/>
        </w:rPr>
        <w:t>.</w:t>
      </w:r>
    </w:p>
    <w:p>
      <w:pPr>
        <w:spacing w:after="0" w:line="1" w:lineRule="exact"/>
        <w:rPr>
          <w:sz w:val="20"/>
          <w:szCs w:val="20"/>
          <w:color w:val="auto"/>
        </w:rPr>
      </w:pPr>
    </w:p>
    <w:p>
      <w:pPr>
        <w:jc w:val="both"/>
        <w:ind w:left="2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Pelzer, P., Arciniegas, G., Geertman, S., &amp; Lenferink, S. (2015). Planning support systems and task-technology fit: A comparative study. </w:t>
      </w:r>
      <w:r>
        <w:rPr>
          <w:rFonts w:ascii="Arial" w:cs="Arial" w:eastAsia="Arial" w:hAnsi="Arial"/>
          <w:sz w:val="13"/>
          <w:szCs w:val="13"/>
          <w:i w:val="1"/>
          <w:iCs w:val="1"/>
          <w:color w:val="206293"/>
        </w:rPr>
        <w:t>Applied Spatial Analysis and Policy, 8</w:t>
      </w:r>
      <w:r>
        <w:rPr>
          <w:rFonts w:ascii="Arial" w:cs="Arial" w:eastAsia="Arial" w:hAnsi="Arial"/>
          <w:sz w:val="13"/>
          <w:szCs w:val="13"/>
          <w:color w:val="206293"/>
        </w:rPr>
        <w:t xml:space="preserve">(2), </w:t>
      </w:r>
      <w:hyperlink r:id="rId68">
        <w:r>
          <w:rPr>
            <w:rFonts w:ascii="Arial" w:cs="Arial" w:eastAsia="Arial" w:hAnsi="Arial"/>
            <w:sz w:val="13"/>
            <w:szCs w:val="13"/>
            <w:color w:val="206293"/>
          </w:rPr>
          <w:t>155–175</w:t>
        </w:r>
      </w:hyperlink>
      <w:r>
        <w:rPr>
          <w:rFonts w:ascii="Arial" w:cs="Arial" w:eastAsia="Arial" w:hAnsi="Arial"/>
          <w:sz w:val="13"/>
          <w:szCs w:val="13"/>
          <w:color w:val="000000"/>
        </w:rPr>
        <w:t>.</w:t>
      </w:r>
    </w:p>
    <w:p>
      <w:pPr>
        <w:jc w:val="both"/>
        <w:ind w:left="24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Pelzer, P., Geertman, S., van der Heijden, R., &amp; Rouwette, E. (2014). The added value of planning support systems: A practitioner’s perspective. </w:t>
      </w:r>
      <w:r>
        <w:rPr>
          <w:rFonts w:ascii="Arial" w:cs="Arial" w:eastAsia="Arial" w:hAnsi="Arial"/>
          <w:sz w:val="13"/>
          <w:szCs w:val="13"/>
          <w:i w:val="1"/>
          <w:iCs w:val="1"/>
          <w:color w:val="206293"/>
        </w:rPr>
        <w:t>Computers, Environment and</w:t>
      </w:r>
      <w:r>
        <w:rPr>
          <w:rFonts w:ascii="Arial" w:cs="Arial" w:eastAsia="Arial" w:hAnsi="Arial"/>
          <w:sz w:val="13"/>
          <w:szCs w:val="13"/>
          <w:color w:val="206293"/>
        </w:rPr>
        <w:t xml:space="preserve"> </w:t>
      </w:r>
      <w:hyperlink r:id="rId69">
        <w:r>
          <w:rPr>
            <w:rFonts w:ascii="Arial" w:cs="Arial" w:eastAsia="Arial" w:hAnsi="Arial"/>
            <w:sz w:val="13"/>
            <w:szCs w:val="13"/>
            <w:i w:val="1"/>
            <w:iCs w:val="1"/>
            <w:color w:val="206293"/>
          </w:rPr>
          <w:t>Urban Systems, 48</w:t>
        </w:r>
        <w:r>
          <w:rPr>
            <w:rFonts w:ascii="Arial" w:cs="Arial" w:eastAsia="Arial" w:hAnsi="Arial"/>
            <w:sz w:val="13"/>
            <w:szCs w:val="13"/>
            <w:color w:val="206293"/>
          </w:rPr>
          <w:t>, 16–27</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Pettit, C., Bakelmun, A., Lieske, S. N., Glackin, S., Thomson, G., Shearer, H., ... Newman, P. (2018). Planning support systems for smart cities. </w:t>
      </w:r>
      <w:r>
        <w:rPr>
          <w:rFonts w:ascii="Arial" w:cs="Arial" w:eastAsia="Arial" w:hAnsi="Arial"/>
          <w:sz w:val="13"/>
          <w:szCs w:val="13"/>
          <w:i w:val="1"/>
          <w:iCs w:val="1"/>
          <w:color w:val="206293"/>
        </w:rPr>
        <w:t>City, Culture and Society, 12</w:t>
      </w:r>
      <w:r>
        <w:rPr>
          <w:rFonts w:ascii="Arial" w:cs="Arial" w:eastAsia="Arial" w:hAnsi="Arial"/>
          <w:sz w:val="13"/>
          <w:szCs w:val="13"/>
          <w:color w:val="206293"/>
        </w:rPr>
        <w:t xml:space="preserve">, </w:t>
      </w:r>
      <w:hyperlink r:id="rId70">
        <w:r>
          <w:rPr>
            <w:rFonts w:ascii="Arial" w:cs="Arial" w:eastAsia="Arial" w:hAnsi="Arial"/>
            <w:sz w:val="13"/>
            <w:szCs w:val="13"/>
            <w:color w:val="206293"/>
          </w:rPr>
          <w:t>13–24</w:t>
        </w:r>
      </w:hyperlink>
      <w:r>
        <w:rPr>
          <w:rFonts w:ascii="Arial" w:cs="Arial" w:eastAsia="Arial" w:hAnsi="Arial"/>
          <w:sz w:val="13"/>
          <w:szCs w:val="13"/>
          <w:color w:val="000000"/>
        </w:rPr>
        <w:t>.</w:t>
      </w:r>
    </w:p>
    <w:p>
      <w:pPr>
        <w:jc w:val="center"/>
        <w:spacing w:after="0"/>
        <w:rPr>
          <w:rFonts w:ascii="Arial" w:cs="Arial" w:eastAsia="Arial" w:hAnsi="Arial"/>
          <w:sz w:val="12"/>
          <w:szCs w:val="12"/>
          <w:color w:val="206293"/>
        </w:rPr>
      </w:pPr>
      <w:hyperlink r:id="rId71">
        <w:r>
          <w:rPr>
            <w:rFonts w:ascii="Arial" w:cs="Arial" w:eastAsia="Arial" w:hAnsi="Arial"/>
            <w:sz w:val="12"/>
            <w:szCs w:val="12"/>
            <w:color w:val="206293"/>
          </w:rPr>
          <w:t>Pettit, C., Hawken, S., Ticzon, C., &amp; Nakanishi, H. (2019). Geodesign – A tale of 3 cities. In</w:t>
        </w:r>
      </w:hyperlink>
    </w:p>
    <w:p>
      <w:pPr>
        <w:spacing w:after="0" w:line="22" w:lineRule="exact"/>
        <w:rPr>
          <w:sz w:val="20"/>
          <w:szCs w:val="20"/>
          <w:color w:val="auto"/>
        </w:rPr>
      </w:pPr>
    </w:p>
    <w:p>
      <w:pPr>
        <w:ind w:left="240"/>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S. C. M. Geertman, Q. Zhan, A. Allan, &amp; C. P. Pettit (Eds.). </w:t>
      </w:r>
      <w:r>
        <w:rPr>
          <w:rFonts w:ascii="Arial" w:cs="Arial" w:eastAsia="Arial" w:hAnsi="Arial"/>
          <w:sz w:val="13"/>
          <w:szCs w:val="13"/>
          <w:i w:val="1"/>
          <w:iCs w:val="1"/>
          <w:color w:val="206293"/>
        </w:rPr>
        <w:t>Computational urban</w:t>
      </w:r>
      <w:r>
        <w:rPr>
          <w:rFonts w:ascii="Arial" w:cs="Arial" w:eastAsia="Arial" w:hAnsi="Arial"/>
          <w:sz w:val="13"/>
          <w:szCs w:val="13"/>
          <w:color w:val="206293"/>
        </w:rPr>
        <w:t xml:space="preserve"> </w:t>
      </w:r>
      <w:r>
        <w:rPr>
          <w:rFonts w:ascii="Arial" w:cs="Arial" w:eastAsia="Arial" w:hAnsi="Arial"/>
          <w:sz w:val="13"/>
          <w:szCs w:val="13"/>
          <w:i w:val="1"/>
          <w:iCs w:val="1"/>
          <w:color w:val="206293"/>
        </w:rPr>
        <w:t xml:space="preserve">planning and management for smart cities </w:t>
      </w:r>
      <w:r>
        <w:rPr>
          <w:rFonts w:ascii="Arial" w:cs="Arial" w:eastAsia="Arial" w:hAnsi="Arial"/>
          <w:sz w:val="13"/>
          <w:szCs w:val="13"/>
          <w:color w:val="206293"/>
        </w:rPr>
        <w:t>(pp. 139–161). Cham, Switzerland: Springer</w:t>
      </w:r>
      <w:r>
        <w:rPr>
          <w:rFonts w:ascii="Arial" w:cs="Arial" w:eastAsia="Arial" w:hAnsi="Arial"/>
          <w:sz w:val="13"/>
          <w:szCs w:val="13"/>
          <w:i w:val="1"/>
          <w:iCs w:val="1"/>
          <w:color w:val="206293"/>
        </w:rPr>
        <w:t xml:space="preserve"> </w:t>
      </w:r>
      <w:hyperlink r:id="rId71">
        <w:r>
          <w:rPr>
            <w:rFonts w:ascii="Arial" w:cs="Arial" w:eastAsia="Arial" w:hAnsi="Arial"/>
            <w:sz w:val="13"/>
            <w:szCs w:val="13"/>
            <w:color w:val="206293"/>
          </w:rPr>
          <w:t>International Publishing</w:t>
        </w:r>
      </w:hyperlink>
      <w:r>
        <w:rPr>
          <w:rFonts w:ascii="Arial" w:cs="Arial" w:eastAsia="Arial" w:hAnsi="Arial"/>
          <w:sz w:val="13"/>
          <w:szCs w:val="13"/>
          <w:color w:val="000000"/>
        </w:rPr>
        <w:t>.</w:t>
      </w:r>
    </w:p>
    <w:p>
      <w:pPr>
        <w:jc w:val="center"/>
        <w:spacing w:after="0" w:line="277" w:lineRule="auto"/>
        <w:rPr>
          <w:rFonts w:ascii="Arial" w:cs="Arial" w:eastAsia="Arial" w:hAnsi="Arial"/>
          <w:sz w:val="12"/>
          <w:szCs w:val="12"/>
          <w:color w:val="206293"/>
        </w:rPr>
      </w:pPr>
      <w:r>
        <w:rPr>
          <w:rFonts w:ascii="Arial" w:cs="Arial" w:eastAsia="Arial" w:hAnsi="Arial"/>
          <w:sz w:val="12"/>
          <w:szCs w:val="12"/>
          <w:color w:val="206293"/>
        </w:rPr>
        <w:t xml:space="preserve">Pettit, C., Hawken, S., Ticzon, C., Steinitz, C., Ballal, H., Cranfield, T., ... Lieske, S. (2019). Breaking down the silos through geodesign – Envisioning sydney’s urban future. </w:t>
      </w:r>
      <w:r>
        <w:rPr>
          <w:rFonts w:ascii="Arial" w:cs="Arial" w:eastAsia="Arial" w:hAnsi="Arial"/>
          <w:sz w:val="12"/>
          <w:szCs w:val="12"/>
          <w:i w:val="1"/>
          <w:iCs w:val="1"/>
          <w:color w:val="206293"/>
        </w:rPr>
        <w:t>Environment and Planning B: Urban analytics and City Science. 46</w:t>
      </w:r>
      <w:r>
        <w:rPr>
          <w:rFonts w:ascii="Arial" w:cs="Arial" w:eastAsia="Arial" w:hAnsi="Arial"/>
          <w:sz w:val="12"/>
          <w:szCs w:val="12"/>
          <w:color w:val="206293"/>
        </w:rPr>
        <w:t>(8), 1387–1404</w:t>
      </w:r>
      <w:r>
        <w:rPr>
          <w:rFonts w:ascii="Arial" w:cs="Arial" w:eastAsia="Arial" w:hAnsi="Arial"/>
          <w:sz w:val="12"/>
          <w:szCs w:val="12"/>
          <w:color w:val="000000"/>
        </w:rPr>
        <w:t>.</w:t>
      </w:r>
      <w:r>
        <w:rPr>
          <w:rFonts w:ascii="Arial" w:cs="Arial" w:eastAsia="Arial" w:hAnsi="Arial"/>
          <w:sz w:val="12"/>
          <w:szCs w:val="12"/>
          <w:i w:val="1"/>
          <w:iCs w:val="1"/>
          <w:color w:val="206293"/>
        </w:rPr>
        <w:t xml:space="preserve"> </w:t>
      </w:r>
      <w:hyperlink r:id="rId72">
        <w:r>
          <w:rPr>
            <w:rFonts w:ascii="Arial" w:cs="Arial" w:eastAsia="Arial" w:hAnsi="Arial"/>
            <w:sz w:val="12"/>
            <w:szCs w:val="12"/>
            <w:color w:val="206293"/>
          </w:rPr>
          <w:t>Pettit, C., Lieske, S. N., &amp; Jamal, M. (2017). CityDash: Visualising a changing city using</w:t>
        </w:r>
      </w:hyperlink>
    </w:p>
    <w:p>
      <w:pPr>
        <w:ind w:left="240" w:right="20"/>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open data. </w:t>
      </w:r>
      <w:r>
        <w:rPr>
          <w:rFonts w:ascii="Arial" w:cs="Arial" w:eastAsia="Arial" w:hAnsi="Arial"/>
          <w:sz w:val="13"/>
          <w:szCs w:val="13"/>
          <w:i w:val="1"/>
          <w:iCs w:val="1"/>
          <w:color w:val="206293"/>
        </w:rPr>
        <w:t>Planning support science for smarter urban futures</w:t>
      </w:r>
      <w:r>
        <w:rPr>
          <w:rFonts w:ascii="Arial" w:cs="Arial" w:eastAsia="Arial" w:hAnsi="Arial"/>
          <w:sz w:val="13"/>
          <w:szCs w:val="13"/>
          <w:color w:val="206293"/>
        </w:rPr>
        <w:t xml:space="preserve"> (pp. 337–353). Springer </w:t>
      </w:r>
      <w:hyperlink r:id="rId72">
        <w:r>
          <w:rPr>
            <w:rFonts w:ascii="Arial" w:cs="Arial" w:eastAsia="Arial" w:hAnsi="Arial"/>
            <w:sz w:val="13"/>
            <w:szCs w:val="13"/>
            <w:color w:val="206293"/>
          </w:rPr>
          <w:t>International Publishing</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Pettit, C., Tice, A., &amp; Randolph, B. (2017). Using an online spatial analytics workbench for understanding housing affordability in Sydney. </w:t>
      </w:r>
      <w:r>
        <w:rPr>
          <w:rFonts w:ascii="Arial" w:cs="Arial" w:eastAsia="Arial" w:hAnsi="Arial"/>
          <w:sz w:val="13"/>
          <w:szCs w:val="13"/>
          <w:i w:val="1"/>
          <w:iCs w:val="1"/>
          <w:color w:val="206293"/>
        </w:rPr>
        <w:t>Seeing cities through big data</w:t>
      </w:r>
      <w:r>
        <w:rPr>
          <w:rFonts w:ascii="Arial" w:cs="Arial" w:eastAsia="Arial" w:hAnsi="Arial"/>
          <w:sz w:val="13"/>
          <w:szCs w:val="13"/>
          <w:color w:val="206293"/>
        </w:rPr>
        <w:t xml:space="preserve"> (pp. 233– </w:t>
      </w:r>
      <w:hyperlink r:id="rId73">
        <w:r>
          <w:rPr>
            <w:rFonts w:ascii="Arial" w:cs="Arial" w:eastAsia="Arial" w:hAnsi="Arial"/>
            <w:sz w:val="13"/>
            <w:szCs w:val="13"/>
            <w:color w:val="206293"/>
          </w:rPr>
          <w:t>255). Cham: Springer</w:t>
        </w:r>
      </w:hyperlink>
      <w:r>
        <w:rPr>
          <w:rFonts w:ascii="Arial" w:cs="Arial" w:eastAsia="Arial" w:hAnsi="Arial"/>
          <w:sz w:val="13"/>
          <w:szCs w:val="13"/>
          <w:color w:val="000000"/>
        </w:rPr>
        <w:t>.</w:t>
      </w:r>
    </w:p>
    <w:p>
      <w:pPr>
        <w:jc w:val="both"/>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Pettit, C. J., &amp; Leao, S. Z. (2017). </w:t>
      </w:r>
      <w:r>
        <w:rPr>
          <w:rFonts w:ascii="Arial" w:cs="Arial" w:eastAsia="Arial" w:hAnsi="Arial"/>
          <w:sz w:val="13"/>
          <w:szCs w:val="13"/>
          <w:i w:val="1"/>
          <w:iCs w:val="1"/>
          <w:color w:val="206293"/>
        </w:rPr>
        <w:t>Dashboard.</w:t>
      </w:r>
      <w:r>
        <w:rPr>
          <w:rFonts w:ascii="Arial" w:cs="Arial" w:eastAsia="Arial" w:hAnsi="Arial"/>
          <w:sz w:val="13"/>
          <w:szCs w:val="13"/>
          <w:color w:val="206293"/>
        </w:rPr>
        <w:t xml:space="preserve"> Encyclopedia of Big Data. L. A. Schintler and </w:t>
      </w:r>
      <w:hyperlink r:id="rId74">
        <w:r>
          <w:rPr>
            <w:rFonts w:ascii="Arial" w:cs="Arial" w:eastAsia="Arial" w:hAnsi="Arial"/>
            <w:sz w:val="13"/>
            <w:szCs w:val="13"/>
            <w:color w:val="206293"/>
          </w:rPr>
          <w:t>C. L. McNeelyCham: Springer International Publishing1–6</w:t>
        </w:r>
      </w:hyperlink>
      <w:r>
        <w:rPr>
          <w:rFonts w:ascii="Arial" w:cs="Arial" w:eastAsia="Arial" w:hAnsi="Arial"/>
          <w:sz w:val="13"/>
          <w:szCs w:val="13"/>
          <w:color w:val="000000"/>
        </w:rPr>
        <w:t>.</w:t>
      </w:r>
    </w:p>
    <w:p>
      <w:pPr>
        <w:spacing w:after="0" w:line="1" w:lineRule="exact"/>
        <w:rPr>
          <w:sz w:val="20"/>
          <w:szCs w:val="20"/>
          <w:color w:val="auto"/>
        </w:rPr>
      </w:pPr>
    </w:p>
    <w:p>
      <w:pPr>
        <w:ind w:left="24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Russo, P., Lanzilotti, R., Costabile, M. F., &amp; Pettit, C. (2017). Adoption and use of software in land-use planning practice: A multiple-country study. </w:t>
      </w:r>
      <w:r>
        <w:rPr>
          <w:rFonts w:ascii="Arial" w:cs="Arial" w:eastAsia="Arial" w:hAnsi="Arial"/>
          <w:sz w:val="13"/>
          <w:szCs w:val="13"/>
          <w:i w:val="1"/>
          <w:iCs w:val="1"/>
          <w:color w:val="206293"/>
        </w:rPr>
        <w:t>International Journal of</w:t>
      </w:r>
      <w:r>
        <w:rPr>
          <w:rFonts w:ascii="Arial" w:cs="Arial" w:eastAsia="Arial" w:hAnsi="Arial"/>
          <w:sz w:val="13"/>
          <w:szCs w:val="13"/>
          <w:color w:val="206293"/>
        </w:rPr>
        <w:t xml:space="preserve"> </w:t>
      </w:r>
      <w:hyperlink r:id="rId75">
        <w:r>
          <w:rPr>
            <w:rFonts w:ascii="Arial" w:cs="Arial" w:eastAsia="Arial" w:hAnsi="Arial"/>
            <w:sz w:val="13"/>
            <w:szCs w:val="13"/>
            <w:i w:val="1"/>
            <w:iCs w:val="1"/>
            <w:color w:val="206293"/>
          </w:rPr>
          <w:t xml:space="preserve">Human Computer Interaction, </w:t>
        </w:r>
        <w:r>
          <w:rPr>
            <w:rFonts w:ascii="Arial" w:cs="Arial" w:eastAsia="Arial" w:hAnsi="Arial"/>
            <w:sz w:val="13"/>
            <w:szCs w:val="13"/>
            <w:color w:val="206293"/>
          </w:rPr>
          <w:t>1–16</w:t>
        </w:r>
      </w:hyperlink>
      <w:r>
        <w:rPr>
          <w:rFonts w:ascii="Arial" w:cs="Arial" w:eastAsia="Arial" w:hAnsi="Arial"/>
          <w:sz w:val="13"/>
          <w:szCs w:val="13"/>
          <w:color w:val="000000"/>
        </w:rPr>
        <w:t>.</w:t>
      </w:r>
    </w:p>
    <w:p>
      <w:pPr>
        <w:ind w:left="240" w:right="4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Russo, P., Lanzilotti, R., Costabile, M. F., &amp; Pettit, C. J. (2018). Towards satisfying practitioners in using Planning Support Systems. </w:t>
      </w:r>
      <w:r>
        <w:rPr>
          <w:rFonts w:ascii="Arial" w:cs="Arial" w:eastAsia="Arial" w:hAnsi="Arial"/>
          <w:sz w:val="13"/>
          <w:szCs w:val="13"/>
          <w:i w:val="1"/>
          <w:iCs w:val="1"/>
          <w:color w:val="206293"/>
        </w:rPr>
        <w:t>Computers, Environment and Urban</w:t>
      </w:r>
      <w:r>
        <w:rPr>
          <w:rFonts w:ascii="Arial" w:cs="Arial" w:eastAsia="Arial" w:hAnsi="Arial"/>
          <w:sz w:val="13"/>
          <w:szCs w:val="13"/>
          <w:color w:val="206293"/>
        </w:rPr>
        <w:t xml:space="preserve"> </w:t>
      </w:r>
      <w:hyperlink r:id="rId76">
        <w:r>
          <w:rPr>
            <w:rFonts w:ascii="Arial" w:cs="Arial" w:eastAsia="Arial" w:hAnsi="Arial"/>
            <w:sz w:val="13"/>
            <w:szCs w:val="13"/>
            <w:i w:val="1"/>
            <w:iCs w:val="1"/>
            <w:color w:val="206293"/>
          </w:rPr>
          <w:t>Systems, 67</w:t>
        </w:r>
        <w:r>
          <w:rPr>
            <w:rFonts w:ascii="Arial" w:cs="Arial" w:eastAsia="Arial" w:hAnsi="Arial"/>
            <w:sz w:val="13"/>
            <w:szCs w:val="13"/>
            <w:color w:val="206293"/>
          </w:rPr>
          <w:t>, 9–20</w:t>
        </w:r>
      </w:hyperlink>
      <w:r>
        <w:rPr>
          <w:rFonts w:ascii="Arial" w:cs="Arial" w:eastAsia="Arial" w:hAnsi="Arial"/>
          <w:sz w:val="13"/>
          <w:szCs w:val="13"/>
          <w:color w:val="000000"/>
        </w:rPr>
        <w:t>.</w:t>
      </w:r>
    </w:p>
    <w:p>
      <w:pPr>
        <w:jc w:val="both"/>
        <w:ind w:left="24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Silva, C., Bertolini, L., te Brömmelstroet, M., Milakis, D., &amp; Papa, E. (2017). Accessibility instruments in planning practice: Bridging the implementation gap. </w:t>
      </w:r>
      <w:r>
        <w:rPr>
          <w:rFonts w:ascii="Arial" w:cs="Arial" w:eastAsia="Arial" w:hAnsi="Arial"/>
          <w:sz w:val="13"/>
          <w:szCs w:val="13"/>
          <w:i w:val="1"/>
          <w:iCs w:val="1"/>
          <w:color w:val="206293"/>
        </w:rPr>
        <w:t>Transport Policy,</w:t>
      </w:r>
      <w:r>
        <w:rPr>
          <w:rFonts w:ascii="Arial" w:cs="Arial" w:eastAsia="Arial" w:hAnsi="Arial"/>
          <w:sz w:val="13"/>
          <w:szCs w:val="13"/>
          <w:color w:val="206293"/>
        </w:rPr>
        <w:t xml:space="preserve"> </w:t>
      </w:r>
      <w:hyperlink r:id="rId77">
        <w:r>
          <w:rPr>
            <w:rFonts w:ascii="Arial" w:cs="Arial" w:eastAsia="Arial" w:hAnsi="Arial"/>
            <w:sz w:val="13"/>
            <w:szCs w:val="13"/>
            <w:i w:val="1"/>
            <w:iCs w:val="1"/>
            <w:color w:val="206293"/>
          </w:rPr>
          <w:t>53</w:t>
        </w:r>
        <w:r>
          <w:rPr>
            <w:rFonts w:ascii="Arial" w:cs="Arial" w:eastAsia="Arial" w:hAnsi="Arial"/>
            <w:sz w:val="13"/>
            <w:szCs w:val="13"/>
            <w:color w:val="206293"/>
          </w:rPr>
          <w:t>, 135–145</w:t>
        </w:r>
      </w:hyperlink>
      <w:r>
        <w:rPr>
          <w:rFonts w:ascii="Arial" w:cs="Arial" w:eastAsia="Arial" w:hAnsi="Arial"/>
          <w:sz w:val="13"/>
          <w:szCs w:val="13"/>
          <w:color w:val="000000"/>
        </w:rPr>
        <w:t>.</w:t>
      </w:r>
    </w:p>
    <w:p>
      <w:pPr>
        <w:spacing w:after="0" w:line="1" w:lineRule="exact"/>
        <w:rPr>
          <w:sz w:val="20"/>
          <w:szCs w:val="20"/>
          <w:color w:val="auto"/>
        </w:rPr>
      </w:pPr>
    </w:p>
    <w:p>
      <w:pPr>
        <w:ind w:left="240" w:right="360" w:hanging="238"/>
        <w:spacing w:after="0" w:line="256" w:lineRule="auto"/>
        <w:rPr>
          <w:rFonts w:ascii="Arial" w:cs="Arial" w:eastAsia="Arial" w:hAnsi="Arial"/>
          <w:sz w:val="13"/>
          <w:szCs w:val="13"/>
          <w:i w:val="1"/>
          <w:iCs w:val="1"/>
          <w:color w:val="206293"/>
        </w:rPr>
      </w:pPr>
      <w:r>
        <w:rPr>
          <w:rFonts w:ascii="Arial" w:cs="Arial" w:eastAsia="Arial" w:hAnsi="Arial"/>
          <w:sz w:val="13"/>
          <w:szCs w:val="13"/>
          <w:color w:val="206293"/>
        </w:rPr>
        <w:t xml:space="preserve">Staffans, A., Kahila-Tani, M., Geertman, S., Sillanpää, P., &amp; Horelli, L. (2020). Communication-oriented and process-sensitive planning support. </w:t>
      </w:r>
      <w:r>
        <w:rPr>
          <w:rFonts w:ascii="Arial" w:cs="Arial" w:eastAsia="Arial" w:hAnsi="Arial"/>
          <w:sz w:val="13"/>
          <w:szCs w:val="13"/>
          <w:i w:val="1"/>
          <w:iCs w:val="1"/>
          <w:color w:val="206293"/>
        </w:rPr>
        <w:t>International</w:t>
      </w:r>
      <w:r>
        <w:rPr>
          <w:rFonts w:ascii="Arial" w:cs="Arial" w:eastAsia="Arial" w:hAnsi="Arial"/>
          <w:sz w:val="13"/>
          <w:szCs w:val="13"/>
          <w:color w:val="206293"/>
        </w:rPr>
        <w:t xml:space="preserve"> </w:t>
      </w:r>
      <w:hyperlink r:id="rId78">
        <w:r>
          <w:rPr>
            <w:rFonts w:ascii="Arial" w:cs="Arial" w:eastAsia="Arial" w:hAnsi="Arial"/>
            <w:sz w:val="13"/>
            <w:szCs w:val="13"/>
            <w:i w:val="1"/>
            <w:iCs w:val="1"/>
            <w:color w:val="206293"/>
          </w:rPr>
          <w:t>Journal of E-Planning Research (IJEPR), 9</w:t>
        </w:r>
        <w:r>
          <w:rPr>
            <w:rFonts w:ascii="Arial" w:cs="Arial" w:eastAsia="Arial" w:hAnsi="Arial"/>
            <w:sz w:val="13"/>
            <w:szCs w:val="13"/>
            <w:color w:val="206293"/>
          </w:rPr>
          <w:t>(2), 1–20</w:t>
        </w:r>
      </w:hyperlink>
      <w:r>
        <w:rPr>
          <w:rFonts w:ascii="Arial" w:cs="Arial" w:eastAsia="Arial" w:hAnsi="Arial"/>
          <w:sz w:val="13"/>
          <w:szCs w:val="13"/>
          <w:color w:val="000000"/>
        </w:rPr>
        <w:t>.</w:t>
      </w:r>
    </w:p>
    <w:p>
      <w:pPr>
        <w:spacing w:after="0"/>
        <w:rPr>
          <w:rFonts w:ascii="Arial" w:cs="Arial" w:eastAsia="Arial" w:hAnsi="Arial"/>
          <w:sz w:val="13"/>
          <w:szCs w:val="13"/>
          <w:color w:val="206293"/>
        </w:rPr>
      </w:pPr>
      <w:hyperlink r:id="rId79">
        <w:r>
          <w:rPr>
            <w:rFonts w:ascii="Arial" w:cs="Arial" w:eastAsia="Arial" w:hAnsi="Arial"/>
            <w:sz w:val="13"/>
            <w:szCs w:val="13"/>
            <w:color w:val="206293"/>
          </w:rPr>
          <w:t xml:space="preserve">Steinitz, C. (2012). </w:t>
        </w:r>
        <w:r>
          <w:rPr>
            <w:rFonts w:ascii="Arial" w:cs="Arial" w:eastAsia="Arial" w:hAnsi="Arial"/>
            <w:sz w:val="13"/>
            <w:szCs w:val="13"/>
            <w:i w:val="1"/>
            <w:iCs w:val="1"/>
            <w:color w:val="206293"/>
          </w:rPr>
          <w:t>A framework for geodesign: Changing geography by design</w:t>
        </w:r>
      </w:hyperlink>
      <w:r>
        <w:rPr>
          <w:rFonts w:ascii="Arial" w:cs="Arial" w:eastAsia="Arial" w:hAnsi="Arial"/>
          <w:sz w:val="13"/>
          <w:szCs w:val="13"/>
          <w:color w:val="000000"/>
        </w:rPr>
        <w:t>.</w:t>
      </w:r>
    </w:p>
    <w:p>
      <w:pPr>
        <w:spacing w:after="0" w:line="10" w:lineRule="exact"/>
        <w:rPr>
          <w:sz w:val="20"/>
          <w:szCs w:val="20"/>
          <w:color w:val="auto"/>
        </w:rPr>
      </w:pPr>
    </w:p>
    <w:p>
      <w:pPr>
        <w:ind w:left="2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 xml:space="preserve">Stratigea, A., Papadopoulou, C. A., &amp; Panagiotopoulou, M. (2015). Tools and technologies for planning the development of smart cities. </w:t>
      </w:r>
      <w:r>
        <w:rPr>
          <w:rFonts w:ascii="Arial" w:cs="Arial" w:eastAsia="Arial" w:hAnsi="Arial"/>
          <w:sz w:val="13"/>
          <w:szCs w:val="13"/>
          <w:i w:val="1"/>
          <w:iCs w:val="1"/>
          <w:color w:val="206293"/>
        </w:rPr>
        <w:t>Journal of Urban Technology, 22</w:t>
      </w:r>
      <w:r>
        <w:rPr>
          <w:rFonts w:ascii="Arial" w:cs="Arial" w:eastAsia="Arial" w:hAnsi="Arial"/>
          <w:sz w:val="13"/>
          <w:szCs w:val="13"/>
          <w:color w:val="206293"/>
        </w:rPr>
        <w:t xml:space="preserve">(2), </w:t>
      </w:r>
      <w:hyperlink r:id="rId80">
        <w:r>
          <w:rPr>
            <w:rFonts w:ascii="Arial" w:cs="Arial" w:eastAsia="Arial" w:hAnsi="Arial"/>
            <w:sz w:val="13"/>
            <w:szCs w:val="13"/>
            <w:color w:val="206293"/>
          </w:rPr>
          <w:t>43–62</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right="40" w:hanging="238"/>
        <w:spacing w:after="0" w:line="256" w:lineRule="auto"/>
        <w:rPr>
          <w:rFonts w:ascii="Arial" w:cs="Arial" w:eastAsia="Arial" w:hAnsi="Arial"/>
          <w:sz w:val="13"/>
          <w:szCs w:val="13"/>
          <w:color w:val="206293"/>
        </w:rPr>
      </w:pPr>
      <w:r>
        <w:rPr>
          <w:rFonts w:ascii="Arial" w:cs="Arial" w:eastAsia="Arial" w:hAnsi="Arial"/>
          <w:sz w:val="13"/>
          <w:szCs w:val="13"/>
          <w:color w:val="206293"/>
        </w:rPr>
        <w:t xml:space="preserve">Vonk, G., Geertman, S., &amp; Schot, P. (2005). Bottlenecks blocking the widespread use of </w:t>
      </w:r>
      <w:hyperlink r:id="rId81">
        <w:r>
          <w:rPr>
            <w:rFonts w:ascii="Arial" w:cs="Arial" w:eastAsia="Arial" w:hAnsi="Arial"/>
            <w:sz w:val="13"/>
            <w:szCs w:val="13"/>
            <w:color w:val="206293"/>
          </w:rPr>
          <w:t xml:space="preserve">planning support systems. </w:t>
        </w:r>
        <w:r>
          <w:rPr>
            <w:rFonts w:ascii="Arial" w:cs="Arial" w:eastAsia="Arial" w:hAnsi="Arial"/>
            <w:sz w:val="13"/>
            <w:szCs w:val="13"/>
            <w:i w:val="1"/>
            <w:iCs w:val="1"/>
            <w:color w:val="206293"/>
          </w:rPr>
          <w:t>Environment and Planning A, 37</w:t>
        </w:r>
        <w:r>
          <w:rPr>
            <w:rFonts w:ascii="Arial" w:cs="Arial" w:eastAsia="Arial" w:hAnsi="Arial"/>
            <w:sz w:val="13"/>
            <w:szCs w:val="13"/>
            <w:color w:val="206293"/>
          </w:rPr>
          <w:t>(5), 909–924</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right="20" w:hanging="238"/>
        <w:spacing w:after="0" w:line="255" w:lineRule="auto"/>
        <w:rPr>
          <w:rFonts w:ascii="Arial" w:cs="Arial" w:eastAsia="Arial" w:hAnsi="Arial"/>
          <w:sz w:val="13"/>
          <w:szCs w:val="13"/>
          <w:i w:val="1"/>
          <w:iCs w:val="1"/>
          <w:color w:val="206293"/>
        </w:rPr>
      </w:pPr>
      <w:r>
        <w:rPr>
          <w:rFonts w:ascii="Arial" w:cs="Arial" w:eastAsia="Arial" w:hAnsi="Arial"/>
          <w:sz w:val="13"/>
          <w:szCs w:val="13"/>
          <w:color w:val="206293"/>
        </w:rPr>
        <w:t xml:space="preserve">Vonk, G., Geertman, S., &amp; Schot, P. (2007a). New technologies stuck in old hierarchies: The diffusion of geo-information technologies in Dutch public organizations. </w:t>
      </w:r>
      <w:r>
        <w:rPr>
          <w:rFonts w:ascii="Arial" w:cs="Arial" w:eastAsia="Arial" w:hAnsi="Arial"/>
          <w:sz w:val="13"/>
          <w:szCs w:val="13"/>
          <w:i w:val="1"/>
          <w:iCs w:val="1"/>
          <w:color w:val="206293"/>
        </w:rPr>
        <w:t>Public</w:t>
      </w:r>
      <w:r>
        <w:rPr>
          <w:rFonts w:ascii="Arial" w:cs="Arial" w:eastAsia="Arial" w:hAnsi="Arial"/>
          <w:sz w:val="13"/>
          <w:szCs w:val="13"/>
          <w:color w:val="206293"/>
        </w:rPr>
        <w:t xml:space="preserve"> </w:t>
      </w:r>
      <w:hyperlink r:id="rId82">
        <w:r>
          <w:rPr>
            <w:rFonts w:ascii="Arial" w:cs="Arial" w:eastAsia="Arial" w:hAnsi="Arial"/>
            <w:sz w:val="13"/>
            <w:szCs w:val="13"/>
            <w:i w:val="1"/>
            <w:iCs w:val="1"/>
            <w:color w:val="206293"/>
          </w:rPr>
          <w:t>Administration Review, 67</w:t>
        </w:r>
        <w:r>
          <w:rPr>
            <w:rFonts w:ascii="Arial" w:cs="Arial" w:eastAsia="Arial" w:hAnsi="Arial"/>
            <w:sz w:val="13"/>
            <w:szCs w:val="13"/>
            <w:color w:val="206293"/>
          </w:rPr>
          <w:t>(4), 745–756</w:t>
        </w:r>
      </w:hyperlink>
      <w:r>
        <w:rPr>
          <w:rFonts w:ascii="Arial" w:cs="Arial" w:eastAsia="Arial" w:hAnsi="Arial"/>
          <w:sz w:val="13"/>
          <w:szCs w:val="13"/>
          <w:color w:val="000000"/>
        </w:rPr>
        <w:t>.</w:t>
      </w:r>
    </w:p>
    <w:p>
      <w:pPr>
        <w:spacing w:after="0" w:line="1" w:lineRule="exact"/>
        <w:rPr>
          <w:sz w:val="20"/>
          <w:szCs w:val="20"/>
          <w:color w:val="auto"/>
        </w:rPr>
      </w:pPr>
    </w:p>
    <w:p>
      <w:pPr>
        <w:ind w:left="240" w:right="40" w:hanging="238"/>
        <w:spacing w:after="0" w:line="255" w:lineRule="auto"/>
        <w:rPr>
          <w:rFonts w:ascii="Arial" w:cs="Arial" w:eastAsia="Arial" w:hAnsi="Arial"/>
          <w:sz w:val="13"/>
          <w:szCs w:val="13"/>
          <w:color w:val="206293"/>
        </w:rPr>
      </w:pPr>
      <w:r>
        <w:rPr>
          <w:rFonts w:ascii="Arial" w:cs="Arial" w:eastAsia="Arial" w:hAnsi="Arial"/>
          <w:sz w:val="13"/>
          <w:szCs w:val="13"/>
          <w:color w:val="206293"/>
        </w:rPr>
        <w:t>Vonk, G., Geertman, S., &amp; Schot, P. (2007b). A SWOT analysis of planning support sys-</w:t>
      </w:r>
      <w:hyperlink r:id="rId83">
        <w:r>
          <w:rPr>
            <w:rFonts w:ascii="Arial" w:cs="Arial" w:eastAsia="Arial" w:hAnsi="Arial"/>
            <w:sz w:val="13"/>
            <w:szCs w:val="13"/>
            <w:color w:val="206293"/>
          </w:rPr>
          <w:t xml:space="preserve">tems. </w:t>
        </w:r>
        <w:r>
          <w:rPr>
            <w:rFonts w:ascii="Arial" w:cs="Arial" w:eastAsia="Arial" w:hAnsi="Arial"/>
            <w:sz w:val="13"/>
            <w:szCs w:val="13"/>
            <w:i w:val="1"/>
            <w:iCs w:val="1"/>
            <w:color w:val="206293"/>
          </w:rPr>
          <w:t>Environment and Planning A, 39</w:t>
        </w:r>
        <w:r>
          <w:rPr>
            <w:rFonts w:ascii="Arial" w:cs="Arial" w:eastAsia="Arial" w:hAnsi="Arial"/>
            <w:sz w:val="13"/>
            <w:szCs w:val="13"/>
            <w:color w:val="206293"/>
          </w:rPr>
          <w:t>(7), 1699–1714</w:t>
        </w:r>
      </w:hyperlink>
      <w:r>
        <w:rPr>
          <w:rFonts w:ascii="Arial" w:cs="Arial" w:eastAsia="Arial" w:hAnsi="Arial"/>
          <w:sz w:val="13"/>
          <w:szCs w:val="13"/>
          <w:color w:val="000000"/>
        </w:rPr>
        <w:t>.</w:t>
      </w:r>
    </w:p>
    <w:p>
      <w:pPr>
        <w:spacing w:after="0" w:line="1" w:lineRule="exact"/>
        <w:rPr>
          <w:sz w:val="20"/>
          <w:szCs w:val="20"/>
          <w:color w:val="auto"/>
        </w:rPr>
      </w:pPr>
    </w:p>
    <w:p>
      <w:pPr>
        <w:jc w:val="both"/>
        <w:ind w:left="240" w:hanging="238"/>
        <w:spacing w:after="0" w:line="312" w:lineRule="auto"/>
        <w:rPr>
          <w:rFonts w:ascii="Arial" w:cs="Arial" w:eastAsia="Arial" w:hAnsi="Arial"/>
          <w:sz w:val="13"/>
          <w:szCs w:val="13"/>
          <w:color w:val="206293"/>
        </w:rPr>
      </w:pPr>
      <w:r>
        <w:rPr>
          <w:rFonts w:ascii="Arial" w:cs="Arial" w:eastAsia="Arial" w:hAnsi="Arial"/>
          <w:sz w:val="13"/>
          <w:szCs w:val="13"/>
          <w:color w:val="206293"/>
        </w:rPr>
        <w:t xml:space="preserve">Witte, P., Punt, E., &amp; Geertman, S. (2020). Smart governance in the making: Integrating “smart”in local spatial planning. </w:t>
      </w:r>
      <w:r>
        <w:rPr>
          <w:rFonts w:ascii="Arial" w:cs="Arial" w:eastAsia="Arial" w:hAnsi="Arial"/>
          <w:sz w:val="13"/>
          <w:szCs w:val="13"/>
          <w:i w:val="1"/>
          <w:iCs w:val="1"/>
          <w:color w:val="206293"/>
        </w:rPr>
        <w:t>Handbook of planning support science</w:t>
      </w:r>
      <w:r>
        <w:rPr>
          <w:rFonts w:ascii="Arial" w:cs="Arial" w:eastAsia="Arial" w:hAnsi="Arial"/>
          <w:sz w:val="13"/>
          <w:szCs w:val="13"/>
          <w:color w:val="206293"/>
        </w:rPr>
        <w:t xml:space="preserve">. Edward Elgar </w:t>
      </w:r>
      <w:hyperlink r:id="rId84">
        <w:r>
          <w:rPr>
            <w:rFonts w:ascii="Arial" w:cs="Arial" w:eastAsia="Arial" w:hAnsi="Arial"/>
            <w:sz w:val="13"/>
            <w:szCs w:val="13"/>
            <w:color w:val="206293"/>
          </w:rPr>
          <w:t>Publishing</w:t>
        </w:r>
      </w:hyperlink>
      <w:r>
        <w:rPr>
          <w:rFonts w:ascii="Arial" w:cs="Arial" w:eastAsia="Arial" w:hAnsi="Arial"/>
          <w:sz w:val="13"/>
          <w:szCs w:val="13"/>
          <w:color w:val="000000"/>
        </w:rPr>
        <w:t>.</w:t>
      </w:r>
    </w:p>
    <w:p>
      <w:pPr>
        <w:spacing w:after="0" w:line="278" w:lineRule="exact"/>
        <w:rPr>
          <w:sz w:val="20"/>
          <w:szCs w:val="20"/>
          <w:color w:val="auto"/>
        </w:rPr>
      </w:pPr>
    </w:p>
    <w:p>
      <w:pPr>
        <w:sectPr>
          <w:pgSz w:w="11900" w:h="15874" w:orient="portrait"/>
          <w:cols w:equalWidth="0" w:num="2">
            <w:col w:w="5020" w:space="360"/>
            <w:col w:w="5020"/>
          </w:cols>
          <w:pgMar w:left="760" w:top="676" w:right="746" w:bottom="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12</w:t>
      </w:r>
    </w:p>
    <w:sectPr>
      <w:pgSz w:w="11900" w:h="15874" w:orient="portrait"/>
      <w:cols w:equalWidth="0" w:num="1">
        <w:col w:w="10400"/>
      </w:cols>
      <w:pgMar w:left="760" w:top="676" w:right="746" w:bottom="1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1"/>
      <w:numFmt w:val="lowerLetter"/>
      <w:start w:val="1"/>
    </w:lvl>
  </w:abstractNum>
  <w:abstractNum w:abstractNumId="1">
    <w:nsid w:val="19495CFF"/>
    <w:multiLevelType w:val="hybridMultilevel"/>
    <w:lvl w:ilvl="0">
      <w:lvlJc w:val="left"/>
      <w:lvlText w:val=" "/>
      <w:numFmt w:val="bullet"/>
      <w:start w:val="1"/>
    </w:lvl>
  </w:abstractNum>
  <w:abstractNum w:abstractNumId="2">
    <w:nsid w:val="2AE8944A"/>
    <w:multiLevelType w:val="hybridMultilevel"/>
    <w:lvl w:ilvl="0">
      <w:lvlJc w:val="left"/>
      <w:lvlText w:val="&amp;"/>
      <w:numFmt w:val="bullet"/>
      <w:start w:val="1"/>
    </w:lvl>
  </w:abstractNum>
  <w:abstractNum w:abstractNumId="3">
    <w:nsid w:val="625558EC"/>
    <w:multiLevelType w:val="hybridMultilevel"/>
    <w:lvl w:ilvl="0">
      <w:lvlJc w:val="left"/>
      <w:lvlText w:val="&amp;"/>
      <w:numFmt w:val="bullet"/>
      <w:start w:val="1"/>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7"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8" Type="http://schemas.openxmlformats.org/officeDocument/2006/relationships/hyperlink" Target="https://doi.org/10.1016/j.compenvurbsys.2020.101485" TargetMode="External"/><Relationship Id="rId10" Type="http://schemas.openxmlformats.org/officeDocument/2006/relationships/hyperlink" Target="http://www.sciencedirect.com/science/journal/01989715" TargetMode="External"/><Relationship Id="rId13" Type="http://schemas.openxmlformats.org/officeDocument/2006/relationships/hyperlink" Target="https://www.elsevier.com/locate/ceus" TargetMode="External"/><Relationship Id="rId14" Type="http://schemas.openxmlformats.org/officeDocument/2006/relationships/hyperlink" Target="http://crossmark.crossref.org/dialog/?doi=10.1016/j.compenvurbsys.2020.101485&amp;domain=pdf" TargetMode="External"/><Relationship Id="rId21" Type="http://schemas.openxmlformats.org/officeDocument/2006/relationships/hyperlink" Target="mailto:e.p.punt@uu.nl" TargetMode="External"/><Relationship Id="rId26" Type="http://schemas.openxmlformats.org/officeDocument/2006/relationships/hyperlink" Target="https://cityfutures.be.unsw.edu.au/cityviz/" TargetMode="External"/><Relationship Id="rId28" Type="http://schemas.openxmlformats.org/officeDocument/2006/relationships/hyperlink" Target="http://citydashboard.be.unsw.edu.au/" TargetMode="External"/><Relationship Id="rId29" Type="http://schemas.openxmlformats.org/officeDocument/2006/relationships/hyperlink" Target="https://citydata.be.unsw.edu.au/" TargetMode="External"/><Relationship Id="rId36" Type="http://schemas.openxmlformats.org/officeDocument/2006/relationships/hyperlink" Target="http://refhub.elsevier.com/S0198-9715(19)30764-1/rf0005" TargetMode="External"/><Relationship Id="rId37" Type="http://schemas.openxmlformats.org/officeDocument/2006/relationships/hyperlink" Target="http://refhub.elsevier.com/S0198-9715(19)30764-1/rf0010" TargetMode="External"/><Relationship Id="rId38" Type="http://schemas.openxmlformats.org/officeDocument/2006/relationships/hyperlink" Target="http://refhub.elsevier.com/S0198-9715(19)30764-1/rf0015" TargetMode="External"/><Relationship Id="rId39" Type="http://schemas.openxmlformats.org/officeDocument/2006/relationships/hyperlink" Target="https://vimeo.com/88455683" TargetMode="External"/><Relationship Id="rId40" Type="http://schemas.openxmlformats.org/officeDocument/2006/relationships/hyperlink" Target="https://infrastructure.gov.au/cities/smart-cities/plan/files/Smart_Cities_Plan.pdf" TargetMode="External"/><Relationship Id="rId41" Type="http://schemas.openxmlformats.org/officeDocument/2006/relationships/hyperlink" Target="http://refhub.elsevier.com/S0198-9715(19)30764-1/rf0030" TargetMode="External"/><Relationship Id="rId42" Type="http://schemas.openxmlformats.org/officeDocument/2006/relationships/hyperlink" Target="http://refhub.elsevier.com/S0198-9715(19)30764-1/rf0035" TargetMode="External"/><Relationship Id="rId43" Type="http://schemas.openxmlformats.org/officeDocument/2006/relationships/hyperlink" Target="http://refhub.elsevier.com/S0198-9715(19)30764-1/rf0040" TargetMode="External"/><Relationship Id="rId44" Type="http://schemas.openxmlformats.org/officeDocument/2006/relationships/hyperlink" Target="http://refhub.elsevier.com/S0198-9715(19)30764-1/rf0045" TargetMode="External"/><Relationship Id="rId45" Type="http://schemas.openxmlformats.org/officeDocument/2006/relationships/hyperlink" Target="http://refhub.elsevier.com/S0198-9715(19)30764-1/rf0050" TargetMode="External"/><Relationship Id="rId46" Type="http://schemas.openxmlformats.org/officeDocument/2006/relationships/hyperlink" Target="http://refhub.elsevier.com/S0198-9715(19)30764-1/rf0055" TargetMode="External"/><Relationship Id="rId47" Type="http://schemas.openxmlformats.org/officeDocument/2006/relationships/hyperlink" Target="http://refhub.elsevier.com/S0198-9715(19)30764-1/rf0065" TargetMode="External"/><Relationship Id="rId48" Type="http://schemas.openxmlformats.org/officeDocument/2006/relationships/hyperlink" Target="http://refhub.elsevier.com/S0198-9715(19)30764-1/rf0070" TargetMode="External"/><Relationship Id="rId49" Type="http://schemas.openxmlformats.org/officeDocument/2006/relationships/hyperlink" Target="https://doi.org/10.1177/2399808317727004" TargetMode="External"/><Relationship Id="rId50" Type="http://schemas.openxmlformats.org/officeDocument/2006/relationships/hyperlink" Target="http://refhub.elsevier.com/S0198-9715(19)30764-1/rf0080" TargetMode="External"/><Relationship Id="rId51" Type="http://schemas.openxmlformats.org/officeDocument/2006/relationships/hyperlink" Target="https://www.govtechreview.com.au/content/gov-geospatial/news/future-cities-lab-launched-at-unsw-37343840" TargetMode="External"/><Relationship Id="rId52" Type="http://schemas.openxmlformats.org/officeDocument/2006/relationships/hyperlink" Target="http://refhub.elsevier.com/S0198-9715(19)30764-1/rf0090" TargetMode="External"/><Relationship Id="rId53" Type="http://schemas.openxmlformats.org/officeDocument/2006/relationships/hyperlink" Target="http://refhub.elsevier.com/S0198-9715(19)30764-1/rf0095" TargetMode="External"/><Relationship Id="rId54" Type="http://schemas.openxmlformats.org/officeDocument/2006/relationships/hyperlink" Target="http://refhub.elsevier.com/S0198-9715(19)30764-1/rf0100" TargetMode="External"/><Relationship Id="rId55" Type="http://schemas.openxmlformats.org/officeDocument/2006/relationships/hyperlink" Target="http://refhub.elsevier.com/S0198-9715(19)30764-1/rf0105" TargetMode="External"/><Relationship Id="rId56" Type="http://schemas.openxmlformats.org/officeDocument/2006/relationships/hyperlink" Target="http://refhub.elsevier.com/S0198-9715(19)30764-1/rf0110" TargetMode="External"/><Relationship Id="rId57" Type="http://schemas.openxmlformats.org/officeDocument/2006/relationships/hyperlink" Target="http://refhub.elsevier.com/S0198-9715(19)30764-1/rf1000" TargetMode="External"/><Relationship Id="rId58" Type="http://schemas.openxmlformats.org/officeDocument/2006/relationships/hyperlink" Target="https://cityfutures.be.unsw.edu.au/cityviz/30-min-city/" TargetMode="External"/><Relationship Id="rId59" Type="http://schemas.openxmlformats.org/officeDocument/2006/relationships/hyperlink" Target="http://refhub.elsevier.com/S0198-9715(19)30764-1/rf0125" TargetMode="External"/><Relationship Id="rId60" Type="http://schemas.openxmlformats.org/officeDocument/2006/relationships/hyperlink" Target="http://refhub.elsevier.com/S0198-9715(19)30764-1/rf0130" TargetMode="External"/><Relationship Id="rId61" Type="http://schemas.openxmlformats.org/officeDocument/2006/relationships/hyperlink" Target="https://internetofbusiness.com/research-lab-opens-up-in-sydney-to-help-plan-future-smart-cities/" TargetMode="External"/><Relationship Id="rId62" Type="http://schemas.openxmlformats.org/officeDocument/2006/relationships/hyperlink" Target="http://refhub.elsevier.com/S0198-9715(19)30764-1/rf0140" TargetMode="External"/><Relationship Id="rId63" Type="http://schemas.openxmlformats.org/officeDocument/2006/relationships/hyperlink" Target="http://refhub.elsevier.com/S0198-9715(19)30764-1/rf0145" TargetMode="External"/><Relationship Id="rId64" Type="http://schemas.openxmlformats.org/officeDocument/2006/relationships/hyperlink" Target="http://refhub.elsevier.com/S0198-9715(19)30764-1/rf0150" TargetMode="External"/><Relationship Id="rId65" Type="http://schemas.openxmlformats.org/officeDocument/2006/relationships/hyperlink" Target="http://refhub.elsevier.com/S0198-9715(19)30764-1/rf0155" TargetMode="External"/><Relationship Id="rId66" Type="http://schemas.openxmlformats.org/officeDocument/2006/relationships/hyperlink" Target="http://refhub.elsevier.com/S0198-9715(19)30764-1/rf0160" TargetMode="External"/><Relationship Id="rId67" Type="http://schemas.openxmlformats.org/officeDocument/2006/relationships/hyperlink" Target="http://refhub.elsevier.com/S0198-9715(19)30764-1/rf2000" TargetMode="External"/><Relationship Id="rId68" Type="http://schemas.openxmlformats.org/officeDocument/2006/relationships/hyperlink" Target="http://refhub.elsevier.com/S0198-9715(19)30764-1/rf0165" TargetMode="External"/><Relationship Id="rId69" Type="http://schemas.openxmlformats.org/officeDocument/2006/relationships/hyperlink" Target="http://refhub.elsevier.com/S0198-9715(19)30764-1/rf0175" TargetMode="External"/><Relationship Id="rId70" Type="http://schemas.openxmlformats.org/officeDocument/2006/relationships/hyperlink" Target="http://refhub.elsevier.com/S0198-9715(19)30764-1/rf0180" TargetMode="External"/><Relationship Id="rId71" Type="http://schemas.openxmlformats.org/officeDocument/2006/relationships/hyperlink" Target="http://refhub.elsevier.com/S0198-9715(19)30764-1/rf0185" TargetMode="External"/><Relationship Id="rId72" Type="http://schemas.openxmlformats.org/officeDocument/2006/relationships/hyperlink" Target="http://refhub.elsevier.com/S0198-9715(19)30764-1/rf0195" TargetMode="External"/><Relationship Id="rId73" Type="http://schemas.openxmlformats.org/officeDocument/2006/relationships/hyperlink" Target="http://refhub.elsevier.com/S0198-9715(19)30764-1/rf0200" TargetMode="External"/><Relationship Id="rId74" Type="http://schemas.openxmlformats.org/officeDocument/2006/relationships/hyperlink" Target="http://refhub.elsevier.com/S0198-9715(19)30764-1/rf0205" TargetMode="External"/><Relationship Id="rId75" Type="http://schemas.openxmlformats.org/officeDocument/2006/relationships/hyperlink" Target="http://refhub.elsevier.com/S0198-9715(19)30764-1/rf0210" TargetMode="External"/><Relationship Id="rId76" Type="http://schemas.openxmlformats.org/officeDocument/2006/relationships/hyperlink" Target="http://refhub.elsevier.com/S0198-9715(19)30764-1/rf0215" TargetMode="External"/><Relationship Id="rId77" Type="http://schemas.openxmlformats.org/officeDocument/2006/relationships/hyperlink" Target="http://refhub.elsevier.com/S0198-9715(19)30764-1/rf0225" TargetMode="External"/><Relationship Id="rId78" Type="http://schemas.openxmlformats.org/officeDocument/2006/relationships/hyperlink" Target="http://refhub.elsevier.com/S0198-9715(19)30764-1/rf0230" TargetMode="External"/><Relationship Id="rId79" Type="http://schemas.openxmlformats.org/officeDocument/2006/relationships/hyperlink" Target="http://refhub.elsevier.com/S0198-9715(19)30764-1/rf0235" TargetMode="External"/><Relationship Id="rId80" Type="http://schemas.openxmlformats.org/officeDocument/2006/relationships/hyperlink" Target="http://refhub.elsevier.com/S0198-9715(19)30764-1/rf0240" TargetMode="External"/><Relationship Id="rId81" Type="http://schemas.openxmlformats.org/officeDocument/2006/relationships/hyperlink" Target="http://refhub.elsevier.com/S0198-9715(19)30764-1/rf0245" TargetMode="External"/><Relationship Id="rId82" Type="http://schemas.openxmlformats.org/officeDocument/2006/relationships/hyperlink" Target="http://refhub.elsevier.com/S0198-9715(19)30764-1/rf0250" TargetMode="External"/><Relationship Id="rId83" Type="http://schemas.openxmlformats.org/officeDocument/2006/relationships/hyperlink" Target="http://refhub.elsevier.com/S0198-9715(19)30764-1/rf0255" TargetMode="External"/><Relationship Id="rId84" Type="http://schemas.openxmlformats.org/officeDocument/2006/relationships/hyperlink" Target="http://refhub.elsevier.com/S0198-9715(19)30764-1/rf026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2020-09-15T05:10:26Z</dcterms:created>
  <dcterms:modified xsi:type="dcterms:W3CDTF">2020-09-15T05:10:26Z</dcterms:modified>
</cp:coreProperties>
</file>