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60"/>
        <w:spacing w:after="0" w:line="358" w:lineRule="auto"/>
        <w:rPr>
          <w:sz w:val="20"/>
          <w:szCs w:val="20"/>
          <w:color w:val="auto"/>
        </w:rPr>
      </w:pPr>
      <w:r>
        <w:rPr>
          <w:rFonts w:ascii="Arial" w:cs="Arial" w:eastAsia="Arial" w:hAnsi="Arial"/>
          <w:sz w:val="30"/>
          <w:szCs w:val="30"/>
          <w:color w:val="auto"/>
        </w:rPr>
        <w:t>Segmenting the Performing Arts Markets: The Case of Czech National Theater Attenders’ Motivations</w:t>
      </w:r>
    </w:p>
    <w:p>
      <w:pPr>
        <w:spacing w:after="0" w:line="118" w:lineRule="exact"/>
        <w:rPr>
          <w:sz w:val="24"/>
          <w:szCs w:val="24"/>
          <w:color w:val="auto"/>
        </w:rPr>
      </w:pPr>
    </w:p>
    <w:p>
      <w:pPr>
        <w:spacing w:after="0"/>
        <w:rPr>
          <w:sz w:val="20"/>
          <w:szCs w:val="20"/>
          <w:color w:val="auto"/>
        </w:rPr>
      </w:pPr>
      <w:r>
        <w:rPr>
          <w:rFonts w:ascii="Garamond" w:cs="Garamond" w:eastAsia="Garamond" w:hAnsi="Garamond"/>
          <w:sz w:val="28"/>
          <w:szCs w:val="28"/>
          <w:i w:val="1"/>
          <w:iCs w:val="1"/>
          <w:color w:val="auto"/>
        </w:rPr>
        <w:t>Chytková Zuzana, Černá Jitka, Karlíček Miroslav</w:t>
      </w:r>
    </w:p>
    <w:p>
      <w:pPr>
        <w:spacing w:after="0" w:line="203" w:lineRule="exact"/>
        <w:rPr>
          <w:sz w:val="24"/>
          <w:szCs w:val="24"/>
          <w:color w:val="auto"/>
        </w:rPr>
      </w:pPr>
    </w:p>
    <w:p>
      <w:pPr>
        <w:spacing w:after="0"/>
        <w:rPr>
          <w:sz w:val="20"/>
          <w:szCs w:val="20"/>
          <w:color w:val="auto"/>
        </w:rPr>
      </w:pPr>
      <w:r>
        <w:rPr>
          <w:rFonts w:ascii="Arial" w:cs="Arial" w:eastAsia="Arial" w:hAnsi="Arial"/>
          <w:sz w:val="20"/>
          <w:szCs w:val="20"/>
          <w:color w:val="auto"/>
        </w:rPr>
        <w:t>Abstract</w:t>
      </w:r>
    </w:p>
    <w:p>
      <w:pPr>
        <w:spacing w:after="0" w:line="38" w:lineRule="exact"/>
        <w:rPr>
          <w:sz w:val="24"/>
          <w:szCs w:val="24"/>
          <w:color w:val="auto"/>
        </w:rPr>
      </w:pPr>
    </w:p>
    <w:p>
      <w:pPr>
        <w:jc w:val="both"/>
        <w:spacing w:after="0" w:line="285" w:lineRule="auto"/>
        <w:rPr>
          <w:sz w:val="20"/>
          <w:szCs w:val="20"/>
          <w:color w:val="auto"/>
        </w:rPr>
      </w:pPr>
      <w:r>
        <w:rPr>
          <w:rFonts w:ascii="Garamond" w:cs="Garamond" w:eastAsia="Garamond" w:hAnsi="Garamond"/>
          <w:sz w:val="19"/>
          <w:szCs w:val="19"/>
          <w:color w:val="auto"/>
        </w:rPr>
        <w:t>Strategic marketing instruments such as segmentation and targeting can benefit performing arts institutions and render their offer more competitive. To segment classical performing arts audi-ences, however, the traditionally used variable is social class. In this paper, it is argued that such often suggested traditional segmentation criteria can prove to be context-insensitive and as such cannot be applied invariably across different settings. Based on an analysis of Czech National Theater audiences and its motivations, we propose the sought benefit of the theater visit as an alternative segmentation basis that may prove to be more context-sensitive.</w:t>
      </w:r>
    </w:p>
    <w:p>
      <w:pPr>
        <w:spacing w:after="0" w:line="279" w:lineRule="exact"/>
        <w:rPr>
          <w:sz w:val="24"/>
          <w:szCs w:val="24"/>
          <w:color w:val="auto"/>
        </w:rPr>
      </w:pPr>
    </w:p>
    <w:p>
      <w:pPr>
        <w:spacing w:after="0"/>
        <w:rPr>
          <w:sz w:val="20"/>
          <w:szCs w:val="20"/>
          <w:color w:val="auto"/>
        </w:rPr>
      </w:pPr>
      <w:r>
        <w:rPr>
          <w:rFonts w:ascii="Garamond" w:cs="Garamond" w:eastAsia="Garamond" w:hAnsi="Garamond"/>
          <w:sz w:val="19"/>
          <w:szCs w:val="19"/>
          <w:i w:val="1"/>
          <w:iCs w:val="1"/>
          <w:color w:val="auto"/>
        </w:rPr>
        <w:t>Key words: marketing, performing arts, National Theater, consumer behavior</w:t>
      </w:r>
    </w:p>
    <w:p>
      <w:pPr>
        <w:spacing w:after="0" w:line="366"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1. INTRODUCTION: MARKETING AND PERFORMING ARTS</w:t>
      </w:r>
    </w:p>
    <w:p>
      <w:pPr>
        <w:spacing w:after="0" w:line="92" w:lineRule="exact"/>
        <w:rPr>
          <w:sz w:val="24"/>
          <w:szCs w:val="24"/>
          <w:color w:val="auto"/>
        </w:rPr>
      </w:pPr>
    </w:p>
    <w:p>
      <w:pPr>
        <w:jc w:val="both"/>
        <w:spacing w:after="0" w:line="284" w:lineRule="auto"/>
        <w:rPr>
          <w:sz w:val="20"/>
          <w:szCs w:val="20"/>
          <w:color w:val="auto"/>
        </w:rPr>
      </w:pPr>
      <w:r>
        <w:rPr>
          <w:rFonts w:ascii="Garamond" w:cs="Garamond" w:eastAsia="Garamond" w:hAnsi="Garamond"/>
          <w:sz w:val="19"/>
          <w:szCs w:val="19"/>
          <w:color w:val="auto"/>
        </w:rPr>
        <w:t>It is now a fairly widely accepted fact that the concept of marketing applies to all organizations with products and customers, not only to those strictly business oriented (Kotler &amp; Levy, 1969; Andreasen, 2012). Yet, from an applicative point of view, it has been noted that marketing of (performing) arts is different in its application than the traditional commercial marketing (Fra-ser, 2004). Often, it tends to be tactical in nature, concentrating on selling the performance, rather than designing the product based on consumers’ needs (Fraser, 2004; Pallin, 2003). The design of the product, then, becomes a rather intuitive exercise. This is clearly at odds with the traditional marketing concept that is based on the individuation of consumer needs and their subsequent satisfaction with the right marketing mix (e.g. Kotler &amp; Armstrong, 2007).</w:t>
      </w:r>
    </w:p>
    <w:p>
      <w:pPr>
        <w:spacing w:after="0" w:line="2" w:lineRule="exact"/>
        <w:rPr>
          <w:sz w:val="24"/>
          <w:szCs w:val="24"/>
          <w:color w:val="auto"/>
        </w:rPr>
      </w:pPr>
    </w:p>
    <w:p>
      <w:pPr>
        <w:jc w:val="both"/>
        <w:spacing w:after="0" w:line="301" w:lineRule="auto"/>
        <w:rPr>
          <w:sz w:val="20"/>
          <w:szCs w:val="20"/>
          <w:color w:val="auto"/>
        </w:rPr>
      </w:pPr>
      <w:r>
        <w:rPr>
          <w:rFonts w:ascii="Garamond" w:cs="Garamond" w:eastAsia="Garamond" w:hAnsi="Garamond"/>
          <w:sz w:val="18"/>
          <w:szCs w:val="18"/>
          <w:color w:val="auto"/>
        </w:rPr>
        <w:t>This situation may reflect considerations voiced by some scholars (Becker, 1978; Hirschman, 1983; Harrison, 2009) who argued that this traditional marketing process that takes its departure from the individuation of consumer needs, is not applicable in case of high artistic production, since artists are defined as those who create freely without primarily considering the needs they will satisfy. This view is based on the presumption that there is a division between high and low cultural production, where high culture is seen as art pursued for its own sake, while popular or low culture is defined as the kind of artistic production that primarily targets consumers (e.g. Holbrook, 1995). Marketing, thus, would be wholly applicable in the sphere of popular (low) art, but not in the area of high cultural production (including performing arts such as theater, ballet, opera). The practical result of such division, then, is the sole application of marketing techniques of tactical nature (mostly communication) in the area of high arts, leaving aside its strategic in-struments, including segmentation and targeting of consumers, and positioning of the product. Such view, however, has become increasingly problematic, not least because the distinction it-self between high and low artistic production has been fading and has started to disappear (Featherstone, 1991; Venkatesh &amp; Meamber, 2006). In postmodern consumer culture, in fact,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4445</wp:posOffset>
            </wp:positionH>
            <wp:positionV relativeFrom="paragraph">
              <wp:posOffset>157480</wp:posOffset>
            </wp:positionV>
            <wp:extent cx="4464050" cy="4298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464050" cy="429895"/>
                    </a:xfrm>
                    <a:prstGeom prst="rect">
                      <a:avLst/>
                    </a:prstGeom>
                    <a:noFill/>
                  </pic:spPr>
                </pic:pic>
              </a:graphicData>
            </a:graphic>
          </wp:anchor>
        </w:drawing>
      </w:r>
    </w:p>
    <w:p>
      <w:pPr>
        <w:sectPr>
          <w:pgSz w:w="9080" w:h="13039" w:orient="portrait"/>
          <w:cols w:equalWidth="0" w:num="1">
            <w:col w:w="7040"/>
          </w:cols>
          <w:pgMar w:left="900" w:top="741" w:right="1131" w:bottom="0" w:gutter="0" w:footer="0" w:header="0"/>
        </w:sectPr>
      </w:pPr>
    </w:p>
    <w:p>
      <w:pPr>
        <w:spacing w:after="0" w:line="334" w:lineRule="exact"/>
        <w:rPr>
          <w:sz w:val="24"/>
          <w:szCs w:val="24"/>
          <w:color w:val="auto"/>
        </w:rPr>
      </w:pPr>
    </w:p>
    <w:p>
      <w:pPr>
        <w:ind w:left="580" w:hanging="573"/>
        <w:spacing w:after="0"/>
        <w:tabs>
          <w:tab w:leader="none" w:pos="580" w:val="left"/>
        </w:tabs>
        <w:numPr>
          <w:ilvl w:val="0"/>
          <w:numId w:val="1"/>
        </w:numPr>
        <w:rPr>
          <w:rFonts w:ascii="Garamond" w:cs="Garamond" w:eastAsia="Garamond" w:hAnsi="Garamond"/>
          <w:sz w:val="16"/>
          <w:szCs w:val="16"/>
          <w:b w:val="1"/>
          <w:bCs w:val="1"/>
          <w:color w:val="auto"/>
        </w:rPr>
      </w:pPr>
      <w:r>
        <w:rPr>
          <w:rFonts w:ascii="Garamond" w:cs="Garamond" w:eastAsia="Garamond" w:hAnsi="Garamond"/>
          <w:sz w:val="16"/>
          <w:szCs w:val="16"/>
          <w:i w:val="1"/>
          <w:iCs w:val="1"/>
          <w:color w:val="auto"/>
        </w:rPr>
        <w:t>Journal of Competitiveness</w:t>
      </w:r>
    </w:p>
    <w:p>
      <w:pPr>
        <w:spacing w:after="0" w:line="11" w:lineRule="exact"/>
        <w:rPr>
          <w:rFonts w:ascii="Garamond" w:cs="Garamond" w:eastAsia="Garamond" w:hAnsi="Garamond"/>
          <w:sz w:val="16"/>
          <w:szCs w:val="16"/>
          <w:b w:val="1"/>
          <w:bCs w:val="1"/>
          <w:color w:val="auto"/>
        </w:rPr>
      </w:pPr>
    </w:p>
    <w:p>
      <w:pPr>
        <w:ind w:left="560"/>
        <w:spacing w:after="0"/>
        <w:rPr>
          <w:rFonts w:ascii="Garamond" w:cs="Garamond" w:eastAsia="Garamond" w:hAnsi="Garamond"/>
          <w:sz w:val="16"/>
          <w:szCs w:val="16"/>
          <w:b w:val="1"/>
          <w:bCs w:val="1"/>
          <w:color w:val="auto"/>
        </w:rPr>
      </w:pPr>
      <w:r>
        <w:rPr>
          <w:rFonts w:ascii="Garamond" w:cs="Garamond" w:eastAsia="Garamond" w:hAnsi="Garamond"/>
          <w:sz w:val="16"/>
          <w:szCs w:val="16"/>
          <w:color w:val="auto"/>
        </w:rPr>
        <w:t>Vol. 4, Issue 3, pp. 92-104, September 2012</w:t>
      </w:r>
    </w:p>
    <w:p>
      <w:pPr>
        <w:spacing w:after="0" w:line="11" w:lineRule="exact"/>
        <w:rPr>
          <w:rFonts w:ascii="Garamond" w:cs="Garamond" w:eastAsia="Garamond" w:hAnsi="Garamond"/>
          <w:sz w:val="16"/>
          <w:szCs w:val="16"/>
          <w:b w:val="1"/>
          <w:bCs w:val="1"/>
          <w:color w:val="auto"/>
        </w:rPr>
      </w:pPr>
    </w:p>
    <w:p>
      <w:pPr>
        <w:ind w:left="560"/>
        <w:spacing w:after="0"/>
        <w:rPr>
          <w:rFonts w:ascii="Garamond" w:cs="Garamond" w:eastAsia="Garamond" w:hAnsi="Garamond"/>
          <w:sz w:val="16"/>
          <w:szCs w:val="16"/>
          <w:b w:val="1"/>
          <w:bCs w:val="1"/>
          <w:color w:val="auto"/>
        </w:rPr>
      </w:pPr>
      <w:r>
        <w:rPr>
          <w:rFonts w:ascii="Garamond" w:cs="Garamond" w:eastAsia="Garamond" w:hAnsi="Garamond"/>
          <w:sz w:val="16"/>
          <w:szCs w:val="16"/>
          <w:color w:val="auto"/>
        </w:rPr>
        <w:t>ISSN 1804-171X (Print), ISSN 1804-1728 (On-line), DOI: 10.7441/joc.2012.03.07</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4404360</wp:posOffset>
            </wp:positionH>
            <wp:positionV relativeFrom="paragraph">
              <wp:posOffset>-311785</wp:posOffset>
            </wp:positionV>
            <wp:extent cx="64135" cy="641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4135" cy="64135"/>
                    </a:xfrm>
                    <a:prstGeom prst="rect">
                      <a:avLst/>
                    </a:prstGeom>
                    <a:noFill/>
                  </pic:spPr>
                </pic:pic>
              </a:graphicData>
            </a:graphic>
          </wp:anchor>
        </w:drawing>
      </w:r>
    </w:p>
    <w:p>
      <w:pPr>
        <w:sectPr>
          <w:pgSz w:w="9080" w:h="13039" w:orient="portrait"/>
          <w:cols w:equalWidth="0" w:num="1">
            <w:col w:w="7040"/>
          </w:cols>
          <w:pgMar w:left="900" w:top="741" w:right="1131" w:bottom="0" w:gutter="0" w:footer="0" w:header="0"/>
          <w:type w:val="continuous"/>
        </w:sectPr>
      </w:pPr>
    </w:p>
    <w:bookmarkStart w:id="1" w:name="page2"/>
    <w:bookmarkEnd w:id="1"/>
    <w:p>
      <w:pPr>
        <w:jc w:val="both"/>
        <w:spacing w:after="0" w:line="286" w:lineRule="auto"/>
        <w:rPr>
          <w:sz w:val="20"/>
          <w:szCs w:val="20"/>
          <w:color w:val="auto"/>
        </w:rPr>
      </w:pPr>
      <w:r>
        <w:rPr>
          <w:rFonts w:ascii="Garamond" w:cs="Garamond" w:eastAsia="Garamond" w:hAnsi="Garamond"/>
          <w:sz w:val="19"/>
          <w:szCs w:val="19"/>
          <w:color w:val="auto"/>
        </w:rPr>
        <w:t>the marketplace becomes the means and locus of the very culture’s reproduction (Arnould &amp; Thompson, 2005), while marketing plays a central role in this process, be it for high or popular cultural production. Hence, it becomes increasingly non-sensical even in the area of high cultural production to apply the outdated “product-oriented” approach to marketing that focuses on selling whatever product is “in stock”, rather than creating an offer based on consumers’ needs (Botti, 2000).</w:t>
      </w:r>
    </w:p>
    <w:p>
      <w:pPr>
        <w:jc w:val="both"/>
        <w:spacing w:after="0" w:line="283" w:lineRule="auto"/>
        <w:rPr>
          <w:sz w:val="20"/>
          <w:szCs w:val="20"/>
          <w:color w:val="auto"/>
        </w:rPr>
      </w:pPr>
      <w:r>
        <w:rPr>
          <w:rFonts w:ascii="Garamond" w:cs="Garamond" w:eastAsia="Garamond" w:hAnsi="Garamond"/>
          <w:sz w:val="19"/>
          <w:szCs w:val="19"/>
          <w:color w:val="auto"/>
        </w:rPr>
        <w:t>As a consequence, there is now little doubt that even classical performing arts organizations can benefit from sensibly applied strategic marketing tools that allow them to individuate consumer needs and design the market offer accordingly. In particular, what is seen as the most fundamen-tal aspect of performing arts marketing is segmentation and targeting (e.g. Kotler &amp; Scheff, 1997; Bernstein, 2007). The literature offers guidelines on how to segment performing arts markets, yet most of it does not consider the contextual sensitivity of the segmentation criteria. These, then, can, but do not necessarily apply in different contexts. This is so also due to the fact that most research is carried out on a national basis, while there is a lack of international comparisons (Falk &amp; Falk, 2011). While it is not the purpose of this paper to pursue such goal, it nonetheless seeks to verify if the generally accepted criteria used to segment performing arts markets do ap-ply in the Czech national context and to find alternatives that could prove to be more context sensitive.</w:t>
      </w:r>
    </w:p>
    <w:p>
      <w:pPr>
        <w:spacing w:after="0" w:line="304"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2. SEGMENTING CLASSICAL PERFORMING ARTS AUDIENCES</w:t>
      </w:r>
    </w:p>
    <w:p>
      <w:pPr>
        <w:spacing w:after="0" w:line="103" w:lineRule="exact"/>
        <w:rPr>
          <w:sz w:val="20"/>
          <w:szCs w:val="20"/>
          <w:color w:val="auto"/>
        </w:rPr>
      </w:pPr>
    </w:p>
    <w:p>
      <w:pPr>
        <w:jc w:val="both"/>
        <w:spacing w:after="0" w:line="282" w:lineRule="auto"/>
        <w:rPr>
          <w:sz w:val="20"/>
          <w:szCs w:val="20"/>
          <w:color w:val="auto"/>
        </w:rPr>
      </w:pPr>
      <w:r>
        <w:rPr>
          <w:rFonts w:ascii="Garamond" w:cs="Garamond" w:eastAsia="Garamond" w:hAnsi="Garamond"/>
          <w:sz w:val="19"/>
          <w:szCs w:val="19"/>
          <w:color w:val="auto"/>
        </w:rPr>
        <w:t>Segmentation of performing arts audiences, as one of the most fundamental techniques of tar-geted marketing, has been widely discussed in literature (e.g. Kotler &amp; Scheff, 1997; Berstein, 2007). The relevant literature then concentrates mostly on describing the markets (audiences) in terms of variables applicable to segmentation. Some of the literature considers variables such as age or geographical factors (Kotler &amp; Scheff, 1997; Ngobo, 2005; Favaro &amp; Frateschi, 2007; Ateca-Amestoy; 2008; Willis, Snowball, Wymer, and Grisolía, 2012). Kotler &amp; Scheff (1997) in their book on marketing of performing arts suggest both as the possible criteria for segment-ing the performing arts markets. Such suggestion is supported by numerous studies on regard. For example Ngobo (2005) finds that age is a significant moderator in consumers’ frequency of performing arts attendance. Similarly, Favaro &amp; Frateschi (2007) in their study of Italian audi-ences, although in this case the effect is moderated by type of performance attended. Similarly, Ateca-Amestoy reported on increasing frequency of performance attendance with increasing age attributing this to the necessary accumulation of cultural capital. Willis et al. (2012), on the other hand, show that geographical distance negatively influences the number of theater visits.</w:t>
      </w:r>
    </w:p>
    <w:p>
      <w:pPr>
        <w:spacing w:after="0" w:line="12" w:lineRule="exact"/>
        <w:rPr>
          <w:sz w:val="20"/>
          <w:szCs w:val="20"/>
          <w:color w:val="auto"/>
        </w:rPr>
      </w:pPr>
    </w:p>
    <w:p>
      <w:pPr>
        <w:jc w:val="both"/>
        <w:spacing w:after="0" w:line="302" w:lineRule="auto"/>
        <w:rPr>
          <w:sz w:val="20"/>
          <w:szCs w:val="20"/>
          <w:color w:val="auto"/>
        </w:rPr>
      </w:pPr>
      <w:r>
        <w:rPr>
          <w:rFonts w:ascii="Garamond" w:cs="Garamond" w:eastAsia="Garamond" w:hAnsi="Garamond"/>
          <w:sz w:val="18"/>
          <w:szCs w:val="18"/>
          <w:color w:val="auto"/>
        </w:rPr>
        <w:t>Most research on regard, however, centers around one or more components of social class, such as income, education or occupation (Solomon et al., 2010), which also compose variables most often suggested for performing arts audience segmentation (Kotler &amp; Scheff, 1997). Within the classic literature in the field, DiMaggio, Useem &amp; Brown (1978), for instance, report on underrepresentation of minorities at classical performances and presume this effect to be due to their lower income and lower achieved education. Andreasen (1987) shows that more frequent attenders of classical performances tend to be of higher education or higher income, and that these consumers have been socialized to performing arts in childhood (Andreasen, 1987).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95885</wp:posOffset>
            </wp:positionV>
            <wp:extent cx="4464050" cy="4763"/>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4464050" cy="4763"/>
                    </a:xfrm>
                    <a:prstGeom prst="rect">
                      <a:avLst/>
                    </a:prstGeom>
                    <a:noFill/>
                  </pic:spPr>
                </pic:pic>
              </a:graphicData>
            </a:graphic>
          </wp:anchor>
        </w:drawing>
      </w:r>
    </w:p>
    <w:p>
      <w:pPr>
        <w:sectPr>
          <w:pgSz w:w="9080" w:h="13039" w:orient="portrait"/>
          <w:cols w:equalWidth="0" w:num="1">
            <w:col w:w="7020"/>
          </w:cols>
          <w:pgMar w:left="1140" w:top="1072" w:right="911" w:bottom="217" w:gutter="0" w:footer="0" w:header="0"/>
        </w:sectPr>
      </w:pPr>
    </w:p>
    <w:p>
      <w:pPr>
        <w:spacing w:after="0" w:line="236" w:lineRule="exact"/>
        <w:rPr>
          <w:sz w:val="20"/>
          <w:szCs w:val="20"/>
          <w:color w:val="auto"/>
        </w:rPr>
      </w:pPr>
    </w:p>
    <w:p>
      <w:pPr>
        <w:ind w:left="6880"/>
        <w:spacing w:after="0"/>
        <w:rPr>
          <w:sz w:val="20"/>
          <w:szCs w:val="20"/>
          <w:color w:val="auto"/>
        </w:rPr>
      </w:pPr>
      <w:r>
        <w:rPr>
          <w:rFonts w:ascii="Garamond" w:cs="Garamond" w:eastAsia="Garamond" w:hAnsi="Garamond"/>
          <w:sz w:val="14"/>
          <w:szCs w:val="14"/>
          <w:b w:val="1"/>
          <w:bCs w:val="1"/>
          <w:color w:val="auto"/>
        </w:rPr>
        <w:t>93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-53975</wp:posOffset>
            </wp:positionV>
            <wp:extent cx="64135" cy="641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4135" cy="64135"/>
                    </a:xfrm>
                    <a:prstGeom prst="rect">
                      <a:avLst/>
                    </a:prstGeom>
                    <a:noFill/>
                  </pic:spPr>
                </pic:pic>
              </a:graphicData>
            </a:graphic>
          </wp:anchor>
        </w:drawing>
      </w:r>
    </w:p>
    <w:p>
      <w:pPr>
        <w:sectPr>
          <w:pgSz w:w="9080" w:h="13039" w:orient="portrait"/>
          <w:cols w:equalWidth="0" w:num="1">
            <w:col w:w="7020"/>
          </w:cols>
          <w:pgMar w:left="1140" w:top="1072" w:right="911" w:bottom="217" w:gutter="0" w:footer="0" w:header="0"/>
          <w:type w:val="continuous"/>
        </w:sectPr>
      </w:pPr>
    </w:p>
    <w:bookmarkStart w:id="2" w:name="page3"/>
    <w:bookmarkEnd w:id="2"/>
    <w:p>
      <w:pPr>
        <w:jc w:val="both"/>
        <w:spacing w:after="0" w:line="287" w:lineRule="auto"/>
        <w:rPr>
          <w:sz w:val="20"/>
          <w:szCs w:val="20"/>
          <w:color w:val="auto"/>
        </w:rPr>
      </w:pPr>
      <w:r>
        <w:rPr>
          <w:rFonts w:ascii="Garamond" w:cs="Garamond" w:eastAsia="Garamond" w:hAnsi="Garamond"/>
          <w:sz w:val="19"/>
          <w:szCs w:val="19"/>
          <w:color w:val="auto"/>
        </w:rPr>
        <w:t>assertion about the role played by early socialization has been corroborated by Andreasen and Belk (1980), who have shown early childhood exposure to performing arts is a predictor for adult performance attendance. This conclusion resonates with the classic Bourdieu’s (1984) study, that described cultural capital (needed to consume high cultural production) partly acquired through socialization as one of the key components of social class.</w:t>
      </w:r>
    </w:p>
    <w:p>
      <w:pPr>
        <w:jc w:val="both"/>
        <w:spacing w:after="0" w:line="284" w:lineRule="auto"/>
        <w:rPr>
          <w:sz w:val="20"/>
          <w:szCs w:val="20"/>
          <w:color w:val="auto"/>
        </w:rPr>
      </w:pPr>
      <w:r>
        <w:rPr>
          <w:rFonts w:ascii="Garamond" w:cs="Garamond" w:eastAsia="Garamond" w:hAnsi="Garamond"/>
          <w:sz w:val="19"/>
          <w:szCs w:val="19"/>
          <w:color w:val="auto"/>
        </w:rPr>
        <w:t>More recent research then confirms the former findings. Lewis &amp; Seaman (2004) show that higher education among homosexuals means higher attendance levels. Borgonovi (2004) shows that higher overall education and higher income leads to a more complete art education of con-sumers which then increases the performing arts attendance frequency. Similarly, Maters, Rus-sell, and Brooks (2001) show education to be significant in predicting Australians’ performing arts attendance. And in an international comparison of EU countries, then, Falk &amp; Falk (2011) find all the traditional components of social class, e.g. income, education and occupation to be significant in predicting consumers’ performing arts attendance.</w:t>
      </w:r>
    </w:p>
    <w:p>
      <w:pPr>
        <w:spacing w:after="0" w:line="5" w:lineRule="exact"/>
        <w:rPr>
          <w:sz w:val="20"/>
          <w:szCs w:val="20"/>
          <w:color w:val="auto"/>
        </w:rPr>
      </w:pPr>
    </w:p>
    <w:p>
      <w:pPr>
        <w:jc w:val="both"/>
        <w:spacing w:after="0" w:line="286" w:lineRule="auto"/>
        <w:rPr>
          <w:sz w:val="20"/>
          <w:szCs w:val="20"/>
          <w:color w:val="auto"/>
        </w:rPr>
      </w:pPr>
      <w:r>
        <w:rPr>
          <w:rFonts w:ascii="Garamond" w:cs="Garamond" w:eastAsia="Garamond" w:hAnsi="Garamond"/>
          <w:sz w:val="19"/>
          <w:szCs w:val="19"/>
          <w:color w:val="auto"/>
        </w:rPr>
        <w:t>As a result of these findings, the segments targeted by performing arts institutions are often de-fined in terms of social class. This practice is accused of leading to the exclusion of “the masses” as those who do not possess the qualification to appreciate the product (Huntington, 2007). Marketing techniques and particularly segmentation have thus been accused of having discrimi-natory effects, as they limit access to these products to those deemed an inappropriate segment (Hollander, 1984; Huntington, 2007).</w:t>
      </w:r>
    </w:p>
    <w:p>
      <w:pPr>
        <w:jc w:val="both"/>
        <w:spacing w:after="0" w:line="283" w:lineRule="auto"/>
        <w:rPr>
          <w:sz w:val="20"/>
          <w:szCs w:val="20"/>
          <w:color w:val="auto"/>
        </w:rPr>
      </w:pPr>
      <w:r>
        <w:rPr>
          <w:rFonts w:ascii="Garamond" w:cs="Garamond" w:eastAsia="Garamond" w:hAnsi="Garamond"/>
          <w:sz w:val="19"/>
          <w:szCs w:val="19"/>
          <w:color w:val="auto"/>
        </w:rPr>
        <w:t>Although these considerations are of utmost importance, we argue that most of the previous studies have concentrated on a specific market and their results thus do not necessarily apply uniformly across different contexts. We want to show that in the particular case of the Czech National Theater, the traditional social class approach to defining the audience is inappropriate, as the audience is not homogeneous from this point of view. As a consequence, we argue that in the application of marketing theory and practice, what should be considered carefully are not only the specificities of performing arts institutions and recent societal developments, but also the specific context of a particular institution. We further suggest that an approach considering visitors’ motivations for attending the performance may represent a better and more context-sensitive segmentation basis.</w:t>
      </w:r>
    </w:p>
    <w:p>
      <w:pPr>
        <w:spacing w:after="0" w:line="30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3. CONTEXT AND METHODOLOGY</w:t>
      </w:r>
    </w:p>
    <w:p>
      <w:pPr>
        <w:spacing w:after="0" w:line="92" w:lineRule="exact"/>
        <w:rPr>
          <w:sz w:val="20"/>
          <w:szCs w:val="20"/>
          <w:color w:val="auto"/>
        </w:rPr>
      </w:pPr>
    </w:p>
    <w:p>
      <w:pPr>
        <w:jc w:val="both"/>
        <w:spacing w:after="0" w:line="300" w:lineRule="auto"/>
        <w:rPr>
          <w:sz w:val="20"/>
          <w:szCs w:val="20"/>
          <w:color w:val="auto"/>
        </w:rPr>
      </w:pPr>
      <w:r>
        <w:rPr>
          <w:rFonts w:ascii="Garamond" w:cs="Garamond" w:eastAsia="Garamond" w:hAnsi="Garamond"/>
          <w:sz w:val="18"/>
          <w:szCs w:val="18"/>
          <w:color w:val="auto"/>
        </w:rPr>
        <w:t>In order to check for the contextual validity of the segmentation criteria traditionally offered for segmenting performing arts audiences, and to look for new, more context-sensitive options, we have chosen the setting of the Czech National Theater. We have used its customers to show that the traditional variables used to describe and segment performing arts audiences do not neces-sarily apply in all settings. Within the realm of performing arts, the Czech National Theater is the number one Czech aesthetic producer of the high culture. Its products, the performances, are not designed according to the consumers’ needs, as the traditional marketing concept would have it, and are therefore ideologically neutral in the sense proposed by Hirschman (1983).</w:t>
      </w:r>
    </w:p>
    <w:p>
      <w:pPr>
        <w:spacing w:after="0" w:line="3" w:lineRule="exact"/>
        <w:rPr>
          <w:sz w:val="20"/>
          <w:szCs w:val="20"/>
          <w:color w:val="auto"/>
        </w:rPr>
      </w:pPr>
    </w:p>
    <w:p>
      <w:pPr>
        <w:jc w:val="both"/>
        <w:spacing w:after="0" w:line="318" w:lineRule="auto"/>
        <w:rPr>
          <w:sz w:val="20"/>
          <w:szCs w:val="20"/>
          <w:color w:val="auto"/>
        </w:rPr>
      </w:pPr>
      <w:r>
        <w:rPr>
          <w:rFonts w:ascii="Garamond" w:cs="Garamond" w:eastAsia="Garamond" w:hAnsi="Garamond"/>
          <w:sz w:val="18"/>
          <w:szCs w:val="18"/>
          <w:color w:val="auto"/>
        </w:rPr>
        <w:t>Our research is based on a quantitative study carried out throughout 2011. The study consisted in a questionnaire that was administered to National Theater customers. The questionnaire con-tained questions about the frequency of consumers’ attendance to National Theater perform-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49530</wp:posOffset>
            </wp:positionV>
            <wp:extent cx="4464050" cy="4763"/>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4464050" cy="4763"/>
                    </a:xfrm>
                    <a:prstGeom prst="rect">
                      <a:avLst/>
                    </a:prstGeom>
                    <a:noFill/>
                  </pic:spPr>
                </pic:pic>
              </a:graphicData>
            </a:graphic>
          </wp:anchor>
        </w:drawing>
      </w:r>
    </w:p>
    <w:p>
      <w:pPr>
        <w:sectPr>
          <w:pgSz w:w="9080" w:h="13039" w:orient="portrait"/>
          <w:cols w:equalWidth="0" w:num="1">
            <w:col w:w="7040"/>
          </w:cols>
          <w:pgMar w:left="900" w:top="1072" w:right="1131" w:bottom="195" w:gutter="0" w:footer="0" w:header="0"/>
        </w:sectPr>
      </w:pPr>
    </w:p>
    <w:p>
      <w:pPr>
        <w:spacing w:after="0" w:line="163" w:lineRule="exact"/>
        <w:rPr>
          <w:sz w:val="20"/>
          <w:szCs w:val="20"/>
          <w:color w:val="auto"/>
        </w:rPr>
      </w:pPr>
    </w:p>
    <w:p>
      <w:pPr>
        <w:spacing w:after="0"/>
        <w:tabs>
          <w:tab w:leader="none" w:pos="560" w:val="left"/>
        </w:tabs>
        <w:rPr>
          <w:sz w:val="20"/>
          <w:szCs w:val="20"/>
          <w:color w:val="auto"/>
        </w:rPr>
      </w:pPr>
      <w:r>
        <w:rPr>
          <w:rFonts w:ascii="Garamond" w:cs="Garamond" w:eastAsia="Garamond" w:hAnsi="Garamond"/>
          <w:sz w:val="16"/>
          <w:szCs w:val="16"/>
          <w:b w:val="1"/>
          <w:bCs w:val="1"/>
          <w:color w:val="auto"/>
        </w:rPr>
        <w:t>94</w:t>
      </w:r>
      <w:r>
        <w:rPr>
          <w:sz w:val="20"/>
          <w:szCs w:val="20"/>
          <w:color w:val="auto"/>
        </w:rPr>
        <w:tab/>
      </w:r>
      <w:r>
        <w:rPr>
          <w:rFonts w:ascii="Garamond" w:cs="Garamond" w:eastAsia="Garamond" w:hAnsi="Garamond"/>
          <w:sz w:val="16"/>
          <w:szCs w:val="16"/>
          <w:i w:val="1"/>
          <w:iCs w:val="1"/>
          <w:color w:val="auto"/>
        </w:rPr>
        <w:t>Journal of Competitiveness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4404360</wp:posOffset>
            </wp:positionH>
            <wp:positionV relativeFrom="paragraph">
              <wp:posOffset>-68580</wp:posOffset>
            </wp:positionV>
            <wp:extent cx="64135" cy="641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4135" cy="64135"/>
                    </a:xfrm>
                    <a:prstGeom prst="rect">
                      <a:avLst/>
                    </a:prstGeom>
                    <a:noFill/>
                  </pic:spPr>
                </pic:pic>
              </a:graphicData>
            </a:graphic>
          </wp:anchor>
        </w:drawing>
      </w:r>
    </w:p>
    <w:p>
      <w:pPr>
        <w:sectPr>
          <w:pgSz w:w="9080" w:h="13039" w:orient="portrait"/>
          <w:cols w:equalWidth="0" w:num="1">
            <w:col w:w="7040"/>
          </w:cols>
          <w:pgMar w:left="900" w:top="1072" w:right="1131" w:bottom="195" w:gutter="0" w:footer="0" w:header="0"/>
          <w:type w:val="continuous"/>
        </w:sectPr>
      </w:pPr>
    </w:p>
    <w:bookmarkStart w:id="3" w:name="page4"/>
    <w:bookmarkEnd w:id="3"/>
    <w:p>
      <w:pPr>
        <w:jc w:val="both"/>
        <w:spacing w:after="0" w:line="301" w:lineRule="auto"/>
        <w:rPr>
          <w:sz w:val="20"/>
          <w:szCs w:val="20"/>
          <w:color w:val="auto"/>
        </w:rPr>
      </w:pPr>
      <w:r>
        <w:rPr>
          <w:rFonts w:ascii="Garamond" w:cs="Garamond" w:eastAsia="Garamond" w:hAnsi="Garamond"/>
          <w:sz w:val="18"/>
          <w:szCs w:val="18"/>
          <w:color w:val="auto"/>
        </w:rPr>
        <w:t>ances to understand if the consumer was a regular, occasional or first-time attender, questions about the type of performance attended (as the National Theater offers drama, opera and ballet) and an open question that sought to uncover the motivation for attendance. This question was open, in order to explore consumers’ own perceptions and understand the benefits perceived by consumers in their own terms. The questionnaire then contained questions about sociodemo-graphic descriptors, such as gender, age, education level, income or place of residence.</w:t>
      </w:r>
    </w:p>
    <w:p>
      <w:pPr>
        <w:spacing w:after="0" w:line="5" w:lineRule="exact"/>
        <w:rPr>
          <w:sz w:val="20"/>
          <w:szCs w:val="20"/>
          <w:color w:val="auto"/>
        </w:rPr>
      </w:pPr>
    </w:p>
    <w:p>
      <w:pPr>
        <w:jc w:val="both"/>
        <w:spacing w:after="0" w:line="309" w:lineRule="auto"/>
        <w:rPr>
          <w:sz w:val="20"/>
          <w:szCs w:val="20"/>
          <w:color w:val="auto"/>
        </w:rPr>
      </w:pPr>
      <w:r>
        <w:rPr>
          <w:rFonts w:ascii="Garamond" w:cs="Garamond" w:eastAsia="Garamond" w:hAnsi="Garamond"/>
          <w:sz w:val="19"/>
          <w:szCs w:val="19"/>
          <w:color w:val="auto"/>
        </w:rPr>
        <w:t>The sample consisted of 1279 respondents. As can be seen at Fig. 1, the sample was well balanced in terms of 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1022350</wp:posOffset>
            </wp:positionH>
            <wp:positionV relativeFrom="paragraph">
              <wp:posOffset>38100</wp:posOffset>
            </wp:positionV>
            <wp:extent cx="3014980" cy="25781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3014980" cy="25781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Garamond" w:cs="Garamond" w:eastAsia="Garamond" w:hAnsi="Garamond"/>
          <w:sz w:val="18"/>
          <w:szCs w:val="18"/>
          <w:i w:val="1"/>
          <w:iCs w:val="1"/>
          <w:color w:val="auto"/>
        </w:rPr>
        <w:t>Fig. 1 - Age composition of the sample. Source: Authors</w:t>
      </w:r>
    </w:p>
    <w:p>
      <w:pPr>
        <w:spacing w:after="0" w:line="350" w:lineRule="exact"/>
        <w:rPr>
          <w:sz w:val="20"/>
          <w:szCs w:val="20"/>
          <w:color w:val="auto"/>
        </w:rPr>
      </w:pPr>
    </w:p>
    <w:p>
      <w:pPr>
        <w:jc w:val="both"/>
        <w:spacing w:after="0" w:line="303" w:lineRule="auto"/>
        <w:rPr>
          <w:sz w:val="20"/>
          <w:szCs w:val="20"/>
          <w:color w:val="auto"/>
        </w:rPr>
      </w:pPr>
      <w:r>
        <w:rPr>
          <w:rFonts w:ascii="Garamond" w:cs="Garamond" w:eastAsia="Garamond" w:hAnsi="Garamond"/>
          <w:sz w:val="18"/>
          <w:szCs w:val="18"/>
          <w:color w:val="auto"/>
        </w:rPr>
        <w:t>The sample contained 68% of women and 32% of men. More than half (58%) of the respondents were university educated, followed in number by the group of high-school educated consumers. The overrepresentation of women, as well as university educated respondents may be due to the particular composition of the National Theater attendees, where precisely these groups of con-sumers are the more frequent theater goers. Finally, as illustrated at Fig. 2, a great proportion of respondents had household income level bellow 30 thousand CZK (36%), 14% between 30 and 40 thousand, 9% between 40 and 50 thousand, while the rest had a higher income.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1454150</wp:posOffset>
            </wp:positionV>
            <wp:extent cx="4464050" cy="4763"/>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4464050" cy="4763"/>
                    </a:xfrm>
                    <a:prstGeom prst="rect">
                      <a:avLst/>
                    </a:prstGeom>
                    <a:noFill/>
                  </pic:spPr>
                </pic:pic>
              </a:graphicData>
            </a:graphic>
          </wp:anchor>
        </w:drawing>
      </w:r>
    </w:p>
    <w:p>
      <w:pPr>
        <w:sectPr>
          <w:pgSz w:w="9080" w:h="13039" w:orient="portrait"/>
          <w:cols w:equalWidth="0" w:num="1">
            <w:col w:w="7020"/>
          </w:cols>
          <w:pgMar w:left="1140" w:top="1072" w:right="911" w:bottom="21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6880"/>
        <w:spacing w:after="0"/>
        <w:rPr>
          <w:sz w:val="20"/>
          <w:szCs w:val="20"/>
          <w:color w:val="auto"/>
        </w:rPr>
      </w:pPr>
      <w:r>
        <w:rPr>
          <w:rFonts w:ascii="Garamond" w:cs="Garamond" w:eastAsia="Garamond" w:hAnsi="Garamond"/>
          <w:sz w:val="14"/>
          <w:szCs w:val="14"/>
          <w:b w:val="1"/>
          <w:bCs w:val="1"/>
          <w:color w:val="auto"/>
        </w:rPr>
        <w:t>95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-53975</wp:posOffset>
            </wp:positionV>
            <wp:extent cx="64135" cy="641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64135" cy="64135"/>
                    </a:xfrm>
                    <a:prstGeom prst="rect">
                      <a:avLst/>
                    </a:prstGeom>
                    <a:noFill/>
                  </pic:spPr>
                </pic:pic>
              </a:graphicData>
            </a:graphic>
          </wp:anchor>
        </w:drawing>
      </w:r>
    </w:p>
    <w:p>
      <w:pPr>
        <w:sectPr>
          <w:pgSz w:w="9080" w:h="13039" w:orient="portrait"/>
          <w:cols w:equalWidth="0" w:num="1">
            <w:col w:w="7020"/>
          </w:cols>
          <w:pgMar w:left="1140" w:top="1072" w:right="911" w:bottom="217" w:gutter="0" w:footer="0" w:header="0"/>
          <w:type w:val="continuous"/>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1400175</wp:posOffset>
            </wp:positionH>
            <wp:positionV relativeFrom="page">
              <wp:posOffset>657225</wp:posOffset>
            </wp:positionV>
            <wp:extent cx="3408045" cy="29997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3408045" cy="29997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center"/>
        <w:spacing w:after="0"/>
        <w:rPr>
          <w:sz w:val="20"/>
          <w:szCs w:val="20"/>
          <w:color w:val="auto"/>
        </w:rPr>
      </w:pPr>
      <w:r>
        <w:rPr>
          <w:rFonts w:ascii="Garamond" w:cs="Garamond" w:eastAsia="Garamond" w:hAnsi="Garamond"/>
          <w:sz w:val="18"/>
          <w:szCs w:val="18"/>
          <w:i w:val="1"/>
          <w:iCs w:val="1"/>
          <w:color w:val="auto"/>
        </w:rPr>
        <w:t>Fig. 2 - Composition of the sample: Household income. Source: Authors</w:t>
      </w:r>
    </w:p>
    <w:p>
      <w:pPr>
        <w:spacing w:after="0" w:line="350" w:lineRule="exact"/>
        <w:rPr>
          <w:sz w:val="20"/>
          <w:szCs w:val="20"/>
          <w:color w:val="auto"/>
        </w:rPr>
      </w:pPr>
    </w:p>
    <w:p>
      <w:pPr>
        <w:jc w:val="both"/>
        <w:spacing w:after="0" w:line="283" w:lineRule="auto"/>
        <w:rPr>
          <w:sz w:val="20"/>
          <w:szCs w:val="20"/>
          <w:color w:val="auto"/>
        </w:rPr>
      </w:pPr>
      <w:r>
        <w:rPr>
          <w:rFonts w:ascii="Garamond" w:cs="Garamond" w:eastAsia="Garamond" w:hAnsi="Garamond"/>
          <w:sz w:val="19"/>
          <w:szCs w:val="19"/>
          <w:color w:val="auto"/>
        </w:rPr>
        <w:t>Because all of the variables included in the questionnaire were categorical, we have used the chi-square test of independence and adjusted standardized residuals to illustrate the relations be-tween the frequency of National Theater attendance and variables used in literature to describe classical performing arts audiences, as well as the variable “motivation for visit”. In particular, we first used Chi-Square test to test the independency of the various variables and the variable “Frequency of visit”. Then, we used adjusted standardized residuals to see which categories combinations are over or underrepresented. By convention, if the adjusted standardized residual is more than 2, the cell presents significantly more cases than expected, while if less than -2, it presents significantly less cases than expected (Agresti, 2002). This then helps with the interpre-tation of the Chi-Square results.</w:t>
      </w:r>
    </w:p>
    <w:p>
      <w:pPr>
        <w:spacing w:after="0" w:line="8" w:lineRule="exact"/>
        <w:rPr>
          <w:sz w:val="20"/>
          <w:szCs w:val="20"/>
          <w:color w:val="auto"/>
        </w:rPr>
      </w:pPr>
    </w:p>
    <w:p>
      <w:pPr>
        <w:jc w:val="both"/>
        <w:spacing w:after="0" w:line="290" w:lineRule="auto"/>
        <w:rPr>
          <w:sz w:val="20"/>
          <w:szCs w:val="20"/>
          <w:color w:val="auto"/>
        </w:rPr>
      </w:pPr>
      <w:r>
        <w:rPr>
          <w:rFonts w:ascii="Garamond" w:cs="Garamond" w:eastAsia="Garamond" w:hAnsi="Garamond"/>
          <w:sz w:val="19"/>
          <w:szCs w:val="19"/>
          <w:color w:val="auto"/>
        </w:rPr>
        <w:t>In this way, it is possible to assert if the traditional variables described in literature used to de-scribe and segment the performing arts market do apply in this particular case, and possibly to uncover other variables that play a role in the theater attendance and that can thus be used in the application of marketing.</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4. FINDINGS</w:t>
      </w:r>
    </w:p>
    <w:p>
      <w:pPr>
        <w:spacing w:after="0" w:line="177" w:lineRule="exact"/>
        <w:rPr>
          <w:sz w:val="20"/>
          <w:szCs w:val="20"/>
          <w:color w:val="auto"/>
        </w:rPr>
      </w:pPr>
    </w:p>
    <w:p>
      <w:pPr>
        <w:spacing w:after="0"/>
        <w:rPr>
          <w:sz w:val="20"/>
          <w:szCs w:val="20"/>
          <w:color w:val="auto"/>
        </w:rPr>
      </w:pPr>
      <w:r>
        <w:rPr>
          <w:rFonts w:ascii="Arial" w:cs="Arial" w:eastAsia="Arial" w:hAnsi="Arial"/>
          <w:sz w:val="20"/>
          <w:szCs w:val="20"/>
          <w:color w:val="auto"/>
        </w:rPr>
        <w:t>4.1. Traditional view of performing arts audiences: key variables revisited</w:t>
      </w:r>
    </w:p>
    <w:p>
      <w:pPr>
        <w:spacing w:after="0" w:line="38" w:lineRule="exact"/>
        <w:rPr>
          <w:sz w:val="20"/>
          <w:szCs w:val="20"/>
          <w:color w:val="auto"/>
        </w:rPr>
      </w:pPr>
    </w:p>
    <w:p>
      <w:pPr>
        <w:jc w:val="both"/>
        <w:spacing w:after="0" w:line="296" w:lineRule="auto"/>
        <w:rPr>
          <w:sz w:val="20"/>
          <w:szCs w:val="20"/>
          <w:color w:val="auto"/>
        </w:rPr>
      </w:pPr>
      <w:r>
        <w:rPr>
          <w:rFonts w:ascii="Garamond" w:cs="Garamond" w:eastAsia="Garamond" w:hAnsi="Garamond"/>
          <w:sz w:val="18"/>
          <w:szCs w:val="18"/>
          <w:color w:val="auto"/>
        </w:rPr>
        <w:t>As mentioned above, previous research has shown in particular the structuring effect of age and geographical factors (Holbrook &amp; Schindler, 1994; Kotler &amp; Scheff, 1997, Ngobo, 2005; Favaro</w:t>
      </w:r>
    </w:p>
    <w:p>
      <w:pPr>
        <w:spacing w:after="0" w:line="1" w:lineRule="exact"/>
        <w:rPr>
          <w:sz w:val="20"/>
          <w:szCs w:val="20"/>
          <w:color w:val="auto"/>
        </w:rPr>
      </w:pPr>
    </w:p>
    <w:p>
      <w:pPr>
        <w:jc w:val="both"/>
        <w:ind w:firstLine="7"/>
        <w:spacing w:after="0" w:line="309" w:lineRule="auto"/>
        <w:tabs>
          <w:tab w:leader="none" w:pos="179" w:val="left"/>
        </w:tabs>
        <w:numPr>
          <w:ilvl w:val="0"/>
          <w:numId w:val="2"/>
        </w:numPr>
        <w:rPr>
          <w:rFonts w:ascii="Garamond" w:cs="Garamond" w:eastAsia="Garamond" w:hAnsi="Garamond"/>
          <w:sz w:val="19"/>
          <w:szCs w:val="19"/>
          <w:color w:val="auto"/>
        </w:rPr>
      </w:pPr>
      <w:r>
        <w:rPr>
          <w:rFonts w:ascii="Garamond" w:cs="Garamond" w:eastAsia="Garamond" w:hAnsi="Garamond"/>
          <w:sz w:val="19"/>
          <w:szCs w:val="19"/>
          <w:color w:val="auto"/>
        </w:rPr>
        <w:t>Frateschi, 2007; Ateca-Amestoy; 2008; Willis et al.,2012), or social class (DiMaggio &amp; Useen, 1978) or some of its components such as income, education or occupation (Baumol &amp; Bowen,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26670</wp:posOffset>
            </wp:positionV>
            <wp:extent cx="4464050" cy="4763"/>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4464050" cy="4763"/>
                    </a:xfrm>
                    <a:prstGeom prst="rect">
                      <a:avLst/>
                    </a:prstGeom>
                    <a:noFill/>
                  </pic:spPr>
                </pic:pic>
              </a:graphicData>
            </a:graphic>
          </wp:anchor>
        </w:drawing>
      </w:r>
    </w:p>
    <w:p>
      <w:pPr>
        <w:sectPr>
          <w:pgSz w:w="9080" w:h="13039" w:orient="portrait"/>
          <w:cols w:equalWidth="0" w:num="1">
            <w:col w:w="7040"/>
          </w:cols>
          <w:pgMar w:left="900" w:top="1440" w:right="1131" w:bottom="195" w:gutter="0" w:footer="0" w:header="0"/>
        </w:sectPr>
      </w:pPr>
    </w:p>
    <w:p>
      <w:pPr>
        <w:spacing w:after="0" w:line="127" w:lineRule="exact"/>
        <w:rPr>
          <w:sz w:val="20"/>
          <w:szCs w:val="20"/>
          <w:color w:val="auto"/>
        </w:rPr>
      </w:pPr>
    </w:p>
    <w:p>
      <w:pPr>
        <w:spacing w:after="0"/>
        <w:tabs>
          <w:tab w:leader="none" w:pos="560" w:val="left"/>
        </w:tabs>
        <w:rPr>
          <w:sz w:val="20"/>
          <w:szCs w:val="20"/>
          <w:color w:val="auto"/>
        </w:rPr>
      </w:pPr>
      <w:r>
        <w:rPr>
          <w:rFonts w:ascii="Garamond" w:cs="Garamond" w:eastAsia="Garamond" w:hAnsi="Garamond"/>
          <w:sz w:val="16"/>
          <w:szCs w:val="16"/>
          <w:b w:val="1"/>
          <w:bCs w:val="1"/>
          <w:color w:val="auto"/>
        </w:rPr>
        <w:t>96</w:t>
      </w:r>
      <w:r>
        <w:rPr>
          <w:sz w:val="20"/>
          <w:szCs w:val="20"/>
          <w:color w:val="auto"/>
        </w:rPr>
        <w:tab/>
      </w:r>
      <w:r>
        <w:rPr>
          <w:rFonts w:ascii="Garamond" w:cs="Garamond" w:eastAsia="Garamond" w:hAnsi="Garamond"/>
          <w:sz w:val="16"/>
          <w:szCs w:val="16"/>
          <w:i w:val="1"/>
          <w:iCs w:val="1"/>
          <w:color w:val="auto"/>
        </w:rPr>
        <w:t>Journal of Competitiveness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4404360</wp:posOffset>
            </wp:positionH>
            <wp:positionV relativeFrom="paragraph">
              <wp:posOffset>-68580</wp:posOffset>
            </wp:positionV>
            <wp:extent cx="64135" cy="641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64135" cy="64135"/>
                    </a:xfrm>
                    <a:prstGeom prst="rect">
                      <a:avLst/>
                    </a:prstGeom>
                    <a:noFill/>
                  </pic:spPr>
                </pic:pic>
              </a:graphicData>
            </a:graphic>
          </wp:anchor>
        </w:drawing>
      </w:r>
    </w:p>
    <w:p>
      <w:pPr>
        <w:sectPr>
          <w:pgSz w:w="9080" w:h="13039" w:orient="portrait"/>
          <w:cols w:equalWidth="0" w:num="1">
            <w:col w:w="7040"/>
          </w:cols>
          <w:pgMar w:left="900" w:top="1440" w:right="1131" w:bottom="195" w:gutter="0" w:footer="0" w:header="0"/>
          <w:type w:val="continuous"/>
        </w:sectPr>
      </w:pPr>
    </w:p>
    <w:bookmarkStart w:id="5" w:name="page6"/>
    <w:bookmarkEnd w:id="5"/>
    <w:p>
      <w:pPr>
        <w:jc w:val="both"/>
        <w:spacing w:after="0" w:line="310" w:lineRule="auto"/>
        <w:rPr>
          <w:sz w:val="20"/>
          <w:szCs w:val="20"/>
          <w:color w:val="auto"/>
        </w:rPr>
      </w:pPr>
      <w:r>
        <w:rPr>
          <w:rFonts w:ascii="Garamond" w:cs="Garamond" w:eastAsia="Garamond" w:hAnsi="Garamond"/>
          <w:sz w:val="18"/>
          <w:szCs w:val="18"/>
          <w:color w:val="auto"/>
        </w:rPr>
        <w:t>1966; Andreasen &amp; Belk, 1980; Kotler &amp; Scheff, 1997; Lewis &amp; Seaman, 2004; Borgonovi, 2004; Masters et al., 2011; Falk &amp; Falk, 2011). We start our analysis by reviewing if such variables do present a relation to consumers’ National Theater attendance frequency and if, thus, it is possible to assert that they can be used to predict if a person is a frequent theater attender.</w:t>
      </w:r>
    </w:p>
    <w:p>
      <w:pPr>
        <w:spacing w:after="0" w:line="260" w:lineRule="exact"/>
        <w:rPr>
          <w:sz w:val="20"/>
          <w:szCs w:val="20"/>
          <w:color w:val="auto"/>
        </w:rPr>
      </w:pPr>
    </w:p>
    <w:p>
      <w:pPr>
        <w:spacing w:after="0"/>
        <w:rPr>
          <w:sz w:val="20"/>
          <w:szCs w:val="20"/>
          <w:color w:val="auto"/>
        </w:rPr>
      </w:pPr>
      <w:r>
        <w:rPr>
          <w:rFonts w:ascii="Garamond" w:cs="Garamond" w:eastAsia="Garamond" w:hAnsi="Garamond"/>
          <w:sz w:val="19"/>
          <w:szCs w:val="19"/>
          <w:color w:val="auto"/>
        </w:rPr>
        <w:t>Tab. 1 - Age/frequency of performance attendance. Source: Authors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-14605</wp:posOffset>
            </wp:positionH>
            <wp:positionV relativeFrom="paragraph">
              <wp:posOffset>38735</wp:posOffset>
            </wp:positionV>
            <wp:extent cx="4487545" cy="2044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4487545" cy="204470"/>
                    </a:xfrm>
                    <a:prstGeom prst="rect">
                      <a:avLst/>
                    </a:prstGeom>
                    <a:noFill/>
                  </pic:spPr>
                </pic:pic>
              </a:graphicData>
            </a:graphic>
          </wp:anchor>
        </w:drawing>
      </w:r>
    </w:p>
    <w:p>
      <w:pPr>
        <w:spacing w:after="0" w:line="38" w:lineRule="exact"/>
        <w:rPr>
          <w:sz w:val="20"/>
          <w:szCs w:val="20"/>
          <w:color w:val="auto"/>
        </w:rPr>
      </w:pPr>
    </w:p>
    <w:tbl>
      <w:tblPr>
        <w:tblLayout w:type="fixed"/>
        <w:tblInd w:w="10" w:type="dxa"/>
        <w:tblCellMar>
          <w:top w:w="0" w:type="dxa"/>
          <w:left w:w="0" w:type="dxa"/>
          <w:bottom w:w="0" w:type="dxa"/>
          <w:right w:w="0" w:type="dxa"/>
        </w:tblCellMar>
      </w:tblPr>
      <w:tr>
        <w:trPr>
          <w:trHeight w:val="274"/>
        </w:trPr>
        <w:tc>
          <w:tcPr>
            <w:tcW w:w="1860" w:type="dxa"/>
            <w:vAlign w:val="bottom"/>
            <w:tcBorders>
              <w:top w:val="single" w:sz="8" w:color="auto"/>
              <w:left w:val="single" w:sz="8" w:color="auto"/>
              <w:bottom w:val="single" w:sz="8" w:color="auto"/>
              <w:right w:val="single" w:sz="8" w:color="auto"/>
            </w:tcBorders>
          </w:tcPr>
          <w:p>
            <w:pPr>
              <w:spacing w:after="0"/>
              <w:rPr>
                <w:sz w:val="23"/>
                <w:szCs w:val="23"/>
                <w:color w:val="auto"/>
              </w:rPr>
            </w:pPr>
          </w:p>
        </w:tc>
        <w:tc>
          <w:tcPr>
            <w:tcW w:w="1300" w:type="dxa"/>
            <w:vAlign w:val="bottom"/>
            <w:tcBorders>
              <w:top w:val="single" w:sz="8" w:color="auto"/>
              <w:bottom w:val="single" w:sz="8" w:color="auto"/>
              <w:right w:val="single" w:sz="8" w:color="auto"/>
            </w:tcBorders>
          </w:tcPr>
          <w:p>
            <w:pPr>
              <w:jc w:val="center"/>
              <w:spacing w:after="0"/>
              <w:rPr>
                <w:sz w:val="20"/>
                <w:szCs w:val="20"/>
                <w:color w:val="auto"/>
              </w:rPr>
            </w:pPr>
            <w:r>
              <w:rPr>
                <w:rFonts w:ascii="Garamond" w:cs="Garamond" w:eastAsia="Garamond" w:hAnsi="Garamond"/>
                <w:sz w:val="19"/>
                <w:szCs w:val="19"/>
                <w:b w:val="1"/>
                <w:bCs w:val="1"/>
                <w:color w:val="auto"/>
              </w:rPr>
              <w:t>15-25</w:t>
            </w:r>
          </w:p>
        </w:tc>
        <w:tc>
          <w:tcPr>
            <w:tcW w:w="1300" w:type="dxa"/>
            <w:vAlign w:val="bottom"/>
            <w:tcBorders>
              <w:top w:val="single" w:sz="8" w:color="auto"/>
              <w:bottom w:val="single" w:sz="8" w:color="auto"/>
              <w:right w:val="single" w:sz="8" w:color="auto"/>
            </w:tcBorders>
          </w:tcPr>
          <w:p>
            <w:pPr>
              <w:jc w:val="center"/>
              <w:spacing w:after="0"/>
              <w:rPr>
                <w:sz w:val="20"/>
                <w:szCs w:val="20"/>
                <w:color w:val="auto"/>
              </w:rPr>
            </w:pPr>
            <w:r>
              <w:rPr>
                <w:rFonts w:ascii="Garamond" w:cs="Garamond" w:eastAsia="Garamond" w:hAnsi="Garamond"/>
                <w:sz w:val="19"/>
                <w:szCs w:val="19"/>
                <w:b w:val="1"/>
                <w:bCs w:val="1"/>
                <w:color w:val="auto"/>
              </w:rPr>
              <w:t>26-40</w:t>
            </w:r>
          </w:p>
        </w:tc>
        <w:tc>
          <w:tcPr>
            <w:tcW w:w="1300" w:type="dxa"/>
            <w:vAlign w:val="bottom"/>
            <w:tcBorders>
              <w:top w:val="single" w:sz="8" w:color="auto"/>
              <w:bottom w:val="single" w:sz="8" w:color="auto"/>
              <w:right w:val="single" w:sz="8" w:color="auto"/>
            </w:tcBorders>
          </w:tcPr>
          <w:p>
            <w:pPr>
              <w:jc w:val="center"/>
              <w:spacing w:after="0"/>
              <w:rPr>
                <w:sz w:val="20"/>
                <w:szCs w:val="20"/>
                <w:color w:val="auto"/>
              </w:rPr>
            </w:pPr>
            <w:r>
              <w:rPr>
                <w:rFonts w:ascii="Garamond" w:cs="Garamond" w:eastAsia="Garamond" w:hAnsi="Garamond"/>
                <w:sz w:val="19"/>
                <w:szCs w:val="19"/>
                <w:b w:val="1"/>
                <w:bCs w:val="1"/>
                <w:color w:val="auto"/>
              </w:rPr>
              <w:t>41-60</w:t>
            </w:r>
          </w:p>
        </w:tc>
        <w:tc>
          <w:tcPr>
            <w:tcW w:w="1280" w:type="dxa"/>
            <w:vAlign w:val="bottom"/>
            <w:tcBorders>
              <w:top w:val="single" w:sz="8" w:color="auto"/>
              <w:bottom w:val="single" w:sz="8" w:color="auto"/>
              <w:right w:val="single" w:sz="8" w:color="auto"/>
            </w:tcBorders>
          </w:tcPr>
          <w:p>
            <w:pPr>
              <w:jc w:val="center"/>
              <w:spacing w:after="0"/>
              <w:rPr>
                <w:sz w:val="20"/>
                <w:szCs w:val="20"/>
                <w:color w:val="auto"/>
              </w:rPr>
            </w:pPr>
            <w:r>
              <w:rPr>
                <w:rFonts w:ascii="Garamond" w:cs="Garamond" w:eastAsia="Garamond" w:hAnsi="Garamond"/>
                <w:sz w:val="19"/>
                <w:szCs w:val="19"/>
                <w:b w:val="1"/>
                <w:bCs w:val="1"/>
                <w:color w:val="auto"/>
                <w:w w:val="98"/>
              </w:rPr>
              <w:t>60+</w:t>
            </w:r>
          </w:p>
        </w:tc>
      </w:tr>
      <w:tr>
        <w:trPr>
          <w:trHeight w:val="248"/>
        </w:trPr>
        <w:tc>
          <w:tcPr>
            <w:tcW w:w="1860" w:type="dxa"/>
            <w:vAlign w:val="bottom"/>
            <w:tcBorders>
              <w:left w:val="single" w:sz="8" w:color="auto"/>
              <w:right w:val="single" w:sz="8" w:color="auto"/>
            </w:tcBorders>
          </w:tcPr>
          <w:p>
            <w:pPr>
              <w:jc w:val="center"/>
              <w:spacing w:after="0"/>
              <w:rPr>
                <w:sz w:val="20"/>
                <w:szCs w:val="20"/>
                <w:color w:val="auto"/>
              </w:rPr>
            </w:pPr>
            <w:r>
              <w:rPr>
                <w:rFonts w:ascii="Garamond" w:cs="Garamond" w:eastAsia="Garamond" w:hAnsi="Garamond"/>
                <w:sz w:val="19"/>
                <w:szCs w:val="19"/>
                <w:color w:val="auto"/>
                <w:w w:val="99"/>
              </w:rPr>
              <w:t>More than once a year</w:t>
            </w:r>
          </w:p>
        </w:tc>
        <w:tc>
          <w:tcPr>
            <w:tcW w:w="130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-4.9</w:t>
            </w:r>
          </w:p>
        </w:tc>
        <w:tc>
          <w:tcPr>
            <w:tcW w:w="130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-0.9</w:t>
            </w:r>
          </w:p>
        </w:tc>
        <w:tc>
          <w:tcPr>
            <w:tcW w:w="130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-0.5</w:t>
            </w:r>
          </w:p>
        </w:tc>
        <w:tc>
          <w:tcPr>
            <w:tcW w:w="12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89"/>
              </w:rPr>
              <w:t>6</w:t>
            </w:r>
          </w:p>
        </w:tc>
      </w:tr>
      <w:tr>
        <w:trPr>
          <w:trHeight w:val="21"/>
        </w:trPr>
        <w:tc>
          <w:tcPr>
            <w:tcW w:w="186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300" w:type="dxa"/>
            <w:vAlign w:val="bottom"/>
            <w:tcBorders>
              <w:bottom w:val="single" w:sz="8" w:color="auto"/>
              <w:right w:val="single" w:sz="8" w:color="auto"/>
            </w:tcBorders>
          </w:tcPr>
          <w:p>
            <w:pPr>
              <w:spacing w:after="0" w:line="20" w:lineRule="exact"/>
              <w:rPr>
                <w:sz w:val="1"/>
                <w:szCs w:val="1"/>
                <w:color w:val="auto"/>
              </w:rPr>
            </w:pPr>
          </w:p>
        </w:tc>
        <w:tc>
          <w:tcPr>
            <w:tcW w:w="1300" w:type="dxa"/>
            <w:vAlign w:val="bottom"/>
            <w:tcBorders>
              <w:bottom w:val="single" w:sz="8" w:color="auto"/>
              <w:right w:val="single" w:sz="8" w:color="auto"/>
            </w:tcBorders>
          </w:tcPr>
          <w:p>
            <w:pPr>
              <w:spacing w:after="0" w:line="20" w:lineRule="exact"/>
              <w:rPr>
                <w:sz w:val="1"/>
                <w:szCs w:val="1"/>
                <w:color w:val="auto"/>
              </w:rPr>
            </w:pPr>
          </w:p>
        </w:tc>
        <w:tc>
          <w:tcPr>
            <w:tcW w:w="1300" w:type="dxa"/>
            <w:vAlign w:val="bottom"/>
            <w:tcBorders>
              <w:bottom w:val="single" w:sz="8" w:color="auto"/>
              <w:right w:val="single" w:sz="8" w:color="auto"/>
            </w:tcBorders>
          </w:tcPr>
          <w:p>
            <w:pPr>
              <w:spacing w:after="0" w:line="20" w:lineRule="exact"/>
              <w:rPr>
                <w:sz w:val="1"/>
                <w:szCs w:val="1"/>
                <w:color w:val="auto"/>
              </w:rPr>
            </w:pPr>
          </w:p>
        </w:tc>
        <w:tc>
          <w:tcPr>
            <w:tcW w:w="1280" w:type="dxa"/>
            <w:vAlign w:val="bottom"/>
            <w:tcBorders>
              <w:bottom w:val="single" w:sz="8" w:color="auto"/>
              <w:right w:val="single" w:sz="8" w:color="auto"/>
            </w:tcBorders>
          </w:tcPr>
          <w:p>
            <w:pPr>
              <w:spacing w:after="0" w:line="20" w:lineRule="exact"/>
              <w:rPr>
                <w:sz w:val="1"/>
                <w:szCs w:val="1"/>
                <w:color w:val="auto"/>
              </w:rPr>
            </w:pPr>
          </w:p>
        </w:tc>
      </w:tr>
      <w:tr>
        <w:trPr>
          <w:trHeight w:val="240"/>
        </w:trPr>
        <w:tc>
          <w:tcPr>
            <w:tcW w:w="1860" w:type="dxa"/>
            <w:vAlign w:val="bottom"/>
            <w:tcBorders>
              <w:left w:val="single" w:sz="8" w:color="auto"/>
              <w:right w:val="single" w:sz="8" w:color="auto"/>
            </w:tcBorders>
          </w:tcPr>
          <w:p>
            <w:pPr>
              <w:jc w:val="center"/>
              <w:spacing w:after="0"/>
              <w:rPr>
                <w:sz w:val="20"/>
                <w:szCs w:val="20"/>
                <w:color w:val="auto"/>
              </w:rPr>
            </w:pPr>
            <w:r>
              <w:rPr>
                <w:rFonts w:ascii="Garamond" w:cs="Garamond" w:eastAsia="Garamond" w:hAnsi="Garamond"/>
                <w:sz w:val="19"/>
                <w:szCs w:val="19"/>
                <w:color w:val="auto"/>
                <w:w w:val="98"/>
              </w:rPr>
              <w:t>Once a year</w:t>
            </w:r>
          </w:p>
        </w:tc>
        <w:tc>
          <w:tcPr>
            <w:tcW w:w="130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9"/>
              </w:rPr>
              <w:t>1.8</w:t>
            </w:r>
          </w:p>
        </w:tc>
        <w:tc>
          <w:tcPr>
            <w:tcW w:w="130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9"/>
              </w:rPr>
              <w:t>1.3</w:t>
            </w:r>
          </w:p>
        </w:tc>
        <w:tc>
          <w:tcPr>
            <w:tcW w:w="130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89"/>
              </w:rPr>
              <w:t>1</w:t>
            </w:r>
          </w:p>
        </w:tc>
        <w:tc>
          <w:tcPr>
            <w:tcW w:w="12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-4</w:t>
            </w:r>
          </w:p>
        </w:tc>
      </w:tr>
      <w:tr>
        <w:trPr>
          <w:trHeight w:val="22"/>
        </w:trPr>
        <w:tc>
          <w:tcPr>
            <w:tcW w:w="186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300" w:type="dxa"/>
            <w:vAlign w:val="bottom"/>
            <w:tcBorders>
              <w:bottom w:val="single" w:sz="8" w:color="auto"/>
              <w:right w:val="single" w:sz="8" w:color="auto"/>
            </w:tcBorders>
          </w:tcPr>
          <w:p>
            <w:pPr>
              <w:spacing w:after="0" w:line="20" w:lineRule="exact"/>
              <w:rPr>
                <w:sz w:val="1"/>
                <w:szCs w:val="1"/>
                <w:color w:val="auto"/>
              </w:rPr>
            </w:pPr>
          </w:p>
        </w:tc>
        <w:tc>
          <w:tcPr>
            <w:tcW w:w="1300" w:type="dxa"/>
            <w:vAlign w:val="bottom"/>
            <w:tcBorders>
              <w:bottom w:val="single" w:sz="8" w:color="auto"/>
              <w:right w:val="single" w:sz="8" w:color="auto"/>
            </w:tcBorders>
          </w:tcPr>
          <w:p>
            <w:pPr>
              <w:spacing w:after="0" w:line="20" w:lineRule="exact"/>
              <w:rPr>
                <w:sz w:val="1"/>
                <w:szCs w:val="1"/>
                <w:color w:val="auto"/>
              </w:rPr>
            </w:pPr>
          </w:p>
        </w:tc>
        <w:tc>
          <w:tcPr>
            <w:tcW w:w="1300" w:type="dxa"/>
            <w:vAlign w:val="bottom"/>
            <w:tcBorders>
              <w:bottom w:val="single" w:sz="8" w:color="auto"/>
              <w:right w:val="single" w:sz="8" w:color="auto"/>
            </w:tcBorders>
          </w:tcPr>
          <w:p>
            <w:pPr>
              <w:spacing w:after="0" w:line="20" w:lineRule="exact"/>
              <w:rPr>
                <w:sz w:val="1"/>
                <w:szCs w:val="1"/>
                <w:color w:val="auto"/>
              </w:rPr>
            </w:pPr>
          </w:p>
        </w:tc>
        <w:tc>
          <w:tcPr>
            <w:tcW w:w="1280" w:type="dxa"/>
            <w:vAlign w:val="bottom"/>
            <w:tcBorders>
              <w:bottom w:val="single" w:sz="8" w:color="auto"/>
              <w:right w:val="single" w:sz="8" w:color="auto"/>
            </w:tcBorders>
          </w:tcPr>
          <w:p>
            <w:pPr>
              <w:spacing w:after="0" w:line="20" w:lineRule="exact"/>
              <w:rPr>
                <w:sz w:val="1"/>
                <w:szCs w:val="1"/>
                <w:color w:val="auto"/>
              </w:rPr>
            </w:pPr>
          </w:p>
        </w:tc>
      </w:tr>
      <w:tr>
        <w:trPr>
          <w:trHeight w:val="240"/>
        </w:trPr>
        <w:tc>
          <w:tcPr>
            <w:tcW w:w="1860" w:type="dxa"/>
            <w:vAlign w:val="bottom"/>
            <w:tcBorders>
              <w:left w:val="single" w:sz="8" w:color="auto"/>
              <w:right w:val="single" w:sz="8" w:color="auto"/>
            </w:tcBorders>
          </w:tcPr>
          <w:p>
            <w:pPr>
              <w:jc w:val="center"/>
              <w:spacing w:after="0"/>
              <w:rPr>
                <w:sz w:val="20"/>
                <w:szCs w:val="20"/>
                <w:color w:val="auto"/>
              </w:rPr>
            </w:pPr>
            <w:r>
              <w:rPr>
                <w:rFonts w:ascii="Garamond" w:cs="Garamond" w:eastAsia="Garamond" w:hAnsi="Garamond"/>
                <w:sz w:val="19"/>
                <w:szCs w:val="19"/>
                <w:color w:val="auto"/>
              </w:rPr>
              <w:t>First visit</w:t>
            </w:r>
          </w:p>
        </w:tc>
        <w:tc>
          <w:tcPr>
            <w:tcW w:w="130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89"/>
              </w:rPr>
              <w:t>7</w:t>
            </w:r>
          </w:p>
        </w:tc>
        <w:tc>
          <w:tcPr>
            <w:tcW w:w="130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-0.8</w:t>
            </w:r>
          </w:p>
        </w:tc>
        <w:tc>
          <w:tcPr>
            <w:tcW w:w="130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2"/>
              </w:rPr>
              <w:t>-1.1</w:t>
            </w:r>
          </w:p>
        </w:tc>
        <w:tc>
          <w:tcPr>
            <w:tcW w:w="12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-4.7</w:t>
            </w:r>
          </w:p>
        </w:tc>
      </w:tr>
      <w:tr>
        <w:trPr>
          <w:trHeight w:val="21"/>
        </w:trPr>
        <w:tc>
          <w:tcPr>
            <w:tcW w:w="186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300" w:type="dxa"/>
            <w:vAlign w:val="bottom"/>
            <w:tcBorders>
              <w:bottom w:val="single" w:sz="8" w:color="auto"/>
              <w:right w:val="single" w:sz="8" w:color="auto"/>
            </w:tcBorders>
          </w:tcPr>
          <w:p>
            <w:pPr>
              <w:spacing w:after="0" w:line="20" w:lineRule="exact"/>
              <w:rPr>
                <w:sz w:val="1"/>
                <w:szCs w:val="1"/>
                <w:color w:val="auto"/>
              </w:rPr>
            </w:pPr>
          </w:p>
        </w:tc>
        <w:tc>
          <w:tcPr>
            <w:tcW w:w="1300" w:type="dxa"/>
            <w:vAlign w:val="bottom"/>
            <w:tcBorders>
              <w:bottom w:val="single" w:sz="8" w:color="auto"/>
              <w:right w:val="single" w:sz="8" w:color="auto"/>
            </w:tcBorders>
          </w:tcPr>
          <w:p>
            <w:pPr>
              <w:spacing w:after="0" w:line="20" w:lineRule="exact"/>
              <w:rPr>
                <w:sz w:val="1"/>
                <w:szCs w:val="1"/>
                <w:color w:val="auto"/>
              </w:rPr>
            </w:pPr>
          </w:p>
        </w:tc>
        <w:tc>
          <w:tcPr>
            <w:tcW w:w="1300" w:type="dxa"/>
            <w:vAlign w:val="bottom"/>
            <w:tcBorders>
              <w:bottom w:val="single" w:sz="8" w:color="auto"/>
              <w:right w:val="single" w:sz="8" w:color="auto"/>
            </w:tcBorders>
          </w:tcPr>
          <w:p>
            <w:pPr>
              <w:spacing w:after="0" w:line="20" w:lineRule="exact"/>
              <w:rPr>
                <w:sz w:val="1"/>
                <w:szCs w:val="1"/>
                <w:color w:val="auto"/>
              </w:rPr>
            </w:pPr>
          </w:p>
        </w:tc>
        <w:tc>
          <w:tcPr>
            <w:tcW w:w="1280" w:type="dxa"/>
            <w:vAlign w:val="bottom"/>
            <w:tcBorders>
              <w:bottom w:val="single" w:sz="8" w:color="auto"/>
              <w:right w:val="single" w:sz="8" w:color="auto"/>
            </w:tcBorders>
          </w:tcPr>
          <w:p>
            <w:pPr>
              <w:spacing w:after="0" w:line="20" w:lineRule="exact"/>
              <w:rPr>
                <w:sz w:val="1"/>
                <w:szCs w:val="1"/>
                <w:color w:val="auto"/>
              </w:rPr>
            </w:pPr>
          </w:p>
        </w:tc>
      </w:tr>
    </w:tbl>
    <w:p>
      <w:pPr>
        <w:spacing w:after="0" w:line="72" w:lineRule="exact"/>
        <w:rPr>
          <w:sz w:val="20"/>
          <w:szCs w:val="20"/>
          <w:color w:val="auto"/>
        </w:rPr>
      </w:pPr>
    </w:p>
    <w:p>
      <w:pPr>
        <w:jc w:val="both"/>
        <w:spacing w:after="0" w:line="283" w:lineRule="auto"/>
        <w:rPr>
          <w:sz w:val="20"/>
          <w:szCs w:val="20"/>
          <w:color w:val="auto"/>
        </w:rPr>
      </w:pPr>
      <w:r>
        <w:rPr>
          <w:rFonts w:ascii="Garamond" w:cs="Garamond" w:eastAsia="Garamond" w:hAnsi="Garamond"/>
          <w:sz w:val="19"/>
          <w:szCs w:val="19"/>
          <w:color w:val="auto"/>
        </w:rPr>
        <w:t>Similarly to some previous studies (e.g. Ngobo, 2005; Favaro &amp; Frateschi, 2007; Ateca-Amestoy; 2008), what was found significant for the frequency of attendance was age (Chi-square = 79.265, significant at 1% significance level). What can be noted in particular in the Tab. 1 are the signifi-cant (more than 2 or less than -2, evidenced in grey) adjusted standardized residuals that offer an illustration of which age groups tend to be over or underrepresented for each visit frequency group. What stands out here is the overrepresentation of older consumers (over 60) in the fre-quent theater goers group who attend the theater more times during the year. Quite understand-ably, then, young consumers are often first-timers and much less often regulars. Interestingly, this is at odds with what found by Falk &amp; Falk (2011) who found a decreasing tendency in at-tendance with increasing age.</w:t>
      </w:r>
    </w:p>
    <w:p>
      <w:pPr>
        <w:spacing w:after="0" w:line="286" w:lineRule="exact"/>
        <w:rPr>
          <w:sz w:val="20"/>
          <w:szCs w:val="20"/>
          <w:color w:val="auto"/>
        </w:rPr>
      </w:pPr>
    </w:p>
    <w:p>
      <w:pPr>
        <w:spacing w:after="0"/>
        <w:rPr>
          <w:sz w:val="20"/>
          <w:szCs w:val="20"/>
          <w:color w:val="auto"/>
        </w:rPr>
      </w:pPr>
      <w:r>
        <w:rPr>
          <w:rFonts w:ascii="Garamond" w:cs="Garamond" w:eastAsia="Garamond" w:hAnsi="Garamond"/>
          <w:sz w:val="19"/>
          <w:szCs w:val="19"/>
          <w:color w:val="auto"/>
        </w:rPr>
        <w:t>Tab. 2 - Place of residence/frequency of performance attendance. Source: Authors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-27305</wp:posOffset>
            </wp:positionH>
            <wp:positionV relativeFrom="paragraph">
              <wp:posOffset>25400</wp:posOffset>
            </wp:positionV>
            <wp:extent cx="4514850" cy="7061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4514850" cy="706120"/>
                    </a:xfrm>
                    <a:prstGeom prst="rect">
                      <a:avLst/>
                    </a:prstGeom>
                    <a:noFill/>
                  </pic:spPr>
                </pic:pic>
              </a:graphicData>
            </a:graphic>
          </wp:anchor>
        </w:drawing>
      </w:r>
    </w:p>
    <w:p>
      <w:pPr>
        <w:spacing w:after="0" w:line="38" w:lineRule="exact"/>
        <w:rPr>
          <w:sz w:val="20"/>
          <w:szCs w:val="20"/>
          <w:color w:val="auto"/>
        </w:rPr>
      </w:pPr>
    </w:p>
    <w:tbl>
      <w:tblPr>
        <w:tblLayout w:type="fixed"/>
        <w:tblInd w:w="10" w:type="dxa"/>
        <w:tblCellMar>
          <w:top w:w="0" w:type="dxa"/>
          <w:left w:w="0" w:type="dxa"/>
          <w:bottom w:w="0" w:type="dxa"/>
          <w:right w:w="0" w:type="dxa"/>
        </w:tblCellMar>
      </w:tblPr>
      <w:tr>
        <w:trPr>
          <w:trHeight w:val="269"/>
        </w:trPr>
        <w:tc>
          <w:tcPr>
            <w:tcW w:w="1180" w:type="dxa"/>
            <w:vAlign w:val="bottom"/>
            <w:tcBorders>
              <w:top w:val="single" w:sz="8" w:color="auto"/>
              <w:left w:val="single" w:sz="8" w:color="auto"/>
              <w:right w:val="single" w:sz="8" w:color="auto"/>
            </w:tcBorders>
          </w:tcPr>
          <w:p>
            <w:pPr>
              <w:spacing w:after="0"/>
              <w:rPr>
                <w:sz w:val="23"/>
                <w:szCs w:val="23"/>
                <w:color w:val="auto"/>
              </w:rPr>
            </w:pPr>
          </w:p>
        </w:tc>
        <w:tc>
          <w:tcPr>
            <w:tcW w:w="1180" w:type="dxa"/>
            <w:vAlign w:val="bottom"/>
            <w:tcBorders>
              <w:top w:val="single" w:sz="8" w:color="auto"/>
              <w:right w:val="single" w:sz="8" w:color="auto"/>
            </w:tcBorders>
          </w:tcPr>
          <w:p>
            <w:pPr>
              <w:spacing w:after="0"/>
              <w:rPr>
                <w:sz w:val="23"/>
                <w:szCs w:val="23"/>
                <w:color w:val="auto"/>
              </w:rPr>
            </w:pPr>
          </w:p>
        </w:tc>
        <w:tc>
          <w:tcPr>
            <w:tcW w:w="1160" w:type="dxa"/>
            <w:vAlign w:val="bottom"/>
            <w:tcBorders>
              <w:top w:val="single" w:sz="8" w:color="auto"/>
              <w:right w:val="single" w:sz="8" w:color="auto"/>
            </w:tcBorders>
          </w:tcPr>
          <w:p>
            <w:pPr>
              <w:jc w:val="center"/>
              <w:spacing w:after="0"/>
              <w:rPr>
                <w:sz w:val="20"/>
                <w:szCs w:val="20"/>
                <w:color w:val="auto"/>
              </w:rPr>
            </w:pPr>
            <w:r>
              <w:rPr>
                <w:rFonts w:ascii="Garamond" w:cs="Garamond" w:eastAsia="Garamond" w:hAnsi="Garamond"/>
                <w:sz w:val="19"/>
                <w:szCs w:val="19"/>
                <w:b w:val="1"/>
                <w:bCs w:val="1"/>
                <w:color w:val="auto"/>
              </w:rPr>
              <w:t>Central Bo-</w:t>
            </w:r>
          </w:p>
        </w:tc>
        <w:tc>
          <w:tcPr>
            <w:tcW w:w="1180" w:type="dxa"/>
            <w:vAlign w:val="bottom"/>
            <w:tcBorders>
              <w:top w:val="single" w:sz="8" w:color="auto"/>
              <w:right w:val="single" w:sz="8" w:color="auto"/>
            </w:tcBorders>
          </w:tcPr>
          <w:p>
            <w:pPr>
              <w:jc w:val="center"/>
              <w:spacing w:after="0"/>
              <w:rPr>
                <w:sz w:val="20"/>
                <w:szCs w:val="20"/>
                <w:color w:val="auto"/>
              </w:rPr>
            </w:pPr>
            <w:r>
              <w:rPr>
                <w:rFonts w:ascii="Garamond" w:cs="Garamond" w:eastAsia="Garamond" w:hAnsi="Garamond"/>
                <w:sz w:val="19"/>
                <w:szCs w:val="19"/>
                <w:b w:val="1"/>
                <w:bCs w:val="1"/>
                <w:color w:val="auto"/>
              </w:rPr>
              <w:t>Central</w:t>
            </w:r>
          </w:p>
        </w:tc>
        <w:tc>
          <w:tcPr>
            <w:tcW w:w="1180" w:type="dxa"/>
            <w:vAlign w:val="bottom"/>
            <w:tcBorders>
              <w:top w:val="single" w:sz="8" w:color="auto"/>
              <w:right w:val="single" w:sz="8" w:color="auto"/>
            </w:tcBorders>
          </w:tcPr>
          <w:p>
            <w:pPr>
              <w:jc w:val="center"/>
              <w:spacing w:after="0"/>
              <w:rPr>
                <w:sz w:val="20"/>
                <w:szCs w:val="20"/>
                <w:color w:val="auto"/>
              </w:rPr>
            </w:pPr>
            <w:r>
              <w:rPr>
                <w:rFonts w:ascii="Garamond" w:cs="Garamond" w:eastAsia="Garamond" w:hAnsi="Garamond"/>
                <w:sz w:val="19"/>
                <w:szCs w:val="19"/>
                <w:b w:val="1"/>
                <w:bCs w:val="1"/>
                <w:color w:val="auto"/>
                <w:w w:val="97"/>
              </w:rPr>
              <w:t>Other</w:t>
            </w:r>
          </w:p>
        </w:tc>
        <w:tc>
          <w:tcPr>
            <w:tcW w:w="1160" w:type="dxa"/>
            <w:vAlign w:val="bottom"/>
            <w:tcBorders>
              <w:top w:val="single" w:sz="8" w:color="auto"/>
              <w:right w:val="single" w:sz="8" w:color="auto"/>
            </w:tcBorders>
          </w:tcPr>
          <w:p>
            <w:pPr>
              <w:jc w:val="center"/>
              <w:spacing w:after="0"/>
              <w:rPr>
                <w:sz w:val="20"/>
                <w:szCs w:val="20"/>
                <w:color w:val="auto"/>
              </w:rPr>
            </w:pPr>
            <w:r>
              <w:rPr>
                <w:rFonts w:ascii="Garamond" w:cs="Garamond" w:eastAsia="Garamond" w:hAnsi="Garamond"/>
                <w:sz w:val="19"/>
                <w:szCs w:val="19"/>
                <w:b w:val="1"/>
                <w:bCs w:val="1"/>
                <w:color w:val="auto"/>
              </w:rPr>
              <w:t>Other</w:t>
            </w:r>
          </w:p>
        </w:tc>
        <w:tc>
          <w:tcPr>
            <w:tcW w:w="0" w:type="dxa"/>
            <w:vAlign w:val="bottom"/>
          </w:tcPr>
          <w:p>
            <w:pPr>
              <w:spacing w:after="0"/>
              <w:rPr>
                <w:sz w:val="1"/>
                <w:szCs w:val="1"/>
                <w:color w:val="auto"/>
              </w:rPr>
            </w:pPr>
          </w:p>
        </w:tc>
      </w:tr>
      <w:tr>
        <w:trPr>
          <w:trHeight w:val="250"/>
        </w:trPr>
        <w:tc>
          <w:tcPr>
            <w:tcW w:w="1180" w:type="dxa"/>
            <w:vAlign w:val="bottom"/>
            <w:tcBorders>
              <w:left w:val="single" w:sz="8" w:color="auto"/>
              <w:right w:val="single" w:sz="8" w:color="auto"/>
            </w:tcBorders>
          </w:tcPr>
          <w:p>
            <w:pPr>
              <w:spacing w:after="0"/>
              <w:rPr>
                <w:sz w:val="21"/>
                <w:szCs w:val="21"/>
                <w:color w:val="auto"/>
              </w:rPr>
            </w:pPr>
          </w:p>
        </w:tc>
        <w:tc>
          <w:tcPr>
            <w:tcW w:w="1180" w:type="dxa"/>
            <w:vAlign w:val="bottom"/>
            <w:tcBorders>
              <w:right w:val="single" w:sz="8" w:color="auto"/>
            </w:tcBorders>
            <w:vMerge w:val="restart"/>
          </w:tcPr>
          <w:p>
            <w:pPr>
              <w:ind w:left="280"/>
              <w:spacing w:after="0"/>
              <w:rPr>
                <w:sz w:val="20"/>
                <w:szCs w:val="20"/>
                <w:color w:val="auto"/>
              </w:rPr>
            </w:pPr>
            <w:r>
              <w:rPr>
                <w:rFonts w:ascii="Garamond" w:cs="Garamond" w:eastAsia="Garamond" w:hAnsi="Garamond"/>
                <w:sz w:val="19"/>
                <w:szCs w:val="19"/>
                <w:b w:val="1"/>
                <w:bCs w:val="1"/>
                <w:color w:val="auto"/>
              </w:rPr>
              <w:t>Prague</w:t>
            </w:r>
          </w:p>
        </w:tc>
        <w:tc>
          <w:tcPr>
            <w:tcW w:w="116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b w:val="1"/>
                <w:bCs w:val="1"/>
                <w:color w:val="auto"/>
                <w:w w:val="99"/>
              </w:rPr>
              <w:t>hemia more</w:t>
            </w:r>
          </w:p>
        </w:tc>
        <w:tc>
          <w:tcPr>
            <w:tcW w:w="11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b w:val="1"/>
                <w:bCs w:val="1"/>
                <w:color w:val="auto"/>
                <w:w w:val="99"/>
              </w:rPr>
              <w:t>Bohemia</w:t>
            </w:r>
          </w:p>
        </w:tc>
        <w:tc>
          <w:tcPr>
            <w:tcW w:w="11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b w:val="1"/>
                <w:bCs w:val="1"/>
                <w:color w:val="auto"/>
              </w:rPr>
              <w:t>region more</w:t>
            </w:r>
          </w:p>
        </w:tc>
        <w:tc>
          <w:tcPr>
            <w:tcW w:w="116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b w:val="1"/>
                <w:bCs w:val="1"/>
                <w:color w:val="auto"/>
                <w:w w:val="97"/>
              </w:rPr>
              <w:t>region less</w:t>
            </w:r>
          </w:p>
        </w:tc>
        <w:tc>
          <w:tcPr>
            <w:tcW w:w="0" w:type="dxa"/>
            <w:vAlign w:val="bottom"/>
          </w:tcPr>
          <w:p>
            <w:pPr>
              <w:spacing w:after="0"/>
              <w:rPr>
                <w:sz w:val="1"/>
                <w:szCs w:val="1"/>
                <w:color w:val="auto"/>
              </w:rPr>
            </w:pPr>
          </w:p>
        </w:tc>
      </w:tr>
      <w:tr>
        <w:trPr>
          <w:trHeight w:val="128"/>
        </w:trPr>
        <w:tc>
          <w:tcPr>
            <w:tcW w:w="1180" w:type="dxa"/>
            <w:vAlign w:val="bottom"/>
            <w:tcBorders>
              <w:left w:val="single" w:sz="8" w:color="auto"/>
              <w:right w:val="single" w:sz="8" w:color="auto"/>
            </w:tcBorders>
          </w:tcPr>
          <w:p>
            <w:pPr>
              <w:spacing w:after="0"/>
              <w:rPr>
                <w:sz w:val="11"/>
                <w:szCs w:val="11"/>
                <w:color w:val="auto"/>
              </w:rPr>
            </w:pPr>
          </w:p>
        </w:tc>
        <w:tc>
          <w:tcPr>
            <w:tcW w:w="1180" w:type="dxa"/>
            <w:vAlign w:val="bottom"/>
            <w:tcBorders>
              <w:right w:val="single" w:sz="8" w:color="auto"/>
            </w:tcBorders>
            <w:vMerge w:val="continue"/>
          </w:tcPr>
          <w:p>
            <w:pPr>
              <w:spacing w:after="0"/>
              <w:rPr>
                <w:sz w:val="11"/>
                <w:szCs w:val="11"/>
                <w:color w:val="auto"/>
              </w:rPr>
            </w:pPr>
          </w:p>
        </w:tc>
        <w:tc>
          <w:tcPr>
            <w:tcW w:w="1160" w:type="dxa"/>
            <w:vAlign w:val="bottom"/>
            <w:tcBorders>
              <w:right w:val="single" w:sz="8" w:color="auto"/>
            </w:tcBorders>
            <w:vMerge w:val="restart"/>
          </w:tcPr>
          <w:p>
            <w:pPr>
              <w:jc w:val="center"/>
              <w:spacing w:after="0"/>
              <w:rPr>
                <w:sz w:val="20"/>
                <w:szCs w:val="20"/>
                <w:color w:val="auto"/>
              </w:rPr>
            </w:pPr>
            <w:r>
              <w:rPr>
                <w:rFonts w:ascii="Garamond" w:cs="Garamond" w:eastAsia="Garamond" w:hAnsi="Garamond"/>
                <w:sz w:val="19"/>
                <w:szCs w:val="19"/>
                <w:b w:val="1"/>
                <w:bCs w:val="1"/>
                <w:color w:val="auto"/>
              </w:rPr>
              <w:t>than 20</w:t>
            </w:r>
          </w:p>
        </w:tc>
        <w:tc>
          <w:tcPr>
            <w:tcW w:w="1180" w:type="dxa"/>
            <w:vAlign w:val="bottom"/>
            <w:tcBorders>
              <w:right w:val="single" w:sz="8" w:color="auto"/>
            </w:tcBorders>
            <w:vMerge w:val="restart"/>
          </w:tcPr>
          <w:p>
            <w:pPr>
              <w:jc w:val="center"/>
              <w:spacing w:after="0"/>
              <w:rPr>
                <w:sz w:val="20"/>
                <w:szCs w:val="20"/>
                <w:color w:val="auto"/>
              </w:rPr>
            </w:pPr>
            <w:r>
              <w:rPr>
                <w:rFonts w:ascii="Garamond" w:cs="Garamond" w:eastAsia="Garamond" w:hAnsi="Garamond"/>
                <w:sz w:val="19"/>
                <w:szCs w:val="19"/>
                <w:b w:val="1"/>
                <w:bCs w:val="1"/>
                <w:color w:val="auto"/>
                <w:w w:val="98"/>
              </w:rPr>
              <w:t>less than 20</w:t>
            </w:r>
          </w:p>
        </w:tc>
        <w:tc>
          <w:tcPr>
            <w:tcW w:w="1180" w:type="dxa"/>
            <w:vAlign w:val="bottom"/>
            <w:tcBorders>
              <w:right w:val="single" w:sz="8" w:color="auto"/>
            </w:tcBorders>
            <w:vMerge w:val="restart"/>
          </w:tcPr>
          <w:p>
            <w:pPr>
              <w:jc w:val="center"/>
              <w:spacing w:after="0"/>
              <w:rPr>
                <w:sz w:val="20"/>
                <w:szCs w:val="20"/>
                <w:color w:val="auto"/>
              </w:rPr>
            </w:pPr>
            <w:r>
              <w:rPr>
                <w:rFonts w:ascii="Garamond" w:cs="Garamond" w:eastAsia="Garamond" w:hAnsi="Garamond"/>
                <w:sz w:val="19"/>
                <w:szCs w:val="19"/>
                <w:b w:val="1"/>
                <w:bCs w:val="1"/>
                <w:color w:val="auto"/>
                <w:w w:val="98"/>
              </w:rPr>
              <w:t>than 20</w:t>
            </w:r>
          </w:p>
        </w:tc>
        <w:tc>
          <w:tcPr>
            <w:tcW w:w="1160" w:type="dxa"/>
            <w:vAlign w:val="bottom"/>
            <w:tcBorders>
              <w:right w:val="single" w:sz="8" w:color="auto"/>
            </w:tcBorders>
            <w:vMerge w:val="restart"/>
          </w:tcPr>
          <w:p>
            <w:pPr>
              <w:jc w:val="center"/>
              <w:spacing w:after="0"/>
              <w:rPr>
                <w:sz w:val="20"/>
                <w:szCs w:val="20"/>
                <w:color w:val="auto"/>
              </w:rPr>
            </w:pPr>
            <w:r>
              <w:rPr>
                <w:rFonts w:ascii="Garamond" w:cs="Garamond" w:eastAsia="Garamond" w:hAnsi="Garamond"/>
                <w:sz w:val="19"/>
                <w:szCs w:val="19"/>
                <w:b w:val="1"/>
                <w:bCs w:val="1"/>
                <w:color w:val="auto"/>
              </w:rPr>
              <w:t>than 20</w:t>
            </w:r>
          </w:p>
        </w:tc>
        <w:tc>
          <w:tcPr>
            <w:tcW w:w="0" w:type="dxa"/>
            <w:vAlign w:val="bottom"/>
          </w:tcPr>
          <w:p>
            <w:pPr>
              <w:spacing w:after="0"/>
              <w:rPr>
                <w:sz w:val="1"/>
                <w:szCs w:val="1"/>
                <w:color w:val="auto"/>
              </w:rPr>
            </w:pPr>
          </w:p>
        </w:tc>
      </w:tr>
      <w:tr>
        <w:trPr>
          <w:trHeight w:val="122"/>
        </w:trPr>
        <w:tc>
          <w:tcPr>
            <w:tcW w:w="1180" w:type="dxa"/>
            <w:vAlign w:val="bottom"/>
            <w:tcBorders>
              <w:left w:val="single" w:sz="8" w:color="auto"/>
              <w:right w:val="single" w:sz="8" w:color="auto"/>
            </w:tcBorders>
          </w:tcPr>
          <w:p>
            <w:pPr>
              <w:spacing w:after="0"/>
              <w:rPr>
                <w:sz w:val="10"/>
                <w:szCs w:val="10"/>
                <w:color w:val="auto"/>
              </w:rPr>
            </w:pPr>
          </w:p>
        </w:tc>
        <w:tc>
          <w:tcPr>
            <w:tcW w:w="1180" w:type="dxa"/>
            <w:vAlign w:val="bottom"/>
            <w:tcBorders>
              <w:right w:val="single" w:sz="8" w:color="auto"/>
            </w:tcBorders>
          </w:tcPr>
          <w:p>
            <w:pPr>
              <w:spacing w:after="0"/>
              <w:rPr>
                <w:sz w:val="10"/>
                <w:szCs w:val="10"/>
                <w:color w:val="auto"/>
              </w:rPr>
            </w:pPr>
          </w:p>
        </w:tc>
        <w:tc>
          <w:tcPr>
            <w:tcW w:w="1160" w:type="dxa"/>
            <w:vAlign w:val="bottom"/>
            <w:tcBorders>
              <w:right w:val="single" w:sz="8" w:color="auto"/>
            </w:tcBorders>
            <w:vMerge w:val="continue"/>
          </w:tcPr>
          <w:p>
            <w:pPr>
              <w:spacing w:after="0"/>
              <w:rPr>
                <w:sz w:val="10"/>
                <w:szCs w:val="10"/>
                <w:color w:val="auto"/>
              </w:rPr>
            </w:pPr>
          </w:p>
        </w:tc>
        <w:tc>
          <w:tcPr>
            <w:tcW w:w="1180" w:type="dxa"/>
            <w:vAlign w:val="bottom"/>
            <w:tcBorders>
              <w:right w:val="single" w:sz="8" w:color="auto"/>
            </w:tcBorders>
            <w:vMerge w:val="continue"/>
          </w:tcPr>
          <w:p>
            <w:pPr>
              <w:spacing w:after="0"/>
              <w:rPr>
                <w:sz w:val="10"/>
                <w:szCs w:val="10"/>
                <w:color w:val="auto"/>
              </w:rPr>
            </w:pPr>
          </w:p>
        </w:tc>
        <w:tc>
          <w:tcPr>
            <w:tcW w:w="1180" w:type="dxa"/>
            <w:vAlign w:val="bottom"/>
            <w:tcBorders>
              <w:right w:val="single" w:sz="8" w:color="auto"/>
            </w:tcBorders>
            <w:vMerge w:val="continue"/>
          </w:tcPr>
          <w:p>
            <w:pPr>
              <w:spacing w:after="0"/>
              <w:rPr>
                <w:sz w:val="10"/>
                <w:szCs w:val="10"/>
                <w:color w:val="auto"/>
              </w:rPr>
            </w:pPr>
          </w:p>
        </w:tc>
        <w:tc>
          <w:tcPr>
            <w:tcW w:w="11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55"/>
        </w:trPr>
        <w:tc>
          <w:tcPr>
            <w:tcW w:w="1180" w:type="dxa"/>
            <w:vAlign w:val="bottom"/>
            <w:tcBorders>
              <w:left w:val="single" w:sz="8" w:color="auto"/>
              <w:bottom w:val="single" w:sz="8" w:color="auto"/>
              <w:right w:val="single" w:sz="8" w:color="auto"/>
            </w:tcBorders>
          </w:tcPr>
          <w:p>
            <w:pPr>
              <w:spacing w:after="0"/>
              <w:rPr>
                <w:sz w:val="22"/>
                <w:szCs w:val="22"/>
                <w:color w:val="auto"/>
              </w:rPr>
            </w:pPr>
          </w:p>
        </w:tc>
        <w:tc>
          <w:tcPr>
            <w:tcW w:w="1180" w:type="dxa"/>
            <w:vAlign w:val="bottom"/>
            <w:tcBorders>
              <w:bottom w:val="single" w:sz="8" w:color="auto"/>
              <w:right w:val="single" w:sz="8" w:color="auto"/>
            </w:tcBorders>
          </w:tcPr>
          <w:p>
            <w:pPr>
              <w:spacing w:after="0"/>
              <w:rPr>
                <w:sz w:val="22"/>
                <w:szCs w:val="22"/>
                <w:color w:val="auto"/>
              </w:rPr>
            </w:pPr>
          </w:p>
        </w:tc>
        <w:tc>
          <w:tcPr>
            <w:tcW w:w="1160" w:type="dxa"/>
            <w:vAlign w:val="bottom"/>
            <w:tcBorders>
              <w:bottom w:val="single" w:sz="8" w:color="auto"/>
              <w:right w:val="single" w:sz="8" w:color="auto"/>
            </w:tcBorders>
          </w:tcPr>
          <w:p>
            <w:pPr>
              <w:jc w:val="center"/>
              <w:spacing w:after="0"/>
              <w:rPr>
                <w:sz w:val="20"/>
                <w:szCs w:val="20"/>
                <w:color w:val="auto"/>
              </w:rPr>
            </w:pPr>
            <w:r>
              <w:rPr>
                <w:rFonts w:ascii="Garamond" w:cs="Garamond" w:eastAsia="Garamond" w:hAnsi="Garamond"/>
                <w:sz w:val="19"/>
                <w:szCs w:val="19"/>
                <w:b w:val="1"/>
                <w:bCs w:val="1"/>
                <w:color w:val="auto"/>
                <w:w w:val="98"/>
              </w:rPr>
              <w:t>thousand</w:t>
            </w:r>
          </w:p>
        </w:tc>
        <w:tc>
          <w:tcPr>
            <w:tcW w:w="1180" w:type="dxa"/>
            <w:vAlign w:val="bottom"/>
            <w:tcBorders>
              <w:bottom w:val="single" w:sz="8" w:color="auto"/>
              <w:right w:val="single" w:sz="8" w:color="auto"/>
            </w:tcBorders>
          </w:tcPr>
          <w:p>
            <w:pPr>
              <w:jc w:val="center"/>
              <w:spacing w:after="0"/>
              <w:rPr>
                <w:sz w:val="20"/>
                <w:szCs w:val="20"/>
                <w:color w:val="auto"/>
              </w:rPr>
            </w:pPr>
            <w:r>
              <w:rPr>
                <w:rFonts w:ascii="Garamond" w:cs="Garamond" w:eastAsia="Garamond" w:hAnsi="Garamond"/>
                <w:sz w:val="19"/>
                <w:szCs w:val="19"/>
                <w:b w:val="1"/>
                <w:bCs w:val="1"/>
                <w:color w:val="auto"/>
                <w:w w:val="98"/>
              </w:rPr>
              <w:t>thousand</w:t>
            </w:r>
          </w:p>
        </w:tc>
        <w:tc>
          <w:tcPr>
            <w:tcW w:w="1180" w:type="dxa"/>
            <w:vAlign w:val="bottom"/>
            <w:tcBorders>
              <w:bottom w:val="single" w:sz="8" w:color="auto"/>
              <w:right w:val="single" w:sz="8" w:color="auto"/>
            </w:tcBorders>
          </w:tcPr>
          <w:p>
            <w:pPr>
              <w:jc w:val="center"/>
              <w:spacing w:after="0"/>
              <w:rPr>
                <w:sz w:val="20"/>
                <w:szCs w:val="20"/>
                <w:color w:val="auto"/>
              </w:rPr>
            </w:pPr>
            <w:r>
              <w:rPr>
                <w:rFonts w:ascii="Garamond" w:cs="Garamond" w:eastAsia="Garamond" w:hAnsi="Garamond"/>
                <w:sz w:val="19"/>
                <w:szCs w:val="19"/>
                <w:b w:val="1"/>
                <w:bCs w:val="1"/>
                <w:color w:val="auto"/>
                <w:w w:val="98"/>
              </w:rPr>
              <w:t>thousand</w:t>
            </w:r>
          </w:p>
        </w:tc>
        <w:tc>
          <w:tcPr>
            <w:tcW w:w="1160" w:type="dxa"/>
            <w:vAlign w:val="bottom"/>
            <w:tcBorders>
              <w:bottom w:val="single" w:sz="8" w:color="auto"/>
              <w:right w:val="single" w:sz="8" w:color="auto"/>
            </w:tcBorders>
          </w:tcPr>
          <w:p>
            <w:pPr>
              <w:jc w:val="center"/>
              <w:spacing w:after="0"/>
              <w:rPr>
                <w:sz w:val="20"/>
                <w:szCs w:val="20"/>
                <w:color w:val="auto"/>
              </w:rPr>
            </w:pPr>
            <w:r>
              <w:rPr>
                <w:rFonts w:ascii="Garamond" w:cs="Garamond" w:eastAsia="Garamond" w:hAnsi="Garamond"/>
                <w:sz w:val="19"/>
                <w:szCs w:val="19"/>
                <w:b w:val="1"/>
                <w:bCs w:val="1"/>
                <w:color w:val="auto"/>
              </w:rPr>
              <w:t>thousand</w:t>
            </w:r>
          </w:p>
        </w:tc>
        <w:tc>
          <w:tcPr>
            <w:tcW w:w="0" w:type="dxa"/>
            <w:vAlign w:val="bottom"/>
          </w:tcPr>
          <w:p>
            <w:pPr>
              <w:spacing w:after="0"/>
              <w:rPr>
                <w:sz w:val="1"/>
                <w:szCs w:val="1"/>
                <w:color w:val="auto"/>
              </w:rPr>
            </w:pPr>
          </w:p>
        </w:tc>
      </w:tr>
      <w:tr>
        <w:trPr>
          <w:trHeight w:val="248"/>
        </w:trPr>
        <w:tc>
          <w:tcPr>
            <w:tcW w:w="1180" w:type="dxa"/>
            <w:vAlign w:val="bottom"/>
            <w:tcBorders>
              <w:left w:val="single" w:sz="8" w:color="auto"/>
              <w:right w:val="single" w:sz="8" w:color="auto"/>
            </w:tcBorders>
          </w:tcPr>
          <w:p>
            <w:pPr>
              <w:jc w:val="center"/>
              <w:spacing w:after="0"/>
              <w:rPr>
                <w:sz w:val="20"/>
                <w:szCs w:val="20"/>
                <w:color w:val="auto"/>
              </w:rPr>
            </w:pPr>
            <w:r>
              <w:rPr>
                <w:rFonts w:ascii="Garamond" w:cs="Garamond" w:eastAsia="Garamond" w:hAnsi="Garamond"/>
                <w:sz w:val="19"/>
                <w:szCs w:val="19"/>
                <w:color w:val="auto"/>
                <w:w w:val="98"/>
              </w:rPr>
              <w:t>More than</w:t>
            </w:r>
          </w:p>
        </w:tc>
        <w:tc>
          <w:tcPr>
            <w:tcW w:w="1180" w:type="dxa"/>
            <w:vAlign w:val="bottom"/>
            <w:tcBorders>
              <w:right w:val="single" w:sz="8" w:color="auto"/>
            </w:tcBorders>
            <w:vMerge w:val="restart"/>
          </w:tcPr>
          <w:p>
            <w:pPr>
              <w:jc w:val="center"/>
              <w:spacing w:after="0"/>
              <w:rPr>
                <w:sz w:val="20"/>
                <w:szCs w:val="20"/>
                <w:color w:val="auto"/>
              </w:rPr>
            </w:pPr>
            <w:r>
              <w:rPr>
                <w:rFonts w:ascii="Garamond" w:cs="Garamond" w:eastAsia="Garamond" w:hAnsi="Garamond"/>
                <w:sz w:val="19"/>
                <w:szCs w:val="19"/>
                <w:color w:val="auto"/>
                <w:w w:val="99"/>
              </w:rPr>
              <w:t>6.6</w:t>
            </w:r>
          </w:p>
        </w:tc>
        <w:tc>
          <w:tcPr>
            <w:tcW w:w="1160" w:type="dxa"/>
            <w:vAlign w:val="bottom"/>
            <w:tcBorders>
              <w:right w:val="single" w:sz="8" w:color="auto"/>
            </w:tcBorders>
            <w:vMerge w:val="restart"/>
          </w:tcPr>
          <w:p>
            <w:pPr>
              <w:jc w:val="center"/>
              <w:spacing w:after="0"/>
              <w:rPr>
                <w:sz w:val="20"/>
                <w:szCs w:val="20"/>
                <w:color w:val="auto"/>
              </w:rPr>
            </w:pPr>
            <w:r>
              <w:rPr>
                <w:rFonts w:ascii="Garamond" w:cs="Garamond" w:eastAsia="Garamond" w:hAnsi="Garamond"/>
                <w:sz w:val="19"/>
                <w:szCs w:val="19"/>
                <w:color w:val="auto"/>
                <w:w w:val="92"/>
              </w:rPr>
              <w:t>-1.6</w:t>
            </w:r>
          </w:p>
        </w:tc>
        <w:tc>
          <w:tcPr>
            <w:tcW w:w="1180" w:type="dxa"/>
            <w:vAlign w:val="bottom"/>
            <w:tcBorders>
              <w:right w:val="single" w:sz="8" w:color="auto"/>
            </w:tcBorders>
            <w:vMerge w:val="restart"/>
          </w:tcPr>
          <w:p>
            <w:pPr>
              <w:jc w:val="center"/>
              <w:spacing w:after="0"/>
              <w:rPr>
                <w:sz w:val="20"/>
                <w:szCs w:val="20"/>
                <w:color w:val="auto"/>
              </w:rPr>
            </w:pPr>
            <w:r>
              <w:rPr>
                <w:rFonts w:ascii="Garamond" w:cs="Garamond" w:eastAsia="Garamond" w:hAnsi="Garamond"/>
                <w:sz w:val="19"/>
                <w:szCs w:val="19"/>
                <w:color w:val="auto"/>
                <w:w w:val="92"/>
              </w:rPr>
              <w:t>-1.7</w:t>
            </w:r>
          </w:p>
        </w:tc>
        <w:tc>
          <w:tcPr>
            <w:tcW w:w="1180" w:type="dxa"/>
            <w:vAlign w:val="bottom"/>
            <w:tcBorders>
              <w:right w:val="single" w:sz="8" w:color="auto"/>
            </w:tcBorders>
            <w:vMerge w:val="restart"/>
          </w:tcPr>
          <w:p>
            <w:pPr>
              <w:jc w:val="center"/>
              <w:spacing w:after="0"/>
              <w:rPr>
                <w:sz w:val="20"/>
                <w:szCs w:val="20"/>
                <w:color w:val="auto"/>
              </w:rPr>
            </w:pPr>
            <w:r>
              <w:rPr>
                <w:rFonts w:ascii="Garamond" w:cs="Garamond" w:eastAsia="Garamond" w:hAnsi="Garamond"/>
                <w:sz w:val="19"/>
                <w:szCs w:val="19"/>
                <w:color w:val="auto"/>
              </w:rPr>
              <w:t>-4.4</w:t>
            </w:r>
          </w:p>
        </w:tc>
        <w:tc>
          <w:tcPr>
            <w:tcW w:w="1160" w:type="dxa"/>
            <w:vAlign w:val="bottom"/>
            <w:tcBorders>
              <w:right w:val="single" w:sz="8" w:color="auto"/>
            </w:tcBorders>
            <w:vMerge w:val="restart"/>
          </w:tcPr>
          <w:p>
            <w:pPr>
              <w:jc w:val="center"/>
              <w:spacing w:after="0"/>
              <w:rPr>
                <w:sz w:val="20"/>
                <w:szCs w:val="20"/>
                <w:color w:val="auto"/>
              </w:rPr>
            </w:pPr>
            <w:r>
              <w:rPr>
                <w:rFonts w:ascii="Garamond" w:cs="Garamond" w:eastAsia="Garamond" w:hAnsi="Garamond"/>
                <w:sz w:val="19"/>
                <w:szCs w:val="19"/>
                <w:color w:val="auto"/>
              </w:rPr>
              <w:t>-4.0</w:t>
            </w:r>
          </w:p>
        </w:tc>
        <w:tc>
          <w:tcPr>
            <w:tcW w:w="0" w:type="dxa"/>
            <w:vAlign w:val="bottom"/>
          </w:tcPr>
          <w:p>
            <w:pPr>
              <w:spacing w:after="0"/>
              <w:rPr>
                <w:sz w:val="1"/>
                <w:szCs w:val="1"/>
                <w:color w:val="auto"/>
              </w:rPr>
            </w:pPr>
          </w:p>
        </w:tc>
      </w:tr>
      <w:tr>
        <w:trPr>
          <w:trHeight w:val="125"/>
        </w:trPr>
        <w:tc>
          <w:tcPr>
            <w:tcW w:w="1180" w:type="dxa"/>
            <w:vAlign w:val="bottom"/>
            <w:tcBorders>
              <w:left w:val="single" w:sz="8" w:color="auto"/>
              <w:right w:val="single" w:sz="8" w:color="auto"/>
            </w:tcBorders>
            <w:vMerge w:val="restart"/>
          </w:tcPr>
          <w:p>
            <w:pPr>
              <w:jc w:val="center"/>
              <w:spacing w:after="0"/>
              <w:rPr>
                <w:sz w:val="20"/>
                <w:szCs w:val="20"/>
                <w:color w:val="auto"/>
              </w:rPr>
            </w:pPr>
            <w:r>
              <w:rPr>
                <w:rFonts w:ascii="Garamond" w:cs="Garamond" w:eastAsia="Garamond" w:hAnsi="Garamond"/>
                <w:sz w:val="19"/>
                <w:szCs w:val="19"/>
                <w:color w:val="auto"/>
                <w:w w:val="97"/>
              </w:rPr>
              <w:t>once a year</w:t>
            </w:r>
          </w:p>
        </w:tc>
        <w:tc>
          <w:tcPr>
            <w:tcW w:w="1180" w:type="dxa"/>
            <w:vAlign w:val="bottom"/>
            <w:tcBorders>
              <w:right w:val="single" w:sz="8" w:color="auto"/>
            </w:tcBorders>
            <w:vMerge w:val="continue"/>
          </w:tcPr>
          <w:p>
            <w:pPr>
              <w:spacing w:after="0"/>
              <w:rPr>
                <w:sz w:val="10"/>
                <w:szCs w:val="10"/>
                <w:color w:val="auto"/>
              </w:rPr>
            </w:pPr>
          </w:p>
        </w:tc>
        <w:tc>
          <w:tcPr>
            <w:tcW w:w="1160" w:type="dxa"/>
            <w:vAlign w:val="bottom"/>
            <w:tcBorders>
              <w:right w:val="single" w:sz="8" w:color="auto"/>
            </w:tcBorders>
            <w:vMerge w:val="continue"/>
          </w:tcPr>
          <w:p>
            <w:pPr>
              <w:spacing w:after="0"/>
              <w:rPr>
                <w:sz w:val="10"/>
                <w:szCs w:val="10"/>
                <w:color w:val="auto"/>
              </w:rPr>
            </w:pPr>
          </w:p>
        </w:tc>
        <w:tc>
          <w:tcPr>
            <w:tcW w:w="1180" w:type="dxa"/>
            <w:vAlign w:val="bottom"/>
            <w:tcBorders>
              <w:right w:val="single" w:sz="8" w:color="auto"/>
            </w:tcBorders>
            <w:vMerge w:val="continue"/>
          </w:tcPr>
          <w:p>
            <w:pPr>
              <w:spacing w:after="0"/>
              <w:rPr>
                <w:sz w:val="10"/>
                <w:szCs w:val="10"/>
                <w:color w:val="auto"/>
              </w:rPr>
            </w:pPr>
          </w:p>
        </w:tc>
        <w:tc>
          <w:tcPr>
            <w:tcW w:w="1180" w:type="dxa"/>
            <w:vAlign w:val="bottom"/>
            <w:tcBorders>
              <w:right w:val="single" w:sz="8" w:color="auto"/>
            </w:tcBorders>
            <w:vMerge w:val="continue"/>
          </w:tcPr>
          <w:p>
            <w:pPr>
              <w:spacing w:after="0"/>
              <w:rPr>
                <w:sz w:val="10"/>
                <w:szCs w:val="10"/>
                <w:color w:val="auto"/>
              </w:rPr>
            </w:pPr>
          </w:p>
        </w:tc>
        <w:tc>
          <w:tcPr>
            <w:tcW w:w="11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5"/>
        </w:trPr>
        <w:tc>
          <w:tcPr>
            <w:tcW w:w="1180" w:type="dxa"/>
            <w:vAlign w:val="bottom"/>
            <w:tcBorders>
              <w:left w:val="single" w:sz="8" w:color="auto"/>
              <w:right w:val="single" w:sz="8" w:color="auto"/>
            </w:tcBorders>
            <w:vMerge w:val="continue"/>
          </w:tcPr>
          <w:p>
            <w:pPr>
              <w:spacing w:after="0"/>
              <w:rPr>
                <w:sz w:val="10"/>
                <w:szCs w:val="10"/>
                <w:color w:val="auto"/>
              </w:rPr>
            </w:pPr>
          </w:p>
        </w:tc>
        <w:tc>
          <w:tcPr>
            <w:tcW w:w="1180" w:type="dxa"/>
            <w:vAlign w:val="bottom"/>
            <w:tcBorders>
              <w:right w:val="single" w:sz="8" w:color="auto"/>
            </w:tcBorders>
          </w:tcPr>
          <w:p>
            <w:pPr>
              <w:spacing w:after="0"/>
              <w:rPr>
                <w:sz w:val="10"/>
                <w:szCs w:val="10"/>
                <w:color w:val="auto"/>
              </w:rPr>
            </w:pPr>
          </w:p>
        </w:tc>
        <w:tc>
          <w:tcPr>
            <w:tcW w:w="1160" w:type="dxa"/>
            <w:vAlign w:val="bottom"/>
            <w:tcBorders>
              <w:right w:val="single" w:sz="8" w:color="auto"/>
            </w:tcBorders>
          </w:tcPr>
          <w:p>
            <w:pPr>
              <w:spacing w:after="0"/>
              <w:rPr>
                <w:sz w:val="10"/>
                <w:szCs w:val="10"/>
                <w:color w:val="auto"/>
              </w:rPr>
            </w:pPr>
          </w:p>
        </w:tc>
        <w:tc>
          <w:tcPr>
            <w:tcW w:w="1180" w:type="dxa"/>
            <w:vAlign w:val="bottom"/>
            <w:tcBorders>
              <w:right w:val="single" w:sz="8" w:color="auto"/>
            </w:tcBorders>
          </w:tcPr>
          <w:p>
            <w:pPr>
              <w:spacing w:after="0"/>
              <w:rPr>
                <w:sz w:val="10"/>
                <w:szCs w:val="10"/>
                <w:color w:val="auto"/>
              </w:rPr>
            </w:pPr>
          </w:p>
        </w:tc>
        <w:tc>
          <w:tcPr>
            <w:tcW w:w="1180" w:type="dxa"/>
            <w:vAlign w:val="bottom"/>
            <w:tcBorders>
              <w:right w:val="single" w:sz="8" w:color="auto"/>
            </w:tcBorders>
          </w:tcPr>
          <w:p>
            <w:pPr>
              <w:spacing w:after="0"/>
              <w:rPr>
                <w:sz w:val="10"/>
                <w:szCs w:val="10"/>
                <w:color w:val="auto"/>
              </w:rPr>
            </w:pPr>
          </w:p>
        </w:tc>
        <w:tc>
          <w:tcPr>
            <w:tcW w:w="11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1"/>
        </w:trPr>
        <w:tc>
          <w:tcPr>
            <w:tcW w:w="11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180" w:type="dxa"/>
            <w:vAlign w:val="bottom"/>
            <w:tcBorders>
              <w:bottom w:val="single" w:sz="8" w:color="auto"/>
              <w:right w:val="single" w:sz="8" w:color="auto"/>
            </w:tcBorders>
          </w:tcPr>
          <w:p>
            <w:pPr>
              <w:spacing w:after="0" w:line="20" w:lineRule="exact"/>
              <w:rPr>
                <w:sz w:val="1"/>
                <w:szCs w:val="1"/>
                <w:color w:val="auto"/>
              </w:rPr>
            </w:pPr>
          </w:p>
        </w:tc>
        <w:tc>
          <w:tcPr>
            <w:tcW w:w="1160" w:type="dxa"/>
            <w:vAlign w:val="bottom"/>
            <w:tcBorders>
              <w:bottom w:val="single" w:sz="8" w:color="auto"/>
              <w:right w:val="single" w:sz="8" w:color="auto"/>
            </w:tcBorders>
          </w:tcPr>
          <w:p>
            <w:pPr>
              <w:spacing w:after="0" w:line="20" w:lineRule="exact"/>
              <w:rPr>
                <w:sz w:val="1"/>
                <w:szCs w:val="1"/>
                <w:color w:val="auto"/>
              </w:rPr>
            </w:pPr>
          </w:p>
        </w:tc>
        <w:tc>
          <w:tcPr>
            <w:tcW w:w="1180" w:type="dxa"/>
            <w:vAlign w:val="bottom"/>
            <w:tcBorders>
              <w:bottom w:val="single" w:sz="8" w:color="auto"/>
              <w:right w:val="single" w:sz="8" w:color="auto"/>
            </w:tcBorders>
          </w:tcPr>
          <w:p>
            <w:pPr>
              <w:spacing w:after="0" w:line="20" w:lineRule="exact"/>
              <w:rPr>
                <w:sz w:val="1"/>
                <w:szCs w:val="1"/>
                <w:color w:val="auto"/>
              </w:rPr>
            </w:pPr>
          </w:p>
        </w:tc>
        <w:tc>
          <w:tcPr>
            <w:tcW w:w="1180" w:type="dxa"/>
            <w:vAlign w:val="bottom"/>
            <w:tcBorders>
              <w:bottom w:val="single" w:sz="8" w:color="auto"/>
              <w:right w:val="single" w:sz="8" w:color="auto"/>
            </w:tcBorders>
          </w:tcPr>
          <w:p>
            <w:pPr>
              <w:spacing w:after="0" w:line="20" w:lineRule="exact"/>
              <w:rPr>
                <w:sz w:val="1"/>
                <w:szCs w:val="1"/>
                <w:color w:val="auto"/>
              </w:rPr>
            </w:pPr>
          </w:p>
        </w:tc>
        <w:tc>
          <w:tcPr>
            <w:tcW w:w="11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40"/>
        </w:trPr>
        <w:tc>
          <w:tcPr>
            <w:tcW w:w="1180" w:type="dxa"/>
            <w:vAlign w:val="bottom"/>
            <w:tcBorders>
              <w:left w:val="single" w:sz="8" w:color="auto"/>
              <w:right w:val="single" w:sz="8" w:color="auto"/>
            </w:tcBorders>
          </w:tcPr>
          <w:p>
            <w:pPr>
              <w:jc w:val="center"/>
              <w:spacing w:after="0"/>
              <w:rPr>
                <w:sz w:val="20"/>
                <w:szCs w:val="20"/>
                <w:color w:val="auto"/>
              </w:rPr>
            </w:pPr>
            <w:r>
              <w:rPr>
                <w:rFonts w:ascii="Garamond" w:cs="Garamond" w:eastAsia="Garamond" w:hAnsi="Garamond"/>
                <w:sz w:val="19"/>
                <w:szCs w:val="19"/>
                <w:color w:val="auto"/>
              </w:rPr>
              <w:t>Once a year</w:t>
            </w:r>
          </w:p>
        </w:tc>
        <w:tc>
          <w:tcPr>
            <w:tcW w:w="11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-4.1</w:t>
            </w:r>
          </w:p>
        </w:tc>
        <w:tc>
          <w:tcPr>
            <w:tcW w:w="116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0"/>
              </w:rPr>
              <w:t>1.9</w:t>
            </w:r>
          </w:p>
        </w:tc>
        <w:tc>
          <w:tcPr>
            <w:tcW w:w="11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0"/>
              </w:rPr>
              <w:t>1.6</w:t>
            </w:r>
          </w:p>
        </w:tc>
        <w:tc>
          <w:tcPr>
            <w:tcW w:w="11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9"/>
              </w:rPr>
              <w:t>0.9</w:t>
            </w:r>
          </w:p>
        </w:tc>
        <w:tc>
          <w:tcPr>
            <w:tcW w:w="116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3.2</w:t>
            </w:r>
          </w:p>
        </w:tc>
        <w:tc>
          <w:tcPr>
            <w:tcW w:w="0" w:type="dxa"/>
            <w:vAlign w:val="bottom"/>
          </w:tcPr>
          <w:p>
            <w:pPr>
              <w:spacing w:after="0"/>
              <w:rPr>
                <w:sz w:val="1"/>
                <w:szCs w:val="1"/>
                <w:color w:val="auto"/>
              </w:rPr>
            </w:pPr>
          </w:p>
        </w:tc>
      </w:tr>
      <w:tr>
        <w:trPr>
          <w:trHeight w:val="22"/>
        </w:trPr>
        <w:tc>
          <w:tcPr>
            <w:tcW w:w="11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180" w:type="dxa"/>
            <w:vAlign w:val="bottom"/>
            <w:tcBorders>
              <w:bottom w:val="single" w:sz="8" w:color="auto"/>
              <w:right w:val="single" w:sz="8" w:color="auto"/>
            </w:tcBorders>
          </w:tcPr>
          <w:p>
            <w:pPr>
              <w:spacing w:after="0" w:line="20" w:lineRule="exact"/>
              <w:rPr>
                <w:sz w:val="1"/>
                <w:szCs w:val="1"/>
                <w:color w:val="auto"/>
              </w:rPr>
            </w:pPr>
          </w:p>
        </w:tc>
        <w:tc>
          <w:tcPr>
            <w:tcW w:w="1160" w:type="dxa"/>
            <w:vAlign w:val="bottom"/>
            <w:tcBorders>
              <w:bottom w:val="single" w:sz="8" w:color="auto"/>
              <w:right w:val="single" w:sz="8" w:color="auto"/>
            </w:tcBorders>
          </w:tcPr>
          <w:p>
            <w:pPr>
              <w:spacing w:after="0" w:line="20" w:lineRule="exact"/>
              <w:rPr>
                <w:sz w:val="1"/>
                <w:szCs w:val="1"/>
                <w:color w:val="auto"/>
              </w:rPr>
            </w:pPr>
          </w:p>
        </w:tc>
        <w:tc>
          <w:tcPr>
            <w:tcW w:w="1180" w:type="dxa"/>
            <w:vAlign w:val="bottom"/>
            <w:tcBorders>
              <w:bottom w:val="single" w:sz="8" w:color="auto"/>
              <w:right w:val="single" w:sz="8" w:color="auto"/>
            </w:tcBorders>
          </w:tcPr>
          <w:p>
            <w:pPr>
              <w:spacing w:after="0" w:line="20" w:lineRule="exact"/>
              <w:rPr>
                <w:sz w:val="1"/>
                <w:szCs w:val="1"/>
                <w:color w:val="auto"/>
              </w:rPr>
            </w:pPr>
          </w:p>
        </w:tc>
        <w:tc>
          <w:tcPr>
            <w:tcW w:w="1180" w:type="dxa"/>
            <w:vAlign w:val="bottom"/>
            <w:tcBorders>
              <w:bottom w:val="single" w:sz="8" w:color="auto"/>
              <w:right w:val="single" w:sz="8" w:color="auto"/>
            </w:tcBorders>
          </w:tcPr>
          <w:p>
            <w:pPr>
              <w:spacing w:after="0" w:line="20" w:lineRule="exact"/>
              <w:rPr>
                <w:sz w:val="1"/>
                <w:szCs w:val="1"/>
                <w:color w:val="auto"/>
              </w:rPr>
            </w:pPr>
          </w:p>
        </w:tc>
        <w:tc>
          <w:tcPr>
            <w:tcW w:w="11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40"/>
        </w:trPr>
        <w:tc>
          <w:tcPr>
            <w:tcW w:w="1180" w:type="dxa"/>
            <w:vAlign w:val="bottom"/>
            <w:tcBorders>
              <w:left w:val="single" w:sz="8" w:color="auto"/>
              <w:right w:val="single" w:sz="8" w:color="auto"/>
            </w:tcBorders>
          </w:tcPr>
          <w:p>
            <w:pPr>
              <w:jc w:val="center"/>
              <w:spacing w:after="0"/>
              <w:rPr>
                <w:sz w:val="20"/>
                <w:szCs w:val="20"/>
                <w:color w:val="auto"/>
              </w:rPr>
            </w:pPr>
            <w:r>
              <w:rPr>
                <w:rFonts w:ascii="Garamond" w:cs="Garamond" w:eastAsia="Garamond" w:hAnsi="Garamond"/>
                <w:sz w:val="19"/>
                <w:szCs w:val="19"/>
                <w:color w:val="auto"/>
                <w:w w:val="98"/>
              </w:rPr>
              <w:t>First visit</w:t>
            </w:r>
          </w:p>
        </w:tc>
        <w:tc>
          <w:tcPr>
            <w:tcW w:w="11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-6.0</w:t>
            </w:r>
          </w:p>
        </w:tc>
        <w:tc>
          <w:tcPr>
            <w:tcW w:w="116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-0.4</w:t>
            </w:r>
          </w:p>
        </w:tc>
        <w:tc>
          <w:tcPr>
            <w:tcW w:w="11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9"/>
              </w:rPr>
              <w:t>0.3</w:t>
            </w:r>
          </w:p>
        </w:tc>
        <w:tc>
          <w:tcPr>
            <w:tcW w:w="11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9"/>
              </w:rPr>
              <w:t>7.9</w:t>
            </w:r>
          </w:p>
        </w:tc>
        <w:tc>
          <w:tcPr>
            <w:tcW w:w="116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2.2</w:t>
            </w:r>
          </w:p>
        </w:tc>
        <w:tc>
          <w:tcPr>
            <w:tcW w:w="0" w:type="dxa"/>
            <w:vAlign w:val="bottom"/>
          </w:tcPr>
          <w:p>
            <w:pPr>
              <w:spacing w:after="0"/>
              <w:rPr>
                <w:sz w:val="1"/>
                <w:szCs w:val="1"/>
                <w:color w:val="auto"/>
              </w:rPr>
            </w:pPr>
          </w:p>
        </w:tc>
      </w:tr>
      <w:tr>
        <w:trPr>
          <w:trHeight w:val="22"/>
        </w:trPr>
        <w:tc>
          <w:tcPr>
            <w:tcW w:w="11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180" w:type="dxa"/>
            <w:vAlign w:val="bottom"/>
            <w:tcBorders>
              <w:bottom w:val="single" w:sz="8" w:color="auto"/>
              <w:right w:val="single" w:sz="8" w:color="auto"/>
            </w:tcBorders>
          </w:tcPr>
          <w:p>
            <w:pPr>
              <w:spacing w:after="0" w:line="20" w:lineRule="exact"/>
              <w:rPr>
                <w:sz w:val="1"/>
                <w:szCs w:val="1"/>
                <w:color w:val="auto"/>
              </w:rPr>
            </w:pPr>
          </w:p>
        </w:tc>
        <w:tc>
          <w:tcPr>
            <w:tcW w:w="1160" w:type="dxa"/>
            <w:vAlign w:val="bottom"/>
            <w:tcBorders>
              <w:bottom w:val="single" w:sz="8" w:color="auto"/>
              <w:right w:val="single" w:sz="8" w:color="auto"/>
            </w:tcBorders>
          </w:tcPr>
          <w:p>
            <w:pPr>
              <w:spacing w:after="0" w:line="20" w:lineRule="exact"/>
              <w:rPr>
                <w:sz w:val="1"/>
                <w:szCs w:val="1"/>
                <w:color w:val="auto"/>
              </w:rPr>
            </w:pPr>
          </w:p>
        </w:tc>
        <w:tc>
          <w:tcPr>
            <w:tcW w:w="1180" w:type="dxa"/>
            <w:vAlign w:val="bottom"/>
            <w:tcBorders>
              <w:bottom w:val="single" w:sz="8" w:color="auto"/>
              <w:right w:val="single" w:sz="8" w:color="auto"/>
            </w:tcBorders>
          </w:tcPr>
          <w:p>
            <w:pPr>
              <w:spacing w:after="0" w:line="20" w:lineRule="exact"/>
              <w:rPr>
                <w:sz w:val="1"/>
                <w:szCs w:val="1"/>
                <w:color w:val="auto"/>
              </w:rPr>
            </w:pPr>
          </w:p>
        </w:tc>
        <w:tc>
          <w:tcPr>
            <w:tcW w:w="1180" w:type="dxa"/>
            <w:vAlign w:val="bottom"/>
            <w:tcBorders>
              <w:bottom w:val="single" w:sz="8" w:color="auto"/>
              <w:right w:val="single" w:sz="8" w:color="auto"/>
            </w:tcBorders>
          </w:tcPr>
          <w:p>
            <w:pPr>
              <w:spacing w:after="0" w:line="20" w:lineRule="exact"/>
              <w:rPr>
                <w:sz w:val="1"/>
                <w:szCs w:val="1"/>
                <w:color w:val="auto"/>
              </w:rPr>
            </w:pPr>
          </w:p>
        </w:tc>
        <w:tc>
          <w:tcPr>
            <w:tcW w:w="11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bl>
    <w:p>
      <w:pPr>
        <w:spacing w:after="0" w:line="72" w:lineRule="exact"/>
        <w:rPr>
          <w:sz w:val="20"/>
          <w:szCs w:val="20"/>
          <w:color w:val="auto"/>
        </w:rPr>
      </w:pPr>
    </w:p>
    <w:p>
      <w:pPr>
        <w:jc w:val="both"/>
        <w:spacing w:after="0" w:line="301" w:lineRule="auto"/>
        <w:rPr>
          <w:sz w:val="20"/>
          <w:szCs w:val="20"/>
          <w:color w:val="auto"/>
        </w:rPr>
      </w:pPr>
      <w:r>
        <w:rPr>
          <w:rFonts w:ascii="Garamond" w:cs="Garamond" w:eastAsia="Garamond" w:hAnsi="Garamond"/>
          <w:sz w:val="18"/>
          <w:szCs w:val="18"/>
          <w:color w:val="auto"/>
        </w:rPr>
        <w:t>What was also found significant to the frequency of the National theater attendance, also in line with previous studies (Kotler &amp; Scheff, 1997, Huntington, 2007; Willis et al., 2012), were geographical factors, namely the consumers’ place of residence (Chi-Square = 99.232, significant at 1% significance level). As can be seen in Tab. 2, not surprisingly, Prague residents are among the most frequent visitors, while their count is underrepresented in groups that visit the theater once a year or less. Also not surprisingly, consumers residing in further distance from the capital tend not to be among the frequent attendees. Interestingly, however, consumers coming from further distance, but from towns that count less than 20 000 inhabitants, are overrepresented among those, who visit the theater once a year. This effect could be caused for instance by the unavailability of cultural program in their own place of residence.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190500</wp:posOffset>
            </wp:positionV>
            <wp:extent cx="4464050" cy="4763"/>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4464050" cy="4763"/>
                    </a:xfrm>
                    <a:prstGeom prst="rect">
                      <a:avLst/>
                    </a:prstGeom>
                    <a:noFill/>
                  </pic:spPr>
                </pic:pic>
              </a:graphicData>
            </a:graphic>
          </wp:anchor>
        </w:drawing>
      </w:r>
    </w:p>
    <w:p>
      <w:pPr>
        <w:sectPr>
          <w:pgSz w:w="9080" w:h="13039" w:orient="portrait"/>
          <w:cols w:equalWidth="0" w:num="1">
            <w:col w:w="7020"/>
          </w:cols>
          <w:pgMar w:left="1140" w:top="1072" w:right="911" w:bottom="217" w:gutter="0" w:footer="0" w:header="0"/>
        </w:sectPr>
      </w:pPr>
    </w:p>
    <w:p>
      <w:pPr>
        <w:spacing w:after="0" w:line="385" w:lineRule="exact"/>
        <w:rPr>
          <w:sz w:val="20"/>
          <w:szCs w:val="20"/>
          <w:color w:val="auto"/>
        </w:rPr>
      </w:pPr>
    </w:p>
    <w:p>
      <w:pPr>
        <w:ind w:left="6880"/>
        <w:spacing w:after="0"/>
        <w:rPr>
          <w:sz w:val="20"/>
          <w:szCs w:val="20"/>
          <w:color w:val="auto"/>
        </w:rPr>
      </w:pPr>
      <w:r>
        <w:rPr>
          <w:rFonts w:ascii="Garamond" w:cs="Garamond" w:eastAsia="Garamond" w:hAnsi="Garamond"/>
          <w:sz w:val="14"/>
          <w:szCs w:val="14"/>
          <w:b w:val="1"/>
          <w:bCs w:val="1"/>
          <w:color w:val="auto"/>
        </w:rPr>
        <w:t>97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-53975</wp:posOffset>
            </wp:positionV>
            <wp:extent cx="64135" cy="641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64135" cy="64135"/>
                    </a:xfrm>
                    <a:prstGeom prst="rect">
                      <a:avLst/>
                    </a:prstGeom>
                    <a:noFill/>
                  </pic:spPr>
                </pic:pic>
              </a:graphicData>
            </a:graphic>
          </wp:anchor>
        </w:drawing>
      </w:r>
    </w:p>
    <w:p>
      <w:pPr>
        <w:sectPr>
          <w:pgSz w:w="9080" w:h="13039" w:orient="portrait"/>
          <w:cols w:equalWidth="0" w:num="1">
            <w:col w:w="7020"/>
          </w:cols>
          <w:pgMar w:left="1140" w:top="1072" w:right="911" w:bottom="217" w:gutter="0" w:footer="0" w:header="0"/>
          <w:type w:val="continuous"/>
        </w:sectPr>
      </w:pPr>
    </w:p>
    <w:bookmarkStart w:id="6" w:name="page7"/>
    <w:bookmarkEnd w:id="6"/>
    <w:p>
      <w:pPr>
        <w:spacing w:after="0"/>
        <w:rPr>
          <w:sz w:val="20"/>
          <w:szCs w:val="20"/>
          <w:color w:val="auto"/>
        </w:rPr>
      </w:pPr>
      <w:r>
        <w:rPr>
          <w:rFonts w:ascii="Garamond" w:cs="Garamond" w:eastAsia="Garamond" w:hAnsi="Garamond"/>
          <w:sz w:val="19"/>
          <w:szCs w:val="19"/>
          <w:color w:val="auto"/>
        </w:rPr>
        <w:t>Tab. 3 - Education/frequency of performance attendance. Source: Authors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38100</wp:posOffset>
            </wp:positionV>
            <wp:extent cx="4487545" cy="2044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4487545" cy="204470"/>
                    </a:xfrm>
                    <a:prstGeom prst="rect">
                      <a:avLst/>
                    </a:prstGeom>
                    <a:noFill/>
                  </pic:spPr>
                </pic:pic>
              </a:graphicData>
            </a:graphic>
          </wp:anchor>
        </w:drawing>
      </w:r>
    </w:p>
    <w:p>
      <w:pPr>
        <w:spacing w:after="0" w:line="38" w:lineRule="exact"/>
        <w:rPr>
          <w:sz w:val="20"/>
          <w:szCs w:val="20"/>
          <w:color w:val="auto"/>
        </w:rPr>
      </w:pPr>
    </w:p>
    <w:tbl>
      <w:tblPr>
        <w:tblLayout w:type="fixed"/>
        <w:tblInd w:w="10" w:type="dxa"/>
        <w:tblCellMar>
          <w:top w:w="0" w:type="dxa"/>
          <w:left w:w="0" w:type="dxa"/>
          <w:bottom w:w="0" w:type="dxa"/>
          <w:right w:w="0" w:type="dxa"/>
        </w:tblCellMar>
      </w:tblPr>
      <w:tr>
        <w:trPr>
          <w:trHeight w:val="274"/>
        </w:trPr>
        <w:tc>
          <w:tcPr>
            <w:tcW w:w="1920" w:type="dxa"/>
            <w:vAlign w:val="bottom"/>
            <w:tcBorders>
              <w:top w:val="single" w:sz="8" w:color="auto"/>
              <w:left w:val="single" w:sz="8" w:color="auto"/>
              <w:bottom w:val="single" w:sz="8" w:color="auto"/>
              <w:right w:val="single" w:sz="8" w:color="auto"/>
            </w:tcBorders>
          </w:tcPr>
          <w:p>
            <w:pPr>
              <w:spacing w:after="0"/>
              <w:rPr>
                <w:sz w:val="23"/>
                <w:szCs w:val="23"/>
                <w:color w:val="auto"/>
              </w:rPr>
            </w:pPr>
          </w:p>
        </w:tc>
        <w:tc>
          <w:tcPr>
            <w:tcW w:w="1700" w:type="dxa"/>
            <w:vAlign w:val="bottom"/>
            <w:tcBorders>
              <w:top w:val="single" w:sz="8" w:color="auto"/>
              <w:bottom w:val="single" w:sz="8" w:color="auto"/>
              <w:right w:val="single" w:sz="8" w:color="auto"/>
            </w:tcBorders>
          </w:tcPr>
          <w:p>
            <w:pPr>
              <w:ind w:left="340"/>
              <w:spacing w:after="0"/>
              <w:rPr>
                <w:sz w:val="20"/>
                <w:szCs w:val="20"/>
                <w:color w:val="auto"/>
              </w:rPr>
            </w:pPr>
            <w:r>
              <w:rPr>
                <w:rFonts w:ascii="Garamond" w:cs="Garamond" w:eastAsia="Garamond" w:hAnsi="Garamond"/>
                <w:sz w:val="19"/>
                <w:szCs w:val="19"/>
                <w:b w:val="1"/>
                <w:bCs w:val="1"/>
                <w:color w:val="auto"/>
              </w:rPr>
              <w:t>Compulsory</w:t>
            </w:r>
          </w:p>
        </w:tc>
        <w:tc>
          <w:tcPr>
            <w:tcW w:w="1700" w:type="dxa"/>
            <w:vAlign w:val="bottom"/>
            <w:tcBorders>
              <w:top w:val="single" w:sz="8" w:color="auto"/>
              <w:bottom w:val="single" w:sz="8" w:color="auto"/>
              <w:right w:val="single" w:sz="8" w:color="auto"/>
            </w:tcBorders>
          </w:tcPr>
          <w:p>
            <w:pPr>
              <w:ind w:left="340"/>
              <w:spacing w:after="0"/>
              <w:rPr>
                <w:sz w:val="20"/>
                <w:szCs w:val="20"/>
                <w:color w:val="auto"/>
              </w:rPr>
            </w:pPr>
            <w:r>
              <w:rPr>
                <w:rFonts w:ascii="Garamond" w:cs="Garamond" w:eastAsia="Garamond" w:hAnsi="Garamond"/>
                <w:sz w:val="19"/>
                <w:szCs w:val="19"/>
                <w:b w:val="1"/>
                <w:bCs w:val="1"/>
                <w:color w:val="auto"/>
              </w:rPr>
              <w:t>High school</w:t>
            </w:r>
          </w:p>
        </w:tc>
        <w:tc>
          <w:tcPr>
            <w:tcW w:w="1740" w:type="dxa"/>
            <w:vAlign w:val="bottom"/>
            <w:tcBorders>
              <w:top w:val="single" w:sz="8" w:color="auto"/>
              <w:bottom w:val="single" w:sz="8" w:color="auto"/>
              <w:right w:val="single" w:sz="8" w:color="auto"/>
            </w:tcBorders>
          </w:tcPr>
          <w:p>
            <w:pPr>
              <w:ind w:left="440"/>
              <w:spacing w:after="0"/>
              <w:rPr>
                <w:sz w:val="20"/>
                <w:szCs w:val="20"/>
                <w:color w:val="auto"/>
              </w:rPr>
            </w:pPr>
            <w:r>
              <w:rPr>
                <w:rFonts w:ascii="Garamond" w:cs="Garamond" w:eastAsia="Garamond" w:hAnsi="Garamond"/>
                <w:sz w:val="19"/>
                <w:szCs w:val="19"/>
                <w:b w:val="1"/>
                <w:bCs w:val="1"/>
                <w:color w:val="auto"/>
              </w:rPr>
              <w:t>University</w:t>
            </w:r>
          </w:p>
        </w:tc>
      </w:tr>
      <w:tr>
        <w:trPr>
          <w:trHeight w:val="248"/>
        </w:trPr>
        <w:tc>
          <w:tcPr>
            <w:tcW w:w="1920" w:type="dxa"/>
            <w:vAlign w:val="bottom"/>
            <w:tcBorders>
              <w:left w:val="single" w:sz="8" w:color="auto"/>
              <w:right w:val="single" w:sz="8" w:color="auto"/>
            </w:tcBorders>
          </w:tcPr>
          <w:p>
            <w:pPr>
              <w:jc w:val="center"/>
              <w:spacing w:after="0"/>
              <w:rPr>
                <w:sz w:val="20"/>
                <w:szCs w:val="20"/>
                <w:color w:val="auto"/>
              </w:rPr>
            </w:pPr>
            <w:r>
              <w:rPr>
                <w:rFonts w:ascii="Garamond" w:cs="Garamond" w:eastAsia="Garamond" w:hAnsi="Garamond"/>
                <w:sz w:val="19"/>
                <w:szCs w:val="19"/>
                <w:color w:val="auto"/>
                <w:w w:val="99"/>
              </w:rPr>
              <w:t>More than once a year</w:t>
            </w:r>
          </w:p>
        </w:tc>
        <w:tc>
          <w:tcPr>
            <w:tcW w:w="170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2"/>
              </w:rPr>
              <w:t>-1.3</w:t>
            </w:r>
          </w:p>
        </w:tc>
        <w:tc>
          <w:tcPr>
            <w:tcW w:w="170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2"/>
              </w:rPr>
              <w:t>-5.1</w:t>
            </w:r>
          </w:p>
        </w:tc>
        <w:tc>
          <w:tcPr>
            <w:tcW w:w="174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9"/>
              </w:rPr>
              <w:t>5.5</w:t>
            </w:r>
          </w:p>
        </w:tc>
      </w:tr>
      <w:tr>
        <w:trPr>
          <w:trHeight w:val="22"/>
        </w:trPr>
        <w:tc>
          <w:tcPr>
            <w:tcW w:w="192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700" w:type="dxa"/>
            <w:vAlign w:val="bottom"/>
            <w:tcBorders>
              <w:bottom w:val="single" w:sz="8" w:color="auto"/>
              <w:right w:val="single" w:sz="8" w:color="auto"/>
            </w:tcBorders>
          </w:tcPr>
          <w:p>
            <w:pPr>
              <w:spacing w:after="0" w:line="20" w:lineRule="exact"/>
              <w:rPr>
                <w:sz w:val="1"/>
                <w:szCs w:val="1"/>
                <w:color w:val="auto"/>
              </w:rPr>
            </w:pPr>
          </w:p>
        </w:tc>
        <w:tc>
          <w:tcPr>
            <w:tcW w:w="1700" w:type="dxa"/>
            <w:vAlign w:val="bottom"/>
            <w:tcBorders>
              <w:bottom w:val="single" w:sz="8" w:color="auto"/>
              <w:right w:val="single" w:sz="8" w:color="auto"/>
            </w:tcBorders>
          </w:tcPr>
          <w:p>
            <w:pPr>
              <w:spacing w:after="0" w:line="20" w:lineRule="exact"/>
              <w:rPr>
                <w:sz w:val="1"/>
                <w:szCs w:val="1"/>
                <w:color w:val="auto"/>
              </w:rPr>
            </w:pPr>
          </w:p>
        </w:tc>
        <w:tc>
          <w:tcPr>
            <w:tcW w:w="1740" w:type="dxa"/>
            <w:vAlign w:val="bottom"/>
            <w:tcBorders>
              <w:bottom w:val="single" w:sz="8" w:color="auto"/>
              <w:right w:val="single" w:sz="8" w:color="auto"/>
            </w:tcBorders>
          </w:tcPr>
          <w:p>
            <w:pPr>
              <w:spacing w:after="0" w:line="20" w:lineRule="exact"/>
              <w:rPr>
                <w:sz w:val="1"/>
                <w:szCs w:val="1"/>
                <w:color w:val="auto"/>
              </w:rPr>
            </w:pPr>
          </w:p>
        </w:tc>
      </w:tr>
      <w:tr>
        <w:trPr>
          <w:trHeight w:val="240"/>
        </w:trPr>
        <w:tc>
          <w:tcPr>
            <w:tcW w:w="1920" w:type="dxa"/>
            <w:vAlign w:val="bottom"/>
            <w:tcBorders>
              <w:left w:val="single" w:sz="8" w:color="auto"/>
              <w:right w:val="single" w:sz="8" w:color="auto"/>
            </w:tcBorders>
          </w:tcPr>
          <w:p>
            <w:pPr>
              <w:jc w:val="center"/>
              <w:spacing w:after="0"/>
              <w:rPr>
                <w:sz w:val="20"/>
                <w:szCs w:val="20"/>
                <w:color w:val="auto"/>
              </w:rPr>
            </w:pPr>
            <w:r>
              <w:rPr>
                <w:rFonts w:ascii="Garamond" w:cs="Garamond" w:eastAsia="Garamond" w:hAnsi="Garamond"/>
                <w:sz w:val="19"/>
                <w:szCs w:val="19"/>
                <w:color w:val="auto"/>
                <w:w w:val="98"/>
              </w:rPr>
              <w:t>Once a year</w:t>
            </w:r>
          </w:p>
        </w:tc>
        <w:tc>
          <w:tcPr>
            <w:tcW w:w="170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-0.4</w:t>
            </w:r>
          </w:p>
        </w:tc>
        <w:tc>
          <w:tcPr>
            <w:tcW w:w="170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9"/>
              </w:rPr>
              <w:t>4.8</w:t>
            </w:r>
          </w:p>
        </w:tc>
        <w:tc>
          <w:tcPr>
            <w:tcW w:w="174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-4.5</w:t>
            </w:r>
          </w:p>
        </w:tc>
      </w:tr>
      <w:tr>
        <w:trPr>
          <w:trHeight w:val="21"/>
        </w:trPr>
        <w:tc>
          <w:tcPr>
            <w:tcW w:w="192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700" w:type="dxa"/>
            <w:vAlign w:val="bottom"/>
            <w:tcBorders>
              <w:bottom w:val="single" w:sz="8" w:color="auto"/>
              <w:right w:val="single" w:sz="8" w:color="auto"/>
            </w:tcBorders>
          </w:tcPr>
          <w:p>
            <w:pPr>
              <w:spacing w:after="0" w:line="20" w:lineRule="exact"/>
              <w:rPr>
                <w:sz w:val="1"/>
                <w:szCs w:val="1"/>
                <w:color w:val="auto"/>
              </w:rPr>
            </w:pPr>
          </w:p>
        </w:tc>
        <w:tc>
          <w:tcPr>
            <w:tcW w:w="1700" w:type="dxa"/>
            <w:vAlign w:val="bottom"/>
            <w:tcBorders>
              <w:bottom w:val="single" w:sz="8" w:color="auto"/>
              <w:right w:val="single" w:sz="8" w:color="auto"/>
            </w:tcBorders>
          </w:tcPr>
          <w:p>
            <w:pPr>
              <w:spacing w:after="0" w:line="20" w:lineRule="exact"/>
              <w:rPr>
                <w:sz w:val="1"/>
                <w:szCs w:val="1"/>
                <w:color w:val="auto"/>
              </w:rPr>
            </w:pPr>
          </w:p>
        </w:tc>
        <w:tc>
          <w:tcPr>
            <w:tcW w:w="1740" w:type="dxa"/>
            <w:vAlign w:val="bottom"/>
            <w:tcBorders>
              <w:bottom w:val="single" w:sz="8" w:color="auto"/>
              <w:right w:val="single" w:sz="8" w:color="auto"/>
            </w:tcBorders>
          </w:tcPr>
          <w:p>
            <w:pPr>
              <w:spacing w:after="0" w:line="20" w:lineRule="exact"/>
              <w:rPr>
                <w:sz w:val="1"/>
                <w:szCs w:val="1"/>
                <w:color w:val="auto"/>
              </w:rPr>
            </w:pPr>
          </w:p>
        </w:tc>
      </w:tr>
      <w:tr>
        <w:trPr>
          <w:trHeight w:val="240"/>
        </w:trPr>
        <w:tc>
          <w:tcPr>
            <w:tcW w:w="1920" w:type="dxa"/>
            <w:vAlign w:val="bottom"/>
            <w:tcBorders>
              <w:left w:val="single" w:sz="8" w:color="auto"/>
              <w:right w:val="single" w:sz="8" w:color="auto"/>
            </w:tcBorders>
          </w:tcPr>
          <w:p>
            <w:pPr>
              <w:jc w:val="center"/>
              <w:spacing w:after="0"/>
              <w:rPr>
                <w:sz w:val="20"/>
                <w:szCs w:val="20"/>
                <w:color w:val="auto"/>
              </w:rPr>
            </w:pPr>
            <w:r>
              <w:rPr>
                <w:rFonts w:ascii="Garamond" w:cs="Garamond" w:eastAsia="Garamond" w:hAnsi="Garamond"/>
                <w:sz w:val="19"/>
                <w:szCs w:val="19"/>
                <w:color w:val="auto"/>
              </w:rPr>
              <w:t>First visit</w:t>
            </w:r>
          </w:p>
        </w:tc>
        <w:tc>
          <w:tcPr>
            <w:tcW w:w="170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9"/>
              </w:rPr>
              <w:t>3.8</w:t>
            </w:r>
          </w:p>
        </w:tc>
        <w:tc>
          <w:tcPr>
            <w:tcW w:w="170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9"/>
              </w:rPr>
              <w:t>1.3</w:t>
            </w:r>
          </w:p>
        </w:tc>
        <w:tc>
          <w:tcPr>
            <w:tcW w:w="174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-2.6</w:t>
            </w:r>
          </w:p>
        </w:tc>
      </w:tr>
      <w:tr>
        <w:trPr>
          <w:trHeight w:val="22"/>
        </w:trPr>
        <w:tc>
          <w:tcPr>
            <w:tcW w:w="192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700" w:type="dxa"/>
            <w:vAlign w:val="bottom"/>
            <w:tcBorders>
              <w:bottom w:val="single" w:sz="8" w:color="auto"/>
              <w:right w:val="single" w:sz="8" w:color="auto"/>
            </w:tcBorders>
          </w:tcPr>
          <w:p>
            <w:pPr>
              <w:spacing w:after="0" w:line="20" w:lineRule="exact"/>
              <w:rPr>
                <w:sz w:val="1"/>
                <w:szCs w:val="1"/>
                <w:color w:val="auto"/>
              </w:rPr>
            </w:pPr>
          </w:p>
        </w:tc>
        <w:tc>
          <w:tcPr>
            <w:tcW w:w="1700" w:type="dxa"/>
            <w:vAlign w:val="bottom"/>
            <w:tcBorders>
              <w:bottom w:val="single" w:sz="8" w:color="auto"/>
              <w:right w:val="single" w:sz="8" w:color="auto"/>
            </w:tcBorders>
          </w:tcPr>
          <w:p>
            <w:pPr>
              <w:spacing w:after="0" w:line="20" w:lineRule="exact"/>
              <w:rPr>
                <w:sz w:val="1"/>
                <w:szCs w:val="1"/>
                <w:color w:val="auto"/>
              </w:rPr>
            </w:pPr>
          </w:p>
        </w:tc>
        <w:tc>
          <w:tcPr>
            <w:tcW w:w="1740" w:type="dxa"/>
            <w:vAlign w:val="bottom"/>
            <w:tcBorders>
              <w:bottom w:val="single" w:sz="8" w:color="auto"/>
              <w:right w:val="single" w:sz="8" w:color="auto"/>
            </w:tcBorders>
          </w:tcPr>
          <w:p>
            <w:pPr>
              <w:spacing w:after="0" w:line="20" w:lineRule="exact"/>
              <w:rPr>
                <w:sz w:val="1"/>
                <w:szCs w:val="1"/>
                <w:color w:val="auto"/>
              </w:rPr>
            </w:pPr>
          </w:p>
        </w:tc>
      </w:tr>
    </w:tbl>
    <w:p>
      <w:pPr>
        <w:spacing w:after="0" w:line="72" w:lineRule="exact"/>
        <w:rPr>
          <w:sz w:val="20"/>
          <w:szCs w:val="20"/>
          <w:color w:val="auto"/>
        </w:rPr>
      </w:pPr>
    </w:p>
    <w:p>
      <w:pPr>
        <w:jc w:val="both"/>
        <w:spacing w:after="0" w:line="285" w:lineRule="auto"/>
        <w:rPr>
          <w:sz w:val="20"/>
          <w:szCs w:val="20"/>
          <w:color w:val="auto"/>
        </w:rPr>
      </w:pPr>
      <w:r>
        <w:rPr>
          <w:rFonts w:ascii="Garamond" w:cs="Garamond" w:eastAsia="Garamond" w:hAnsi="Garamond"/>
          <w:sz w:val="19"/>
          <w:szCs w:val="19"/>
          <w:color w:val="auto"/>
        </w:rPr>
        <w:t>Last, in line with other studies (e.g. Baumol &amp; Bowen, 1966; Lewis &amp; Seaman, 2004; Masters et al., 2011), we have found a significant influence of education (Chi-Square = 43.061 at 1% sig-nificance level), where especially the group of regular attenders showed an overrepresentation of university educated consumers, and underrepresentation of consumers with lower education (see Tab. 3). Such result may appear as corroborating previous studies that pointed out social class as the main descriptor of theater attenders. Yet, our data show that such effect is rather problematic.</w:t>
      </w:r>
    </w:p>
    <w:p>
      <w:pPr>
        <w:spacing w:after="0" w:line="2" w:lineRule="exact"/>
        <w:rPr>
          <w:sz w:val="20"/>
          <w:szCs w:val="20"/>
          <w:color w:val="auto"/>
        </w:rPr>
      </w:pPr>
    </w:p>
    <w:p>
      <w:pPr>
        <w:jc w:val="both"/>
        <w:spacing w:after="0" w:line="295" w:lineRule="auto"/>
        <w:rPr>
          <w:sz w:val="20"/>
          <w:szCs w:val="20"/>
          <w:color w:val="auto"/>
        </w:rPr>
      </w:pPr>
      <w:r>
        <w:rPr>
          <w:rFonts w:ascii="Garamond" w:cs="Garamond" w:eastAsia="Garamond" w:hAnsi="Garamond"/>
          <w:sz w:val="19"/>
          <w:szCs w:val="19"/>
          <w:color w:val="auto"/>
        </w:rPr>
        <w:t>In contrast to formerly published studies (e.g. Borgonovi, 2004), in fact, we have found no sig-nificant effect of income (Chi-Square = 6.715), as can also be seen from Tab. 4 that shows no adjusted standardized residual is above 2 or below -2.</w:t>
      </w:r>
    </w:p>
    <w:p>
      <w:pPr>
        <w:spacing w:after="0" w:line="268" w:lineRule="exact"/>
        <w:rPr>
          <w:sz w:val="20"/>
          <w:szCs w:val="20"/>
          <w:color w:val="auto"/>
        </w:rPr>
      </w:pPr>
    </w:p>
    <w:p>
      <w:pPr>
        <w:spacing w:after="0"/>
        <w:rPr>
          <w:sz w:val="20"/>
          <w:szCs w:val="20"/>
          <w:color w:val="auto"/>
        </w:rPr>
      </w:pPr>
      <w:r>
        <w:rPr>
          <w:rFonts w:ascii="Garamond" w:cs="Garamond" w:eastAsia="Garamond" w:hAnsi="Garamond"/>
          <w:sz w:val="18"/>
          <w:szCs w:val="18"/>
          <w:color w:val="auto"/>
        </w:rPr>
        <w:t>Tab. 4 - Household income (in thousands CZK)/frequency of performance attendance. Source:</w:t>
      </w:r>
    </w:p>
    <w:p>
      <w:pPr>
        <w:spacing w:after="0" w:line="48" w:lineRule="exact"/>
        <w:rPr>
          <w:sz w:val="20"/>
          <w:szCs w:val="20"/>
          <w:color w:val="auto"/>
        </w:rPr>
      </w:pPr>
    </w:p>
    <w:p>
      <w:pPr>
        <w:spacing w:after="0"/>
        <w:rPr>
          <w:sz w:val="20"/>
          <w:szCs w:val="20"/>
          <w:color w:val="auto"/>
        </w:rPr>
      </w:pPr>
      <w:r>
        <w:rPr>
          <w:rFonts w:ascii="Garamond" w:cs="Garamond" w:eastAsia="Garamond" w:hAnsi="Garamond"/>
          <w:sz w:val="19"/>
          <w:szCs w:val="19"/>
          <w:color w:val="auto"/>
        </w:rPr>
        <w:t>Authors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25400</wp:posOffset>
            </wp:positionV>
            <wp:extent cx="4512945" cy="388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4512945" cy="388620"/>
                    </a:xfrm>
                    <a:prstGeom prst="rect">
                      <a:avLst/>
                    </a:prstGeom>
                    <a:noFill/>
                  </pic:spPr>
                </pic:pic>
              </a:graphicData>
            </a:graphic>
          </wp:anchor>
        </w:drawing>
      </w:r>
    </w:p>
    <w:p>
      <w:pPr>
        <w:spacing w:after="0" w:line="38" w:lineRule="exact"/>
        <w:rPr>
          <w:sz w:val="20"/>
          <w:szCs w:val="20"/>
          <w:color w:val="auto"/>
        </w:rPr>
      </w:pPr>
    </w:p>
    <w:tbl>
      <w:tblPr>
        <w:tblLayout w:type="fixed"/>
        <w:tblInd w:w="10" w:type="dxa"/>
        <w:tblCellMar>
          <w:top w:w="0" w:type="dxa"/>
          <w:left w:w="0" w:type="dxa"/>
          <w:bottom w:w="0" w:type="dxa"/>
          <w:right w:w="0" w:type="dxa"/>
        </w:tblCellMar>
      </w:tblPr>
      <w:tr>
        <w:trPr>
          <w:trHeight w:val="269"/>
        </w:trPr>
        <w:tc>
          <w:tcPr>
            <w:tcW w:w="1880" w:type="dxa"/>
            <w:vAlign w:val="bottom"/>
            <w:tcBorders>
              <w:top w:val="single" w:sz="8" w:color="auto"/>
              <w:left w:val="single" w:sz="8" w:color="auto"/>
              <w:right w:val="single" w:sz="8" w:color="auto"/>
            </w:tcBorders>
          </w:tcPr>
          <w:p>
            <w:pPr>
              <w:spacing w:after="0"/>
              <w:rPr>
                <w:sz w:val="23"/>
                <w:szCs w:val="23"/>
                <w:color w:val="auto"/>
              </w:rPr>
            </w:pPr>
          </w:p>
        </w:tc>
        <w:tc>
          <w:tcPr>
            <w:tcW w:w="1020" w:type="dxa"/>
            <w:vAlign w:val="bottom"/>
            <w:tcBorders>
              <w:top w:val="single" w:sz="8" w:color="auto"/>
              <w:right w:val="single" w:sz="8" w:color="auto"/>
            </w:tcBorders>
          </w:tcPr>
          <w:p>
            <w:pPr>
              <w:ind w:left="100"/>
              <w:spacing w:after="0"/>
              <w:rPr>
                <w:sz w:val="20"/>
                <w:szCs w:val="20"/>
                <w:color w:val="auto"/>
              </w:rPr>
            </w:pPr>
            <w:r>
              <w:rPr>
                <w:rFonts w:ascii="Garamond" w:cs="Garamond" w:eastAsia="Garamond" w:hAnsi="Garamond"/>
                <w:sz w:val="19"/>
                <w:szCs w:val="19"/>
                <w:b w:val="1"/>
                <w:bCs w:val="1"/>
                <w:color w:val="auto"/>
              </w:rPr>
              <w:t>Less than</w:t>
            </w:r>
          </w:p>
        </w:tc>
        <w:tc>
          <w:tcPr>
            <w:tcW w:w="1020" w:type="dxa"/>
            <w:vAlign w:val="bottom"/>
            <w:tcBorders>
              <w:top w:val="single" w:sz="8" w:color="auto"/>
              <w:right w:val="single" w:sz="8" w:color="auto"/>
            </w:tcBorders>
            <w:vMerge w:val="restart"/>
          </w:tcPr>
          <w:p>
            <w:pPr>
              <w:jc w:val="center"/>
              <w:spacing w:after="0"/>
              <w:rPr>
                <w:sz w:val="20"/>
                <w:szCs w:val="20"/>
                <w:color w:val="auto"/>
              </w:rPr>
            </w:pPr>
            <w:r>
              <w:rPr>
                <w:rFonts w:ascii="Garamond" w:cs="Garamond" w:eastAsia="Garamond" w:hAnsi="Garamond"/>
                <w:sz w:val="19"/>
                <w:szCs w:val="19"/>
                <w:b w:val="1"/>
                <w:bCs w:val="1"/>
                <w:color w:val="auto"/>
              </w:rPr>
              <w:t>30-40</w:t>
            </w:r>
          </w:p>
        </w:tc>
        <w:tc>
          <w:tcPr>
            <w:tcW w:w="1020" w:type="dxa"/>
            <w:vAlign w:val="bottom"/>
            <w:tcBorders>
              <w:top w:val="single" w:sz="8" w:color="auto"/>
              <w:right w:val="single" w:sz="8" w:color="auto"/>
            </w:tcBorders>
            <w:vMerge w:val="restart"/>
          </w:tcPr>
          <w:p>
            <w:pPr>
              <w:jc w:val="center"/>
              <w:spacing w:after="0"/>
              <w:rPr>
                <w:sz w:val="20"/>
                <w:szCs w:val="20"/>
                <w:color w:val="auto"/>
              </w:rPr>
            </w:pPr>
            <w:r>
              <w:rPr>
                <w:rFonts w:ascii="Garamond" w:cs="Garamond" w:eastAsia="Garamond" w:hAnsi="Garamond"/>
                <w:sz w:val="19"/>
                <w:szCs w:val="19"/>
                <w:b w:val="1"/>
                <w:bCs w:val="1"/>
                <w:color w:val="auto"/>
              </w:rPr>
              <w:t>41-50</w:t>
            </w:r>
          </w:p>
        </w:tc>
        <w:tc>
          <w:tcPr>
            <w:tcW w:w="1020" w:type="dxa"/>
            <w:vAlign w:val="bottom"/>
            <w:tcBorders>
              <w:top w:val="single" w:sz="8" w:color="auto"/>
              <w:right w:val="single" w:sz="8" w:color="auto"/>
            </w:tcBorders>
            <w:vMerge w:val="restart"/>
          </w:tcPr>
          <w:p>
            <w:pPr>
              <w:jc w:val="center"/>
              <w:spacing w:after="0"/>
              <w:rPr>
                <w:sz w:val="20"/>
                <w:szCs w:val="20"/>
                <w:color w:val="auto"/>
              </w:rPr>
            </w:pPr>
            <w:r>
              <w:rPr>
                <w:rFonts w:ascii="Garamond" w:cs="Garamond" w:eastAsia="Garamond" w:hAnsi="Garamond"/>
                <w:sz w:val="19"/>
                <w:szCs w:val="19"/>
                <w:b w:val="1"/>
                <w:bCs w:val="1"/>
                <w:color w:val="auto"/>
              </w:rPr>
              <w:t>51-60</w:t>
            </w:r>
          </w:p>
        </w:tc>
        <w:tc>
          <w:tcPr>
            <w:tcW w:w="1100" w:type="dxa"/>
            <w:vAlign w:val="bottom"/>
            <w:tcBorders>
              <w:top w:val="single" w:sz="8" w:color="auto"/>
              <w:right w:val="single" w:sz="8" w:color="auto"/>
            </w:tcBorders>
          </w:tcPr>
          <w:p>
            <w:pPr>
              <w:ind w:left="120"/>
              <w:spacing w:after="0"/>
              <w:rPr>
                <w:sz w:val="20"/>
                <w:szCs w:val="20"/>
                <w:color w:val="auto"/>
              </w:rPr>
            </w:pPr>
            <w:r>
              <w:rPr>
                <w:rFonts w:ascii="Garamond" w:cs="Garamond" w:eastAsia="Garamond" w:hAnsi="Garamond"/>
                <w:sz w:val="19"/>
                <w:szCs w:val="19"/>
                <w:b w:val="1"/>
                <w:bCs w:val="1"/>
                <w:color w:val="auto"/>
              </w:rPr>
              <w:t>more than</w:t>
            </w:r>
          </w:p>
        </w:tc>
        <w:tc>
          <w:tcPr>
            <w:tcW w:w="0" w:type="dxa"/>
            <w:vAlign w:val="bottom"/>
          </w:tcPr>
          <w:p>
            <w:pPr>
              <w:spacing w:after="0"/>
              <w:rPr>
                <w:sz w:val="1"/>
                <w:szCs w:val="1"/>
                <w:color w:val="auto"/>
              </w:rPr>
            </w:pPr>
          </w:p>
        </w:tc>
      </w:tr>
      <w:tr>
        <w:trPr>
          <w:trHeight w:val="128"/>
        </w:trPr>
        <w:tc>
          <w:tcPr>
            <w:tcW w:w="1880" w:type="dxa"/>
            <w:vAlign w:val="bottom"/>
            <w:tcBorders>
              <w:left w:val="single" w:sz="8" w:color="auto"/>
              <w:right w:val="single" w:sz="8" w:color="auto"/>
            </w:tcBorders>
          </w:tcPr>
          <w:p>
            <w:pPr>
              <w:spacing w:after="0"/>
              <w:rPr>
                <w:sz w:val="11"/>
                <w:szCs w:val="11"/>
                <w:color w:val="auto"/>
              </w:rPr>
            </w:pPr>
          </w:p>
        </w:tc>
        <w:tc>
          <w:tcPr>
            <w:tcW w:w="1020" w:type="dxa"/>
            <w:vAlign w:val="bottom"/>
            <w:tcBorders>
              <w:right w:val="single" w:sz="8" w:color="auto"/>
            </w:tcBorders>
            <w:vMerge w:val="restart"/>
          </w:tcPr>
          <w:p>
            <w:pPr>
              <w:jc w:val="center"/>
              <w:spacing w:after="0"/>
              <w:rPr>
                <w:sz w:val="20"/>
                <w:szCs w:val="20"/>
                <w:color w:val="auto"/>
              </w:rPr>
            </w:pPr>
            <w:r>
              <w:rPr>
                <w:rFonts w:ascii="Garamond" w:cs="Garamond" w:eastAsia="Garamond" w:hAnsi="Garamond"/>
                <w:sz w:val="19"/>
                <w:szCs w:val="19"/>
                <w:b w:val="1"/>
                <w:bCs w:val="1"/>
                <w:color w:val="auto"/>
              </w:rPr>
              <w:t>30</w:t>
            </w:r>
          </w:p>
        </w:tc>
        <w:tc>
          <w:tcPr>
            <w:tcW w:w="1020" w:type="dxa"/>
            <w:vAlign w:val="bottom"/>
            <w:tcBorders>
              <w:right w:val="single" w:sz="8" w:color="auto"/>
            </w:tcBorders>
            <w:vMerge w:val="continue"/>
          </w:tcPr>
          <w:p>
            <w:pPr>
              <w:spacing w:after="0"/>
              <w:rPr>
                <w:sz w:val="11"/>
                <w:szCs w:val="11"/>
                <w:color w:val="auto"/>
              </w:rPr>
            </w:pPr>
          </w:p>
        </w:tc>
        <w:tc>
          <w:tcPr>
            <w:tcW w:w="1020" w:type="dxa"/>
            <w:vAlign w:val="bottom"/>
            <w:tcBorders>
              <w:right w:val="single" w:sz="8" w:color="auto"/>
            </w:tcBorders>
            <w:vMerge w:val="continue"/>
          </w:tcPr>
          <w:p>
            <w:pPr>
              <w:spacing w:after="0"/>
              <w:rPr>
                <w:sz w:val="11"/>
                <w:szCs w:val="11"/>
                <w:color w:val="auto"/>
              </w:rPr>
            </w:pPr>
          </w:p>
        </w:tc>
        <w:tc>
          <w:tcPr>
            <w:tcW w:w="1020" w:type="dxa"/>
            <w:vAlign w:val="bottom"/>
            <w:tcBorders>
              <w:right w:val="single" w:sz="8" w:color="auto"/>
            </w:tcBorders>
            <w:vMerge w:val="continue"/>
          </w:tcPr>
          <w:p>
            <w:pPr>
              <w:spacing w:after="0"/>
              <w:rPr>
                <w:sz w:val="11"/>
                <w:szCs w:val="11"/>
                <w:color w:val="auto"/>
              </w:rPr>
            </w:pPr>
          </w:p>
        </w:tc>
        <w:tc>
          <w:tcPr>
            <w:tcW w:w="1100" w:type="dxa"/>
            <w:vAlign w:val="bottom"/>
            <w:tcBorders>
              <w:right w:val="single" w:sz="8" w:color="auto"/>
            </w:tcBorders>
            <w:vMerge w:val="restart"/>
          </w:tcPr>
          <w:p>
            <w:pPr>
              <w:jc w:val="center"/>
              <w:spacing w:after="0"/>
              <w:rPr>
                <w:sz w:val="20"/>
                <w:szCs w:val="20"/>
                <w:color w:val="auto"/>
              </w:rPr>
            </w:pPr>
            <w:r>
              <w:rPr>
                <w:rFonts w:ascii="Garamond" w:cs="Garamond" w:eastAsia="Garamond" w:hAnsi="Garamond"/>
                <w:sz w:val="19"/>
                <w:szCs w:val="19"/>
                <w:b w:val="1"/>
                <w:bCs w:val="1"/>
                <w:color w:val="auto"/>
              </w:rPr>
              <w:t>60</w:t>
            </w:r>
          </w:p>
        </w:tc>
        <w:tc>
          <w:tcPr>
            <w:tcW w:w="0" w:type="dxa"/>
            <w:vAlign w:val="bottom"/>
          </w:tcPr>
          <w:p>
            <w:pPr>
              <w:spacing w:after="0"/>
              <w:rPr>
                <w:sz w:val="1"/>
                <w:szCs w:val="1"/>
                <w:color w:val="auto"/>
              </w:rPr>
            </w:pPr>
          </w:p>
        </w:tc>
      </w:tr>
      <w:tr>
        <w:trPr>
          <w:trHeight w:val="127"/>
        </w:trPr>
        <w:tc>
          <w:tcPr>
            <w:tcW w:w="1880" w:type="dxa"/>
            <w:vAlign w:val="bottom"/>
            <w:tcBorders>
              <w:left w:val="single" w:sz="8" w:color="auto"/>
              <w:bottom w:val="single" w:sz="8" w:color="auto"/>
              <w:right w:val="single" w:sz="8" w:color="auto"/>
            </w:tcBorders>
          </w:tcPr>
          <w:p>
            <w:pPr>
              <w:spacing w:after="0"/>
              <w:rPr>
                <w:sz w:val="11"/>
                <w:szCs w:val="11"/>
                <w:color w:val="auto"/>
              </w:rPr>
            </w:pPr>
          </w:p>
        </w:tc>
        <w:tc>
          <w:tcPr>
            <w:tcW w:w="1020" w:type="dxa"/>
            <w:vAlign w:val="bottom"/>
            <w:tcBorders>
              <w:bottom w:val="single" w:sz="8" w:color="auto"/>
              <w:right w:val="single" w:sz="8" w:color="auto"/>
            </w:tcBorders>
            <w:vMerge w:val="continue"/>
          </w:tcPr>
          <w:p>
            <w:pPr>
              <w:spacing w:after="0"/>
              <w:rPr>
                <w:sz w:val="11"/>
                <w:szCs w:val="11"/>
                <w:color w:val="auto"/>
              </w:rPr>
            </w:pPr>
          </w:p>
        </w:tc>
        <w:tc>
          <w:tcPr>
            <w:tcW w:w="1020" w:type="dxa"/>
            <w:vAlign w:val="bottom"/>
            <w:tcBorders>
              <w:bottom w:val="single" w:sz="8" w:color="auto"/>
              <w:right w:val="single" w:sz="8" w:color="auto"/>
            </w:tcBorders>
          </w:tcPr>
          <w:p>
            <w:pPr>
              <w:spacing w:after="0"/>
              <w:rPr>
                <w:sz w:val="11"/>
                <w:szCs w:val="11"/>
                <w:color w:val="auto"/>
              </w:rPr>
            </w:pPr>
          </w:p>
        </w:tc>
        <w:tc>
          <w:tcPr>
            <w:tcW w:w="1020" w:type="dxa"/>
            <w:vAlign w:val="bottom"/>
            <w:tcBorders>
              <w:bottom w:val="single" w:sz="8" w:color="auto"/>
              <w:right w:val="single" w:sz="8" w:color="auto"/>
            </w:tcBorders>
          </w:tcPr>
          <w:p>
            <w:pPr>
              <w:spacing w:after="0"/>
              <w:rPr>
                <w:sz w:val="11"/>
                <w:szCs w:val="11"/>
                <w:color w:val="auto"/>
              </w:rPr>
            </w:pPr>
          </w:p>
        </w:tc>
        <w:tc>
          <w:tcPr>
            <w:tcW w:w="1020" w:type="dxa"/>
            <w:vAlign w:val="bottom"/>
            <w:tcBorders>
              <w:bottom w:val="single" w:sz="8" w:color="auto"/>
              <w:right w:val="single" w:sz="8" w:color="auto"/>
            </w:tcBorders>
          </w:tcPr>
          <w:p>
            <w:pPr>
              <w:spacing w:after="0"/>
              <w:rPr>
                <w:sz w:val="11"/>
                <w:szCs w:val="11"/>
                <w:color w:val="auto"/>
              </w:rPr>
            </w:pPr>
          </w:p>
        </w:tc>
        <w:tc>
          <w:tcPr>
            <w:tcW w:w="1100" w:type="dxa"/>
            <w:vAlign w:val="bottom"/>
            <w:tcBorders>
              <w:bottom w:val="single" w:sz="8" w:color="auto"/>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48"/>
        </w:trPr>
        <w:tc>
          <w:tcPr>
            <w:tcW w:w="1880" w:type="dxa"/>
            <w:vAlign w:val="bottom"/>
            <w:tcBorders>
              <w:left w:val="single" w:sz="8" w:color="auto"/>
              <w:right w:val="single" w:sz="8" w:color="auto"/>
            </w:tcBorders>
          </w:tcPr>
          <w:p>
            <w:pPr>
              <w:jc w:val="center"/>
              <w:spacing w:after="0"/>
              <w:rPr>
                <w:sz w:val="20"/>
                <w:szCs w:val="20"/>
                <w:color w:val="auto"/>
              </w:rPr>
            </w:pPr>
            <w:r>
              <w:rPr>
                <w:rFonts w:ascii="Garamond" w:cs="Garamond" w:eastAsia="Garamond" w:hAnsi="Garamond"/>
                <w:sz w:val="19"/>
                <w:szCs w:val="19"/>
                <w:color w:val="auto"/>
                <w:w w:val="99"/>
              </w:rPr>
              <w:t>More than once a year</w:t>
            </w:r>
          </w:p>
        </w:tc>
        <w:tc>
          <w:tcPr>
            <w:tcW w:w="102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-0.1</w:t>
            </w:r>
          </w:p>
        </w:tc>
        <w:tc>
          <w:tcPr>
            <w:tcW w:w="102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2"/>
              </w:rPr>
              <w:t>-1.1</w:t>
            </w:r>
          </w:p>
        </w:tc>
        <w:tc>
          <w:tcPr>
            <w:tcW w:w="102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0"/>
              </w:rPr>
              <w:t>1.1</w:t>
            </w:r>
          </w:p>
        </w:tc>
        <w:tc>
          <w:tcPr>
            <w:tcW w:w="102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-0.4</w:t>
            </w:r>
          </w:p>
        </w:tc>
        <w:tc>
          <w:tcPr>
            <w:tcW w:w="110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9"/>
              </w:rPr>
              <w:t>0.8</w:t>
            </w:r>
          </w:p>
        </w:tc>
        <w:tc>
          <w:tcPr>
            <w:tcW w:w="0" w:type="dxa"/>
            <w:vAlign w:val="bottom"/>
          </w:tcPr>
          <w:p>
            <w:pPr>
              <w:spacing w:after="0"/>
              <w:rPr>
                <w:sz w:val="1"/>
                <w:szCs w:val="1"/>
                <w:color w:val="auto"/>
              </w:rPr>
            </w:pPr>
          </w:p>
        </w:tc>
      </w:tr>
      <w:tr>
        <w:trPr>
          <w:trHeight w:val="22"/>
        </w:trPr>
        <w:tc>
          <w:tcPr>
            <w:tcW w:w="18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020" w:type="dxa"/>
            <w:vAlign w:val="bottom"/>
            <w:tcBorders>
              <w:bottom w:val="single" w:sz="8" w:color="auto"/>
              <w:right w:val="single" w:sz="8" w:color="auto"/>
            </w:tcBorders>
          </w:tcPr>
          <w:p>
            <w:pPr>
              <w:spacing w:after="0" w:line="20" w:lineRule="exact"/>
              <w:rPr>
                <w:sz w:val="1"/>
                <w:szCs w:val="1"/>
                <w:color w:val="auto"/>
              </w:rPr>
            </w:pPr>
          </w:p>
        </w:tc>
        <w:tc>
          <w:tcPr>
            <w:tcW w:w="1020" w:type="dxa"/>
            <w:vAlign w:val="bottom"/>
            <w:tcBorders>
              <w:bottom w:val="single" w:sz="8" w:color="auto"/>
              <w:right w:val="single" w:sz="8" w:color="auto"/>
            </w:tcBorders>
          </w:tcPr>
          <w:p>
            <w:pPr>
              <w:spacing w:after="0" w:line="20" w:lineRule="exact"/>
              <w:rPr>
                <w:sz w:val="1"/>
                <w:szCs w:val="1"/>
                <w:color w:val="auto"/>
              </w:rPr>
            </w:pPr>
          </w:p>
        </w:tc>
        <w:tc>
          <w:tcPr>
            <w:tcW w:w="1020" w:type="dxa"/>
            <w:vAlign w:val="bottom"/>
            <w:tcBorders>
              <w:bottom w:val="single" w:sz="8" w:color="auto"/>
              <w:right w:val="single" w:sz="8" w:color="auto"/>
            </w:tcBorders>
          </w:tcPr>
          <w:p>
            <w:pPr>
              <w:spacing w:after="0" w:line="20" w:lineRule="exact"/>
              <w:rPr>
                <w:sz w:val="1"/>
                <w:szCs w:val="1"/>
                <w:color w:val="auto"/>
              </w:rPr>
            </w:pPr>
          </w:p>
        </w:tc>
        <w:tc>
          <w:tcPr>
            <w:tcW w:w="1020" w:type="dxa"/>
            <w:vAlign w:val="bottom"/>
            <w:tcBorders>
              <w:bottom w:val="single" w:sz="8" w:color="auto"/>
              <w:right w:val="single" w:sz="8" w:color="auto"/>
            </w:tcBorders>
          </w:tcPr>
          <w:p>
            <w:pPr>
              <w:spacing w:after="0" w:line="20" w:lineRule="exact"/>
              <w:rPr>
                <w:sz w:val="1"/>
                <w:szCs w:val="1"/>
                <w:color w:val="auto"/>
              </w:rPr>
            </w:pPr>
          </w:p>
        </w:tc>
        <w:tc>
          <w:tcPr>
            <w:tcW w:w="110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40"/>
        </w:trPr>
        <w:tc>
          <w:tcPr>
            <w:tcW w:w="1880" w:type="dxa"/>
            <w:vAlign w:val="bottom"/>
            <w:tcBorders>
              <w:left w:val="single" w:sz="8" w:color="auto"/>
              <w:right w:val="single" w:sz="8" w:color="auto"/>
            </w:tcBorders>
          </w:tcPr>
          <w:p>
            <w:pPr>
              <w:jc w:val="center"/>
              <w:spacing w:after="0"/>
              <w:rPr>
                <w:sz w:val="20"/>
                <w:szCs w:val="20"/>
                <w:color w:val="auto"/>
              </w:rPr>
            </w:pPr>
            <w:r>
              <w:rPr>
                <w:rFonts w:ascii="Garamond" w:cs="Garamond" w:eastAsia="Garamond" w:hAnsi="Garamond"/>
                <w:sz w:val="19"/>
                <w:szCs w:val="19"/>
                <w:color w:val="auto"/>
              </w:rPr>
              <w:t>Once a year</w:t>
            </w:r>
          </w:p>
        </w:tc>
        <w:tc>
          <w:tcPr>
            <w:tcW w:w="102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9"/>
              </w:rPr>
              <w:t>0.4</w:t>
            </w:r>
          </w:p>
        </w:tc>
        <w:tc>
          <w:tcPr>
            <w:tcW w:w="102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9"/>
              </w:rPr>
              <w:t>1.3</w:t>
            </w:r>
          </w:p>
        </w:tc>
        <w:tc>
          <w:tcPr>
            <w:tcW w:w="102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2"/>
              </w:rPr>
              <w:t>-1.7</w:t>
            </w:r>
          </w:p>
        </w:tc>
        <w:tc>
          <w:tcPr>
            <w:tcW w:w="102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-0.2</w:t>
            </w:r>
          </w:p>
        </w:tc>
        <w:tc>
          <w:tcPr>
            <w:tcW w:w="110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-0.5</w:t>
            </w:r>
          </w:p>
        </w:tc>
        <w:tc>
          <w:tcPr>
            <w:tcW w:w="0" w:type="dxa"/>
            <w:vAlign w:val="bottom"/>
          </w:tcPr>
          <w:p>
            <w:pPr>
              <w:spacing w:after="0"/>
              <w:rPr>
                <w:sz w:val="1"/>
                <w:szCs w:val="1"/>
                <w:color w:val="auto"/>
              </w:rPr>
            </w:pPr>
          </w:p>
        </w:tc>
      </w:tr>
      <w:tr>
        <w:trPr>
          <w:trHeight w:val="21"/>
        </w:trPr>
        <w:tc>
          <w:tcPr>
            <w:tcW w:w="18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020" w:type="dxa"/>
            <w:vAlign w:val="bottom"/>
            <w:tcBorders>
              <w:bottom w:val="single" w:sz="8" w:color="auto"/>
              <w:right w:val="single" w:sz="8" w:color="auto"/>
            </w:tcBorders>
          </w:tcPr>
          <w:p>
            <w:pPr>
              <w:spacing w:after="0" w:line="20" w:lineRule="exact"/>
              <w:rPr>
                <w:sz w:val="1"/>
                <w:szCs w:val="1"/>
                <w:color w:val="auto"/>
              </w:rPr>
            </w:pPr>
          </w:p>
        </w:tc>
        <w:tc>
          <w:tcPr>
            <w:tcW w:w="1020" w:type="dxa"/>
            <w:vAlign w:val="bottom"/>
            <w:tcBorders>
              <w:bottom w:val="single" w:sz="8" w:color="auto"/>
              <w:right w:val="single" w:sz="8" w:color="auto"/>
            </w:tcBorders>
          </w:tcPr>
          <w:p>
            <w:pPr>
              <w:spacing w:after="0" w:line="20" w:lineRule="exact"/>
              <w:rPr>
                <w:sz w:val="1"/>
                <w:szCs w:val="1"/>
                <w:color w:val="auto"/>
              </w:rPr>
            </w:pPr>
          </w:p>
        </w:tc>
        <w:tc>
          <w:tcPr>
            <w:tcW w:w="1020" w:type="dxa"/>
            <w:vAlign w:val="bottom"/>
            <w:tcBorders>
              <w:bottom w:val="single" w:sz="8" w:color="auto"/>
              <w:right w:val="single" w:sz="8" w:color="auto"/>
            </w:tcBorders>
          </w:tcPr>
          <w:p>
            <w:pPr>
              <w:spacing w:after="0" w:line="20" w:lineRule="exact"/>
              <w:rPr>
                <w:sz w:val="1"/>
                <w:szCs w:val="1"/>
                <w:color w:val="auto"/>
              </w:rPr>
            </w:pPr>
          </w:p>
        </w:tc>
        <w:tc>
          <w:tcPr>
            <w:tcW w:w="1020" w:type="dxa"/>
            <w:vAlign w:val="bottom"/>
            <w:tcBorders>
              <w:bottom w:val="single" w:sz="8" w:color="auto"/>
              <w:right w:val="single" w:sz="8" w:color="auto"/>
            </w:tcBorders>
          </w:tcPr>
          <w:p>
            <w:pPr>
              <w:spacing w:after="0" w:line="20" w:lineRule="exact"/>
              <w:rPr>
                <w:sz w:val="1"/>
                <w:szCs w:val="1"/>
                <w:color w:val="auto"/>
              </w:rPr>
            </w:pPr>
          </w:p>
        </w:tc>
        <w:tc>
          <w:tcPr>
            <w:tcW w:w="110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40"/>
        </w:trPr>
        <w:tc>
          <w:tcPr>
            <w:tcW w:w="1880" w:type="dxa"/>
            <w:vAlign w:val="bottom"/>
            <w:tcBorders>
              <w:left w:val="single" w:sz="8" w:color="auto"/>
              <w:right w:val="single" w:sz="8" w:color="auto"/>
            </w:tcBorders>
          </w:tcPr>
          <w:p>
            <w:pPr>
              <w:jc w:val="center"/>
              <w:spacing w:after="0"/>
              <w:rPr>
                <w:sz w:val="20"/>
                <w:szCs w:val="20"/>
                <w:color w:val="auto"/>
              </w:rPr>
            </w:pPr>
            <w:r>
              <w:rPr>
                <w:rFonts w:ascii="Garamond" w:cs="Garamond" w:eastAsia="Garamond" w:hAnsi="Garamond"/>
                <w:sz w:val="19"/>
                <w:szCs w:val="19"/>
                <w:color w:val="auto"/>
              </w:rPr>
              <w:t>First visit</w:t>
            </w:r>
          </w:p>
        </w:tc>
        <w:tc>
          <w:tcPr>
            <w:tcW w:w="102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-0.8</w:t>
            </w:r>
          </w:p>
        </w:tc>
        <w:tc>
          <w:tcPr>
            <w:tcW w:w="102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-0.3</w:t>
            </w:r>
          </w:p>
        </w:tc>
        <w:tc>
          <w:tcPr>
            <w:tcW w:w="102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0"/>
              </w:rPr>
              <w:t>1.1</w:t>
            </w:r>
          </w:p>
        </w:tc>
        <w:tc>
          <w:tcPr>
            <w:tcW w:w="102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0"/>
              </w:rPr>
              <w:t>1.1</w:t>
            </w:r>
          </w:p>
        </w:tc>
        <w:tc>
          <w:tcPr>
            <w:tcW w:w="110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-0.6</w:t>
            </w:r>
          </w:p>
        </w:tc>
        <w:tc>
          <w:tcPr>
            <w:tcW w:w="0" w:type="dxa"/>
            <w:vAlign w:val="bottom"/>
          </w:tcPr>
          <w:p>
            <w:pPr>
              <w:spacing w:after="0"/>
              <w:rPr>
                <w:sz w:val="1"/>
                <w:szCs w:val="1"/>
                <w:color w:val="auto"/>
              </w:rPr>
            </w:pPr>
          </w:p>
        </w:tc>
      </w:tr>
      <w:tr>
        <w:trPr>
          <w:trHeight w:val="22"/>
        </w:trPr>
        <w:tc>
          <w:tcPr>
            <w:tcW w:w="18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020" w:type="dxa"/>
            <w:vAlign w:val="bottom"/>
            <w:tcBorders>
              <w:bottom w:val="single" w:sz="8" w:color="auto"/>
              <w:right w:val="single" w:sz="8" w:color="auto"/>
            </w:tcBorders>
          </w:tcPr>
          <w:p>
            <w:pPr>
              <w:spacing w:after="0" w:line="20" w:lineRule="exact"/>
              <w:rPr>
                <w:sz w:val="1"/>
                <w:szCs w:val="1"/>
                <w:color w:val="auto"/>
              </w:rPr>
            </w:pPr>
          </w:p>
        </w:tc>
        <w:tc>
          <w:tcPr>
            <w:tcW w:w="1020" w:type="dxa"/>
            <w:vAlign w:val="bottom"/>
            <w:tcBorders>
              <w:bottom w:val="single" w:sz="8" w:color="auto"/>
              <w:right w:val="single" w:sz="8" w:color="auto"/>
            </w:tcBorders>
          </w:tcPr>
          <w:p>
            <w:pPr>
              <w:spacing w:after="0" w:line="20" w:lineRule="exact"/>
              <w:rPr>
                <w:sz w:val="1"/>
                <w:szCs w:val="1"/>
                <w:color w:val="auto"/>
              </w:rPr>
            </w:pPr>
          </w:p>
        </w:tc>
        <w:tc>
          <w:tcPr>
            <w:tcW w:w="1020" w:type="dxa"/>
            <w:vAlign w:val="bottom"/>
            <w:tcBorders>
              <w:bottom w:val="single" w:sz="8" w:color="auto"/>
              <w:right w:val="single" w:sz="8" w:color="auto"/>
            </w:tcBorders>
          </w:tcPr>
          <w:p>
            <w:pPr>
              <w:spacing w:after="0" w:line="20" w:lineRule="exact"/>
              <w:rPr>
                <w:sz w:val="1"/>
                <w:szCs w:val="1"/>
                <w:color w:val="auto"/>
              </w:rPr>
            </w:pPr>
          </w:p>
        </w:tc>
        <w:tc>
          <w:tcPr>
            <w:tcW w:w="1020" w:type="dxa"/>
            <w:vAlign w:val="bottom"/>
            <w:tcBorders>
              <w:bottom w:val="single" w:sz="8" w:color="auto"/>
              <w:right w:val="single" w:sz="8" w:color="auto"/>
            </w:tcBorders>
          </w:tcPr>
          <w:p>
            <w:pPr>
              <w:spacing w:after="0" w:line="20" w:lineRule="exact"/>
              <w:rPr>
                <w:sz w:val="1"/>
                <w:szCs w:val="1"/>
                <w:color w:val="auto"/>
              </w:rPr>
            </w:pPr>
          </w:p>
        </w:tc>
        <w:tc>
          <w:tcPr>
            <w:tcW w:w="110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bl>
    <w:p>
      <w:pPr>
        <w:spacing w:after="0" w:line="72" w:lineRule="exact"/>
        <w:rPr>
          <w:sz w:val="20"/>
          <w:szCs w:val="20"/>
          <w:color w:val="auto"/>
        </w:rPr>
      </w:pPr>
    </w:p>
    <w:p>
      <w:pPr>
        <w:jc w:val="both"/>
        <w:spacing w:after="0" w:line="287" w:lineRule="auto"/>
        <w:rPr>
          <w:sz w:val="20"/>
          <w:szCs w:val="20"/>
          <w:color w:val="auto"/>
        </w:rPr>
      </w:pPr>
      <w:r>
        <w:rPr>
          <w:rFonts w:ascii="Garamond" w:cs="Garamond" w:eastAsia="Garamond" w:hAnsi="Garamond"/>
          <w:sz w:val="19"/>
          <w:szCs w:val="19"/>
          <w:color w:val="auto"/>
        </w:rPr>
        <w:t>Because income is one of the key components of social class (Solomon et al., 2010), this result problematizes the role of social class in the segmentation of performing arts audiences. As noted above, it has been argued that social class is a key explanative variable for performing arts market segmentation (Huntington, 2007) and previous studies have generously shown the association of income and educational level on the attendance of performing arts.</w:t>
      </w:r>
    </w:p>
    <w:p>
      <w:pPr>
        <w:jc w:val="both"/>
        <w:spacing w:after="0" w:line="284" w:lineRule="auto"/>
        <w:rPr>
          <w:sz w:val="20"/>
          <w:szCs w:val="20"/>
          <w:color w:val="auto"/>
        </w:rPr>
      </w:pPr>
      <w:r>
        <w:rPr>
          <w:rFonts w:ascii="Garamond" w:cs="Garamond" w:eastAsia="Garamond" w:hAnsi="Garamond"/>
          <w:sz w:val="19"/>
          <w:szCs w:val="19"/>
          <w:color w:val="auto"/>
        </w:rPr>
        <w:t>Yet, it can be argued that social class is a contextually dependent variable that in different con-texts may play out in heterogeneous ways. In the particular context of Czech republic, which is in the process of transformation from communism, income does not play a role in people’s at-tendance of the National Theater, as for decades art was “marketed” to the wide population. In this respect, we partially corroborate Huntington’s (2007) claim about the discriminatory effect of segmentation practices of the performing arts market, as we can demonstrate that in a context where no such practices were in place (indeed, were precluded by the same state), income does not play a role in people’s attendance.</w:t>
      </w:r>
    </w:p>
    <w:p>
      <w:pPr>
        <w:spacing w:after="0" w:line="5" w:lineRule="exact"/>
        <w:rPr>
          <w:sz w:val="20"/>
          <w:szCs w:val="20"/>
          <w:color w:val="auto"/>
        </w:rPr>
      </w:pPr>
    </w:p>
    <w:p>
      <w:pPr>
        <w:jc w:val="both"/>
        <w:spacing w:after="0" w:line="290" w:lineRule="auto"/>
        <w:rPr>
          <w:sz w:val="20"/>
          <w:szCs w:val="20"/>
          <w:color w:val="auto"/>
        </w:rPr>
      </w:pPr>
      <w:r>
        <w:rPr>
          <w:rFonts w:ascii="Garamond" w:cs="Garamond" w:eastAsia="Garamond" w:hAnsi="Garamond"/>
          <w:sz w:val="19"/>
          <w:szCs w:val="19"/>
          <w:color w:val="auto"/>
        </w:rPr>
        <w:t>The traditional models of performing arts audience segmentation that are based on the pre-sumption that the performing arts consumers, especially theater goers, belong to the high-in-come group can thus be said to be insensible to the particular context and as such cannot be applied uniformly and unreflexivelly across different settings.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176530</wp:posOffset>
            </wp:positionV>
            <wp:extent cx="4464050" cy="4763"/>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4464050" cy="4763"/>
                    </a:xfrm>
                    <a:prstGeom prst="rect">
                      <a:avLst/>
                    </a:prstGeom>
                    <a:noFill/>
                  </pic:spPr>
                </pic:pic>
              </a:graphicData>
            </a:graphic>
          </wp:anchor>
        </w:drawing>
      </w:r>
    </w:p>
    <w:p>
      <w:pPr>
        <w:sectPr>
          <w:pgSz w:w="9080" w:h="13039" w:orient="portrait"/>
          <w:cols w:equalWidth="0" w:num="1">
            <w:col w:w="7040"/>
          </w:cols>
          <w:pgMar w:left="900" w:top="1072" w:right="1131" w:bottom="195" w:gutter="0" w:footer="0" w:header="0"/>
        </w:sectPr>
      </w:pPr>
    </w:p>
    <w:p>
      <w:pPr>
        <w:spacing w:after="0" w:line="364" w:lineRule="exact"/>
        <w:rPr>
          <w:sz w:val="20"/>
          <w:szCs w:val="20"/>
          <w:color w:val="auto"/>
        </w:rPr>
      </w:pPr>
    </w:p>
    <w:p>
      <w:pPr>
        <w:spacing w:after="0"/>
        <w:tabs>
          <w:tab w:leader="none" w:pos="560" w:val="left"/>
        </w:tabs>
        <w:rPr>
          <w:sz w:val="20"/>
          <w:szCs w:val="20"/>
          <w:color w:val="auto"/>
        </w:rPr>
      </w:pPr>
      <w:r>
        <w:rPr>
          <w:rFonts w:ascii="Garamond" w:cs="Garamond" w:eastAsia="Garamond" w:hAnsi="Garamond"/>
          <w:sz w:val="16"/>
          <w:szCs w:val="16"/>
          <w:b w:val="1"/>
          <w:bCs w:val="1"/>
          <w:color w:val="auto"/>
        </w:rPr>
        <w:t>98</w:t>
      </w:r>
      <w:r>
        <w:rPr>
          <w:sz w:val="20"/>
          <w:szCs w:val="20"/>
          <w:color w:val="auto"/>
        </w:rPr>
        <w:tab/>
      </w:r>
      <w:r>
        <w:rPr>
          <w:rFonts w:ascii="Garamond" w:cs="Garamond" w:eastAsia="Garamond" w:hAnsi="Garamond"/>
          <w:sz w:val="16"/>
          <w:szCs w:val="16"/>
          <w:i w:val="1"/>
          <w:iCs w:val="1"/>
          <w:color w:val="auto"/>
        </w:rPr>
        <w:t>Journal of Competitiveness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4404360</wp:posOffset>
            </wp:positionH>
            <wp:positionV relativeFrom="paragraph">
              <wp:posOffset>-68580</wp:posOffset>
            </wp:positionV>
            <wp:extent cx="64135" cy="641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64135" cy="64135"/>
                    </a:xfrm>
                    <a:prstGeom prst="rect">
                      <a:avLst/>
                    </a:prstGeom>
                    <a:noFill/>
                  </pic:spPr>
                </pic:pic>
              </a:graphicData>
            </a:graphic>
          </wp:anchor>
        </w:drawing>
      </w:r>
    </w:p>
    <w:p>
      <w:pPr>
        <w:sectPr>
          <w:pgSz w:w="9080" w:h="13039" w:orient="portrait"/>
          <w:cols w:equalWidth="0" w:num="1">
            <w:col w:w="7040"/>
          </w:cols>
          <w:pgMar w:left="900" w:top="1072" w:right="1131" w:bottom="195" w:gutter="0" w:footer="0" w:header="0"/>
          <w:type w:val="continuous"/>
        </w:sectPr>
      </w:pPr>
    </w:p>
    <w:bookmarkStart w:id="7" w:name="page8"/>
    <w:bookmarkEnd w:id="7"/>
    <w:p>
      <w:pPr>
        <w:spacing w:after="0"/>
        <w:rPr>
          <w:sz w:val="20"/>
          <w:szCs w:val="20"/>
          <w:color w:val="auto"/>
        </w:rPr>
      </w:pPr>
      <w:r>
        <w:rPr>
          <w:rFonts w:ascii="Arial" w:cs="Arial" w:eastAsia="Arial" w:hAnsi="Arial"/>
          <w:sz w:val="20"/>
          <w:szCs w:val="20"/>
          <w:color w:val="auto"/>
        </w:rPr>
        <w:t>4.2 What consumers want from their theater?</w:t>
      </w:r>
    </w:p>
    <w:p>
      <w:pPr>
        <w:spacing w:after="0" w:line="38" w:lineRule="exact"/>
        <w:rPr>
          <w:sz w:val="20"/>
          <w:szCs w:val="20"/>
          <w:color w:val="auto"/>
        </w:rPr>
      </w:pPr>
    </w:p>
    <w:p>
      <w:pPr>
        <w:jc w:val="both"/>
        <w:spacing w:after="0" w:line="287" w:lineRule="auto"/>
        <w:rPr>
          <w:sz w:val="20"/>
          <w:szCs w:val="20"/>
          <w:color w:val="auto"/>
        </w:rPr>
      </w:pPr>
      <w:r>
        <w:rPr>
          <w:rFonts w:ascii="Garamond" w:cs="Garamond" w:eastAsia="Garamond" w:hAnsi="Garamond"/>
          <w:sz w:val="19"/>
          <w:szCs w:val="19"/>
          <w:color w:val="auto"/>
        </w:rPr>
        <w:t>For the reasons stated above we propose to pursue and deepen another perspective on perform-ing arts customers and their possible segmentation that we found significant: that of benefits that consumers seek when attending the theater. Several authors have treated the topic, e.g. Botti (2000), who described different kinds of benefits sought from the cultural experience, such as functional, symbolic, social or emotional.</w:t>
      </w:r>
    </w:p>
    <w:p>
      <w:pPr>
        <w:jc w:val="both"/>
        <w:spacing w:after="0" w:line="284" w:lineRule="auto"/>
        <w:rPr>
          <w:sz w:val="20"/>
          <w:szCs w:val="20"/>
          <w:color w:val="auto"/>
        </w:rPr>
      </w:pPr>
      <w:r>
        <w:rPr>
          <w:rFonts w:ascii="Garamond" w:cs="Garamond" w:eastAsia="Garamond" w:hAnsi="Garamond"/>
          <w:sz w:val="19"/>
          <w:szCs w:val="19"/>
          <w:color w:val="auto"/>
        </w:rPr>
        <w:t>In order to uncover what benefits consumers sought, we first coded the answers to the open question that sought to uncover the motivation for attendance. The resulting groups were the following: repertoire, culture, tradition, atmosphere, children, fun, interest in theater, casting, quality, opera, ballet, building/environment, and prestige. Their respective percentual repre-sentation is to be seen in Fig. 3. It should be noted that because the treated subject is National Theater, a very important role is played by symbolic factors such as tradition or atmosphere. However, other motivations more typical of general performing arts audiences are also to be found among the National Theater visitors (e.g. importance of repertoire resonates with what described by Johnson &amp; Garbarino, 2001).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167640</wp:posOffset>
            </wp:positionH>
            <wp:positionV relativeFrom="paragraph">
              <wp:posOffset>38100</wp:posOffset>
            </wp:positionV>
            <wp:extent cx="4142740" cy="34067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4142740" cy="34067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jc w:val="center"/>
        <w:spacing w:after="0"/>
        <w:rPr>
          <w:sz w:val="20"/>
          <w:szCs w:val="20"/>
          <w:color w:val="auto"/>
        </w:rPr>
      </w:pPr>
      <w:r>
        <w:rPr>
          <w:rFonts w:ascii="Garamond" w:cs="Garamond" w:eastAsia="Garamond" w:hAnsi="Garamond"/>
          <w:sz w:val="18"/>
          <w:szCs w:val="18"/>
          <w:i w:val="1"/>
          <w:iCs w:val="1"/>
          <w:color w:val="auto"/>
        </w:rPr>
        <w:t>Fig. 3 - Motivation for NT performance attendance. Source: Authors</w:t>
      </w:r>
    </w:p>
    <w:p>
      <w:pPr>
        <w:spacing w:after="0" w:line="350" w:lineRule="exact"/>
        <w:rPr>
          <w:sz w:val="20"/>
          <w:szCs w:val="20"/>
          <w:color w:val="auto"/>
        </w:rPr>
      </w:pPr>
    </w:p>
    <w:p>
      <w:pPr>
        <w:jc w:val="both"/>
        <w:spacing w:after="0" w:line="290" w:lineRule="auto"/>
        <w:rPr>
          <w:sz w:val="20"/>
          <w:szCs w:val="20"/>
          <w:color w:val="auto"/>
        </w:rPr>
      </w:pPr>
      <w:r>
        <w:rPr>
          <w:rFonts w:ascii="Garamond" w:cs="Garamond" w:eastAsia="Garamond" w:hAnsi="Garamond"/>
          <w:sz w:val="19"/>
          <w:szCs w:val="19"/>
          <w:color w:val="auto"/>
        </w:rPr>
        <w:t>As already noted, we have found that the motivation for the theater visit plays a significant role in the frequency of theater attendance (Chi-Square = 116.655, significant at 1% significance level). What are the most significant motivations can be seen at Tab. 5 (for clarity, some categories re-sulting as non-significant have been omitted).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13970</wp:posOffset>
            </wp:positionV>
            <wp:extent cx="4464050" cy="4763"/>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4464050" cy="4763"/>
                    </a:xfrm>
                    <a:prstGeom prst="rect">
                      <a:avLst/>
                    </a:prstGeom>
                    <a:noFill/>
                  </pic:spPr>
                </pic:pic>
              </a:graphicData>
            </a:graphic>
          </wp:anchor>
        </w:drawing>
      </w:r>
    </w:p>
    <w:p>
      <w:pPr>
        <w:sectPr>
          <w:pgSz w:w="9080" w:h="13039" w:orient="portrait"/>
          <w:cols w:equalWidth="0" w:num="1">
            <w:col w:w="7020"/>
          </w:cols>
          <w:pgMar w:left="1140" w:top="1078" w:right="911" w:bottom="217" w:gutter="0" w:footer="0" w:header="0"/>
        </w:sectPr>
      </w:pPr>
    </w:p>
    <w:p>
      <w:pPr>
        <w:spacing w:after="0" w:line="108" w:lineRule="exact"/>
        <w:rPr>
          <w:sz w:val="20"/>
          <w:szCs w:val="20"/>
          <w:color w:val="auto"/>
        </w:rPr>
      </w:pPr>
    </w:p>
    <w:p>
      <w:pPr>
        <w:ind w:left="6880"/>
        <w:spacing w:after="0"/>
        <w:rPr>
          <w:sz w:val="20"/>
          <w:szCs w:val="20"/>
          <w:color w:val="auto"/>
        </w:rPr>
      </w:pPr>
      <w:r>
        <w:rPr>
          <w:rFonts w:ascii="Garamond" w:cs="Garamond" w:eastAsia="Garamond" w:hAnsi="Garamond"/>
          <w:sz w:val="14"/>
          <w:szCs w:val="14"/>
          <w:b w:val="1"/>
          <w:bCs w:val="1"/>
          <w:color w:val="auto"/>
        </w:rPr>
        <w:t>99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-53975</wp:posOffset>
            </wp:positionV>
            <wp:extent cx="64135" cy="641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64135" cy="64135"/>
                    </a:xfrm>
                    <a:prstGeom prst="rect">
                      <a:avLst/>
                    </a:prstGeom>
                    <a:noFill/>
                  </pic:spPr>
                </pic:pic>
              </a:graphicData>
            </a:graphic>
          </wp:anchor>
        </w:drawing>
      </w:r>
    </w:p>
    <w:p>
      <w:pPr>
        <w:sectPr>
          <w:pgSz w:w="9080" w:h="13039" w:orient="portrait"/>
          <w:cols w:equalWidth="0" w:num="1">
            <w:col w:w="7020"/>
          </w:cols>
          <w:pgMar w:left="1140" w:top="1078" w:right="911" w:bottom="217" w:gutter="0" w:footer="0" w:header="0"/>
          <w:type w:val="continuous"/>
        </w:sectPr>
      </w:pPr>
    </w:p>
    <w:bookmarkStart w:id="8" w:name="page9"/>
    <w:bookmarkEnd w:id="8"/>
    <w:p>
      <w:pPr>
        <w:spacing w:after="0"/>
        <w:rPr>
          <w:sz w:val="20"/>
          <w:szCs w:val="20"/>
          <w:color w:val="auto"/>
        </w:rPr>
      </w:pPr>
      <w:r>
        <w:rPr>
          <w:rFonts w:ascii="Garamond" w:cs="Garamond" w:eastAsia="Garamond" w:hAnsi="Garamond"/>
          <w:sz w:val="19"/>
          <w:szCs w:val="19"/>
          <w:color w:val="auto"/>
        </w:rPr>
        <w:t>Tab. 5 - Motivation for attendance/frequency of performance attendance. Source: Authors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38100</wp:posOffset>
            </wp:positionV>
            <wp:extent cx="4485640" cy="70993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4485640" cy="709930"/>
                    </a:xfrm>
                    <a:prstGeom prst="rect">
                      <a:avLst/>
                    </a:prstGeom>
                    <a:noFill/>
                  </pic:spPr>
                </pic:pic>
              </a:graphicData>
            </a:graphic>
          </wp:anchor>
        </w:drawing>
      </w:r>
    </w:p>
    <w:p>
      <w:pPr>
        <w:spacing w:after="0" w:line="38" w:lineRule="exact"/>
        <w:rPr>
          <w:sz w:val="20"/>
          <w:szCs w:val="20"/>
          <w:color w:val="auto"/>
        </w:rPr>
      </w:pPr>
    </w:p>
    <w:tbl>
      <w:tblPr>
        <w:tblLayout w:type="fixed"/>
        <w:tblInd w:w="10" w:type="dxa"/>
        <w:tblCellMar>
          <w:top w:w="0" w:type="dxa"/>
          <w:left w:w="0" w:type="dxa"/>
          <w:bottom w:w="0" w:type="dxa"/>
          <w:right w:w="0" w:type="dxa"/>
        </w:tblCellMar>
      </w:tblPr>
      <w:tr>
        <w:trPr>
          <w:trHeight w:val="967"/>
        </w:trPr>
        <w:tc>
          <w:tcPr>
            <w:tcW w:w="1380" w:type="dxa"/>
            <w:vAlign w:val="bottom"/>
            <w:tcBorders>
              <w:top w:val="single" w:sz="8" w:color="auto"/>
              <w:left w:val="single" w:sz="8" w:color="auto"/>
              <w:right w:val="single" w:sz="8" w:color="auto"/>
            </w:tcBorders>
          </w:tcPr>
          <w:p>
            <w:pPr>
              <w:spacing w:after="0"/>
              <w:rPr>
                <w:sz w:val="24"/>
                <w:szCs w:val="24"/>
                <w:color w:val="auto"/>
              </w:rPr>
            </w:pPr>
          </w:p>
        </w:tc>
        <w:tc>
          <w:tcPr>
            <w:tcW w:w="560" w:type="dxa"/>
            <w:vAlign w:val="bottom"/>
            <w:tcBorders>
              <w:top w:val="single" w:sz="8" w:color="auto"/>
              <w:right w:val="single" w:sz="8" w:color="auto"/>
            </w:tcBorders>
            <w:textDirection w:val="btLr"/>
          </w:tcPr>
          <w:p>
            <w:pPr>
              <w:ind w:left="183"/>
              <w:spacing w:after="0"/>
              <w:rPr>
                <w:sz w:val="20"/>
                <w:szCs w:val="20"/>
                <w:color w:val="auto"/>
              </w:rPr>
            </w:pPr>
            <w:r>
              <w:rPr>
                <w:rFonts w:ascii="Garamond" w:cs="Garamond" w:eastAsia="Garamond" w:hAnsi="Garamond"/>
                <w:sz w:val="19"/>
                <w:szCs w:val="19"/>
                <w:b w:val="1"/>
                <w:bCs w:val="1"/>
                <w:color w:val="auto"/>
              </w:rPr>
              <w:t>Repertoire</w:t>
            </w:r>
          </w:p>
        </w:tc>
        <w:tc>
          <w:tcPr>
            <w:tcW w:w="580" w:type="dxa"/>
            <w:vAlign w:val="bottom"/>
            <w:tcBorders>
              <w:top w:val="single" w:sz="8" w:color="auto"/>
              <w:right w:val="single" w:sz="8" w:color="auto"/>
            </w:tcBorders>
            <w:textDirection w:val="btLr"/>
          </w:tcPr>
          <w:p>
            <w:pPr>
              <w:ind w:left="190"/>
              <w:spacing w:after="0"/>
              <w:rPr>
                <w:sz w:val="20"/>
                <w:szCs w:val="20"/>
                <w:color w:val="auto"/>
              </w:rPr>
            </w:pPr>
            <w:r>
              <w:rPr>
                <w:rFonts w:ascii="Garamond" w:cs="Garamond" w:eastAsia="Garamond" w:hAnsi="Garamond"/>
                <w:sz w:val="19"/>
                <w:szCs w:val="19"/>
                <w:b w:val="1"/>
                <w:bCs w:val="1"/>
                <w:color w:val="auto"/>
              </w:rPr>
              <w:t>Quality</w:t>
            </w:r>
          </w:p>
        </w:tc>
        <w:tc>
          <w:tcPr>
            <w:tcW w:w="560" w:type="dxa"/>
            <w:vAlign w:val="bottom"/>
            <w:tcBorders>
              <w:top w:val="single" w:sz="8" w:color="auto"/>
              <w:right w:val="single" w:sz="8" w:color="auto"/>
            </w:tcBorders>
            <w:textDirection w:val="btLr"/>
          </w:tcPr>
          <w:p>
            <w:pPr>
              <w:ind w:left="336"/>
              <w:spacing w:after="0"/>
              <w:rPr>
                <w:sz w:val="20"/>
                <w:szCs w:val="20"/>
                <w:color w:val="auto"/>
              </w:rPr>
            </w:pPr>
            <w:r>
              <w:rPr>
                <w:rFonts w:ascii="Garamond" w:cs="Garamond" w:eastAsia="Garamond" w:hAnsi="Garamond"/>
                <w:sz w:val="16"/>
                <w:szCs w:val="16"/>
                <w:b w:val="1"/>
                <w:bCs w:val="1"/>
                <w:color w:val="auto"/>
                <w:w w:val="70"/>
              </w:rPr>
              <w:t>Interest intheater</w:t>
            </w:r>
          </w:p>
        </w:tc>
        <w:tc>
          <w:tcPr>
            <w:tcW w:w="560" w:type="dxa"/>
            <w:vAlign w:val="bottom"/>
            <w:tcBorders>
              <w:top w:val="single" w:sz="8" w:color="auto"/>
              <w:right w:val="single" w:sz="8" w:color="auto"/>
            </w:tcBorders>
            <w:textDirection w:val="btLr"/>
          </w:tcPr>
          <w:p>
            <w:pPr>
              <w:ind w:left="184"/>
              <w:spacing w:after="0"/>
              <w:rPr>
                <w:sz w:val="20"/>
                <w:szCs w:val="20"/>
                <w:color w:val="auto"/>
              </w:rPr>
            </w:pPr>
            <w:r>
              <w:rPr>
                <w:rFonts w:ascii="Garamond" w:cs="Garamond" w:eastAsia="Garamond" w:hAnsi="Garamond"/>
                <w:sz w:val="19"/>
                <w:szCs w:val="19"/>
                <w:b w:val="1"/>
                <w:bCs w:val="1"/>
                <w:color w:val="auto"/>
                <w:w w:val="99"/>
              </w:rPr>
              <w:t>Tradition</w:t>
            </w:r>
          </w:p>
        </w:tc>
        <w:tc>
          <w:tcPr>
            <w:tcW w:w="580" w:type="dxa"/>
            <w:vAlign w:val="bottom"/>
            <w:tcBorders>
              <w:top w:val="single" w:sz="8" w:color="auto"/>
              <w:right w:val="single" w:sz="8" w:color="auto"/>
            </w:tcBorders>
            <w:textDirection w:val="btLr"/>
          </w:tcPr>
          <w:p>
            <w:pPr>
              <w:ind w:left="191"/>
              <w:spacing w:after="0"/>
              <w:rPr>
                <w:sz w:val="20"/>
                <w:szCs w:val="20"/>
                <w:color w:val="auto"/>
              </w:rPr>
            </w:pPr>
            <w:r>
              <w:rPr>
                <w:rFonts w:ascii="Garamond" w:cs="Garamond" w:eastAsia="Garamond" w:hAnsi="Garamond"/>
                <w:sz w:val="19"/>
                <w:szCs w:val="19"/>
                <w:b w:val="1"/>
                <w:bCs w:val="1"/>
                <w:color w:val="auto"/>
                <w:w w:val="97"/>
              </w:rPr>
              <w:t>Fun</w:t>
            </w:r>
          </w:p>
        </w:tc>
        <w:tc>
          <w:tcPr>
            <w:tcW w:w="560" w:type="dxa"/>
            <w:vAlign w:val="bottom"/>
            <w:tcBorders>
              <w:top w:val="single" w:sz="8" w:color="auto"/>
              <w:right w:val="single" w:sz="8" w:color="auto"/>
            </w:tcBorders>
            <w:textDirection w:val="btLr"/>
          </w:tcPr>
          <w:p>
            <w:pPr>
              <w:ind w:left="178"/>
              <w:spacing w:after="0"/>
              <w:rPr>
                <w:sz w:val="20"/>
                <w:szCs w:val="20"/>
                <w:color w:val="auto"/>
              </w:rPr>
            </w:pPr>
            <w:r>
              <w:rPr>
                <w:rFonts w:ascii="Garamond" w:cs="Garamond" w:eastAsia="Garamond" w:hAnsi="Garamond"/>
                <w:sz w:val="19"/>
                <w:szCs w:val="19"/>
                <w:b w:val="1"/>
                <w:bCs w:val="1"/>
                <w:color w:val="auto"/>
                <w:w w:val="99"/>
              </w:rPr>
              <w:t>Opera</w:t>
            </w:r>
          </w:p>
        </w:tc>
        <w:tc>
          <w:tcPr>
            <w:tcW w:w="580" w:type="dxa"/>
            <w:vAlign w:val="bottom"/>
            <w:tcBorders>
              <w:top w:val="single" w:sz="8" w:color="auto"/>
              <w:right w:val="single" w:sz="8" w:color="auto"/>
            </w:tcBorders>
            <w:textDirection w:val="btLr"/>
          </w:tcPr>
          <w:p>
            <w:pPr>
              <w:ind w:left="185"/>
              <w:spacing w:after="0"/>
              <w:rPr>
                <w:sz w:val="20"/>
                <w:szCs w:val="20"/>
                <w:color w:val="auto"/>
              </w:rPr>
            </w:pPr>
            <w:r>
              <w:rPr>
                <w:rFonts w:ascii="Garamond" w:cs="Garamond" w:eastAsia="Garamond" w:hAnsi="Garamond"/>
                <w:sz w:val="19"/>
                <w:szCs w:val="19"/>
                <w:b w:val="1"/>
                <w:bCs w:val="1"/>
                <w:color w:val="auto"/>
                <w:w w:val="99"/>
              </w:rPr>
              <w:t>Casting</w:t>
            </w:r>
          </w:p>
        </w:tc>
        <w:tc>
          <w:tcPr>
            <w:tcW w:w="560" w:type="dxa"/>
            <w:vAlign w:val="bottom"/>
            <w:tcBorders>
              <w:top w:val="single" w:sz="8" w:color="auto"/>
              <w:right w:val="single" w:sz="8" w:color="auto"/>
            </w:tcBorders>
            <w:textDirection w:val="btLr"/>
          </w:tcPr>
          <w:p>
            <w:pPr>
              <w:ind w:left="172"/>
              <w:spacing w:after="0"/>
              <w:rPr>
                <w:sz w:val="20"/>
                <w:szCs w:val="20"/>
                <w:color w:val="auto"/>
              </w:rPr>
            </w:pPr>
            <w:r>
              <w:rPr>
                <w:rFonts w:ascii="Garamond" w:cs="Garamond" w:eastAsia="Garamond" w:hAnsi="Garamond"/>
                <w:sz w:val="19"/>
                <w:szCs w:val="19"/>
                <w:b w:val="1"/>
                <w:bCs w:val="1"/>
                <w:color w:val="auto"/>
              </w:rPr>
              <w:t>Ballet</w:t>
            </w:r>
          </w:p>
        </w:tc>
        <w:tc>
          <w:tcPr>
            <w:tcW w:w="560" w:type="dxa"/>
            <w:vAlign w:val="bottom"/>
            <w:tcBorders>
              <w:top w:val="single" w:sz="8" w:color="auto"/>
              <w:right w:val="single" w:sz="8" w:color="auto"/>
            </w:tcBorders>
            <w:textDirection w:val="btLr"/>
          </w:tcPr>
          <w:p>
            <w:pPr>
              <w:ind w:left="179"/>
              <w:spacing w:after="0"/>
              <w:rPr>
                <w:sz w:val="20"/>
                <w:szCs w:val="20"/>
                <w:color w:val="auto"/>
              </w:rPr>
            </w:pPr>
            <w:r>
              <w:rPr>
                <w:rFonts w:ascii="Garamond" w:cs="Garamond" w:eastAsia="Garamond" w:hAnsi="Garamond"/>
                <w:sz w:val="19"/>
                <w:szCs w:val="19"/>
                <w:b w:val="1"/>
                <w:bCs w:val="1"/>
                <w:color w:val="auto"/>
              </w:rPr>
              <w:t>Building</w:t>
            </w:r>
          </w:p>
        </w:tc>
        <w:tc>
          <w:tcPr>
            <w:tcW w:w="580" w:type="dxa"/>
            <w:vAlign w:val="bottom"/>
            <w:tcBorders>
              <w:top w:val="single" w:sz="8" w:color="auto"/>
              <w:right w:val="single" w:sz="8" w:color="auto"/>
            </w:tcBorders>
            <w:textDirection w:val="btLr"/>
          </w:tcPr>
          <w:p>
            <w:pPr>
              <w:ind w:left="367"/>
              <w:spacing w:after="0"/>
              <w:rPr>
                <w:sz w:val="20"/>
                <w:szCs w:val="20"/>
                <w:color w:val="auto"/>
              </w:rPr>
            </w:pPr>
            <w:r>
              <w:rPr>
                <w:rFonts w:ascii="Garamond" w:cs="Garamond" w:eastAsia="Garamond" w:hAnsi="Garamond"/>
                <w:sz w:val="14"/>
                <w:szCs w:val="14"/>
                <w:b w:val="1"/>
                <w:bCs w:val="1"/>
                <w:color w:val="auto"/>
                <w:w w:val="75"/>
              </w:rPr>
              <w:t>Atmos-phere</w:t>
            </w:r>
          </w:p>
        </w:tc>
        <w:tc>
          <w:tcPr>
            <w:tcW w:w="0" w:type="dxa"/>
            <w:vAlign w:val="bottom"/>
          </w:tcPr>
          <w:p>
            <w:pPr>
              <w:spacing w:after="0"/>
              <w:rPr>
                <w:sz w:val="1"/>
                <w:szCs w:val="1"/>
                <w:color w:val="auto"/>
              </w:rPr>
            </w:pPr>
          </w:p>
        </w:tc>
      </w:tr>
      <w:tr>
        <w:trPr>
          <w:trHeight w:val="103"/>
        </w:trPr>
        <w:tc>
          <w:tcPr>
            <w:tcW w:w="1380" w:type="dxa"/>
            <w:vAlign w:val="bottom"/>
            <w:tcBorders>
              <w:left w:val="single" w:sz="8" w:color="auto"/>
              <w:bottom w:val="single" w:sz="8" w:color="auto"/>
              <w:right w:val="single" w:sz="8" w:color="auto"/>
            </w:tcBorders>
          </w:tcPr>
          <w:p>
            <w:pPr>
              <w:spacing w:after="0"/>
              <w:rPr>
                <w:sz w:val="8"/>
                <w:szCs w:val="8"/>
                <w:color w:val="auto"/>
              </w:rPr>
            </w:pPr>
          </w:p>
        </w:tc>
        <w:tc>
          <w:tcPr>
            <w:tcW w:w="560" w:type="dxa"/>
            <w:vAlign w:val="bottom"/>
            <w:tcBorders>
              <w:bottom w:val="single" w:sz="8" w:color="auto"/>
              <w:right w:val="single" w:sz="8" w:color="auto"/>
            </w:tcBorders>
          </w:tcPr>
          <w:p>
            <w:pPr>
              <w:spacing w:after="0"/>
              <w:rPr>
                <w:sz w:val="8"/>
                <w:szCs w:val="8"/>
                <w:color w:val="auto"/>
              </w:rPr>
            </w:pPr>
          </w:p>
        </w:tc>
        <w:tc>
          <w:tcPr>
            <w:tcW w:w="580" w:type="dxa"/>
            <w:vAlign w:val="bottom"/>
            <w:tcBorders>
              <w:bottom w:val="single" w:sz="8" w:color="auto"/>
              <w:right w:val="single" w:sz="8" w:color="auto"/>
            </w:tcBorders>
          </w:tcPr>
          <w:p>
            <w:pPr>
              <w:spacing w:after="0"/>
              <w:rPr>
                <w:sz w:val="8"/>
                <w:szCs w:val="8"/>
                <w:color w:val="auto"/>
              </w:rPr>
            </w:pPr>
          </w:p>
        </w:tc>
        <w:tc>
          <w:tcPr>
            <w:tcW w:w="560" w:type="dxa"/>
            <w:vAlign w:val="bottom"/>
            <w:tcBorders>
              <w:bottom w:val="single" w:sz="8" w:color="auto"/>
              <w:right w:val="single" w:sz="8" w:color="auto"/>
            </w:tcBorders>
          </w:tcPr>
          <w:p>
            <w:pPr>
              <w:spacing w:after="0"/>
              <w:rPr>
                <w:sz w:val="8"/>
                <w:szCs w:val="8"/>
                <w:color w:val="auto"/>
              </w:rPr>
            </w:pPr>
          </w:p>
        </w:tc>
        <w:tc>
          <w:tcPr>
            <w:tcW w:w="560" w:type="dxa"/>
            <w:vAlign w:val="bottom"/>
            <w:tcBorders>
              <w:bottom w:val="single" w:sz="8" w:color="auto"/>
              <w:right w:val="single" w:sz="8" w:color="auto"/>
            </w:tcBorders>
          </w:tcPr>
          <w:p>
            <w:pPr>
              <w:spacing w:after="0"/>
              <w:rPr>
                <w:sz w:val="8"/>
                <w:szCs w:val="8"/>
                <w:color w:val="auto"/>
              </w:rPr>
            </w:pPr>
          </w:p>
        </w:tc>
        <w:tc>
          <w:tcPr>
            <w:tcW w:w="580" w:type="dxa"/>
            <w:vAlign w:val="bottom"/>
            <w:tcBorders>
              <w:bottom w:val="single" w:sz="8" w:color="auto"/>
              <w:right w:val="single" w:sz="8" w:color="auto"/>
            </w:tcBorders>
          </w:tcPr>
          <w:p>
            <w:pPr>
              <w:spacing w:after="0"/>
              <w:rPr>
                <w:sz w:val="8"/>
                <w:szCs w:val="8"/>
                <w:color w:val="auto"/>
              </w:rPr>
            </w:pPr>
          </w:p>
        </w:tc>
        <w:tc>
          <w:tcPr>
            <w:tcW w:w="560" w:type="dxa"/>
            <w:vAlign w:val="bottom"/>
            <w:tcBorders>
              <w:bottom w:val="single" w:sz="8" w:color="auto"/>
              <w:right w:val="single" w:sz="8" w:color="auto"/>
            </w:tcBorders>
          </w:tcPr>
          <w:p>
            <w:pPr>
              <w:spacing w:after="0"/>
              <w:rPr>
                <w:sz w:val="8"/>
                <w:szCs w:val="8"/>
                <w:color w:val="auto"/>
              </w:rPr>
            </w:pPr>
          </w:p>
        </w:tc>
        <w:tc>
          <w:tcPr>
            <w:tcW w:w="580" w:type="dxa"/>
            <w:vAlign w:val="bottom"/>
            <w:tcBorders>
              <w:bottom w:val="single" w:sz="8" w:color="auto"/>
              <w:right w:val="single" w:sz="8" w:color="auto"/>
            </w:tcBorders>
          </w:tcPr>
          <w:p>
            <w:pPr>
              <w:spacing w:after="0"/>
              <w:rPr>
                <w:sz w:val="8"/>
                <w:szCs w:val="8"/>
                <w:color w:val="auto"/>
              </w:rPr>
            </w:pPr>
          </w:p>
        </w:tc>
        <w:tc>
          <w:tcPr>
            <w:tcW w:w="560" w:type="dxa"/>
            <w:vAlign w:val="bottom"/>
            <w:tcBorders>
              <w:bottom w:val="single" w:sz="8" w:color="auto"/>
              <w:right w:val="single" w:sz="8" w:color="auto"/>
            </w:tcBorders>
          </w:tcPr>
          <w:p>
            <w:pPr>
              <w:spacing w:after="0"/>
              <w:rPr>
                <w:sz w:val="8"/>
                <w:szCs w:val="8"/>
                <w:color w:val="auto"/>
              </w:rPr>
            </w:pPr>
          </w:p>
        </w:tc>
        <w:tc>
          <w:tcPr>
            <w:tcW w:w="560" w:type="dxa"/>
            <w:vAlign w:val="bottom"/>
            <w:tcBorders>
              <w:bottom w:val="single" w:sz="8" w:color="auto"/>
              <w:right w:val="single" w:sz="8" w:color="auto"/>
            </w:tcBorders>
          </w:tcPr>
          <w:p>
            <w:pPr>
              <w:spacing w:after="0"/>
              <w:rPr>
                <w:sz w:val="8"/>
                <w:szCs w:val="8"/>
                <w:color w:val="auto"/>
              </w:rPr>
            </w:pPr>
          </w:p>
        </w:tc>
        <w:tc>
          <w:tcPr>
            <w:tcW w:w="5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48"/>
        </w:trPr>
        <w:tc>
          <w:tcPr>
            <w:tcW w:w="1380" w:type="dxa"/>
            <w:vAlign w:val="bottom"/>
            <w:tcBorders>
              <w:left w:val="single" w:sz="8" w:color="auto"/>
              <w:right w:val="single" w:sz="8" w:color="auto"/>
            </w:tcBorders>
          </w:tcPr>
          <w:p>
            <w:pPr>
              <w:ind w:left="80"/>
              <w:spacing w:after="0"/>
              <w:rPr>
                <w:sz w:val="20"/>
                <w:szCs w:val="20"/>
                <w:color w:val="auto"/>
              </w:rPr>
            </w:pPr>
            <w:r>
              <w:rPr>
                <w:rFonts w:ascii="Garamond" w:cs="Garamond" w:eastAsia="Garamond" w:hAnsi="Garamond"/>
                <w:sz w:val="19"/>
                <w:szCs w:val="19"/>
                <w:color w:val="auto"/>
              </w:rPr>
              <w:t>More than once</w:t>
            </w:r>
          </w:p>
        </w:tc>
        <w:tc>
          <w:tcPr>
            <w:tcW w:w="560" w:type="dxa"/>
            <w:vAlign w:val="bottom"/>
            <w:tcBorders>
              <w:right w:val="single" w:sz="8" w:color="auto"/>
            </w:tcBorders>
            <w:vMerge w:val="restart"/>
          </w:tcPr>
          <w:p>
            <w:pPr>
              <w:jc w:val="center"/>
              <w:spacing w:after="0"/>
              <w:rPr>
                <w:sz w:val="20"/>
                <w:szCs w:val="20"/>
                <w:color w:val="auto"/>
              </w:rPr>
            </w:pPr>
            <w:r>
              <w:rPr>
                <w:rFonts w:ascii="Garamond" w:cs="Garamond" w:eastAsia="Garamond" w:hAnsi="Garamond"/>
                <w:sz w:val="19"/>
                <w:szCs w:val="19"/>
                <w:color w:val="auto"/>
              </w:rPr>
              <w:t>-0.8</w:t>
            </w:r>
          </w:p>
        </w:tc>
        <w:tc>
          <w:tcPr>
            <w:tcW w:w="580" w:type="dxa"/>
            <w:vAlign w:val="bottom"/>
            <w:tcBorders>
              <w:right w:val="single" w:sz="8" w:color="auto"/>
            </w:tcBorders>
            <w:vMerge w:val="restart"/>
          </w:tcPr>
          <w:p>
            <w:pPr>
              <w:jc w:val="center"/>
              <w:spacing w:after="0"/>
              <w:rPr>
                <w:sz w:val="20"/>
                <w:szCs w:val="20"/>
                <w:color w:val="auto"/>
              </w:rPr>
            </w:pPr>
            <w:r>
              <w:rPr>
                <w:rFonts w:ascii="Garamond" w:cs="Garamond" w:eastAsia="Garamond" w:hAnsi="Garamond"/>
                <w:sz w:val="19"/>
                <w:szCs w:val="19"/>
                <w:color w:val="auto"/>
                <w:w w:val="99"/>
              </w:rPr>
              <w:t>0.5</w:t>
            </w:r>
          </w:p>
        </w:tc>
        <w:tc>
          <w:tcPr>
            <w:tcW w:w="560" w:type="dxa"/>
            <w:vAlign w:val="bottom"/>
            <w:tcBorders>
              <w:right w:val="single" w:sz="8" w:color="auto"/>
            </w:tcBorders>
            <w:vMerge w:val="restart"/>
          </w:tcPr>
          <w:p>
            <w:pPr>
              <w:jc w:val="center"/>
              <w:spacing w:after="0"/>
              <w:rPr>
                <w:sz w:val="20"/>
                <w:szCs w:val="20"/>
                <w:color w:val="auto"/>
              </w:rPr>
            </w:pPr>
            <w:r>
              <w:rPr>
                <w:rFonts w:ascii="Garamond" w:cs="Garamond" w:eastAsia="Garamond" w:hAnsi="Garamond"/>
                <w:sz w:val="19"/>
                <w:szCs w:val="19"/>
                <w:color w:val="auto"/>
                <w:w w:val="99"/>
              </w:rPr>
              <w:t>3.6</w:t>
            </w:r>
          </w:p>
        </w:tc>
        <w:tc>
          <w:tcPr>
            <w:tcW w:w="560" w:type="dxa"/>
            <w:vAlign w:val="bottom"/>
            <w:tcBorders>
              <w:right w:val="single" w:sz="8" w:color="auto"/>
            </w:tcBorders>
            <w:vMerge w:val="restart"/>
          </w:tcPr>
          <w:p>
            <w:pPr>
              <w:jc w:val="center"/>
              <w:spacing w:after="0"/>
              <w:rPr>
                <w:sz w:val="20"/>
                <w:szCs w:val="20"/>
                <w:color w:val="auto"/>
              </w:rPr>
            </w:pPr>
            <w:r>
              <w:rPr>
                <w:rFonts w:ascii="Garamond" w:cs="Garamond" w:eastAsia="Garamond" w:hAnsi="Garamond"/>
                <w:sz w:val="19"/>
                <w:szCs w:val="19"/>
                <w:color w:val="auto"/>
                <w:w w:val="99"/>
              </w:rPr>
              <w:t>2.4</w:t>
            </w:r>
          </w:p>
        </w:tc>
        <w:tc>
          <w:tcPr>
            <w:tcW w:w="580" w:type="dxa"/>
            <w:vAlign w:val="bottom"/>
            <w:tcBorders>
              <w:right w:val="single" w:sz="8" w:color="auto"/>
            </w:tcBorders>
            <w:vMerge w:val="restart"/>
          </w:tcPr>
          <w:p>
            <w:pPr>
              <w:jc w:val="center"/>
              <w:spacing w:after="0"/>
              <w:rPr>
                <w:sz w:val="20"/>
                <w:szCs w:val="20"/>
                <w:color w:val="auto"/>
              </w:rPr>
            </w:pPr>
            <w:r>
              <w:rPr>
                <w:rFonts w:ascii="Garamond" w:cs="Garamond" w:eastAsia="Garamond" w:hAnsi="Garamond"/>
                <w:sz w:val="19"/>
                <w:szCs w:val="19"/>
                <w:color w:val="auto"/>
              </w:rPr>
              <w:t>-3.8</w:t>
            </w:r>
          </w:p>
        </w:tc>
        <w:tc>
          <w:tcPr>
            <w:tcW w:w="560" w:type="dxa"/>
            <w:vAlign w:val="bottom"/>
            <w:tcBorders>
              <w:right w:val="single" w:sz="8" w:color="auto"/>
            </w:tcBorders>
            <w:vMerge w:val="restart"/>
          </w:tcPr>
          <w:p>
            <w:pPr>
              <w:jc w:val="center"/>
              <w:spacing w:after="0"/>
              <w:rPr>
                <w:sz w:val="20"/>
                <w:szCs w:val="20"/>
                <w:color w:val="auto"/>
              </w:rPr>
            </w:pPr>
            <w:r>
              <w:rPr>
                <w:rFonts w:ascii="Garamond" w:cs="Garamond" w:eastAsia="Garamond" w:hAnsi="Garamond"/>
                <w:sz w:val="19"/>
                <w:szCs w:val="19"/>
                <w:color w:val="auto"/>
                <w:w w:val="92"/>
              </w:rPr>
              <w:t>-1.9</w:t>
            </w:r>
          </w:p>
        </w:tc>
        <w:tc>
          <w:tcPr>
            <w:tcW w:w="580" w:type="dxa"/>
            <w:vAlign w:val="bottom"/>
            <w:tcBorders>
              <w:right w:val="single" w:sz="8" w:color="auto"/>
            </w:tcBorders>
            <w:vMerge w:val="restart"/>
          </w:tcPr>
          <w:p>
            <w:pPr>
              <w:jc w:val="center"/>
              <w:spacing w:after="0"/>
              <w:rPr>
                <w:sz w:val="20"/>
                <w:szCs w:val="20"/>
                <w:color w:val="auto"/>
              </w:rPr>
            </w:pPr>
            <w:r>
              <w:rPr>
                <w:rFonts w:ascii="Garamond" w:cs="Garamond" w:eastAsia="Garamond" w:hAnsi="Garamond"/>
                <w:sz w:val="19"/>
                <w:szCs w:val="19"/>
                <w:color w:val="auto"/>
                <w:w w:val="99"/>
              </w:rPr>
              <w:t>0.7</w:t>
            </w:r>
          </w:p>
        </w:tc>
        <w:tc>
          <w:tcPr>
            <w:tcW w:w="560" w:type="dxa"/>
            <w:vAlign w:val="bottom"/>
            <w:tcBorders>
              <w:right w:val="single" w:sz="8" w:color="auto"/>
            </w:tcBorders>
            <w:vMerge w:val="restart"/>
          </w:tcPr>
          <w:p>
            <w:pPr>
              <w:jc w:val="center"/>
              <w:spacing w:after="0"/>
              <w:rPr>
                <w:sz w:val="20"/>
                <w:szCs w:val="20"/>
                <w:color w:val="auto"/>
              </w:rPr>
            </w:pPr>
            <w:r>
              <w:rPr>
                <w:rFonts w:ascii="Garamond" w:cs="Garamond" w:eastAsia="Garamond" w:hAnsi="Garamond"/>
                <w:sz w:val="19"/>
                <w:szCs w:val="19"/>
                <w:color w:val="auto"/>
              </w:rPr>
              <w:t>-2.6</w:t>
            </w:r>
          </w:p>
        </w:tc>
        <w:tc>
          <w:tcPr>
            <w:tcW w:w="560" w:type="dxa"/>
            <w:vAlign w:val="bottom"/>
            <w:tcBorders>
              <w:right w:val="single" w:sz="8" w:color="auto"/>
            </w:tcBorders>
            <w:vMerge w:val="restart"/>
          </w:tcPr>
          <w:p>
            <w:pPr>
              <w:jc w:val="center"/>
              <w:spacing w:after="0"/>
              <w:rPr>
                <w:sz w:val="20"/>
                <w:szCs w:val="20"/>
                <w:color w:val="auto"/>
              </w:rPr>
            </w:pPr>
            <w:r>
              <w:rPr>
                <w:rFonts w:ascii="Garamond" w:cs="Garamond" w:eastAsia="Garamond" w:hAnsi="Garamond"/>
                <w:sz w:val="19"/>
                <w:szCs w:val="19"/>
                <w:color w:val="auto"/>
              </w:rPr>
              <w:t>-2.3</w:t>
            </w:r>
          </w:p>
        </w:tc>
        <w:tc>
          <w:tcPr>
            <w:tcW w:w="580" w:type="dxa"/>
            <w:vAlign w:val="bottom"/>
            <w:tcBorders>
              <w:right w:val="single" w:sz="8" w:color="auto"/>
            </w:tcBorders>
            <w:vMerge w:val="restart"/>
          </w:tcPr>
          <w:p>
            <w:pPr>
              <w:jc w:val="center"/>
              <w:spacing w:after="0"/>
              <w:rPr>
                <w:sz w:val="20"/>
                <w:szCs w:val="20"/>
                <w:color w:val="auto"/>
              </w:rPr>
            </w:pPr>
            <w:r>
              <w:rPr>
                <w:rFonts w:ascii="Garamond" w:cs="Garamond" w:eastAsia="Garamond" w:hAnsi="Garamond"/>
                <w:sz w:val="19"/>
                <w:szCs w:val="19"/>
                <w:color w:val="auto"/>
                <w:w w:val="92"/>
              </w:rPr>
              <w:t>-1.8</w:t>
            </w:r>
          </w:p>
        </w:tc>
        <w:tc>
          <w:tcPr>
            <w:tcW w:w="0" w:type="dxa"/>
            <w:vAlign w:val="bottom"/>
          </w:tcPr>
          <w:p>
            <w:pPr>
              <w:spacing w:after="0"/>
              <w:rPr>
                <w:sz w:val="1"/>
                <w:szCs w:val="1"/>
                <w:color w:val="auto"/>
              </w:rPr>
            </w:pPr>
          </w:p>
        </w:tc>
      </w:tr>
      <w:tr>
        <w:trPr>
          <w:trHeight w:val="125"/>
        </w:trPr>
        <w:tc>
          <w:tcPr>
            <w:tcW w:w="1380" w:type="dxa"/>
            <w:vAlign w:val="bottom"/>
            <w:tcBorders>
              <w:left w:val="single" w:sz="8" w:color="auto"/>
              <w:right w:val="single" w:sz="8" w:color="auto"/>
            </w:tcBorders>
            <w:vMerge w:val="restart"/>
          </w:tcPr>
          <w:p>
            <w:pPr>
              <w:ind w:left="80"/>
              <w:spacing w:after="0"/>
              <w:rPr>
                <w:sz w:val="20"/>
                <w:szCs w:val="20"/>
                <w:color w:val="auto"/>
              </w:rPr>
            </w:pPr>
            <w:r>
              <w:rPr>
                <w:rFonts w:ascii="Garamond" w:cs="Garamond" w:eastAsia="Garamond" w:hAnsi="Garamond"/>
                <w:sz w:val="19"/>
                <w:szCs w:val="19"/>
                <w:color w:val="auto"/>
              </w:rPr>
              <w:t>a year</w:t>
            </w:r>
          </w:p>
        </w:tc>
        <w:tc>
          <w:tcPr>
            <w:tcW w:w="560" w:type="dxa"/>
            <w:vAlign w:val="bottom"/>
            <w:tcBorders>
              <w:right w:val="single" w:sz="8" w:color="auto"/>
            </w:tcBorders>
            <w:vMerge w:val="continue"/>
          </w:tcPr>
          <w:p>
            <w:pPr>
              <w:spacing w:after="0"/>
              <w:rPr>
                <w:sz w:val="10"/>
                <w:szCs w:val="10"/>
                <w:color w:val="auto"/>
              </w:rPr>
            </w:pPr>
          </w:p>
        </w:tc>
        <w:tc>
          <w:tcPr>
            <w:tcW w:w="580" w:type="dxa"/>
            <w:vAlign w:val="bottom"/>
            <w:tcBorders>
              <w:right w:val="single" w:sz="8" w:color="auto"/>
            </w:tcBorders>
            <w:vMerge w:val="continue"/>
          </w:tcPr>
          <w:p>
            <w:pPr>
              <w:spacing w:after="0"/>
              <w:rPr>
                <w:sz w:val="10"/>
                <w:szCs w:val="10"/>
                <w:color w:val="auto"/>
              </w:rPr>
            </w:pPr>
          </w:p>
        </w:tc>
        <w:tc>
          <w:tcPr>
            <w:tcW w:w="560" w:type="dxa"/>
            <w:vAlign w:val="bottom"/>
            <w:tcBorders>
              <w:right w:val="single" w:sz="8" w:color="auto"/>
            </w:tcBorders>
            <w:vMerge w:val="continue"/>
          </w:tcPr>
          <w:p>
            <w:pPr>
              <w:spacing w:after="0"/>
              <w:rPr>
                <w:sz w:val="10"/>
                <w:szCs w:val="10"/>
                <w:color w:val="auto"/>
              </w:rPr>
            </w:pPr>
          </w:p>
        </w:tc>
        <w:tc>
          <w:tcPr>
            <w:tcW w:w="560" w:type="dxa"/>
            <w:vAlign w:val="bottom"/>
            <w:tcBorders>
              <w:right w:val="single" w:sz="8" w:color="auto"/>
            </w:tcBorders>
            <w:vMerge w:val="continue"/>
          </w:tcPr>
          <w:p>
            <w:pPr>
              <w:spacing w:after="0"/>
              <w:rPr>
                <w:sz w:val="10"/>
                <w:szCs w:val="10"/>
                <w:color w:val="auto"/>
              </w:rPr>
            </w:pPr>
          </w:p>
        </w:tc>
        <w:tc>
          <w:tcPr>
            <w:tcW w:w="580" w:type="dxa"/>
            <w:vAlign w:val="bottom"/>
            <w:tcBorders>
              <w:right w:val="single" w:sz="8" w:color="auto"/>
            </w:tcBorders>
            <w:vMerge w:val="continue"/>
          </w:tcPr>
          <w:p>
            <w:pPr>
              <w:spacing w:after="0"/>
              <w:rPr>
                <w:sz w:val="10"/>
                <w:szCs w:val="10"/>
                <w:color w:val="auto"/>
              </w:rPr>
            </w:pPr>
          </w:p>
        </w:tc>
        <w:tc>
          <w:tcPr>
            <w:tcW w:w="560" w:type="dxa"/>
            <w:vAlign w:val="bottom"/>
            <w:tcBorders>
              <w:right w:val="single" w:sz="8" w:color="auto"/>
            </w:tcBorders>
            <w:vMerge w:val="continue"/>
          </w:tcPr>
          <w:p>
            <w:pPr>
              <w:spacing w:after="0"/>
              <w:rPr>
                <w:sz w:val="10"/>
                <w:szCs w:val="10"/>
                <w:color w:val="auto"/>
              </w:rPr>
            </w:pPr>
          </w:p>
        </w:tc>
        <w:tc>
          <w:tcPr>
            <w:tcW w:w="580" w:type="dxa"/>
            <w:vAlign w:val="bottom"/>
            <w:tcBorders>
              <w:right w:val="single" w:sz="8" w:color="auto"/>
            </w:tcBorders>
            <w:vMerge w:val="continue"/>
          </w:tcPr>
          <w:p>
            <w:pPr>
              <w:spacing w:after="0"/>
              <w:rPr>
                <w:sz w:val="10"/>
                <w:szCs w:val="10"/>
                <w:color w:val="auto"/>
              </w:rPr>
            </w:pPr>
          </w:p>
        </w:tc>
        <w:tc>
          <w:tcPr>
            <w:tcW w:w="560" w:type="dxa"/>
            <w:vAlign w:val="bottom"/>
            <w:tcBorders>
              <w:right w:val="single" w:sz="8" w:color="auto"/>
            </w:tcBorders>
            <w:vMerge w:val="continue"/>
          </w:tcPr>
          <w:p>
            <w:pPr>
              <w:spacing w:after="0"/>
              <w:rPr>
                <w:sz w:val="10"/>
                <w:szCs w:val="10"/>
                <w:color w:val="auto"/>
              </w:rPr>
            </w:pPr>
          </w:p>
        </w:tc>
        <w:tc>
          <w:tcPr>
            <w:tcW w:w="560" w:type="dxa"/>
            <w:vAlign w:val="bottom"/>
            <w:tcBorders>
              <w:right w:val="single" w:sz="8" w:color="auto"/>
            </w:tcBorders>
            <w:vMerge w:val="continue"/>
          </w:tcPr>
          <w:p>
            <w:pPr>
              <w:spacing w:after="0"/>
              <w:rPr>
                <w:sz w:val="10"/>
                <w:szCs w:val="10"/>
                <w:color w:val="auto"/>
              </w:rPr>
            </w:pPr>
          </w:p>
        </w:tc>
        <w:tc>
          <w:tcPr>
            <w:tcW w:w="58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5"/>
        </w:trPr>
        <w:tc>
          <w:tcPr>
            <w:tcW w:w="1380" w:type="dxa"/>
            <w:vAlign w:val="bottom"/>
            <w:tcBorders>
              <w:left w:val="single" w:sz="8" w:color="auto"/>
              <w:right w:val="single" w:sz="8" w:color="auto"/>
            </w:tcBorders>
            <w:vMerge w:val="continue"/>
          </w:tcPr>
          <w:p>
            <w:pPr>
              <w:spacing w:after="0"/>
              <w:rPr>
                <w:sz w:val="10"/>
                <w:szCs w:val="10"/>
                <w:color w:val="auto"/>
              </w:rPr>
            </w:pPr>
          </w:p>
        </w:tc>
        <w:tc>
          <w:tcPr>
            <w:tcW w:w="560" w:type="dxa"/>
            <w:vAlign w:val="bottom"/>
            <w:tcBorders>
              <w:right w:val="single" w:sz="8" w:color="auto"/>
            </w:tcBorders>
          </w:tcPr>
          <w:p>
            <w:pPr>
              <w:spacing w:after="0"/>
              <w:rPr>
                <w:sz w:val="10"/>
                <w:szCs w:val="10"/>
                <w:color w:val="auto"/>
              </w:rPr>
            </w:pPr>
          </w:p>
        </w:tc>
        <w:tc>
          <w:tcPr>
            <w:tcW w:w="580" w:type="dxa"/>
            <w:vAlign w:val="bottom"/>
            <w:tcBorders>
              <w:right w:val="single" w:sz="8" w:color="auto"/>
            </w:tcBorders>
          </w:tcPr>
          <w:p>
            <w:pPr>
              <w:spacing w:after="0"/>
              <w:rPr>
                <w:sz w:val="10"/>
                <w:szCs w:val="10"/>
                <w:color w:val="auto"/>
              </w:rPr>
            </w:pPr>
          </w:p>
        </w:tc>
        <w:tc>
          <w:tcPr>
            <w:tcW w:w="560" w:type="dxa"/>
            <w:vAlign w:val="bottom"/>
            <w:tcBorders>
              <w:right w:val="single" w:sz="8" w:color="auto"/>
            </w:tcBorders>
          </w:tcPr>
          <w:p>
            <w:pPr>
              <w:spacing w:after="0"/>
              <w:rPr>
                <w:sz w:val="10"/>
                <w:szCs w:val="10"/>
                <w:color w:val="auto"/>
              </w:rPr>
            </w:pPr>
          </w:p>
        </w:tc>
        <w:tc>
          <w:tcPr>
            <w:tcW w:w="560" w:type="dxa"/>
            <w:vAlign w:val="bottom"/>
            <w:tcBorders>
              <w:right w:val="single" w:sz="8" w:color="auto"/>
            </w:tcBorders>
          </w:tcPr>
          <w:p>
            <w:pPr>
              <w:spacing w:after="0"/>
              <w:rPr>
                <w:sz w:val="10"/>
                <w:szCs w:val="10"/>
                <w:color w:val="auto"/>
              </w:rPr>
            </w:pPr>
          </w:p>
        </w:tc>
        <w:tc>
          <w:tcPr>
            <w:tcW w:w="580" w:type="dxa"/>
            <w:vAlign w:val="bottom"/>
            <w:tcBorders>
              <w:right w:val="single" w:sz="8" w:color="auto"/>
            </w:tcBorders>
          </w:tcPr>
          <w:p>
            <w:pPr>
              <w:spacing w:after="0"/>
              <w:rPr>
                <w:sz w:val="10"/>
                <w:szCs w:val="10"/>
                <w:color w:val="auto"/>
              </w:rPr>
            </w:pPr>
          </w:p>
        </w:tc>
        <w:tc>
          <w:tcPr>
            <w:tcW w:w="560" w:type="dxa"/>
            <w:vAlign w:val="bottom"/>
            <w:tcBorders>
              <w:right w:val="single" w:sz="8" w:color="auto"/>
            </w:tcBorders>
          </w:tcPr>
          <w:p>
            <w:pPr>
              <w:spacing w:after="0"/>
              <w:rPr>
                <w:sz w:val="10"/>
                <w:szCs w:val="10"/>
                <w:color w:val="auto"/>
              </w:rPr>
            </w:pPr>
          </w:p>
        </w:tc>
        <w:tc>
          <w:tcPr>
            <w:tcW w:w="580" w:type="dxa"/>
            <w:vAlign w:val="bottom"/>
            <w:tcBorders>
              <w:right w:val="single" w:sz="8" w:color="auto"/>
            </w:tcBorders>
          </w:tcPr>
          <w:p>
            <w:pPr>
              <w:spacing w:after="0"/>
              <w:rPr>
                <w:sz w:val="10"/>
                <w:szCs w:val="10"/>
                <w:color w:val="auto"/>
              </w:rPr>
            </w:pPr>
          </w:p>
        </w:tc>
        <w:tc>
          <w:tcPr>
            <w:tcW w:w="560" w:type="dxa"/>
            <w:vAlign w:val="bottom"/>
            <w:tcBorders>
              <w:right w:val="single" w:sz="8" w:color="auto"/>
            </w:tcBorders>
          </w:tcPr>
          <w:p>
            <w:pPr>
              <w:spacing w:after="0"/>
              <w:rPr>
                <w:sz w:val="10"/>
                <w:szCs w:val="10"/>
                <w:color w:val="auto"/>
              </w:rPr>
            </w:pPr>
          </w:p>
        </w:tc>
        <w:tc>
          <w:tcPr>
            <w:tcW w:w="560" w:type="dxa"/>
            <w:vAlign w:val="bottom"/>
            <w:tcBorders>
              <w:right w:val="single" w:sz="8" w:color="auto"/>
            </w:tcBorders>
          </w:tcPr>
          <w:p>
            <w:pPr>
              <w:spacing w:after="0"/>
              <w:rPr>
                <w:sz w:val="10"/>
                <w:szCs w:val="10"/>
                <w:color w:val="auto"/>
              </w:rPr>
            </w:pPr>
          </w:p>
        </w:tc>
        <w:tc>
          <w:tcPr>
            <w:tcW w:w="58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2"/>
        </w:trPr>
        <w:tc>
          <w:tcPr>
            <w:tcW w:w="13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40"/>
        </w:trPr>
        <w:tc>
          <w:tcPr>
            <w:tcW w:w="1380" w:type="dxa"/>
            <w:vAlign w:val="bottom"/>
            <w:tcBorders>
              <w:left w:val="single" w:sz="8" w:color="auto"/>
              <w:right w:val="single" w:sz="8" w:color="auto"/>
            </w:tcBorders>
          </w:tcPr>
          <w:p>
            <w:pPr>
              <w:ind w:left="80"/>
              <w:spacing w:after="0"/>
              <w:rPr>
                <w:sz w:val="20"/>
                <w:szCs w:val="20"/>
                <w:color w:val="auto"/>
              </w:rPr>
            </w:pPr>
            <w:r>
              <w:rPr>
                <w:rFonts w:ascii="Garamond" w:cs="Garamond" w:eastAsia="Garamond" w:hAnsi="Garamond"/>
                <w:sz w:val="19"/>
                <w:szCs w:val="19"/>
                <w:color w:val="auto"/>
              </w:rPr>
              <w:t>Once a year</w:t>
            </w:r>
          </w:p>
        </w:tc>
        <w:tc>
          <w:tcPr>
            <w:tcW w:w="56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9"/>
              </w:rPr>
              <w:t>0.9</w:t>
            </w:r>
          </w:p>
        </w:tc>
        <w:tc>
          <w:tcPr>
            <w:tcW w:w="5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9"/>
              </w:rPr>
              <w:t>0.2</w:t>
            </w:r>
          </w:p>
        </w:tc>
        <w:tc>
          <w:tcPr>
            <w:tcW w:w="56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-3.0</w:t>
            </w:r>
          </w:p>
        </w:tc>
        <w:tc>
          <w:tcPr>
            <w:tcW w:w="56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2"/>
              </w:rPr>
              <w:t>-1.9</w:t>
            </w:r>
          </w:p>
        </w:tc>
        <w:tc>
          <w:tcPr>
            <w:tcW w:w="5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9"/>
              </w:rPr>
              <w:t>2.3</w:t>
            </w:r>
          </w:p>
        </w:tc>
        <w:tc>
          <w:tcPr>
            <w:tcW w:w="56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2.2</w:t>
            </w:r>
          </w:p>
        </w:tc>
        <w:tc>
          <w:tcPr>
            <w:tcW w:w="5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-0.3</w:t>
            </w:r>
          </w:p>
        </w:tc>
        <w:tc>
          <w:tcPr>
            <w:tcW w:w="56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9"/>
              </w:rPr>
              <w:t>2.7</w:t>
            </w:r>
          </w:p>
        </w:tc>
        <w:tc>
          <w:tcPr>
            <w:tcW w:w="56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9"/>
              </w:rPr>
              <w:t>2.4</w:t>
            </w:r>
          </w:p>
        </w:tc>
        <w:tc>
          <w:tcPr>
            <w:tcW w:w="5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9"/>
              </w:rPr>
              <w:t>1.9</w:t>
            </w:r>
          </w:p>
        </w:tc>
        <w:tc>
          <w:tcPr>
            <w:tcW w:w="0" w:type="dxa"/>
            <w:vAlign w:val="bottom"/>
          </w:tcPr>
          <w:p>
            <w:pPr>
              <w:spacing w:after="0"/>
              <w:rPr>
                <w:sz w:val="1"/>
                <w:szCs w:val="1"/>
                <w:color w:val="auto"/>
              </w:rPr>
            </w:pPr>
          </w:p>
        </w:tc>
      </w:tr>
      <w:tr>
        <w:trPr>
          <w:trHeight w:val="21"/>
        </w:trPr>
        <w:tc>
          <w:tcPr>
            <w:tcW w:w="13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40"/>
        </w:trPr>
        <w:tc>
          <w:tcPr>
            <w:tcW w:w="1380" w:type="dxa"/>
            <w:vAlign w:val="bottom"/>
            <w:tcBorders>
              <w:left w:val="single" w:sz="8" w:color="auto"/>
              <w:right w:val="single" w:sz="8" w:color="auto"/>
            </w:tcBorders>
          </w:tcPr>
          <w:p>
            <w:pPr>
              <w:ind w:left="80"/>
              <w:spacing w:after="0"/>
              <w:rPr>
                <w:sz w:val="20"/>
                <w:szCs w:val="20"/>
                <w:color w:val="auto"/>
              </w:rPr>
            </w:pPr>
            <w:r>
              <w:rPr>
                <w:rFonts w:ascii="Garamond" w:cs="Garamond" w:eastAsia="Garamond" w:hAnsi="Garamond"/>
                <w:sz w:val="19"/>
                <w:szCs w:val="19"/>
                <w:color w:val="auto"/>
              </w:rPr>
              <w:t>First visit</w:t>
            </w:r>
          </w:p>
        </w:tc>
        <w:tc>
          <w:tcPr>
            <w:tcW w:w="56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-0.2</w:t>
            </w:r>
          </w:p>
        </w:tc>
        <w:tc>
          <w:tcPr>
            <w:tcW w:w="5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2"/>
              </w:rPr>
              <w:t>-1.5</w:t>
            </w:r>
          </w:p>
        </w:tc>
        <w:tc>
          <w:tcPr>
            <w:tcW w:w="56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-1.6</w:t>
            </w:r>
          </w:p>
        </w:tc>
        <w:tc>
          <w:tcPr>
            <w:tcW w:w="56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2"/>
              </w:rPr>
              <w:t>-1.5</w:t>
            </w:r>
          </w:p>
        </w:tc>
        <w:tc>
          <w:tcPr>
            <w:tcW w:w="5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9"/>
              </w:rPr>
              <w:t>3.8</w:t>
            </w:r>
          </w:p>
        </w:tc>
        <w:tc>
          <w:tcPr>
            <w:tcW w:w="56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-0.5</w:t>
            </w:r>
          </w:p>
        </w:tc>
        <w:tc>
          <w:tcPr>
            <w:tcW w:w="5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-0.8</w:t>
            </w:r>
          </w:p>
        </w:tc>
        <w:tc>
          <w:tcPr>
            <w:tcW w:w="56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-0.2</w:t>
            </w:r>
          </w:p>
        </w:tc>
        <w:tc>
          <w:tcPr>
            <w:tcW w:w="56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-0.1</w:t>
            </w:r>
          </w:p>
        </w:tc>
        <w:tc>
          <w:tcPr>
            <w:tcW w:w="5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0</w:t>
            </w:r>
          </w:p>
        </w:tc>
        <w:tc>
          <w:tcPr>
            <w:tcW w:w="0" w:type="dxa"/>
            <w:vAlign w:val="bottom"/>
          </w:tcPr>
          <w:p>
            <w:pPr>
              <w:spacing w:after="0"/>
              <w:rPr>
                <w:sz w:val="1"/>
                <w:szCs w:val="1"/>
                <w:color w:val="auto"/>
              </w:rPr>
            </w:pPr>
          </w:p>
        </w:tc>
      </w:tr>
      <w:tr>
        <w:trPr>
          <w:trHeight w:val="22"/>
        </w:trPr>
        <w:tc>
          <w:tcPr>
            <w:tcW w:w="13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right w:val="single" w:sz="8" w:color="auto"/>
            </w:tcBorders>
          </w:tcPr>
          <w:p>
            <w:pPr>
              <w:spacing w:after="0" w:line="20" w:lineRule="exact"/>
              <w:rPr>
                <w:sz w:val="1"/>
                <w:szCs w:val="1"/>
                <w:color w:val="auto"/>
              </w:rPr>
            </w:pPr>
          </w:p>
        </w:tc>
        <w:tc>
          <w:tcPr>
            <w:tcW w:w="560" w:type="dxa"/>
            <w:vAlign w:val="bottom"/>
            <w:tcBorders>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bl>
    <w:p>
      <w:pPr>
        <w:spacing w:after="0" w:line="72" w:lineRule="exact"/>
        <w:rPr>
          <w:sz w:val="20"/>
          <w:szCs w:val="20"/>
          <w:color w:val="auto"/>
        </w:rPr>
      </w:pPr>
    </w:p>
    <w:p>
      <w:pPr>
        <w:jc w:val="both"/>
        <w:spacing w:after="0" w:line="283" w:lineRule="auto"/>
        <w:rPr>
          <w:sz w:val="20"/>
          <w:szCs w:val="20"/>
          <w:color w:val="auto"/>
        </w:rPr>
      </w:pPr>
      <w:r>
        <w:rPr>
          <w:rFonts w:ascii="Garamond" w:cs="Garamond" w:eastAsia="Garamond" w:hAnsi="Garamond"/>
          <w:sz w:val="19"/>
          <w:szCs w:val="19"/>
          <w:color w:val="auto"/>
        </w:rPr>
        <w:t>Interestingly, the traditional motivations that are usually found among performing arts consum-ers, such as repertoire, quality or casting, do not play a significant role in the frequency of at-tendance among frequent National Theater goers. What does seem to be crucial is the interest in theater as such. Those of the respondents who are interested in theater generally, are also among the most frequent visitors. For these visitors, also, what is not so important is the building that evokes the historical background and national importance. This, on the other hand, is an impor-tant motivational factor for those who do come regularly, but not frequently. Second of all, it is the tradition that brings the most frequent visitors. Tradition here refers to the personal tradition of theater going, as well as the traditional take on performing arts in the National Theater. On the contrary, those visitors seeking fun are more among those who visit the National Theater for the first time or less frequently. Interestingly, opera or ballet goers are also among regular, yet not too frequent attenders.</w:t>
      </w:r>
    </w:p>
    <w:p>
      <w:pPr>
        <w:spacing w:after="0" w:line="4" w:lineRule="exact"/>
        <w:rPr>
          <w:sz w:val="20"/>
          <w:szCs w:val="20"/>
          <w:color w:val="auto"/>
        </w:rPr>
      </w:pPr>
    </w:p>
    <w:p>
      <w:pPr>
        <w:jc w:val="both"/>
        <w:spacing w:after="0" w:line="288" w:lineRule="auto"/>
        <w:rPr>
          <w:sz w:val="20"/>
          <w:szCs w:val="20"/>
          <w:color w:val="auto"/>
        </w:rPr>
      </w:pPr>
      <w:r>
        <w:rPr>
          <w:rFonts w:ascii="Garamond" w:cs="Garamond" w:eastAsia="Garamond" w:hAnsi="Garamond"/>
          <w:sz w:val="19"/>
          <w:szCs w:val="19"/>
          <w:color w:val="auto"/>
        </w:rPr>
        <w:t>Such results give some indications for the marketing of National Theater. As opposed to what may be an intuitive conclusion that consumers attend the theater for repertoire, quality, casting, but also the atmosphere of the National Theater, the frequent visitors attend rather for their interest in theater and for tradition.</w:t>
      </w:r>
    </w:p>
    <w:p>
      <w:pPr>
        <w:spacing w:after="0" w:line="2" w:lineRule="exact"/>
        <w:rPr>
          <w:sz w:val="20"/>
          <w:szCs w:val="20"/>
          <w:color w:val="auto"/>
        </w:rPr>
      </w:pPr>
    </w:p>
    <w:p>
      <w:pPr>
        <w:jc w:val="both"/>
        <w:spacing w:after="0" w:line="284" w:lineRule="auto"/>
        <w:rPr>
          <w:sz w:val="20"/>
          <w:szCs w:val="20"/>
          <w:color w:val="auto"/>
        </w:rPr>
      </w:pPr>
      <w:r>
        <w:rPr>
          <w:rFonts w:ascii="Garamond" w:cs="Garamond" w:eastAsia="Garamond" w:hAnsi="Garamond"/>
          <w:sz w:val="19"/>
          <w:szCs w:val="19"/>
          <w:color w:val="auto"/>
        </w:rPr>
        <w:t>Finally, visitors’ motivations differ significantly when attending different kinds of performances. As can be noted in Tab. 6, consumers attending a play are less concerned by quality, but more motivated by casting. This is understandable, as drama actors and their qualities are more known to the general public than opera singers or ballet dancers. Opera goers, on the other hand, are more motivated by the quality of the performance as such. Again, this is understandable, as occasions to visit quality opera are scarce in Prague. Finally, those attending a ballet do so for their interest in theater, but also for their children. This is an interesting finding, as it shows that ballet is perceived as the kind of performing art that is most fairy-tale-like and thus adapt for children.</w:t>
      </w:r>
    </w:p>
    <w:p>
      <w:pPr>
        <w:spacing w:after="0" w:line="280" w:lineRule="exact"/>
        <w:rPr>
          <w:sz w:val="20"/>
          <w:szCs w:val="20"/>
          <w:color w:val="auto"/>
        </w:rPr>
      </w:pPr>
    </w:p>
    <w:p>
      <w:pPr>
        <w:spacing w:after="0"/>
        <w:rPr>
          <w:sz w:val="20"/>
          <w:szCs w:val="20"/>
          <w:color w:val="auto"/>
        </w:rPr>
      </w:pPr>
      <w:r>
        <w:rPr>
          <w:rFonts w:ascii="Garamond" w:cs="Garamond" w:eastAsia="Garamond" w:hAnsi="Garamond"/>
          <w:sz w:val="19"/>
          <w:szCs w:val="19"/>
          <w:color w:val="auto"/>
        </w:rPr>
        <w:t>Tab. 6 - Type of visited performance/motivation. Source: Authors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25400</wp:posOffset>
            </wp:positionV>
            <wp:extent cx="4514850" cy="388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4514850" cy="388620"/>
                    </a:xfrm>
                    <a:prstGeom prst="rect">
                      <a:avLst/>
                    </a:prstGeom>
                    <a:noFill/>
                  </pic:spPr>
                </pic:pic>
              </a:graphicData>
            </a:graphic>
          </wp:anchor>
        </w:drawing>
      </w:r>
    </w:p>
    <w:p>
      <w:pPr>
        <w:spacing w:after="0" w:line="38" w:lineRule="exact"/>
        <w:rPr>
          <w:sz w:val="20"/>
          <w:szCs w:val="20"/>
          <w:color w:val="auto"/>
        </w:rPr>
      </w:pPr>
    </w:p>
    <w:tbl>
      <w:tblPr>
        <w:tblLayout w:type="fixed"/>
        <w:tblInd w:w="10" w:type="dxa"/>
        <w:tblCellMar>
          <w:top w:w="0" w:type="dxa"/>
          <w:left w:w="0" w:type="dxa"/>
          <w:bottom w:w="0" w:type="dxa"/>
          <w:right w:w="0" w:type="dxa"/>
        </w:tblCellMar>
      </w:tblPr>
      <w:tr>
        <w:trPr>
          <w:trHeight w:val="269"/>
        </w:trPr>
        <w:tc>
          <w:tcPr>
            <w:tcW w:w="1200" w:type="dxa"/>
            <w:vAlign w:val="bottom"/>
            <w:tcBorders>
              <w:top w:val="single" w:sz="8" w:color="auto"/>
              <w:left w:val="single" w:sz="8" w:color="auto"/>
              <w:right w:val="single" w:sz="8" w:color="auto"/>
            </w:tcBorders>
          </w:tcPr>
          <w:p>
            <w:pPr>
              <w:spacing w:after="0"/>
              <w:rPr>
                <w:sz w:val="23"/>
                <w:szCs w:val="23"/>
                <w:color w:val="auto"/>
              </w:rPr>
            </w:pPr>
          </w:p>
        </w:tc>
        <w:tc>
          <w:tcPr>
            <w:tcW w:w="1180" w:type="dxa"/>
            <w:vAlign w:val="bottom"/>
            <w:tcBorders>
              <w:top w:val="single" w:sz="8" w:color="auto"/>
              <w:right w:val="single" w:sz="8" w:color="auto"/>
            </w:tcBorders>
            <w:vMerge w:val="restart"/>
          </w:tcPr>
          <w:p>
            <w:pPr>
              <w:ind w:left="140"/>
              <w:spacing w:after="0"/>
              <w:rPr>
                <w:sz w:val="20"/>
                <w:szCs w:val="20"/>
                <w:color w:val="auto"/>
              </w:rPr>
            </w:pPr>
            <w:r>
              <w:rPr>
                <w:rFonts w:ascii="Garamond" w:cs="Garamond" w:eastAsia="Garamond" w:hAnsi="Garamond"/>
                <w:sz w:val="19"/>
                <w:szCs w:val="19"/>
                <w:b w:val="1"/>
                <w:bCs w:val="1"/>
                <w:color w:val="auto"/>
              </w:rPr>
              <w:t>Repertoire</w:t>
            </w:r>
          </w:p>
        </w:tc>
        <w:tc>
          <w:tcPr>
            <w:tcW w:w="1160" w:type="dxa"/>
            <w:vAlign w:val="bottom"/>
            <w:tcBorders>
              <w:top w:val="single" w:sz="8" w:color="auto"/>
              <w:right w:val="single" w:sz="8" w:color="auto"/>
            </w:tcBorders>
            <w:vMerge w:val="restart"/>
          </w:tcPr>
          <w:p>
            <w:pPr>
              <w:ind w:left="260"/>
              <w:spacing w:after="0"/>
              <w:rPr>
                <w:sz w:val="20"/>
                <w:szCs w:val="20"/>
                <w:color w:val="auto"/>
              </w:rPr>
            </w:pPr>
            <w:r>
              <w:rPr>
                <w:rFonts w:ascii="Garamond" w:cs="Garamond" w:eastAsia="Garamond" w:hAnsi="Garamond"/>
                <w:sz w:val="19"/>
                <w:szCs w:val="19"/>
                <w:b w:val="1"/>
                <w:bCs w:val="1"/>
                <w:color w:val="auto"/>
              </w:rPr>
              <w:t>Quality</w:t>
            </w:r>
          </w:p>
        </w:tc>
        <w:tc>
          <w:tcPr>
            <w:tcW w:w="1180" w:type="dxa"/>
            <w:vAlign w:val="bottom"/>
            <w:tcBorders>
              <w:top w:val="single" w:sz="8" w:color="auto"/>
              <w:right w:val="single" w:sz="8" w:color="auto"/>
            </w:tcBorders>
          </w:tcPr>
          <w:p>
            <w:pPr>
              <w:jc w:val="center"/>
              <w:spacing w:after="0"/>
              <w:rPr>
                <w:sz w:val="20"/>
                <w:szCs w:val="20"/>
                <w:color w:val="auto"/>
              </w:rPr>
            </w:pPr>
            <w:r>
              <w:rPr>
                <w:rFonts w:ascii="Garamond" w:cs="Garamond" w:eastAsia="Garamond" w:hAnsi="Garamond"/>
                <w:sz w:val="19"/>
                <w:szCs w:val="19"/>
                <w:b w:val="1"/>
                <w:bCs w:val="1"/>
                <w:color w:val="auto"/>
                <w:w w:val="99"/>
              </w:rPr>
              <w:t>Interest in</w:t>
            </w:r>
          </w:p>
        </w:tc>
        <w:tc>
          <w:tcPr>
            <w:tcW w:w="1160" w:type="dxa"/>
            <w:vAlign w:val="bottom"/>
            <w:tcBorders>
              <w:top w:val="single" w:sz="8" w:color="auto"/>
              <w:right w:val="single" w:sz="8" w:color="auto"/>
            </w:tcBorders>
            <w:vMerge w:val="restart"/>
          </w:tcPr>
          <w:p>
            <w:pPr>
              <w:ind w:left="240"/>
              <w:spacing w:after="0"/>
              <w:rPr>
                <w:sz w:val="20"/>
                <w:szCs w:val="20"/>
                <w:color w:val="auto"/>
              </w:rPr>
            </w:pPr>
            <w:r>
              <w:rPr>
                <w:rFonts w:ascii="Garamond" w:cs="Garamond" w:eastAsia="Garamond" w:hAnsi="Garamond"/>
                <w:sz w:val="19"/>
                <w:szCs w:val="19"/>
                <w:b w:val="1"/>
                <w:bCs w:val="1"/>
                <w:color w:val="auto"/>
              </w:rPr>
              <w:t>Casting</w:t>
            </w:r>
          </w:p>
        </w:tc>
        <w:tc>
          <w:tcPr>
            <w:tcW w:w="1180" w:type="dxa"/>
            <w:vAlign w:val="bottom"/>
            <w:tcBorders>
              <w:top w:val="single" w:sz="8" w:color="auto"/>
              <w:right w:val="single" w:sz="8" w:color="auto"/>
            </w:tcBorders>
            <w:vMerge w:val="restart"/>
          </w:tcPr>
          <w:p>
            <w:pPr>
              <w:ind w:left="220"/>
              <w:spacing w:after="0"/>
              <w:rPr>
                <w:sz w:val="20"/>
                <w:szCs w:val="20"/>
                <w:color w:val="auto"/>
              </w:rPr>
            </w:pPr>
            <w:r>
              <w:rPr>
                <w:rFonts w:ascii="Garamond" w:cs="Garamond" w:eastAsia="Garamond" w:hAnsi="Garamond"/>
                <w:sz w:val="19"/>
                <w:szCs w:val="19"/>
                <w:b w:val="1"/>
                <w:bCs w:val="1"/>
                <w:color w:val="auto"/>
              </w:rPr>
              <w:t>Children</w:t>
            </w:r>
          </w:p>
        </w:tc>
        <w:tc>
          <w:tcPr>
            <w:tcW w:w="0" w:type="dxa"/>
            <w:vAlign w:val="bottom"/>
          </w:tcPr>
          <w:p>
            <w:pPr>
              <w:spacing w:after="0"/>
              <w:rPr>
                <w:sz w:val="1"/>
                <w:szCs w:val="1"/>
                <w:color w:val="auto"/>
              </w:rPr>
            </w:pPr>
          </w:p>
        </w:tc>
      </w:tr>
      <w:tr>
        <w:trPr>
          <w:trHeight w:val="128"/>
        </w:trPr>
        <w:tc>
          <w:tcPr>
            <w:tcW w:w="1200" w:type="dxa"/>
            <w:vAlign w:val="bottom"/>
            <w:tcBorders>
              <w:left w:val="single" w:sz="8" w:color="auto"/>
              <w:right w:val="single" w:sz="8" w:color="auto"/>
            </w:tcBorders>
          </w:tcPr>
          <w:p>
            <w:pPr>
              <w:spacing w:after="0"/>
              <w:rPr>
                <w:sz w:val="11"/>
                <w:szCs w:val="11"/>
                <w:color w:val="auto"/>
              </w:rPr>
            </w:pPr>
          </w:p>
        </w:tc>
        <w:tc>
          <w:tcPr>
            <w:tcW w:w="1180" w:type="dxa"/>
            <w:vAlign w:val="bottom"/>
            <w:tcBorders>
              <w:right w:val="single" w:sz="8" w:color="auto"/>
            </w:tcBorders>
            <w:vMerge w:val="continue"/>
          </w:tcPr>
          <w:p>
            <w:pPr>
              <w:spacing w:after="0"/>
              <w:rPr>
                <w:sz w:val="11"/>
                <w:szCs w:val="11"/>
                <w:color w:val="auto"/>
              </w:rPr>
            </w:pPr>
          </w:p>
        </w:tc>
        <w:tc>
          <w:tcPr>
            <w:tcW w:w="1160" w:type="dxa"/>
            <w:vAlign w:val="bottom"/>
            <w:tcBorders>
              <w:right w:val="single" w:sz="8" w:color="auto"/>
            </w:tcBorders>
            <w:vMerge w:val="continue"/>
          </w:tcPr>
          <w:p>
            <w:pPr>
              <w:spacing w:after="0"/>
              <w:rPr>
                <w:sz w:val="11"/>
                <w:szCs w:val="11"/>
                <w:color w:val="auto"/>
              </w:rPr>
            </w:pPr>
          </w:p>
        </w:tc>
        <w:tc>
          <w:tcPr>
            <w:tcW w:w="1180" w:type="dxa"/>
            <w:vAlign w:val="bottom"/>
            <w:tcBorders>
              <w:right w:val="single" w:sz="8" w:color="auto"/>
            </w:tcBorders>
            <w:vMerge w:val="restart"/>
          </w:tcPr>
          <w:p>
            <w:pPr>
              <w:jc w:val="center"/>
              <w:spacing w:after="0"/>
              <w:rPr>
                <w:sz w:val="20"/>
                <w:szCs w:val="20"/>
                <w:color w:val="auto"/>
              </w:rPr>
            </w:pPr>
            <w:r>
              <w:rPr>
                <w:rFonts w:ascii="Garamond" w:cs="Garamond" w:eastAsia="Garamond" w:hAnsi="Garamond"/>
                <w:sz w:val="19"/>
                <w:szCs w:val="19"/>
                <w:b w:val="1"/>
                <w:bCs w:val="1"/>
                <w:color w:val="auto"/>
                <w:w w:val="96"/>
              </w:rPr>
              <w:t>theater</w:t>
            </w:r>
          </w:p>
        </w:tc>
        <w:tc>
          <w:tcPr>
            <w:tcW w:w="1160" w:type="dxa"/>
            <w:vAlign w:val="bottom"/>
            <w:tcBorders>
              <w:right w:val="single" w:sz="8" w:color="auto"/>
            </w:tcBorders>
            <w:vMerge w:val="continue"/>
          </w:tcPr>
          <w:p>
            <w:pPr>
              <w:spacing w:after="0"/>
              <w:rPr>
                <w:sz w:val="11"/>
                <w:szCs w:val="11"/>
                <w:color w:val="auto"/>
              </w:rPr>
            </w:pPr>
          </w:p>
        </w:tc>
        <w:tc>
          <w:tcPr>
            <w:tcW w:w="118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27"/>
        </w:trPr>
        <w:tc>
          <w:tcPr>
            <w:tcW w:w="1200" w:type="dxa"/>
            <w:vAlign w:val="bottom"/>
            <w:tcBorders>
              <w:left w:val="single" w:sz="8" w:color="auto"/>
              <w:bottom w:val="single" w:sz="8" w:color="auto"/>
              <w:right w:val="single" w:sz="8" w:color="auto"/>
            </w:tcBorders>
          </w:tcPr>
          <w:p>
            <w:pPr>
              <w:spacing w:after="0"/>
              <w:rPr>
                <w:sz w:val="11"/>
                <w:szCs w:val="11"/>
                <w:color w:val="auto"/>
              </w:rPr>
            </w:pPr>
          </w:p>
        </w:tc>
        <w:tc>
          <w:tcPr>
            <w:tcW w:w="1180" w:type="dxa"/>
            <w:vAlign w:val="bottom"/>
            <w:tcBorders>
              <w:bottom w:val="single" w:sz="8" w:color="auto"/>
              <w:right w:val="single" w:sz="8" w:color="auto"/>
            </w:tcBorders>
          </w:tcPr>
          <w:p>
            <w:pPr>
              <w:spacing w:after="0"/>
              <w:rPr>
                <w:sz w:val="11"/>
                <w:szCs w:val="11"/>
                <w:color w:val="auto"/>
              </w:rPr>
            </w:pPr>
          </w:p>
        </w:tc>
        <w:tc>
          <w:tcPr>
            <w:tcW w:w="1160" w:type="dxa"/>
            <w:vAlign w:val="bottom"/>
            <w:tcBorders>
              <w:bottom w:val="single" w:sz="8" w:color="auto"/>
              <w:right w:val="single" w:sz="8" w:color="auto"/>
            </w:tcBorders>
          </w:tcPr>
          <w:p>
            <w:pPr>
              <w:spacing w:after="0"/>
              <w:rPr>
                <w:sz w:val="11"/>
                <w:szCs w:val="11"/>
                <w:color w:val="auto"/>
              </w:rPr>
            </w:pPr>
          </w:p>
        </w:tc>
        <w:tc>
          <w:tcPr>
            <w:tcW w:w="1180" w:type="dxa"/>
            <w:vAlign w:val="bottom"/>
            <w:tcBorders>
              <w:bottom w:val="single" w:sz="8" w:color="auto"/>
              <w:right w:val="single" w:sz="8" w:color="auto"/>
            </w:tcBorders>
            <w:vMerge w:val="continue"/>
          </w:tcPr>
          <w:p>
            <w:pPr>
              <w:spacing w:after="0"/>
              <w:rPr>
                <w:sz w:val="11"/>
                <w:szCs w:val="11"/>
                <w:color w:val="auto"/>
              </w:rPr>
            </w:pPr>
          </w:p>
        </w:tc>
        <w:tc>
          <w:tcPr>
            <w:tcW w:w="1160" w:type="dxa"/>
            <w:vAlign w:val="bottom"/>
            <w:tcBorders>
              <w:bottom w:val="single" w:sz="8" w:color="auto"/>
              <w:right w:val="single" w:sz="8" w:color="auto"/>
            </w:tcBorders>
          </w:tcPr>
          <w:p>
            <w:pPr>
              <w:spacing w:after="0"/>
              <w:rPr>
                <w:sz w:val="11"/>
                <w:szCs w:val="11"/>
                <w:color w:val="auto"/>
              </w:rPr>
            </w:pPr>
          </w:p>
        </w:tc>
        <w:tc>
          <w:tcPr>
            <w:tcW w:w="118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48"/>
        </w:trPr>
        <w:tc>
          <w:tcPr>
            <w:tcW w:w="1200" w:type="dxa"/>
            <w:vAlign w:val="bottom"/>
            <w:tcBorders>
              <w:left w:val="single" w:sz="8" w:color="auto"/>
              <w:right w:val="single" w:sz="8" w:color="auto"/>
            </w:tcBorders>
          </w:tcPr>
          <w:p>
            <w:pPr>
              <w:ind w:left="80"/>
              <w:spacing w:after="0"/>
              <w:rPr>
                <w:sz w:val="20"/>
                <w:szCs w:val="20"/>
                <w:color w:val="auto"/>
              </w:rPr>
            </w:pPr>
            <w:r>
              <w:rPr>
                <w:rFonts w:ascii="Garamond" w:cs="Garamond" w:eastAsia="Garamond" w:hAnsi="Garamond"/>
                <w:sz w:val="19"/>
                <w:szCs w:val="19"/>
                <w:color w:val="auto"/>
              </w:rPr>
              <w:t>Play</w:t>
            </w:r>
          </w:p>
        </w:tc>
        <w:tc>
          <w:tcPr>
            <w:tcW w:w="11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0"/>
              </w:rPr>
              <w:t>1.7</w:t>
            </w:r>
          </w:p>
        </w:tc>
        <w:tc>
          <w:tcPr>
            <w:tcW w:w="116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-4.2</w:t>
            </w:r>
          </w:p>
        </w:tc>
        <w:tc>
          <w:tcPr>
            <w:tcW w:w="11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2"/>
              </w:rPr>
              <w:t>-3.9</w:t>
            </w:r>
          </w:p>
        </w:tc>
        <w:tc>
          <w:tcPr>
            <w:tcW w:w="116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0"/>
              </w:rPr>
              <w:t>3.7</w:t>
            </w:r>
          </w:p>
        </w:tc>
        <w:tc>
          <w:tcPr>
            <w:tcW w:w="11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2"/>
              </w:rPr>
              <w:t>-1.5</w:t>
            </w:r>
          </w:p>
        </w:tc>
        <w:tc>
          <w:tcPr>
            <w:tcW w:w="0" w:type="dxa"/>
            <w:vAlign w:val="bottom"/>
          </w:tcPr>
          <w:p>
            <w:pPr>
              <w:spacing w:after="0"/>
              <w:rPr>
                <w:sz w:val="1"/>
                <w:szCs w:val="1"/>
                <w:color w:val="auto"/>
              </w:rPr>
            </w:pPr>
          </w:p>
        </w:tc>
      </w:tr>
      <w:tr>
        <w:trPr>
          <w:trHeight w:val="21"/>
        </w:trPr>
        <w:tc>
          <w:tcPr>
            <w:tcW w:w="120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180" w:type="dxa"/>
            <w:vAlign w:val="bottom"/>
            <w:tcBorders>
              <w:bottom w:val="single" w:sz="8" w:color="auto"/>
              <w:right w:val="single" w:sz="8" w:color="auto"/>
            </w:tcBorders>
          </w:tcPr>
          <w:p>
            <w:pPr>
              <w:spacing w:after="0" w:line="20" w:lineRule="exact"/>
              <w:rPr>
                <w:sz w:val="1"/>
                <w:szCs w:val="1"/>
                <w:color w:val="auto"/>
              </w:rPr>
            </w:pPr>
          </w:p>
        </w:tc>
        <w:tc>
          <w:tcPr>
            <w:tcW w:w="1160" w:type="dxa"/>
            <w:vAlign w:val="bottom"/>
            <w:tcBorders>
              <w:bottom w:val="single" w:sz="8" w:color="auto"/>
              <w:right w:val="single" w:sz="8" w:color="auto"/>
            </w:tcBorders>
          </w:tcPr>
          <w:p>
            <w:pPr>
              <w:spacing w:after="0" w:line="20" w:lineRule="exact"/>
              <w:rPr>
                <w:sz w:val="1"/>
                <w:szCs w:val="1"/>
                <w:color w:val="auto"/>
              </w:rPr>
            </w:pPr>
          </w:p>
        </w:tc>
        <w:tc>
          <w:tcPr>
            <w:tcW w:w="1180" w:type="dxa"/>
            <w:vAlign w:val="bottom"/>
            <w:tcBorders>
              <w:bottom w:val="single" w:sz="8" w:color="auto"/>
              <w:right w:val="single" w:sz="8" w:color="auto"/>
            </w:tcBorders>
          </w:tcPr>
          <w:p>
            <w:pPr>
              <w:spacing w:after="0" w:line="20" w:lineRule="exact"/>
              <w:rPr>
                <w:sz w:val="1"/>
                <w:szCs w:val="1"/>
                <w:color w:val="auto"/>
              </w:rPr>
            </w:pPr>
          </w:p>
        </w:tc>
        <w:tc>
          <w:tcPr>
            <w:tcW w:w="1160" w:type="dxa"/>
            <w:vAlign w:val="bottom"/>
            <w:tcBorders>
              <w:bottom w:val="single" w:sz="8" w:color="auto"/>
              <w:right w:val="single" w:sz="8" w:color="auto"/>
            </w:tcBorders>
          </w:tcPr>
          <w:p>
            <w:pPr>
              <w:spacing w:after="0" w:line="20" w:lineRule="exact"/>
              <w:rPr>
                <w:sz w:val="1"/>
                <w:szCs w:val="1"/>
                <w:color w:val="auto"/>
              </w:rPr>
            </w:pPr>
          </w:p>
        </w:tc>
        <w:tc>
          <w:tcPr>
            <w:tcW w:w="11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40"/>
        </w:trPr>
        <w:tc>
          <w:tcPr>
            <w:tcW w:w="1200" w:type="dxa"/>
            <w:vAlign w:val="bottom"/>
            <w:tcBorders>
              <w:left w:val="single" w:sz="8" w:color="auto"/>
              <w:right w:val="single" w:sz="8" w:color="auto"/>
            </w:tcBorders>
          </w:tcPr>
          <w:p>
            <w:pPr>
              <w:ind w:left="80"/>
              <w:spacing w:after="0"/>
              <w:rPr>
                <w:sz w:val="20"/>
                <w:szCs w:val="20"/>
                <w:color w:val="auto"/>
              </w:rPr>
            </w:pPr>
            <w:r>
              <w:rPr>
                <w:rFonts w:ascii="Garamond" w:cs="Garamond" w:eastAsia="Garamond" w:hAnsi="Garamond"/>
                <w:sz w:val="19"/>
                <w:szCs w:val="19"/>
                <w:color w:val="auto"/>
              </w:rPr>
              <w:t>Ballet</w:t>
            </w:r>
          </w:p>
        </w:tc>
        <w:tc>
          <w:tcPr>
            <w:tcW w:w="11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-0.7</w:t>
            </w:r>
          </w:p>
        </w:tc>
        <w:tc>
          <w:tcPr>
            <w:tcW w:w="116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-3.6</w:t>
            </w:r>
          </w:p>
        </w:tc>
        <w:tc>
          <w:tcPr>
            <w:tcW w:w="11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9"/>
              </w:rPr>
              <w:t>5.7</w:t>
            </w:r>
          </w:p>
        </w:tc>
        <w:tc>
          <w:tcPr>
            <w:tcW w:w="116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-3.0</w:t>
            </w:r>
          </w:p>
        </w:tc>
        <w:tc>
          <w:tcPr>
            <w:tcW w:w="11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9"/>
              </w:rPr>
              <w:t>2.5</w:t>
            </w:r>
          </w:p>
        </w:tc>
        <w:tc>
          <w:tcPr>
            <w:tcW w:w="0" w:type="dxa"/>
            <w:vAlign w:val="bottom"/>
          </w:tcPr>
          <w:p>
            <w:pPr>
              <w:spacing w:after="0"/>
              <w:rPr>
                <w:sz w:val="1"/>
                <w:szCs w:val="1"/>
                <w:color w:val="auto"/>
              </w:rPr>
            </w:pPr>
          </w:p>
        </w:tc>
      </w:tr>
      <w:tr>
        <w:trPr>
          <w:trHeight w:val="21"/>
        </w:trPr>
        <w:tc>
          <w:tcPr>
            <w:tcW w:w="120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180" w:type="dxa"/>
            <w:vAlign w:val="bottom"/>
            <w:tcBorders>
              <w:bottom w:val="single" w:sz="8" w:color="auto"/>
              <w:right w:val="single" w:sz="8" w:color="auto"/>
            </w:tcBorders>
          </w:tcPr>
          <w:p>
            <w:pPr>
              <w:spacing w:after="0" w:line="20" w:lineRule="exact"/>
              <w:rPr>
                <w:sz w:val="1"/>
                <w:szCs w:val="1"/>
                <w:color w:val="auto"/>
              </w:rPr>
            </w:pPr>
          </w:p>
        </w:tc>
        <w:tc>
          <w:tcPr>
            <w:tcW w:w="1160" w:type="dxa"/>
            <w:vAlign w:val="bottom"/>
            <w:tcBorders>
              <w:bottom w:val="single" w:sz="8" w:color="auto"/>
              <w:right w:val="single" w:sz="8" w:color="auto"/>
            </w:tcBorders>
          </w:tcPr>
          <w:p>
            <w:pPr>
              <w:spacing w:after="0" w:line="20" w:lineRule="exact"/>
              <w:rPr>
                <w:sz w:val="1"/>
                <w:szCs w:val="1"/>
                <w:color w:val="auto"/>
              </w:rPr>
            </w:pPr>
          </w:p>
        </w:tc>
        <w:tc>
          <w:tcPr>
            <w:tcW w:w="1180" w:type="dxa"/>
            <w:vAlign w:val="bottom"/>
            <w:tcBorders>
              <w:bottom w:val="single" w:sz="8" w:color="auto"/>
              <w:right w:val="single" w:sz="8" w:color="auto"/>
            </w:tcBorders>
          </w:tcPr>
          <w:p>
            <w:pPr>
              <w:spacing w:after="0" w:line="20" w:lineRule="exact"/>
              <w:rPr>
                <w:sz w:val="1"/>
                <w:szCs w:val="1"/>
                <w:color w:val="auto"/>
              </w:rPr>
            </w:pPr>
          </w:p>
        </w:tc>
        <w:tc>
          <w:tcPr>
            <w:tcW w:w="1160" w:type="dxa"/>
            <w:vAlign w:val="bottom"/>
            <w:tcBorders>
              <w:bottom w:val="single" w:sz="8" w:color="auto"/>
              <w:right w:val="single" w:sz="8" w:color="auto"/>
            </w:tcBorders>
          </w:tcPr>
          <w:p>
            <w:pPr>
              <w:spacing w:after="0" w:line="20" w:lineRule="exact"/>
              <w:rPr>
                <w:sz w:val="1"/>
                <w:szCs w:val="1"/>
                <w:color w:val="auto"/>
              </w:rPr>
            </w:pPr>
          </w:p>
        </w:tc>
        <w:tc>
          <w:tcPr>
            <w:tcW w:w="11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40"/>
        </w:trPr>
        <w:tc>
          <w:tcPr>
            <w:tcW w:w="1200" w:type="dxa"/>
            <w:vAlign w:val="bottom"/>
            <w:tcBorders>
              <w:left w:val="single" w:sz="8" w:color="auto"/>
              <w:right w:val="single" w:sz="8" w:color="auto"/>
            </w:tcBorders>
          </w:tcPr>
          <w:p>
            <w:pPr>
              <w:ind w:left="80"/>
              <w:spacing w:after="0"/>
              <w:rPr>
                <w:sz w:val="20"/>
                <w:szCs w:val="20"/>
                <w:color w:val="auto"/>
              </w:rPr>
            </w:pPr>
            <w:r>
              <w:rPr>
                <w:rFonts w:ascii="Garamond" w:cs="Garamond" w:eastAsia="Garamond" w:hAnsi="Garamond"/>
                <w:sz w:val="19"/>
                <w:szCs w:val="19"/>
                <w:color w:val="auto"/>
              </w:rPr>
              <w:t>Opera</w:t>
            </w:r>
          </w:p>
        </w:tc>
        <w:tc>
          <w:tcPr>
            <w:tcW w:w="11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2"/>
              </w:rPr>
              <w:t>-1.2</w:t>
            </w:r>
          </w:p>
        </w:tc>
        <w:tc>
          <w:tcPr>
            <w:tcW w:w="116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0"/>
              </w:rPr>
              <w:t>8.7</w:t>
            </w:r>
          </w:p>
        </w:tc>
        <w:tc>
          <w:tcPr>
            <w:tcW w:w="11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2"/>
              </w:rPr>
              <w:t>-1.8</w:t>
            </w:r>
          </w:p>
        </w:tc>
        <w:tc>
          <w:tcPr>
            <w:tcW w:w="116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rPr>
              <w:t>-0.9</w:t>
            </w:r>
          </w:p>
        </w:tc>
        <w:tc>
          <w:tcPr>
            <w:tcW w:w="1180" w:type="dxa"/>
            <w:vAlign w:val="bottom"/>
            <w:tcBorders>
              <w:right w:val="single" w:sz="8" w:color="auto"/>
            </w:tcBorders>
          </w:tcPr>
          <w:p>
            <w:pPr>
              <w:jc w:val="center"/>
              <w:spacing w:after="0"/>
              <w:rPr>
                <w:sz w:val="20"/>
                <w:szCs w:val="20"/>
                <w:color w:val="auto"/>
              </w:rPr>
            </w:pPr>
            <w:r>
              <w:rPr>
                <w:rFonts w:ascii="Garamond" w:cs="Garamond" w:eastAsia="Garamond" w:hAnsi="Garamond"/>
                <w:sz w:val="19"/>
                <w:szCs w:val="19"/>
                <w:color w:val="auto"/>
                <w:w w:val="92"/>
              </w:rPr>
              <w:t>-1.0</w:t>
            </w:r>
          </w:p>
        </w:tc>
        <w:tc>
          <w:tcPr>
            <w:tcW w:w="0" w:type="dxa"/>
            <w:vAlign w:val="bottom"/>
          </w:tcPr>
          <w:p>
            <w:pPr>
              <w:spacing w:after="0"/>
              <w:rPr>
                <w:sz w:val="1"/>
                <w:szCs w:val="1"/>
                <w:color w:val="auto"/>
              </w:rPr>
            </w:pPr>
          </w:p>
        </w:tc>
      </w:tr>
      <w:tr>
        <w:trPr>
          <w:trHeight w:val="22"/>
        </w:trPr>
        <w:tc>
          <w:tcPr>
            <w:tcW w:w="120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180" w:type="dxa"/>
            <w:vAlign w:val="bottom"/>
            <w:tcBorders>
              <w:bottom w:val="single" w:sz="8" w:color="auto"/>
              <w:right w:val="single" w:sz="8" w:color="auto"/>
            </w:tcBorders>
          </w:tcPr>
          <w:p>
            <w:pPr>
              <w:spacing w:after="0" w:line="20" w:lineRule="exact"/>
              <w:rPr>
                <w:sz w:val="1"/>
                <w:szCs w:val="1"/>
                <w:color w:val="auto"/>
              </w:rPr>
            </w:pPr>
          </w:p>
        </w:tc>
        <w:tc>
          <w:tcPr>
            <w:tcW w:w="1160" w:type="dxa"/>
            <w:vAlign w:val="bottom"/>
            <w:tcBorders>
              <w:bottom w:val="single" w:sz="8" w:color="auto"/>
              <w:right w:val="single" w:sz="8" w:color="auto"/>
            </w:tcBorders>
          </w:tcPr>
          <w:p>
            <w:pPr>
              <w:spacing w:after="0" w:line="20" w:lineRule="exact"/>
              <w:rPr>
                <w:sz w:val="1"/>
                <w:szCs w:val="1"/>
                <w:color w:val="auto"/>
              </w:rPr>
            </w:pPr>
          </w:p>
        </w:tc>
        <w:tc>
          <w:tcPr>
            <w:tcW w:w="1180" w:type="dxa"/>
            <w:vAlign w:val="bottom"/>
            <w:tcBorders>
              <w:bottom w:val="single" w:sz="8" w:color="auto"/>
              <w:right w:val="single" w:sz="8" w:color="auto"/>
            </w:tcBorders>
          </w:tcPr>
          <w:p>
            <w:pPr>
              <w:spacing w:after="0" w:line="20" w:lineRule="exact"/>
              <w:rPr>
                <w:sz w:val="1"/>
                <w:szCs w:val="1"/>
                <w:color w:val="auto"/>
              </w:rPr>
            </w:pPr>
          </w:p>
        </w:tc>
        <w:tc>
          <w:tcPr>
            <w:tcW w:w="1160" w:type="dxa"/>
            <w:vAlign w:val="bottom"/>
            <w:tcBorders>
              <w:bottom w:val="single" w:sz="8" w:color="auto"/>
              <w:right w:val="single" w:sz="8" w:color="auto"/>
            </w:tcBorders>
          </w:tcPr>
          <w:p>
            <w:pPr>
              <w:spacing w:after="0" w:line="20" w:lineRule="exact"/>
              <w:rPr>
                <w:sz w:val="1"/>
                <w:szCs w:val="1"/>
                <w:color w:val="auto"/>
              </w:rPr>
            </w:pPr>
          </w:p>
        </w:tc>
        <w:tc>
          <w:tcPr>
            <w:tcW w:w="11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100"/>
        </w:trPr>
        <w:tc>
          <w:tcPr>
            <w:tcW w:w="1200" w:type="dxa"/>
            <w:vAlign w:val="bottom"/>
            <w:tcBorders>
              <w:bottom w:val="single" w:sz="8" w:color="auto"/>
            </w:tcBorders>
          </w:tcPr>
          <w:p>
            <w:pPr>
              <w:spacing w:after="0"/>
              <w:rPr>
                <w:sz w:val="8"/>
                <w:szCs w:val="8"/>
                <w:color w:val="auto"/>
              </w:rPr>
            </w:pPr>
          </w:p>
        </w:tc>
        <w:tc>
          <w:tcPr>
            <w:tcW w:w="1180" w:type="dxa"/>
            <w:vAlign w:val="bottom"/>
            <w:tcBorders>
              <w:bottom w:val="single" w:sz="8" w:color="auto"/>
            </w:tcBorders>
          </w:tcPr>
          <w:p>
            <w:pPr>
              <w:spacing w:after="0"/>
              <w:rPr>
                <w:sz w:val="8"/>
                <w:szCs w:val="8"/>
                <w:color w:val="auto"/>
              </w:rPr>
            </w:pPr>
          </w:p>
        </w:tc>
        <w:tc>
          <w:tcPr>
            <w:tcW w:w="1160" w:type="dxa"/>
            <w:vAlign w:val="bottom"/>
            <w:tcBorders>
              <w:bottom w:val="single" w:sz="8" w:color="auto"/>
            </w:tcBorders>
          </w:tcPr>
          <w:p>
            <w:pPr>
              <w:spacing w:after="0"/>
              <w:rPr>
                <w:sz w:val="8"/>
                <w:szCs w:val="8"/>
                <w:color w:val="auto"/>
              </w:rPr>
            </w:pPr>
          </w:p>
        </w:tc>
        <w:tc>
          <w:tcPr>
            <w:tcW w:w="1180" w:type="dxa"/>
            <w:vAlign w:val="bottom"/>
            <w:tcBorders>
              <w:bottom w:val="single" w:sz="8" w:color="auto"/>
            </w:tcBorders>
          </w:tcPr>
          <w:p>
            <w:pPr>
              <w:spacing w:after="0"/>
              <w:rPr>
                <w:sz w:val="8"/>
                <w:szCs w:val="8"/>
                <w:color w:val="auto"/>
              </w:rPr>
            </w:pPr>
          </w:p>
        </w:tc>
        <w:tc>
          <w:tcPr>
            <w:tcW w:w="1160" w:type="dxa"/>
            <w:vAlign w:val="bottom"/>
            <w:tcBorders>
              <w:bottom w:val="single" w:sz="8" w:color="auto"/>
            </w:tcBorders>
          </w:tcPr>
          <w:p>
            <w:pPr>
              <w:spacing w:after="0"/>
              <w:rPr>
                <w:sz w:val="8"/>
                <w:szCs w:val="8"/>
                <w:color w:val="auto"/>
              </w:rPr>
            </w:pPr>
          </w:p>
        </w:tc>
        <w:tc>
          <w:tcPr>
            <w:tcW w:w="11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bl>
    <w:p>
      <w:pPr>
        <w:spacing w:after="0" w:line="80" w:lineRule="exact"/>
        <w:rPr>
          <w:sz w:val="20"/>
          <w:szCs w:val="20"/>
          <w:color w:val="auto"/>
        </w:rPr>
      </w:pPr>
    </w:p>
    <w:p>
      <w:pPr>
        <w:sectPr>
          <w:pgSz w:w="9080" w:h="13039" w:orient="portrait"/>
          <w:cols w:equalWidth="0" w:num="1">
            <w:col w:w="7040"/>
          </w:cols>
          <w:pgMar w:left="900" w:top="1072" w:right="1131" w:bottom="195" w:gutter="0" w:footer="0" w:header="0"/>
        </w:sectPr>
      </w:pPr>
    </w:p>
    <w:p>
      <w:pPr>
        <w:spacing w:after="0"/>
        <w:tabs>
          <w:tab w:leader="none" w:pos="560" w:val="left"/>
        </w:tabs>
        <w:rPr>
          <w:sz w:val="20"/>
          <w:szCs w:val="20"/>
          <w:color w:val="auto"/>
        </w:rPr>
      </w:pPr>
      <w:r>
        <w:rPr>
          <w:rFonts w:ascii="Garamond" w:cs="Garamond" w:eastAsia="Garamond" w:hAnsi="Garamond"/>
          <w:sz w:val="16"/>
          <w:szCs w:val="16"/>
          <w:b w:val="1"/>
          <w:bCs w:val="1"/>
          <w:color w:val="auto"/>
        </w:rPr>
        <w:t>100</w:t>
      </w:r>
      <w:r>
        <w:rPr>
          <w:sz w:val="20"/>
          <w:szCs w:val="20"/>
          <w:color w:val="auto"/>
        </w:rPr>
        <w:tab/>
      </w:r>
      <w:r>
        <w:rPr>
          <w:rFonts w:ascii="Garamond" w:cs="Garamond" w:eastAsia="Garamond" w:hAnsi="Garamond"/>
          <w:sz w:val="16"/>
          <w:szCs w:val="16"/>
          <w:i w:val="1"/>
          <w:iCs w:val="1"/>
          <w:color w:val="auto"/>
        </w:rPr>
        <w:t>Journal of Competitiveness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4404360</wp:posOffset>
            </wp:positionH>
            <wp:positionV relativeFrom="paragraph">
              <wp:posOffset>-68580</wp:posOffset>
            </wp:positionV>
            <wp:extent cx="64135" cy="641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64135" cy="64135"/>
                    </a:xfrm>
                    <a:prstGeom prst="rect">
                      <a:avLst/>
                    </a:prstGeom>
                    <a:noFill/>
                  </pic:spPr>
                </pic:pic>
              </a:graphicData>
            </a:graphic>
          </wp:anchor>
        </w:drawing>
      </w:r>
    </w:p>
    <w:p>
      <w:pPr>
        <w:sectPr>
          <w:pgSz w:w="9080" w:h="13039" w:orient="portrait"/>
          <w:cols w:equalWidth="0" w:num="1">
            <w:col w:w="7040"/>
          </w:cols>
          <w:pgMar w:left="900" w:top="1072" w:right="1131" w:bottom="195" w:gutter="0" w:footer="0" w:header="0"/>
          <w:type w:val="continuous"/>
        </w:sectPr>
      </w:pPr>
    </w:p>
    <w:bookmarkStart w:id="9" w:name="page10"/>
    <w:bookmarkEnd w:id="9"/>
    <w:p>
      <w:pPr>
        <w:spacing w:after="0"/>
        <w:rPr>
          <w:sz w:val="20"/>
          <w:szCs w:val="20"/>
          <w:color w:val="auto"/>
        </w:rPr>
      </w:pPr>
      <w:r>
        <w:rPr>
          <w:rFonts w:ascii="Arial" w:cs="Arial" w:eastAsia="Arial" w:hAnsi="Arial"/>
          <w:sz w:val="24"/>
          <w:szCs w:val="24"/>
          <w:b w:val="1"/>
          <w:bCs w:val="1"/>
          <w:color w:val="auto"/>
        </w:rPr>
        <w:t>5. DISCUSSION AND CONCLUSIONS</w:t>
      </w:r>
    </w:p>
    <w:p>
      <w:pPr>
        <w:spacing w:after="0" w:line="92" w:lineRule="exact"/>
        <w:rPr>
          <w:sz w:val="20"/>
          <w:szCs w:val="20"/>
          <w:color w:val="auto"/>
        </w:rPr>
      </w:pPr>
    </w:p>
    <w:p>
      <w:pPr>
        <w:jc w:val="both"/>
        <w:spacing w:after="0" w:line="284" w:lineRule="auto"/>
        <w:rPr>
          <w:sz w:val="20"/>
          <w:szCs w:val="20"/>
          <w:color w:val="auto"/>
        </w:rPr>
      </w:pPr>
      <w:r>
        <w:rPr>
          <w:rFonts w:ascii="Garamond" w:cs="Garamond" w:eastAsia="Garamond" w:hAnsi="Garamond"/>
          <w:sz w:val="19"/>
          <w:szCs w:val="19"/>
          <w:color w:val="auto"/>
        </w:rPr>
        <w:t>In this paper we have discussed the application of marketing tools in the area of classical per-forming arts. It has been noted elsewhere (e.g. Fraser, 2004) that these tend to be limited to mostly communication-related instruments that are tactical in nature. This may be, among oth-ers, due to the belief that classical performing art, as high cultural production, should be ideo-logically neutral (Hirschman, 1983; Harrison, 2009), and thus not depend on the individuation of consumers’ needs. However, there is an increasing discussion about the disappearing distinction between high and low culture, as both tend to become part of the market. At the same time, as the public funding slowly dries out, classical performing arts institutions are increasingly pres-sured to become economically sustainable.</w:t>
      </w:r>
    </w:p>
    <w:p>
      <w:pPr>
        <w:spacing w:after="0" w:line="2" w:lineRule="exact"/>
        <w:rPr>
          <w:sz w:val="20"/>
          <w:szCs w:val="20"/>
          <w:color w:val="auto"/>
        </w:rPr>
      </w:pPr>
    </w:p>
    <w:p>
      <w:pPr>
        <w:jc w:val="both"/>
        <w:spacing w:after="0" w:line="300" w:lineRule="auto"/>
        <w:rPr>
          <w:sz w:val="20"/>
          <w:szCs w:val="20"/>
          <w:color w:val="auto"/>
        </w:rPr>
      </w:pPr>
      <w:r>
        <w:rPr>
          <w:rFonts w:ascii="Garamond" w:cs="Garamond" w:eastAsia="Garamond" w:hAnsi="Garamond"/>
          <w:sz w:val="18"/>
          <w:szCs w:val="18"/>
          <w:color w:val="auto"/>
        </w:rPr>
        <w:t>As a consequence, there is no question that marketing tools that go beyond “selling what’s on stock” should be used. The sole utilization of communication tools resonates too strongly with the obsolete “production-oriented” marketing that does not allow to create an offer that appeals to consumers. And within the increasingly competitive environment that starts to be evident also in the classical performing arts area, the ability to do so will decide the winners. In order to create a targeted offer, marketers should not concentrate solely on the “artistic production” (such as the repertoire, physical surroundings, etc.), but also, if not primarily, on the “artistic consumption”. Then, instruments of targeted marketing such as segmentation can help institutions working in this sphere to create a better targeted offer, as well as communicate it more effectively.</w:t>
      </w:r>
    </w:p>
    <w:p>
      <w:pPr>
        <w:jc w:val="both"/>
        <w:spacing w:after="0" w:line="298" w:lineRule="auto"/>
        <w:rPr>
          <w:sz w:val="20"/>
          <w:szCs w:val="20"/>
          <w:color w:val="auto"/>
        </w:rPr>
      </w:pPr>
      <w:r>
        <w:rPr>
          <w:rFonts w:ascii="Garamond" w:cs="Garamond" w:eastAsia="Garamond" w:hAnsi="Garamond"/>
          <w:sz w:val="18"/>
          <w:szCs w:val="18"/>
          <w:color w:val="auto"/>
        </w:rPr>
        <w:t>The traditional way to describe classical performing arts audiences reported in literature, however, is often based on social class or its components (e.g. Baumol and Bowen, 1966; DiMaggio and Useen, 1978; Kotler &amp; Scheff, 1997; Lewis &amp; Seaman, 2004; Borgonovi, 2004; Masters et al., 2011). We argue that this view is too grounded in a particular (mostly Western) context and does not apply across different settings. In particular, this category is problematic in our case of the Czech Nation-al Theater, where consumers’ income does not play a role in the frequency of their attendance. This may be due to the historical evolution of the particular context of Czech Republic, where histori-cally theater has played a rather different role than in the settings other studies have been carried out in. The National Theater (and theater as such) has played a significant role in the formation of the Czech national identity, especially during the national awakening period, in which it formed a part of popular culture and a means to communicate and create national identity. Later, during the communist period, it was marketed as people’s entertainment, and as such was again not a part of the high culture reserved to the higher classes. Such evolution is at odds with the development in other contexts. This difference is then reflected in our data, where social class (especially income levels) does not play a role in consumers’ frequency of attendance of classical performances.</w:t>
      </w:r>
    </w:p>
    <w:p>
      <w:pPr>
        <w:spacing w:after="0" w:line="7" w:lineRule="exact"/>
        <w:rPr>
          <w:sz w:val="20"/>
          <w:szCs w:val="20"/>
          <w:color w:val="auto"/>
        </w:rPr>
      </w:pPr>
    </w:p>
    <w:p>
      <w:pPr>
        <w:jc w:val="both"/>
        <w:spacing w:after="0" w:line="291" w:lineRule="auto"/>
        <w:rPr>
          <w:sz w:val="20"/>
          <w:szCs w:val="20"/>
          <w:color w:val="auto"/>
        </w:rPr>
      </w:pPr>
      <w:r>
        <w:rPr>
          <w:rFonts w:ascii="Garamond" w:cs="Garamond" w:eastAsia="Garamond" w:hAnsi="Garamond"/>
          <w:sz w:val="19"/>
          <w:szCs w:val="19"/>
          <w:color w:val="auto"/>
        </w:rPr>
        <w:t>We can thus conclude that in the international literature regarding classical performing arts audi-ences’ segmentation, especially where treating social class as a predictor for attendance, a crucial element has been omitted: the consideration of context.</w:t>
      </w:r>
    </w:p>
    <w:p>
      <w:pPr>
        <w:spacing w:after="0" w:line="1" w:lineRule="exact"/>
        <w:rPr>
          <w:sz w:val="20"/>
          <w:szCs w:val="20"/>
          <w:color w:val="auto"/>
        </w:rPr>
      </w:pPr>
    </w:p>
    <w:p>
      <w:pPr>
        <w:jc w:val="both"/>
        <w:spacing w:after="0" w:line="307" w:lineRule="auto"/>
        <w:rPr>
          <w:sz w:val="20"/>
          <w:szCs w:val="20"/>
          <w:color w:val="auto"/>
        </w:rPr>
      </w:pPr>
      <w:r>
        <w:rPr>
          <w:rFonts w:ascii="Garamond" w:cs="Garamond" w:eastAsia="Garamond" w:hAnsi="Garamond"/>
          <w:sz w:val="18"/>
          <w:szCs w:val="18"/>
          <w:color w:val="auto"/>
        </w:rPr>
        <w:t>What we propose, then, is rather a division of consumers based on their particular motivations to attend a performance. As our results show, such variable may yield better results and may also be more context sensitive, as it can be easily adapted. This can be done through a process simi-lar to the one described in this paper. The marketer should first consider what are the benefits that consumer draws from the offered artistic experience. Knowing what benefits are sought by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110490</wp:posOffset>
            </wp:positionV>
            <wp:extent cx="4464050" cy="4763"/>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4464050" cy="4763"/>
                    </a:xfrm>
                    <a:prstGeom prst="rect">
                      <a:avLst/>
                    </a:prstGeom>
                    <a:noFill/>
                  </pic:spPr>
                </pic:pic>
              </a:graphicData>
            </a:graphic>
          </wp:anchor>
        </w:drawing>
      </w:r>
    </w:p>
    <w:p>
      <w:pPr>
        <w:sectPr>
          <w:pgSz w:w="9080" w:h="13039" w:orient="portrait"/>
          <w:cols w:equalWidth="0" w:num="1">
            <w:col w:w="7020"/>
          </w:cols>
          <w:pgMar w:left="1140" w:top="1064" w:right="911" w:bottom="206" w:gutter="0" w:footer="0" w:header="0"/>
        </w:sectPr>
      </w:pPr>
    </w:p>
    <w:p>
      <w:pPr>
        <w:spacing w:after="0" w:line="260" w:lineRule="exact"/>
        <w:rPr>
          <w:sz w:val="20"/>
          <w:szCs w:val="20"/>
          <w:color w:val="auto"/>
        </w:rPr>
      </w:pPr>
    </w:p>
    <w:p>
      <w:pPr>
        <w:ind w:left="6820"/>
        <w:spacing w:after="0"/>
        <w:rPr>
          <w:sz w:val="20"/>
          <w:szCs w:val="20"/>
          <w:color w:val="auto"/>
        </w:rPr>
      </w:pPr>
      <w:r>
        <w:rPr>
          <w:rFonts w:ascii="Garamond" w:cs="Garamond" w:eastAsia="Garamond" w:hAnsi="Garamond"/>
          <w:sz w:val="15"/>
          <w:szCs w:val="15"/>
          <w:b w:val="1"/>
          <w:bCs w:val="1"/>
          <w:color w:val="auto"/>
        </w:rPr>
        <w:t>101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-61595</wp:posOffset>
            </wp:positionV>
            <wp:extent cx="64135" cy="6413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64135" cy="64135"/>
                    </a:xfrm>
                    <a:prstGeom prst="rect">
                      <a:avLst/>
                    </a:prstGeom>
                    <a:noFill/>
                  </pic:spPr>
                </pic:pic>
              </a:graphicData>
            </a:graphic>
          </wp:anchor>
        </w:drawing>
      </w:r>
    </w:p>
    <w:p>
      <w:pPr>
        <w:sectPr>
          <w:pgSz w:w="9080" w:h="13039" w:orient="portrait"/>
          <w:cols w:equalWidth="0" w:num="1">
            <w:col w:w="7020"/>
          </w:cols>
          <w:pgMar w:left="1140" w:top="1064" w:right="911" w:bottom="206" w:gutter="0" w:footer="0" w:header="0"/>
          <w:type w:val="continuous"/>
        </w:sectPr>
      </w:pPr>
    </w:p>
    <w:bookmarkStart w:id="10" w:name="page11"/>
    <w:bookmarkEnd w:id="10"/>
    <w:p>
      <w:pPr>
        <w:jc w:val="both"/>
        <w:spacing w:after="0" w:line="287" w:lineRule="auto"/>
        <w:rPr>
          <w:sz w:val="20"/>
          <w:szCs w:val="20"/>
          <w:color w:val="auto"/>
        </w:rPr>
      </w:pPr>
      <w:r>
        <w:rPr>
          <w:rFonts w:ascii="Garamond" w:cs="Garamond" w:eastAsia="Garamond" w:hAnsi="Garamond"/>
          <w:sz w:val="19"/>
          <w:szCs w:val="19"/>
          <w:color w:val="auto"/>
        </w:rPr>
        <w:t>different groups of consumers, it is possible to target particular segments with a specific offer. Knowing, for instance, that frequent attenders are generally interested in theater, while regular (but not frequent) visitors prefer fun, can offer interesting material for specifically targeted offer. Similarly, this kind of information can also provide valuable insight for a targeted communica-tion campaign.</w:t>
      </w:r>
    </w:p>
    <w:p>
      <w:pPr>
        <w:spacing w:after="0" w:line="245" w:lineRule="exact"/>
        <w:rPr>
          <w:sz w:val="20"/>
          <w:szCs w:val="20"/>
          <w:color w:val="auto"/>
        </w:rPr>
      </w:pPr>
    </w:p>
    <w:p>
      <w:pPr>
        <w:spacing w:after="0"/>
        <w:rPr>
          <w:sz w:val="20"/>
          <w:szCs w:val="20"/>
          <w:color w:val="auto"/>
        </w:rPr>
      </w:pPr>
      <w:r>
        <w:rPr>
          <w:rFonts w:ascii="Garamond" w:cs="Garamond" w:eastAsia="Garamond" w:hAnsi="Garamond"/>
          <w:sz w:val="16"/>
          <w:szCs w:val="16"/>
          <w:b w:val="1"/>
          <w:bCs w:val="1"/>
          <w:color w:val="auto"/>
        </w:rPr>
        <w:t>Acknowledgments:</w:t>
      </w:r>
    </w:p>
    <w:p>
      <w:pPr>
        <w:spacing w:after="0" w:line="14" w:lineRule="exact"/>
        <w:rPr>
          <w:sz w:val="20"/>
          <w:szCs w:val="20"/>
          <w:color w:val="auto"/>
        </w:rPr>
      </w:pPr>
    </w:p>
    <w:p>
      <w:pPr>
        <w:jc w:val="both"/>
        <w:spacing w:after="0" w:line="273" w:lineRule="auto"/>
        <w:rPr>
          <w:sz w:val="20"/>
          <w:szCs w:val="20"/>
          <w:color w:val="auto"/>
        </w:rPr>
      </w:pPr>
      <w:r>
        <w:rPr>
          <w:rFonts w:ascii="Garamond" w:cs="Garamond" w:eastAsia="Garamond" w:hAnsi="Garamond"/>
          <w:sz w:val="16"/>
          <w:szCs w:val="16"/>
          <w:color w:val="auto"/>
        </w:rPr>
        <w:t>This article is a result of the research project “Efective methods for the increase of national and European competitiveness of small and medium enterprises in the field of culture” registered with the Ministry of Culture (program NAKI) under the number MK DF11P01OVV024.</w:t>
      </w:r>
    </w:p>
    <w:p>
      <w:pPr>
        <w:spacing w:after="0" w:line="168" w:lineRule="exact"/>
        <w:rPr>
          <w:sz w:val="20"/>
          <w:szCs w:val="20"/>
          <w:color w:val="auto"/>
        </w:rPr>
      </w:pPr>
    </w:p>
    <w:p>
      <w:pPr>
        <w:spacing w:after="0"/>
        <w:rPr>
          <w:sz w:val="20"/>
          <w:szCs w:val="20"/>
          <w:color w:val="auto"/>
        </w:rPr>
      </w:pPr>
      <w:r>
        <w:rPr>
          <w:rFonts w:ascii="Arial" w:cs="Arial" w:eastAsia="Arial" w:hAnsi="Arial"/>
          <w:sz w:val="20"/>
          <w:szCs w:val="20"/>
          <w:color w:val="auto"/>
        </w:rPr>
        <w:t>References</w:t>
      </w:r>
    </w:p>
    <w:p>
      <w:pPr>
        <w:spacing w:after="0" w:line="42" w:lineRule="exact"/>
        <w:rPr>
          <w:sz w:val="20"/>
          <w:szCs w:val="20"/>
          <w:color w:val="auto"/>
        </w:rPr>
      </w:pPr>
    </w:p>
    <w:p>
      <w:pPr>
        <w:ind w:left="480" w:right="1200" w:hanging="273"/>
        <w:spacing w:after="0" w:line="313" w:lineRule="auto"/>
        <w:tabs>
          <w:tab w:leader="none" w:pos="480" w:val="left"/>
        </w:tabs>
        <w:numPr>
          <w:ilvl w:val="0"/>
          <w:numId w:val="3"/>
        </w:numPr>
        <w:rPr>
          <w:rFonts w:ascii="Garamond" w:cs="Garamond" w:eastAsia="Garamond" w:hAnsi="Garamond"/>
          <w:sz w:val="18"/>
          <w:szCs w:val="18"/>
          <w:color w:val="auto"/>
        </w:rPr>
      </w:pPr>
      <w:r>
        <w:rPr>
          <w:rFonts w:ascii="Garamond" w:cs="Garamond" w:eastAsia="Garamond" w:hAnsi="Garamond"/>
          <w:sz w:val="18"/>
          <w:szCs w:val="18"/>
          <w:color w:val="auto"/>
        </w:rPr>
        <w:t xml:space="preserve">Agresti, A. (2002). </w:t>
      </w:r>
      <w:r>
        <w:rPr>
          <w:rFonts w:ascii="Garamond" w:cs="Garamond" w:eastAsia="Garamond" w:hAnsi="Garamond"/>
          <w:sz w:val="18"/>
          <w:szCs w:val="18"/>
          <w:i w:val="1"/>
          <w:iCs w:val="1"/>
          <w:color w:val="auto"/>
        </w:rPr>
        <w:t>Categorical Data Analysis</w:t>
      </w:r>
      <w:r>
        <w:rPr>
          <w:rFonts w:ascii="Garamond" w:cs="Garamond" w:eastAsia="Garamond" w:hAnsi="Garamond"/>
          <w:sz w:val="18"/>
          <w:szCs w:val="18"/>
          <w:color w:val="auto"/>
        </w:rPr>
        <w:t>. New York: Wiley. http://dx.doi. org/10.1002/0471249688</w:t>
      </w:r>
    </w:p>
    <w:p>
      <w:pPr>
        <w:ind w:left="480" w:right="400" w:hanging="273"/>
        <w:spacing w:after="0" w:line="313" w:lineRule="auto"/>
        <w:tabs>
          <w:tab w:leader="none" w:pos="480" w:val="left"/>
        </w:tabs>
        <w:numPr>
          <w:ilvl w:val="0"/>
          <w:numId w:val="3"/>
        </w:numPr>
        <w:rPr>
          <w:rFonts w:ascii="Garamond" w:cs="Garamond" w:eastAsia="Garamond" w:hAnsi="Garamond"/>
          <w:sz w:val="18"/>
          <w:szCs w:val="18"/>
          <w:color w:val="auto"/>
        </w:rPr>
      </w:pPr>
      <w:r>
        <w:rPr>
          <w:rFonts w:ascii="Garamond" w:cs="Garamond" w:eastAsia="Garamond" w:hAnsi="Garamond"/>
          <w:sz w:val="18"/>
          <w:szCs w:val="18"/>
          <w:color w:val="auto"/>
        </w:rPr>
        <w:t xml:space="preserve">Andreasen, A. R. (1987). </w:t>
      </w:r>
      <w:r>
        <w:rPr>
          <w:rFonts w:ascii="Garamond" w:cs="Garamond" w:eastAsia="Garamond" w:hAnsi="Garamond"/>
          <w:sz w:val="18"/>
          <w:szCs w:val="18"/>
          <w:i w:val="1"/>
          <w:iCs w:val="1"/>
          <w:color w:val="auto"/>
        </w:rPr>
        <w:t>Expanding the Audience for the Performing Arts.</w:t>
      </w:r>
      <w:r>
        <w:rPr>
          <w:rFonts w:ascii="Garamond" w:cs="Garamond" w:eastAsia="Garamond" w:hAnsi="Garamond"/>
          <w:sz w:val="18"/>
          <w:szCs w:val="18"/>
          <w:color w:val="auto"/>
        </w:rPr>
        <w:t xml:space="preserve"> Washington, DC: National Endowment for the Arts, Research Div.</w:t>
      </w:r>
    </w:p>
    <w:p>
      <w:pPr>
        <w:spacing w:after="0" w:line="1" w:lineRule="exact"/>
        <w:rPr>
          <w:rFonts w:ascii="Garamond" w:cs="Garamond" w:eastAsia="Garamond" w:hAnsi="Garamond"/>
          <w:sz w:val="18"/>
          <w:szCs w:val="18"/>
          <w:color w:val="auto"/>
        </w:rPr>
      </w:pPr>
    </w:p>
    <w:p>
      <w:pPr>
        <w:ind w:left="480" w:right="160" w:hanging="273"/>
        <w:spacing w:after="0" w:line="306" w:lineRule="auto"/>
        <w:tabs>
          <w:tab w:leader="none" w:pos="480" w:val="left"/>
        </w:tabs>
        <w:numPr>
          <w:ilvl w:val="0"/>
          <w:numId w:val="3"/>
        </w:numPr>
        <w:rPr>
          <w:rFonts w:ascii="Garamond" w:cs="Garamond" w:eastAsia="Garamond" w:hAnsi="Garamond"/>
          <w:sz w:val="18"/>
          <w:szCs w:val="18"/>
          <w:color w:val="auto"/>
        </w:rPr>
      </w:pPr>
      <w:r>
        <w:rPr>
          <w:rFonts w:ascii="Garamond" w:cs="Garamond" w:eastAsia="Garamond" w:hAnsi="Garamond"/>
          <w:sz w:val="18"/>
          <w:szCs w:val="18"/>
          <w:color w:val="auto"/>
        </w:rPr>
        <w:t xml:space="preserve">Andreasen, A. R. (2012). Rethinking the Relationship Between Social/Nonprofit Market-ing and Commercial Marketing. </w:t>
      </w:r>
      <w:r>
        <w:rPr>
          <w:rFonts w:ascii="Garamond" w:cs="Garamond" w:eastAsia="Garamond" w:hAnsi="Garamond"/>
          <w:sz w:val="18"/>
          <w:szCs w:val="18"/>
          <w:i w:val="1"/>
          <w:iCs w:val="1"/>
          <w:color w:val="auto"/>
        </w:rPr>
        <w:t>Journal of Public Policy &amp; Marketing</w:t>
      </w:r>
      <w:r>
        <w:rPr>
          <w:rFonts w:ascii="Garamond" w:cs="Garamond" w:eastAsia="Garamond" w:hAnsi="Garamond"/>
          <w:sz w:val="18"/>
          <w:szCs w:val="18"/>
          <w:color w:val="auto"/>
        </w:rPr>
        <w:t>, 31 (1), 36-41. http:// dx.doi.org/10.1509/jppm.09.035</w:t>
      </w:r>
    </w:p>
    <w:p>
      <w:pPr>
        <w:spacing w:after="0" w:line="2" w:lineRule="exact"/>
        <w:rPr>
          <w:rFonts w:ascii="Garamond" w:cs="Garamond" w:eastAsia="Garamond" w:hAnsi="Garamond"/>
          <w:sz w:val="18"/>
          <w:szCs w:val="18"/>
          <w:color w:val="auto"/>
        </w:rPr>
      </w:pPr>
    </w:p>
    <w:p>
      <w:pPr>
        <w:ind w:left="480" w:right="100" w:hanging="273"/>
        <w:spacing w:after="0" w:line="313" w:lineRule="auto"/>
        <w:tabs>
          <w:tab w:leader="none" w:pos="480" w:val="left"/>
        </w:tabs>
        <w:numPr>
          <w:ilvl w:val="0"/>
          <w:numId w:val="3"/>
        </w:numPr>
        <w:rPr>
          <w:rFonts w:ascii="Garamond" w:cs="Garamond" w:eastAsia="Garamond" w:hAnsi="Garamond"/>
          <w:sz w:val="18"/>
          <w:szCs w:val="18"/>
          <w:color w:val="auto"/>
        </w:rPr>
      </w:pPr>
      <w:r>
        <w:rPr>
          <w:rFonts w:ascii="Garamond" w:cs="Garamond" w:eastAsia="Garamond" w:hAnsi="Garamond"/>
          <w:sz w:val="18"/>
          <w:szCs w:val="18"/>
          <w:color w:val="auto"/>
        </w:rPr>
        <w:t xml:space="preserve">Andreasen, A. R. &amp; Belk, R. (1980). Predictors of Attendance at the Performing Arts. </w:t>
      </w:r>
      <w:r>
        <w:rPr>
          <w:rFonts w:ascii="Garamond" w:cs="Garamond" w:eastAsia="Garamond" w:hAnsi="Garamond"/>
          <w:sz w:val="18"/>
          <w:szCs w:val="18"/>
          <w:i w:val="1"/>
          <w:iCs w:val="1"/>
          <w:color w:val="auto"/>
        </w:rPr>
        <w:t>Jour-nal of Consumer Research</w:t>
      </w:r>
      <w:r>
        <w:rPr>
          <w:rFonts w:ascii="Garamond" w:cs="Garamond" w:eastAsia="Garamond" w:hAnsi="Garamond"/>
          <w:sz w:val="18"/>
          <w:szCs w:val="18"/>
          <w:color w:val="auto"/>
        </w:rPr>
        <w:t>, 7 (2), 112-120. http://dx.doi.org/10.1086/208800</w:t>
      </w:r>
    </w:p>
    <w:p>
      <w:pPr>
        <w:spacing w:after="0" w:line="1" w:lineRule="exact"/>
        <w:rPr>
          <w:rFonts w:ascii="Garamond" w:cs="Garamond" w:eastAsia="Garamond" w:hAnsi="Garamond"/>
          <w:sz w:val="18"/>
          <w:szCs w:val="18"/>
          <w:color w:val="auto"/>
        </w:rPr>
      </w:pPr>
    </w:p>
    <w:p>
      <w:pPr>
        <w:jc w:val="both"/>
        <w:ind w:left="480" w:right="80" w:hanging="273"/>
        <w:spacing w:after="0" w:line="313" w:lineRule="auto"/>
        <w:tabs>
          <w:tab w:leader="none" w:pos="480" w:val="left"/>
        </w:tabs>
        <w:numPr>
          <w:ilvl w:val="0"/>
          <w:numId w:val="3"/>
        </w:numPr>
        <w:rPr>
          <w:rFonts w:ascii="Garamond" w:cs="Garamond" w:eastAsia="Garamond" w:hAnsi="Garamond"/>
          <w:sz w:val="18"/>
          <w:szCs w:val="18"/>
          <w:color w:val="auto"/>
        </w:rPr>
      </w:pPr>
      <w:r>
        <w:rPr>
          <w:rFonts w:ascii="Garamond" w:cs="Garamond" w:eastAsia="Garamond" w:hAnsi="Garamond"/>
          <w:sz w:val="18"/>
          <w:szCs w:val="18"/>
          <w:color w:val="auto"/>
        </w:rPr>
        <w:t xml:space="preserve">Arnould, E. J., &amp; Thompson, C. J. (2005). Consumer Culture Theory (CCT): Twenty Years of Research. </w:t>
      </w:r>
      <w:r>
        <w:rPr>
          <w:rFonts w:ascii="Garamond" w:cs="Garamond" w:eastAsia="Garamond" w:hAnsi="Garamond"/>
          <w:sz w:val="18"/>
          <w:szCs w:val="18"/>
          <w:i w:val="1"/>
          <w:iCs w:val="1"/>
          <w:color w:val="auto"/>
        </w:rPr>
        <w:t>Journal of Consumer Research</w:t>
      </w:r>
      <w:r>
        <w:rPr>
          <w:rFonts w:ascii="Garamond" w:cs="Garamond" w:eastAsia="Garamond" w:hAnsi="Garamond"/>
          <w:sz w:val="18"/>
          <w:szCs w:val="18"/>
          <w:color w:val="auto"/>
        </w:rPr>
        <w:t>, 31 (4), 868-882. http://dx.doi.org/10.1086/426626</w:t>
      </w:r>
    </w:p>
    <w:p>
      <w:pPr>
        <w:ind w:left="480" w:right="200" w:hanging="273"/>
        <w:spacing w:after="0" w:line="312" w:lineRule="auto"/>
        <w:tabs>
          <w:tab w:leader="none" w:pos="480" w:val="left"/>
        </w:tabs>
        <w:numPr>
          <w:ilvl w:val="0"/>
          <w:numId w:val="3"/>
        </w:numPr>
        <w:rPr>
          <w:rFonts w:ascii="Garamond" w:cs="Garamond" w:eastAsia="Garamond" w:hAnsi="Garamond"/>
          <w:sz w:val="18"/>
          <w:szCs w:val="18"/>
          <w:color w:val="auto"/>
        </w:rPr>
      </w:pPr>
      <w:r>
        <w:rPr>
          <w:rFonts w:ascii="Garamond" w:cs="Garamond" w:eastAsia="Garamond" w:hAnsi="Garamond"/>
          <w:sz w:val="18"/>
          <w:szCs w:val="18"/>
          <w:color w:val="auto"/>
        </w:rPr>
        <w:t xml:space="preserve">Ateca-Amestoy, V. (2008). Determining heterogeneous behavior for theater attendance. </w:t>
      </w:r>
      <w:r>
        <w:rPr>
          <w:rFonts w:ascii="Garamond" w:cs="Garamond" w:eastAsia="Garamond" w:hAnsi="Garamond"/>
          <w:sz w:val="18"/>
          <w:szCs w:val="18"/>
          <w:i w:val="1"/>
          <w:iCs w:val="1"/>
          <w:color w:val="auto"/>
        </w:rPr>
        <w:t>Journal of Cultural Economics</w:t>
      </w:r>
      <w:r>
        <w:rPr>
          <w:rFonts w:ascii="Garamond" w:cs="Garamond" w:eastAsia="Garamond" w:hAnsi="Garamond"/>
          <w:sz w:val="18"/>
          <w:szCs w:val="18"/>
          <w:color w:val="auto"/>
        </w:rPr>
        <w:t>, 32 (2), 127–151. http://dx.doi.org/10.1007/s10824-008-9065-z</w:t>
      </w:r>
    </w:p>
    <w:p>
      <w:pPr>
        <w:ind w:left="480" w:right="20" w:hanging="273"/>
        <w:spacing w:after="0" w:line="313" w:lineRule="auto"/>
        <w:tabs>
          <w:tab w:leader="none" w:pos="480" w:val="left"/>
        </w:tabs>
        <w:numPr>
          <w:ilvl w:val="0"/>
          <w:numId w:val="3"/>
        </w:numPr>
        <w:rPr>
          <w:rFonts w:ascii="Garamond" w:cs="Garamond" w:eastAsia="Garamond" w:hAnsi="Garamond"/>
          <w:sz w:val="18"/>
          <w:szCs w:val="18"/>
          <w:color w:val="auto"/>
        </w:rPr>
      </w:pPr>
      <w:r>
        <w:rPr>
          <w:rFonts w:ascii="Garamond" w:cs="Garamond" w:eastAsia="Garamond" w:hAnsi="Garamond"/>
          <w:sz w:val="18"/>
          <w:szCs w:val="18"/>
          <w:color w:val="auto"/>
        </w:rPr>
        <w:t xml:space="preserve">Borgonovi, F. (2004). Performing arts attendance: an economic approach. </w:t>
      </w:r>
      <w:r>
        <w:rPr>
          <w:rFonts w:ascii="Garamond" w:cs="Garamond" w:eastAsia="Garamond" w:hAnsi="Garamond"/>
          <w:sz w:val="18"/>
          <w:szCs w:val="18"/>
          <w:i w:val="1"/>
          <w:iCs w:val="1"/>
          <w:color w:val="auto"/>
        </w:rPr>
        <w:t>Applied Economics</w:t>
      </w:r>
      <w:r>
        <w:rPr>
          <w:rFonts w:ascii="Garamond" w:cs="Garamond" w:eastAsia="Garamond" w:hAnsi="Garamond"/>
          <w:sz w:val="18"/>
          <w:szCs w:val="18"/>
          <w:color w:val="auto"/>
        </w:rPr>
        <w:t>, 36 (17), 1871–1885. http://dx.doi.org/10.1080/0003684042000264010</w:t>
      </w:r>
    </w:p>
    <w:p>
      <w:pPr>
        <w:ind w:left="480" w:right="420" w:hanging="273"/>
        <w:spacing w:after="0" w:line="313" w:lineRule="auto"/>
        <w:tabs>
          <w:tab w:leader="none" w:pos="480" w:val="left"/>
        </w:tabs>
        <w:numPr>
          <w:ilvl w:val="0"/>
          <w:numId w:val="3"/>
        </w:numPr>
        <w:rPr>
          <w:rFonts w:ascii="Garamond" w:cs="Garamond" w:eastAsia="Garamond" w:hAnsi="Garamond"/>
          <w:sz w:val="18"/>
          <w:szCs w:val="18"/>
          <w:color w:val="auto"/>
        </w:rPr>
      </w:pPr>
      <w:r>
        <w:rPr>
          <w:rFonts w:ascii="Garamond" w:cs="Garamond" w:eastAsia="Garamond" w:hAnsi="Garamond"/>
          <w:sz w:val="18"/>
          <w:szCs w:val="18"/>
          <w:color w:val="auto"/>
        </w:rPr>
        <w:t xml:space="preserve">Baumol, W. &amp; Bowen, W. (1980). </w:t>
      </w:r>
      <w:r>
        <w:rPr>
          <w:rFonts w:ascii="Garamond" w:cs="Garamond" w:eastAsia="Garamond" w:hAnsi="Garamond"/>
          <w:sz w:val="18"/>
          <w:szCs w:val="18"/>
          <w:i w:val="1"/>
          <w:iCs w:val="1"/>
          <w:color w:val="auto"/>
        </w:rPr>
        <w:t>Performing arts - The economic dilemma</w:t>
      </w:r>
      <w:r>
        <w:rPr>
          <w:rFonts w:ascii="Garamond" w:cs="Garamond" w:eastAsia="Garamond" w:hAnsi="Garamond"/>
          <w:sz w:val="18"/>
          <w:szCs w:val="18"/>
          <w:color w:val="auto"/>
        </w:rPr>
        <w:t>. Cambridge: MIT Press.</w:t>
      </w:r>
    </w:p>
    <w:p>
      <w:pPr>
        <w:spacing w:after="0" w:line="1" w:lineRule="exact"/>
        <w:rPr>
          <w:rFonts w:ascii="Garamond" w:cs="Garamond" w:eastAsia="Garamond" w:hAnsi="Garamond"/>
          <w:sz w:val="18"/>
          <w:szCs w:val="18"/>
          <w:color w:val="auto"/>
        </w:rPr>
      </w:pPr>
    </w:p>
    <w:p>
      <w:pPr>
        <w:ind w:left="480" w:right="200" w:hanging="273"/>
        <w:spacing w:after="0" w:line="312" w:lineRule="auto"/>
        <w:tabs>
          <w:tab w:leader="none" w:pos="480" w:val="left"/>
        </w:tabs>
        <w:numPr>
          <w:ilvl w:val="0"/>
          <w:numId w:val="3"/>
        </w:numPr>
        <w:rPr>
          <w:rFonts w:ascii="Garamond" w:cs="Garamond" w:eastAsia="Garamond" w:hAnsi="Garamond"/>
          <w:sz w:val="18"/>
          <w:szCs w:val="18"/>
          <w:color w:val="auto"/>
        </w:rPr>
      </w:pPr>
      <w:r>
        <w:rPr>
          <w:rFonts w:ascii="Garamond" w:cs="Garamond" w:eastAsia="Garamond" w:hAnsi="Garamond"/>
          <w:sz w:val="18"/>
          <w:szCs w:val="18"/>
          <w:color w:val="auto"/>
        </w:rPr>
        <w:t xml:space="preserve">Botti, S. (2000). What Role for Marketing in the Arts? An Analysis of Arts Consumption and Artistic Value. </w:t>
      </w:r>
      <w:r>
        <w:rPr>
          <w:rFonts w:ascii="Garamond" w:cs="Garamond" w:eastAsia="Garamond" w:hAnsi="Garamond"/>
          <w:sz w:val="18"/>
          <w:szCs w:val="18"/>
          <w:i w:val="1"/>
          <w:iCs w:val="1"/>
          <w:color w:val="auto"/>
        </w:rPr>
        <w:t>International Journal of Arts Management</w:t>
      </w:r>
      <w:r>
        <w:rPr>
          <w:rFonts w:ascii="Garamond" w:cs="Garamond" w:eastAsia="Garamond" w:hAnsi="Garamond"/>
          <w:sz w:val="18"/>
          <w:szCs w:val="18"/>
          <w:color w:val="auto"/>
        </w:rPr>
        <w:t>, 2 (3), 14-27.</w:t>
      </w:r>
    </w:p>
    <w:p>
      <w:pPr>
        <w:ind w:left="480" w:right="40" w:hanging="273"/>
        <w:spacing w:after="0" w:line="313" w:lineRule="auto"/>
        <w:tabs>
          <w:tab w:leader="none" w:pos="480" w:val="left"/>
        </w:tabs>
        <w:numPr>
          <w:ilvl w:val="0"/>
          <w:numId w:val="3"/>
        </w:numPr>
        <w:rPr>
          <w:rFonts w:ascii="Garamond" w:cs="Garamond" w:eastAsia="Garamond" w:hAnsi="Garamond"/>
          <w:sz w:val="18"/>
          <w:szCs w:val="18"/>
          <w:color w:val="auto"/>
        </w:rPr>
      </w:pPr>
      <w:r>
        <w:rPr>
          <w:rFonts w:ascii="Garamond" w:cs="Garamond" w:eastAsia="Garamond" w:hAnsi="Garamond"/>
          <w:sz w:val="18"/>
          <w:szCs w:val="18"/>
          <w:color w:val="auto"/>
        </w:rPr>
        <w:t xml:space="preserve">Bourdieu, P. (1984). </w:t>
      </w:r>
      <w:r>
        <w:rPr>
          <w:rFonts w:ascii="Garamond" w:cs="Garamond" w:eastAsia="Garamond" w:hAnsi="Garamond"/>
          <w:sz w:val="18"/>
          <w:szCs w:val="18"/>
          <w:i w:val="1"/>
          <w:iCs w:val="1"/>
          <w:color w:val="auto"/>
        </w:rPr>
        <w:t>Distinction: A Social Critique of the Judgement of Taste</w:t>
      </w:r>
      <w:r>
        <w:rPr>
          <w:rFonts w:ascii="Garamond" w:cs="Garamond" w:eastAsia="Garamond" w:hAnsi="Garamond"/>
          <w:sz w:val="18"/>
          <w:szCs w:val="18"/>
          <w:color w:val="auto"/>
        </w:rPr>
        <w:t>. London: Routledge &amp; Kegan and Paul.</w:t>
      </w:r>
    </w:p>
    <w:p>
      <w:pPr>
        <w:ind w:left="480" w:right="120" w:hanging="273"/>
        <w:spacing w:after="0" w:line="313" w:lineRule="auto"/>
        <w:tabs>
          <w:tab w:leader="none" w:pos="480" w:val="left"/>
        </w:tabs>
        <w:numPr>
          <w:ilvl w:val="0"/>
          <w:numId w:val="3"/>
        </w:numPr>
        <w:rPr>
          <w:rFonts w:ascii="Garamond" w:cs="Garamond" w:eastAsia="Garamond" w:hAnsi="Garamond"/>
          <w:sz w:val="18"/>
          <w:szCs w:val="18"/>
          <w:color w:val="auto"/>
        </w:rPr>
      </w:pPr>
      <w:r>
        <w:rPr>
          <w:rFonts w:ascii="Garamond" w:cs="Garamond" w:eastAsia="Garamond" w:hAnsi="Garamond"/>
          <w:sz w:val="18"/>
          <w:szCs w:val="18"/>
          <w:color w:val="auto"/>
        </w:rPr>
        <w:t xml:space="preserve">Colbert, F.; Nantel, J.; Bilodeau, S. &amp; Rich, J.D. (2001). </w:t>
      </w:r>
      <w:r>
        <w:rPr>
          <w:rFonts w:ascii="Garamond" w:cs="Garamond" w:eastAsia="Garamond" w:hAnsi="Garamond"/>
          <w:sz w:val="18"/>
          <w:szCs w:val="18"/>
          <w:i w:val="1"/>
          <w:iCs w:val="1"/>
          <w:color w:val="auto"/>
        </w:rPr>
        <w:t>Marketing Culture and the Arts</w:t>
      </w:r>
      <w:r>
        <w:rPr>
          <w:rFonts w:ascii="Garamond" w:cs="Garamond" w:eastAsia="Garamond" w:hAnsi="Garamond"/>
          <w:sz w:val="18"/>
          <w:szCs w:val="18"/>
          <w:color w:val="auto"/>
        </w:rPr>
        <w:t>. Mon-treal: HEC, Chair in Arts Management.</w:t>
      </w:r>
    </w:p>
    <w:p>
      <w:pPr>
        <w:spacing w:after="0" w:line="1" w:lineRule="exact"/>
        <w:rPr>
          <w:rFonts w:ascii="Garamond" w:cs="Garamond" w:eastAsia="Garamond" w:hAnsi="Garamond"/>
          <w:sz w:val="18"/>
          <w:szCs w:val="18"/>
          <w:color w:val="auto"/>
        </w:rPr>
      </w:pPr>
    </w:p>
    <w:p>
      <w:pPr>
        <w:ind w:left="480" w:hanging="273"/>
        <w:spacing w:after="0" w:line="307" w:lineRule="auto"/>
        <w:tabs>
          <w:tab w:leader="none" w:pos="480" w:val="left"/>
        </w:tabs>
        <w:numPr>
          <w:ilvl w:val="0"/>
          <w:numId w:val="3"/>
        </w:numPr>
        <w:rPr>
          <w:rFonts w:ascii="Garamond" w:cs="Garamond" w:eastAsia="Garamond" w:hAnsi="Garamond"/>
          <w:sz w:val="18"/>
          <w:szCs w:val="18"/>
          <w:color w:val="auto"/>
        </w:rPr>
      </w:pPr>
      <w:r>
        <w:rPr>
          <w:rFonts w:ascii="Garamond" w:cs="Garamond" w:eastAsia="Garamond" w:hAnsi="Garamond"/>
          <w:sz w:val="18"/>
          <w:szCs w:val="18"/>
          <w:color w:val="auto"/>
        </w:rPr>
        <w:t xml:space="preserve">DiMaggio, P. &amp; Useem, M. (1978). Social class and arts consumption: The origins and consequences of class differences in exposure to the arts in America. </w:t>
      </w:r>
      <w:r>
        <w:rPr>
          <w:rFonts w:ascii="Garamond" w:cs="Garamond" w:eastAsia="Garamond" w:hAnsi="Garamond"/>
          <w:sz w:val="18"/>
          <w:szCs w:val="18"/>
          <w:i w:val="1"/>
          <w:iCs w:val="1"/>
          <w:color w:val="auto"/>
        </w:rPr>
        <w:t>Theory and Society</w:t>
      </w:r>
      <w:r>
        <w:rPr>
          <w:rFonts w:ascii="Garamond" w:cs="Garamond" w:eastAsia="Garamond" w:hAnsi="Garamond"/>
          <w:sz w:val="18"/>
          <w:szCs w:val="18"/>
          <w:color w:val="auto"/>
        </w:rPr>
        <w:t>, 5 (2), 141-161. http://dx.doi.org/10.1007/BF01702159</w:t>
      </w:r>
    </w:p>
    <w:p>
      <w:pPr>
        <w:spacing w:after="0" w:line="1" w:lineRule="exact"/>
        <w:rPr>
          <w:rFonts w:ascii="Garamond" w:cs="Garamond" w:eastAsia="Garamond" w:hAnsi="Garamond"/>
          <w:sz w:val="18"/>
          <w:szCs w:val="18"/>
          <w:color w:val="auto"/>
        </w:rPr>
      </w:pPr>
    </w:p>
    <w:p>
      <w:pPr>
        <w:ind w:left="480" w:right="360" w:hanging="273"/>
        <w:spacing w:after="0" w:line="306" w:lineRule="auto"/>
        <w:tabs>
          <w:tab w:leader="none" w:pos="480" w:val="left"/>
        </w:tabs>
        <w:numPr>
          <w:ilvl w:val="0"/>
          <w:numId w:val="3"/>
        </w:numPr>
        <w:rPr>
          <w:rFonts w:ascii="Garamond" w:cs="Garamond" w:eastAsia="Garamond" w:hAnsi="Garamond"/>
          <w:sz w:val="18"/>
          <w:szCs w:val="18"/>
          <w:color w:val="auto"/>
        </w:rPr>
      </w:pPr>
      <w:r>
        <w:rPr>
          <w:rFonts w:ascii="Garamond" w:cs="Garamond" w:eastAsia="Garamond" w:hAnsi="Garamond"/>
          <w:sz w:val="18"/>
          <w:szCs w:val="18"/>
          <w:color w:val="auto"/>
        </w:rPr>
        <w:t xml:space="preserve">Favaro, D., &amp; Frateschi, C. (2007). A discrete choice model of consumption of cultural goods: the case of music. </w:t>
      </w:r>
      <w:r>
        <w:rPr>
          <w:rFonts w:ascii="Garamond" w:cs="Garamond" w:eastAsia="Garamond" w:hAnsi="Garamond"/>
          <w:sz w:val="18"/>
          <w:szCs w:val="18"/>
          <w:i w:val="1"/>
          <w:iCs w:val="1"/>
          <w:color w:val="auto"/>
        </w:rPr>
        <w:t>Journal of Cultural Economics</w:t>
      </w:r>
      <w:r>
        <w:rPr>
          <w:rFonts w:ascii="Garamond" w:cs="Garamond" w:eastAsia="Garamond" w:hAnsi="Garamond"/>
          <w:sz w:val="18"/>
          <w:szCs w:val="18"/>
          <w:color w:val="auto"/>
        </w:rPr>
        <w:t>, 31 (3), 205–234. http://dx.doi. org/10.1007/s10824-007-9043-x</w:t>
      </w:r>
    </w:p>
    <w:p>
      <w:pPr>
        <w:spacing w:after="0" w:line="2" w:lineRule="exact"/>
        <w:rPr>
          <w:rFonts w:ascii="Garamond" w:cs="Garamond" w:eastAsia="Garamond" w:hAnsi="Garamond"/>
          <w:sz w:val="18"/>
          <w:szCs w:val="18"/>
          <w:color w:val="auto"/>
        </w:rPr>
      </w:pPr>
    </w:p>
    <w:p>
      <w:pPr>
        <w:ind w:left="480" w:hanging="273"/>
        <w:spacing w:after="0"/>
        <w:tabs>
          <w:tab w:leader="none" w:pos="480" w:val="left"/>
        </w:tabs>
        <w:numPr>
          <w:ilvl w:val="0"/>
          <w:numId w:val="3"/>
        </w:numPr>
        <w:rPr>
          <w:rFonts w:ascii="Garamond" w:cs="Garamond" w:eastAsia="Garamond" w:hAnsi="Garamond"/>
          <w:sz w:val="18"/>
          <w:szCs w:val="18"/>
          <w:color w:val="auto"/>
        </w:rPr>
      </w:pPr>
      <w:r>
        <w:rPr>
          <w:rFonts w:ascii="Garamond" w:cs="Garamond" w:eastAsia="Garamond" w:hAnsi="Garamond"/>
          <w:sz w:val="18"/>
          <w:szCs w:val="18"/>
          <w:color w:val="auto"/>
        </w:rPr>
        <w:t xml:space="preserve">Featherstone, M. (1991). </w:t>
      </w:r>
      <w:r>
        <w:rPr>
          <w:rFonts w:ascii="Garamond" w:cs="Garamond" w:eastAsia="Garamond" w:hAnsi="Garamond"/>
          <w:sz w:val="18"/>
          <w:szCs w:val="18"/>
          <w:i w:val="1"/>
          <w:iCs w:val="1"/>
          <w:color w:val="auto"/>
        </w:rPr>
        <w:t>Consumer Culture and Postmodernism</w:t>
      </w:r>
      <w:r>
        <w:rPr>
          <w:rFonts w:ascii="Garamond" w:cs="Garamond" w:eastAsia="Garamond" w:hAnsi="Garamond"/>
          <w:sz w:val="18"/>
          <w:szCs w:val="18"/>
          <w:color w:val="auto"/>
        </w:rPr>
        <w:t>. London: Sage Publications.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222885</wp:posOffset>
            </wp:positionV>
            <wp:extent cx="4464050" cy="4763"/>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4464050" cy="4763"/>
                    </a:xfrm>
                    <a:prstGeom prst="rect">
                      <a:avLst/>
                    </a:prstGeom>
                    <a:noFill/>
                  </pic:spPr>
                </pic:pic>
              </a:graphicData>
            </a:graphic>
          </wp:anchor>
        </w:drawing>
      </w:r>
    </w:p>
    <w:p>
      <w:pPr>
        <w:sectPr>
          <w:pgSz w:w="9080" w:h="13039" w:orient="portrait"/>
          <w:cols w:equalWidth="0" w:num="1">
            <w:col w:w="7040"/>
          </w:cols>
          <w:pgMar w:left="900" w:top="1072" w:right="1131" w:bottom="195" w:gutter="0" w:footer="0" w:header="0"/>
        </w:sectPr>
      </w:pPr>
    </w:p>
    <w:p>
      <w:pPr>
        <w:spacing w:after="0" w:line="200" w:lineRule="exact"/>
        <w:rPr>
          <w:sz w:val="20"/>
          <w:szCs w:val="20"/>
          <w:color w:val="auto"/>
        </w:rPr>
      </w:pPr>
    </w:p>
    <w:p>
      <w:pPr>
        <w:spacing w:after="0" w:line="236" w:lineRule="exact"/>
        <w:rPr>
          <w:sz w:val="20"/>
          <w:szCs w:val="20"/>
          <w:color w:val="auto"/>
        </w:rPr>
      </w:pPr>
    </w:p>
    <w:p>
      <w:pPr>
        <w:spacing w:after="0"/>
        <w:tabs>
          <w:tab w:leader="none" w:pos="560" w:val="left"/>
        </w:tabs>
        <w:rPr>
          <w:sz w:val="20"/>
          <w:szCs w:val="20"/>
          <w:color w:val="auto"/>
        </w:rPr>
      </w:pPr>
      <w:r>
        <w:rPr>
          <w:rFonts w:ascii="Garamond" w:cs="Garamond" w:eastAsia="Garamond" w:hAnsi="Garamond"/>
          <w:sz w:val="16"/>
          <w:szCs w:val="16"/>
          <w:b w:val="1"/>
          <w:bCs w:val="1"/>
          <w:color w:val="auto"/>
        </w:rPr>
        <w:t>102</w:t>
      </w:r>
      <w:r>
        <w:rPr>
          <w:sz w:val="20"/>
          <w:szCs w:val="20"/>
          <w:color w:val="auto"/>
        </w:rPr>
        <w:tab/>
      </w:r>
      <w:r>
        <w:rPr>
          <w:rFonts w:ascii="Garamond" w:cs="Garamond" w:eastAsia="Garamond" w:hAnsi="Garamond"/>
          <w:sz w:val="16"/>
          <w:szCs w:val="16"/>
          <w:i w:val="1"/>
          <w:iCs w:val="1"/>
          <w:color w:val="auto"/>
        </w:rPr>
        <w:t>Journal of Competitiveness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4404360</wp:posOffset>
            </wp:positionH>
            <wp:positionV relativeFrom="paragraph">
              <wp:posOffset>-68580</wp:posOffset>
            </wp:positionV>
            <wp:extent cx="64135" cy="641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64135" cy="64135"/>
                    </a:xfrm>
                    <a:prstGeom prst="rect">
                      <a:avLst/>
                    </a:prstGeom>
                    <a:noFill/>
                  </pic:spPr>
                </pic:pic>
              </a:graphicData>
            </a:graphic>
          </wp:anchor>
        </w:drawing>
      </w:r>
    </w:p>
    <w:p>
      <w:pPr>
        <w:sectPr>
          <w:pgSz w:w="9080" w:h="13039" w:orient="portrait"/>
          <w:cols w:equalWidth="0" w:num="1">
            <w:col w:w="7040"/>
          </w:cols>
          <w:pgMar w:left="900" w:top="1072" w:right="1131" w:bottom="195" w:gutter="0" w:footer="0" w:header="0"/>
          <w:type w:val="continuous"/>
        </w:sectPr>
      </w:pPr>
    </w:p>
    <w:bookmarkStart w:id="11" w:name="page12"/>
    <w:bookmarkEnd w:id="11"/>
    <w:p>
      <w:pPr>
        <w:ind w:left="286" w:right="400" w:hanging="286"/>
        <w:spacing w:after="0" w:line="313" w:lineRule="auto"/>
        <w:tabs>
          <w:tab w:leader="none" w:pos="286" w:val="left"/>
        </w:tabs>
        <w:numPr>
          <w:ilvl w:val="0"/>
          <w:numId w:val="4"/>
        </w:numPr>
        <w:rPr>
          <w:rFonts w:ascii="Garamond" w:cs="Garamond" w:eastAsia="Garamond" w:hAnsi="Garamond"/>
          <w:sz w:val="18"/>
          <w:szCs w:val="18"/>
          <w:color w:val="auto"/>
        </w:rPr>
      </w:pPr>
      <w:r>
        <w:rPr>
          <w:rFonts w:ascii="Garamond" w:cs="Garamond" w:eastAsia="Garamond" w:hAnsi="Garamond"/>
          <w:sz w:val="18"/>
          <w:szCs w:val="18"/>
          <w:color w:val="auto"/>
        </w:rPr>
        <w:t xml:space="preserve">Fraser, I. (2004). The Marketing of Theater. In. Carrigan, F., Fraser, P. &amp; Ozbilgin, M. (Eds.) </w:t>
      </w:r>
      <w:r>
        <w:rPr>
          <w:rFonts w:ascii="Garamond" w:cs="Garamond" w:eastAsia="Garamond" w:hAnsi="Garamond"/>
          <w:sz w:val="18"/>
          <w:szCs w:val="18"/>
          <w:i w:val="1"/>
          <w:iCs w:val="1"/>
          <w:color w:val="auto"/>
        </w:rPr>
        <w:t>Arts Marketing</w:t>
      </w:r>
      <w:r>
        <w:rPr>
          <w:rFonts w:ascii="Garamond" w:cs="Garamond" w:eastAsia="Garamond" w:hAnsi="Garamond"/>
          <w:sz w:val="18"/>
          <w:szCs w:val="18"/>
          <w:color w:val="auto"/>
        </w:rPr>
        <w:t xml:space="preserve"> (42-67). Burlington: Elsevier Butterworth-Heinemann.</w:t>
      </w:r>
    </w:p>
    <w:p>
      <w:pPr>
        <w:ind w:left="286" w:right="120" w:hanging="286"/>
        <w:spacing w:after="0" w:line="312" w:lineRule="auto"/>
        <w:tabs>
          <w:tab w:leader="none" w:pos="286" w:val="left"/>
        </w:tabs>
        <w:numPr>
          <w:ilvl w:val="0"/>
          <w:numId w:val="4"/>
        </w:numPr>
        <w:rPr>
          <w:rFonts w:ascii="Garamond" w:cs="Garamond" w:eastAsia="Garamond" w:hAnsi="Garamond"/>
          <w:sz w:val="18"/>
          <w:szCs w:val="18"/>
          <w:color w:val="auto"/>
        </w:rPr>
      </w:pPr>
      <w:r>
        <w:rPr>
          <w:rFonts w:ascii="Garamond" w:cs="Garamond" w:eastAsia="Garamond" w:hAnsi="Garamond"/>
          <w:sz w:val="18"/>
          <w:szCs w:val="18"/>
          <w:color w:val="auto"/>
        </w:rPr>
        <w:t xml:space="preserve">Hirschman, E. C. (1983). Aesthetics, Ideologies and the Limits of the Marketing Concept. </w:t>
      </w:r>
      <w:r>
        <w:rPr>
          <w:rFonts w:ascii="Garamond" w:cs="Garamond" w:eastAsia="Garamond" w:hAnsi="Garamond"/>
          <w:sz w:val="18"/>
          <w:szCs w:val="18"/>
          <w:i w:val="1"/>
          <w:iCs w:val="1"/>
          <w:color w:val="auto"/>
        </w:rPr>
        <w:t>Journal of Marketing</w:t>
      </w:r>
      <w:r>
        <w:rPr>
          <w:rFonts w:ascii="Garamond" w:cs="Garamond" w:eastAsia="Garamond" w:hAnsi="Garamond"/>
          <w:sz w:val="18"/>
          <w:szCs w:val="18"/>
          <w:color w:val="auto"/>
        </w:rPr>
        <w:t>, 47 (3), 45-55. http://dx.doi.org/10.2307/1251196</w:t>
      </w:r>
    </w:p>
    <w:p>
      <w:pPr>
        <w:ind w:left="286" w:hanging="286"/>
        <w:spacing w:after="0"/>
        <w:tabs>
          <w:tab w:leader="none" w:pos="286" w:val="left"/>
        </w:tabs>
        <w:numPr>
          <w:ilvl w:val="0"/>
          <w:numId w:val="4"/>
        </w:numPr>
        <w:rPr>
          <w:rFonts w:ascii="Garamond" w:cs="Garamond" w:eastAsia="Garamond" w:hAnsi="Garamond"/>
          <w:sz w:val="18"/>
          <w:szCs w:val="18"/>
          <w:color w:val="auto"/>
        </w:rPr>
      </w:pPr>
      <w:r>
        <w:rPr>
          <w:rFonts w:ascii="Garamond" w:cs="Garamond" w:eastAsia="Garamond" w:hAnsi="Garamond"/>
          <w:sz w:val="18"/>
          <w:szCs w:val="18"/>
          <w:color w:val="auto"/>
        </w:rPr>
        <w:t xml:space="preserve">Holbrook, Morris B. (1995). </w:t>
      </w:r>
      <w:r>
        <w:rPr>
          <w:rFonts w:ascii="Garamond" w:cs="Garamond" w:eastAsia="Garamond" w:hAnsi="Garamond"/>
          <w:sz w:val="18"/>
          <w:szCs w:val="18"/>
          <w:i w:val="1"/>
          <w:iCs w:val="1"/>
          <w:color w:val="auto"/>
        </w:rPr>
        <w:t>Consumer research: Introspective essays on the study of consumption</w:t>
      </w:r>
      <w:r>
        <w:rPr>
          <w:rFonts w:ascii="Garamond" w:cs="Garamond" w:eastAsia="Garamond" w:hAnsi="Garamond"/>
          <w:sz w:val="18"/>
          <w:szCs w:val="18"/>
          <w:color w:val="auto"/>
        </w:rPr>
        <w:t>.</w:t>
      </w:r>
    </w:p>
    <w:p>
      <w:pPr>
        <w:spacing w:after="0" w:line="48" w:lineRule="exact"/>
        <w:rPr>
          <w:rFonts w:ascii="Garamond" w:cs="Garamond" w:eastAsia="Garamond" w:hAnsi="Garamond"/>
          <w:sz w:val="18"/>
          <w:szCs w:val="18"/>
          <w:color w:val="auto"/>
        </w:rPr>
      </w:pPr>
    </w:p>
    <w:p>
      <w:pPr>
        <w:ind w:left="286"/>
        <w:spacing w:after="0"/>
        <w:rPr>
          <w:rFonts w:ascii="Garamond" w:cs="Garamond" w:eastAsia="Garamond" w:hAnsi="Garamond"/>
          <w:sz w:val="18"/>
          <w:szCs w:val="18"/>
          <w:color w:val="auto"/>
        </w:rPr>
      </w:pPr>
      <w:r>
        <w:rPr>
          <w:rFonts w:ascii="Garamond" w:cs="Garamond" w:eastAsia="Garamond" w:hAnsi="Garamond"/>
          <w:sz w:val="18"/>
          <w:szCs w:val="18"/>
          <w:color w:val="auto"/>
        </w:rPr>
        <w:t>Thousand Oaks: Sage Publications.</w:t>
      </w:r>
    </w:p>
    <w:p>
      <w:pPr>
        <w:spacing w:after="0" w:line="75" w:lineRule="exact"/>
        <w:rPr>
          <w:rFonts w:ascii="Garamond" w:cs="Garamond" w:eastAsia="Garamond" w:hAnsi="Garamond"/>
          <w:sz w:val="18"/>
          <w:szCs w:val="18"/>
          <w:color w:val="auto"/>
        </w:rPr>
      </w:pPr>
    </w:p>
    <w:p>
      <w:pPr>
        <w:ind w:left="286" w:right="120" w:hanging="286"/>
        <w:spacing w:after="0" w:line="306" w:lineRule="auto"/>
        <w:tabs>
          <w:tab w:leader="none" w:pos="286" w:val="left"/>
        </w:tabs>
        <w:numPr>
          <w:ilvl w:val="0"/>
          <w:numId w:val="4"/>
        </w:numPr>
        <w:rPr>
          <w:rFonts w:ascii="Garamond" w:cs="Garamond" w:eastAsia="Garamond" w:hAnsi="Garamond"/>
          <w:sz w:val="18"/>
          <w:szCs w:val="18"/>
          <w:color w:val="auto"/>
        </w:rPr>
      </w:pPr>
      <w:r>
        <w:rPr>
          <w:rFonts w:ascii="Garamond" w:cs="Garamond" w:eastAsia="Garamond" w:hAnsi="Garamond"/>
          <w:sz w:val="18"/>
          <w:szCs w:val="18"/>
          <w:color w:val="auto"/>
        </w:rPr>
        <w:t xml:space="preserve">Holbrook, M. B. &amp; Schindler, R. M. (1994). Age, Sex, and Attitude toward the past as Pre-dictors of Consumers’ Aesthetic Tastes for Cultural Products. </w:t>
      </w:r>
      <w:r>
        <w:rPr>
          <w:rFonts w:ascii="Garamond" w:cs="Garamond" w:eastAsia="Garamond" w:hAnsi="Garamond"/>
          <w:sz w:val="18"/>
          <w:szCs w:val="18"/>
          <w:i w:val="1"/>
          <w:iCs w:val="1"/>
          <w:color w:val="auto"/>
        </w:rPr>
        <w:t>Journal of Marketing Research</w:t>
      </w:r>
      <w:r>
        <w:rPr>
          <w:rFonts w:ascii="Garamond" w:cs="Garamond" w:eastAsia="Garamond" w:hAnsi="Garamond"/>
          <w:sz w:val="18"/>
          <w:szCs w:val="18"/>
          <w:color w:val="auto"/>
        </w:rPr>
        <w:t>, 31 (3), 412-422. http://dx.doi.org/10.2307/3152228</w:t>
      </w:r>
    </w:p>
    <w:p>
      <w:pPr>
        <w:spacing w:after="0" w:line="2" w:lineRule="exact"/>
        <w:rPr>
          <w:rFonts w:ascii="Garamond" w:cs="Garamond" w:eastAsia="Garamond" w:hAnsi="Garamond"/>
          <w:sz w:val="18"/>
          <w:szCs w:val="18"/>
          <w:color w:val="auto"/>
        </w:rPr>
      </w:pPr>
    </w:p>
    <w:p>
      <w:pPr>
        <w:ind w:left="286" w:right="100" w:hanging="286"/>
        <w:spacing w:after="0" w:line="313" w:lineRule="auto"/>
        <w:tabs>
          <w:tab w:leader="none" w:pos="286" w:val="left"/>
        </w:tabs>
        <w:numPr>
          <w:ilvl w:val="0"/>
          <w:numId w:val="4"/>
        </w:numPr>
        <w:rPr>
          <w:rFonts w:ascii="Garamond" w:cs="Garamond" w:eastAsia="Garamond" w:hAnsi="Garamond"/>
          <w:sz w:val="18"/>
          <w:szCs w:val="18"/>
          <w:color w:val="auto"/>
        </w:rPr>
      </w:pPr>
      <w:r>
        <w:rPr>
          <w:rFonts w:ascii="Garamond" w:cs="Garamond" w:eastAsia="Garamond" w:hAnsi="Garamond"/>
          <w:sz w:val="18"/>
          <w:szCs w:val="18"/>
          <w:color w:val="auto"/>
        </w:rPr>
        <w:t xml:space="preserve">Hollander, S. C. (1984). Sumptuary Legislation: Demarketing by Edict. </w:t>
      </w:r>
      <w:r>
        <w:rPr>
          <w:rFonts w:ascii="Garamond" w:cs="Garamond" w:eastAsia="Garamond" w:hAnsi="Garamond"/>
          <w:sz w:val="18"/>
          <w:szCs w:val="18"/>
          <w:i w:val="1"/>
          <w:iCs w:val="1"/>
          <w:color w:val="auto"/>
        </w:rPr>
        <w:t>Journal of Macromar-keting</w:t>
      </w:r>
      <w:r>
        <w:rPr>
          <w:rFonts w:ascii="Garamond" w:cs="Garamond" w:eastAsia="Garamond" w:hAnsi="Garamond"/>
          <w:sz w:val="18"/>
          <w:szCs w:val="18"/>
          <w:color w:val="auto"/>
        </w:rPr>
        <w:t>, 4 (1), 4-16. http://dx.doi.org/10.1177/027614678400400102</w:t>
      </w:r>
    </w:p>
    <w:p>
      <w:pPr>
        <w:ind w:left="286" w:right="280" w:hanging="286"/>
        <w:spacing w:after="0" w:line="313" w:lineRule="auto"/>
        <w:tabs>
          <w:tab w:leader="none" w:pos="286" w:val="left"/>
        </w:tabs>
        <w:numPr>
          <w:ilvl w:val="0"/>
          <w:numId w:val="4"/>
        </w:numPr>
        <w:rPr>
          <w:rFonts w:ascii="Garamond" w:cs="Garamond" w:eastAsia="Garamond" w:hAnsi="Garamond"/>
          <w:sz w:val="18"/>
          <w:szCs w:val="18"/>
          <w:color w:val="auto"/>
        </w:rPr>
      </w:pPr>
      <w:r>
        <w:rPr>
          <w:rFonts w:ascii="Garamond" w:cs="Garamond" w:eastAsia="Garamond" w:hAnsi="Garamond"/>
          <w:sz w:val="18"/>
          <w:szCs w:val="18"/>
          <w:color w:val="auto"/>
        </w:rPr>
        <w:t xml:space="preserve">Becker, H. S. (1978). Arts and Crafts. </w:t>
      </w:r>
      <w:r>
        <w:rPr>
          <w:rFonts w:ascii="Garamond" w:cs="Garamond" w:eastAsia="Garamond" w:hAnsi="Garamond"/>
          <w:sz w:val="18"/>
          <w:szCs w:val="18"/>
          <w:i w:val="1"/>
          <w:iCs w:val="1"/>
          <w:color w:val="auto"/>
        </w:rPr>
        <w:t>American Journal of Sociolog y</w:t>
      </w:r>
      <w:r>
        <w:rPr>
          <w:rFonts w:ascii="Garamond" w:cs="Garamond" w:eastAsia="Garamond" w:hAnsi="Garamond"/>
          <w:sz w:val="18"/>
          <w:szCs w:val="18"/>
          <w:color w:val="auto"/>
        </w:rPr>
        <w:t>, 83 (4), 862-889. http:// dx.doi.org/10.1086/226635</w:t>
      </w:r>
    </w:p>
    <w:p>
      <w:pPr>
        <w:ind w:left="286" w:hanging="286"/>
        <w:spacing w:after="0"/>
        <w:tabs>
          <w:tab w:leader="none" w:pos="286" w:val="left"/>
        </w:tabs>
        <w:numPr>
          <w:ilvl w:val="0"/>
          <w:numId w:val="4"/>
        </w:numPr>
        <w:rPr>
          <w:rFonts w:ascii="Garamond" w:cs="Garamond" w:eastAsia="Garamond" w:hAnsi="Garamond"/>
          <w:sz w:val="18"/>
          <w:szCs w:val="18"/>
          <w:color w:val="auto"/>
        </w:rPr>
      </w:pPr>
      <w:r>
        <w:rPr>
          <w:rFonts w:ascii="Garamond" w:cs="Garamond" w:eastAsia="Garamond" w:hAnsi="Garamond"/>
          <w:sz w:val="18"/>
          <w:szCs w:val="18"/>
          <w:color w:val="auto"/>
        </w:rPr>
        <w:t xml:space="preserve">Bernstein, J.S. (2007). </w:t>
      </w:r>
      <w:r>
        <w:rPr>
          <w:rFonts w:ascii="Garamond" w:cs="Garamond" w:eastAsia="Garamond" w:hAnsi="Garamond"/>
          <w:sz w:val="18"/>
          <w:szCs w:val="18"/>
          <w:i w:val="1"/>
          <w:iCs w:val="1"/>
          <w:color w:val="auto"/>
        </w:rPr>
        <w:t>Arts Marketing Insights: The Dynamics of Building and Retaining Performing</w:t>
      </w:r>
    </w:p>
    <w:p>
      <w:pPr>
        <w:spacing w:after="0" w:line="47" w:lineRule="exact"/>
        <w:rPr>
          <w:rFonts w:ascii="Garamond" w:cs="Garamond" w:eastAsia="Garamond" w:hAnsi="Garamond"/>
          <w:sz w:val="18"/>
          <w:szCs w:val="18"/>
          <w:color w:val="auto"/>
        </w:rPr>
      </w:pPr>
    </w:p>
    <w:p>
      <w:pPr>
        <w:ind w:left="286"/>
        <w:spacing w:after="0"/>
        <w:rPr>
          <w:rFonts w:ascii="Garamond" w:cs="Garamond" w:eastAsia="Garamond" w:hAnsi="Garamond"/>
          <w:sz w:val="18"/>
          <w:szCs w:val="18"/>
          <w:color w:val="auto"/>
        </w:rPr>
      </w:pPr>
      <w:r>
        <w:rPr>
          <w:rFonts w:ascii="Garamond" w:cs="Garamond" w:eastAsia="Garamond" w:hAnsi="Garamond"/>
          <w:sz w:val="18"/>
          <w:szCs w:val="18"/>
          <w:i w:val="1"/>
          <w:iCs w:val="1"/>
          <w:color w:val="auto"/>
        </w:rPr>
        <w:t>Arts Audiences</w:t>
      </w:r>
      <w:r>
        <w:rPr>
          <w:rFonts w:ascii="Garamond" w:cs="Garamond" w:eastAsia="Garamond" w:hAnsi="Garamond"/>
          <w:sz w:val="18"/>
          <w:szCs w:val="18"/>
          <w:color w:val="auto"/>
        </w:rPr>
        <w:t>. San Francisco: John Wiley &amp; Sons.</w:t>
      </w:r>
    </w:p>
    <w:p>
      <w:pPr>
        <w:spacing w:after="0" w:line="75" w:lineRule="exact"/>
        <w:rPr>
          <w:rFonts w:ascii="Garamond" w:cs="Garamond" w:eastAsia="Garamond" w:hAnsi="Garamond"/>
          <w:sz w:val="18"/>
          <w:szCs w:val="18"/>
          <w:color w:val="auto"/>
        </w:rPr>
      </w:pPr>
    </w:p>
    <w:p>
      <w:pPr>
        <w:ind w:left="286" w:hanging="286"/>
        <w:spacing w:after="0"/>
        <w:tabs>
          <w:tab w:leader="none" w:pos="286" w:val="left"/>
        </w:tabs>
        <w:numPr>
          <w:ilvl w:val="0"/>
          <w:numId w:val="4"/>
        </w:numPr>
        <w:rPr>
          <w:rFonts w:ascii="Garamond" w:cs="Garamond" w:eastAsia="Garamond" w:hAnsi="Garamond"/>
          <w:sz w:val="18"/>
          <w:szCs w:val="18"/>
          <w:color w:val="auto"/>
        </w:rPr>
      </w:pPr>
      <w:r>
        <w:rPr>
          <w:rFonts w:ascii="Garamond" w:cs="Garamond" w:eastAsia="Garamond" w:hAnsi="Garamond"/>
          <w:sz w:val="18"/>
          <w:szCs w:val="18"/>
          <w:color w:val="auto"/>
        </w:rPr>
        <w:t xml:space="preserve">Falk, M. &amp; Falk, R. (2011). </w:t>
      </w:r>
      <w:r>
        <w:rPr>
          <w:rFonts w:ascii="Garamond" w:cs="Garamond" w:eastAsia="Garamond" w:hAnsi="Garamond"/>
          <w:sz w:val="18"/>
          <w:szCs w:val="18"/>
          <w:i w:val="1"/>
          <w:iCs w:val="1"/>
          <w:color w:val="auto"/>
        </w:rPr>
        <w:t>An Ordered Probit Model of Live Performance Attendance for 24 EU</w:t>
      </w:r>
    </w:p>
    <w:p>
      <w:pPr>
        <w:spacing w:after="0" w:line="47" w:lineRule="exact"/>
        <w:rPr>
          <w:rFonts w:ascii="Garamond" w:cs="Garamond" w:eastAsia="Garamond" w:hAnsi="Garamond"/>
          <w:sz w:val="18"/>
          <w:szCs w:val="18"/>
          <w:color w:val="auto"/>
        </w:rPr>
      </w:pPr>
    </w:p>
    <w:p>
      <w:pPr>
        <w:ind w:left="286"/>
        <w:spacing w:after="0"/>
        <w:rPr>
          <w:rFonts w:ascii="Garamond" w:cs="Garamond" w:eastAsia="Garamond" w:hAnsi="Garamond"/>
          <w:sz w:val="18"/>
          <w:szCs w:val="18"/>
          <w:color w:val="auto"/>
        </w:rPr>
      </w:pPr>
      <w:r>
        <w:rPr>
          <w:rFonts w:ascii="Garamond" w:cs="Garamond" w:eastAsia="Garamond" w:hAnsi="Garamond"/>
          <w:sz w:val="18"/>
          <w:szCs w:val="18"/>
          <w:i w:val="1"/>
          <w:iCs w:val="1"/>
          <w:color w:val="auto"/>
        </w:rPr>
        <w:t>Countries</w:t>
      </w:r>
      <w:r>
        <w:rPr>
          <w:rFonts w:ascii="Garamond" w:cs="Garamond" w:eastAsia="Garamond" w:hAnsi="Garamond"/>
          <w:sz w:val="18"/>
          <w:szCs w:val="18"/>
          <w:color w:val="auto"/>
        </w:rPr>
        <w:t>. Paper presented at Birmingham business school May 19, 2011.</w:t>
      </w:r>
    </w:p>
    <w:p>
      <w:pPr>
        <w:spacing w:after="0" w:line="77" w:lineRule="exact"/>
        <w:rPr>
          <w:rFonts w:ascii="Garamond" w:cs="Garamond" w:eastAsia="Garamond" w:hAnsi="Garamond"/>
          <w:sz w:val="18"/>
          <w:szCs w:val="18"/>
          <w:color w:val="auto"/>
        </w:rPr>
      </w:pPr>
    </w:p>
    <w:p>
      <w:pPr>
        <w:jc w:val="both"/>
        <w:ind w:left="286" w:right="40" w:hanging="286"/>
        <w:spacing w:after="0" w:line="307" w:lineRule="auto"/>
        <w:tabs>
          <w:tab w:leader="none" w:pos="286" w:val="left"/>
        </w:tabs>
        <w:numPr>
          <w:ilvl w:val="0"/>
          <w:numId w:val="4"/>
        </w:numPr>
        <w:rPr>
          <w:rFonts w:ascii="Garamond" w:cs="Garamond" w:eastAsia="Garamond" w:hAnsi="Garamond"/>
          <w:sz w:val="18"/>
          <w:szCs w:val="18"/>
          <w:color w:val="auto"/>
        </w:rPr>
      </w:pPr>
      <w:r>
        <w:rPr>
          <w:rFonts w:ascii="Garamond" w:cs="Garamond" w:eastAsia="Garamond" w:hAnsi="Garamond"/>
          <w:sz w:val="18"/>
          <w:szCs w:val="18"/>
          <w:color w:val="auto"/>
        </w:rPr>
        <w:t xml:space="preserve">Huntington, C. S. (2007). Reevaluating Segmentation Practices and Public Policy in Classi-cal Performing Arts Marketing: A Macro Approach. </w:t>
      </w:r>
      <w:r>
        <w:rPr>
          <w:rFonts w:ascii="Garamond" w:cs="Garamond" w:eastAsia="Garamond" w:hAnsi="Garamond"/>
          <w:sz w:val="18"/>
          <w:szCs w:val="18"/>
          <w:i w:val="1"/>
          <w:iCs w:val="1"/>
          <w:color w:val="auto"/>
        </w:rPr>
        <w:t>The Journal of Arts Management, Law, and</w:t>
      </w:r>
      <w:r>
        <w:rPr>
          <w:rFonts w:ascii="Garamond" w:cs="Garamond" w:eastAsia="Garamond" w:hAnsi="Garamond"/>
          <w:sz w:val="18"/>
          <w:szCs w:val="18"/>
          <w:color w:val="auto"/>
        </w:rPr>
        <w:t xml:space="preserve"> </w:t>
      </w:r>
      <w:r>
        <w:rPr>
          <w:rFonts w:ascii="Garamond" w:cs="Garamond" w:eastAsia="Garamond" w:hAnsi="Garamond"/>
          <w:sz w:val="18"/>
          <w:szCs w:val="18"/>
          <w:i w:val="1"/>
          <w:iCs w:val="1"/>
          <w:color w:val="auto"/>
        </w:rPr>
        <w:t>Society</w:t>
      </w:r>
      <w:r>
        <w:rPr>
          <w:rFonts w:ascii="Garamond" w:cs="Garamond" w:eastAsia="Garamond" w:hAnsi="Garamond"/>
          <w:sz w:val="18"/>
          <w:szCs w:val="18"/>
          <w:color w:val="auto"/>
        </w:rPr>
        <w:t>, 37 (2). http://dx.doi.org/10.3200/JAML.37.2.127-142</w:t>
      </w:r>
    </w:p>
    <w:p>
      <w:pPr>
        <w:spacing w:after="0" w:line="1" w:lineRule="exact"/>
        <w:rPr>
          <w:rFonts w:ascii="Garamond" w:cs="Garamond" w:eastAsia="Garamond" w:hAnsi="Garamond"/>
          <w:sz w:val="18"/>
          <w:szCs w:val="18"/>
          <w:color w:val="auto"/>
        </w:rPr>
      </w:pPr>
    </w:p>
    <w:p>
      <w:pPr>
        <w:ind w:left="286" w:right="100" w:hanging="286"/>
        <w:spacing w:after="0" w:line="306" w:lineRule="auto"/>
        <w:tabs>
          <w:tab w:leader="none" w:pos="286" w:val="left"/>
        </w:tabs>
        <w:numPr>
          <w:ilvl w:val="0"/>
          <w:numId w:val="4"/>
        </w:numPr>
        <w:rPr>
          <w:rFonts w:ascii="Garamond" w:cs="Garamond" w:eastAsia="Garamond" w:hAnsi="Garamond"/>
          <w:sz w:val="18"/>
          <w:szCs w:val="18"/>
          <w:color w:val="auto"/>
        </w:rPr>
      </w:pPr>
      <w:r>
        <w:rPr>
          <w:rFonts w:ascii="Garamond" w:cs="Garamond" w:eastAsia="Garamond" w:hAnsi="Garamond"/>
          <w:sz w:val="18"/>
          <w:szCs w:val="18"/>
          <w:color w:val="auto"/>
        </w:rPr>
        <w:t xml:space="preserve">Johnson, M. S. &amp; Garbarino, E. (2001). Customers of performing arts organisations: are subscribers different from nonsubscribers? </w:t>
      </w:r>
      <w:r>
        <w:rPr>
          <w:rFonts w:ascii="Garamond" w:cs="Garamond" w:eastAsia="Garamond" w:hAnsi="Garamond"/>
          <w:sz w:val="18"/>
          <w:szCs w:val="18"/>
          <w:i w:val="1"/>
          <w:iCs w:val="1"/>
          <w:color w:val="auto"/>
        </w:rPr>
        <w:t>International Journal of Nonprofit and Voluntary Sec-tor Marketing</w:t>
      </w:r>
      <w:r>
        <w:rPr>
          <w:rFonts w:ascii="Garamond" w:cs="Garamond" w:eastAsia="Garamond" w:hAnsi="Garamond"/>
          <w:sz w:val="18"/>
          <w:szCs w:val="18"/>
          <w:color w:val="auto"/>
        </w:rPr>
        <w:t>, 6 (1), 61–77. http://dx.doi.org/10.1002/nvsm.134</w:t>
      </w:r>
    </w:p>
    <w:p>
      <w:pPr>
        <w:spacing w:after="0" w:line="2" w:lineRule="exact"/>
        <w:rPr>
          <w:rFonts w:ascii="Garamond" w:cs="Garamond" w:eastAsia="Garamond" w:hAnsi="Garamond"/>
          <w:sz w:val="18"/>
          <w:szCs w:val="18"/>
          <w:color w:val="auto"/>
        </w:rPr>
      </w:pPr>
    </w:p>
    <w:p>
      <w:pPr>
        <w:ind w:left="286" w:right="100" w:hanging="286"/>
        <w:spacing w:after="0" w:line="313" w:lineRule="auto"/>
        <w:tabs>
          <w:tab w:leader="none" w:pos="286" w:val="left"/>
        </w:tabs>
        <w:numPr>
          <w:ilvl w:val="0"/>
          <w:numId w:val="4"/>
        </w:numPr>
        <w:rPr>
          <w:rFonts w:ascii="Garamond" w:cs="Garamond" w:eastAsia="Garamond" w:hAnsi="Garamond"/>
          <w:sz w:val="18"/>
          <w:szCs w:val="18"/>
          <w:color w:val="auto"/>
        </w:rPr>
      </w:pPr>
      <w:r>
        <w:rPr>
          <w:rFonts w:ascii="Garamond" w:cs="Garamond" w:eastAsia="Garamond" w:hAnsi="Garamond"/>
          <w:sz w:val="18"/>
          <w:szCs w:val="18"/>
          <w:color w:val="auto"/>
        </w:rPr>
        <w:t xml:space="preserve">Kotler, P. &amp; Armstrong, G. (2007). </w:t>
      </w:r>
      <w:r>
        <w:rPr>
          <w:rFonts w:ascii="Garamond" w:cs="Garamond" w:eastAsia="Garamond" w:hAnsi="Garamond"/>
          <w:sz w:val="18"/>
          <w:szCs w:val="18"/>
          <w:i w:val="1"/>
          <w:iCs w:val="1"/>
          <w:color w:val="auto"/>
        </w:rPr>
        <w:t>Principles of Marketing</w:t>
      </w:r>
      <w:r>
        <w:rPr>
          <w:rFonts w:ascii="Garamond" w:cs="Garamond" w:eastAsia="Garamond" w:hAnsi="Garamond"/>
          <w:sz w:val="18"/>
          <w:szCs w:val="18"/>
          <w:color w:val="auto"/>
        </w:rPr>
        <w:t>. Upper Saddle River, NJ: Prentice Hall.</w:t>
      </w:r>
    </w:p>
    <w:p>
      <w:pPr>
        <w:ind w:left="286" w:hanging="286"/>
        <w:spacing w:after="0"/>
        <w:tabs>
          <w:tab w:leader="none" w:pos="286" w:val="left"/>
        </w:tabs>
        <w:numPr>
          <w:ilvl w:val="0"/>
          <w:numId w:val="4"/>
        </w:numPr>
        <w:rPr>
          <w:rFonts w:ascii="Garamond" w:cs="Garamond" w:eastAsia="Garamond" w:hAnsi="Garamond"/>
          <w:sz w:val="18"/>
          <w:szCs w:val="18"/>
          <w:color w:val="auto"/>
        </w:rPr>
      </w:pPr>
      <w:r>
        <w:rPr>
          <w:rFonts w:ascii="Garamond" w:cs="Garamond" w:eastAsia="Garamond" w:hAnsi="Garamond"/>
          <w:sz w:val="18"/>
          <w:szCs w:val="18"/>
          <w:color w:val="auto"/>
        </w:rPr>
        <w:t xml:space="preserve">Kotler P. &amp; Levy, S. (1969). Broadening the Concept of Marketing. </w:t>
      </w:r>
      <w:r>
        <w:rPr>
          <w:rFonts w:ascii="Garamond" w:cs="Garamond" w:eastAsia="Garamond" w:hAnsi="Garamond"/>
          <w:sz w:val="18"/>
          <w:szCs w:val="18"/>
          <w:i w:val="1"/>
          <w:iCs w:val="1"/>
          <w:color w:val="auto"/>
        </w:rPr>
        <w:t>Journal of Marketing</w:t>
      </w:r>
      <w:r>
        <w:rPr>
          <w:rFonts w:ascii="Garamond" w:cs="Garamond" w:eastAsia="Garamond" w:hAnsi="Garamond"/>
          <w:sz w:val="18"/>
          <w:szCs w:val="18"/>
          <w:color w:val="auto"/>
        </w:rPr>
        <w:t>, 33</w:t>
      </w:r>
    </w:p>
    <w:p>
      <w:pPr>
        <w:spacing w:after="0" w:line="48" w:lineRule="exact"/>
        <w:rPr>
          <w:rFonts w:ascii="Garamond" w:cs="Garamond" w:eastAsia="Garamond" w:hAnsi="Garamond"/>
          <w:sz w:val="18"/>
          <w:szCs w:val="18"/>
          <w:color w:val="auto"/>
        </w:rPr>
      </w:pPr>
    </w:p>
    <w:p>
      <w:pPr>
        <w:ind w:left="286"/>
        <w:spacing w:after="0"/>
        <w:rPr>
          <w:rFonts w:ascii="Garamond" w:cs="Garamond" w:eastAsia="Garamond" w:hAnsi="Garamond"/>
          <w:sz w:val="18"/>
          <w:szCs w:val="18"/>
          <w:color w:val="auto"/>
        </w:rPr>
      </w:pPr>
      <w:r>
        <w:rPr>
          <w:rFonts w:ascii="Garamond" w:cs="Garamond" w:eastAsia="Garamond" w:hAnsi="Garamond"/>
          <w:sz w:val="18"/>
          <w:szCs w:val="18"/>
          <w:color w:val="auto"/>
        </w:rPr>
        <w:t>(1), 10-15. http://dx.doi.org/10.2307/1248740</w:t>
      </w:r>
    </w:p>
    <w:p>
      <w:pPr>
        <w:spacing w:after="0" w:line="74" w:lineRule="exact"/>
        <w:rPr>
          <w:rFonts w:ascii="Garamond" w:cs="Garamond" w:eastAsia="Garamond" w:hAnsi="Garamond"/>
          <w:sz w:val="18"/>
          <w:szCs w:val="18"/>
          <w:color w:val="auto"/>
        </w:rPr>
      </w:pPr>
    </w:p>
    <w:p>
      <w:pPr>
        <w:ind w:left="286" w:hanging="286"/>
        <w:spacing w:after="0"/>
        <w:tabs>
          <w:tab w:leader="none" w:pos="286" w:val="left"/>
        </w:tabs>
        <w:numPr>
          <w:ilvl w:val="0"/>
          <w:numId w:val="4"/>
        </w:numPr>
        <w:rPr>
          <w:rFonts w:ascii="Garamond" w:cs="Garamond" w:eastAsia="Garamond" w:hAnsi="Garamond"/>
          <w:sz w:val="18"/>
          <w:szCs w:val="18"/>
          <w:color w:val="auto"/>
        </w:rPr>
      </w:pPr>
      <w:r>
        <w:rPr>
          <w:rFonts w:ascii="Garamond" w:cs="Garamond" w:eastAsia="Garamond" w:hAnsi="Garamond"/>
          <w:sz w:val="18"/>
          <w:szCs w:val="18"/>
          <w:color w:val="auto"/>
        </w:rPr>
        <w:t xml:space="preserve">Kotler, P. &amp; Scheff, J. (1997). </w:t>
      </w:r>
      <w:r>
        <w:rPr>
          <w:rFonts w:ascii="Garamond" w:cs="Garamond" w:eastAsia="Garamond" w:hAnsi="Garamond"/>
          <w:sz w:val="18"/>
          <w:szCs w:val="18"/>
          <w:i w:val="1"/>
          <w:iCs w:val="1"/>
          <w:color w:val="auto"/>
        </w:rPr>
        <w:t>Standing Room Only: Strategies for Marketing the Performing Arts</w:t>
      </w:r>
      <w:r>
        <w:rPr>
          <w:rFonts w:ascii="Garamond" w:cs="Garamond" w:eastAsia="Garamond" w:hAnsi="Garamond"/>
          <w:sz w:val="18"/>
          <w:szCs w:val="18"/>
          <w:color w:val="auto"/>
        </w:rPr>
        <w:t>.</w:t>
      </w:r>
    </w:p>
    <w:p>
      <w:pPr>
        <w:spacing w:after="0" w:line="48" w:lineRule="exact"/>
        <w:rPr>
          <w:rFonts w:ascii="Garamond" w:cs="Garamond" w:eastAsia="Garamond" w:hAnsi="Garamond"/>
          <w:sz w:val="18"/>
          <w:szCs w:val="18"/>
          <w:color w:val="auto"/>
        </w:rPr>
      </w:pPr>
    </w:p>
    <w:p>
      <w:pPr>
        <w:ind w:left="286"/>
        <w:spacing w:after="0"/>
        <w:rPr>
          <w:rFonts w:ascii="Garamond" w:cs="Garamond" w:eastAsia="Garamond" w:hAnsi="Garamond"/>
          <w:sz w:val="18"/>
          <w:szCs w:val="18"/>
          <w:color w:val="auto"/>
        </w:rPr>
      </w:pPr>
      <w:r>
        <w:rPr>
          <w:rFonts w:ascii="Garamond" w:cs="Garamond" w:eastAsia="Garamond" w:hAnsi="Garamond"/>
          <w:sz w:val="18"/>
          <w:szCs w:val="18"/>
          <w:color w:val="auto"/>
        </w:rPr>
        <w:t>Boston, MA: Harvard Business Review Press.</w:t>
      </w:r>
    </w:p>
    <w:p>
      <w:pPr>
        <w:spacing w:after="0" w:line="74" w:lineRule="exact"/>
        <w:rPr>
          <w:rFonts w:ascii="Garamond" w:cs="Garamond" w:eastAsia="Garamond" w:hAnsi="Garamond"/>
          <w:sz w:val="18"/>
          <w:szCs w:val="18"/>
          <w:color w:val="auto"/>
        </w:rPr>
      </w:pPr>
    </w:p>
    <w:p>
      <w:pPr>
        <w:ind w:left="286" w:right="140" w:hanging="286"/>
        <w:spacing w:after="0" w:line="313" w:lineRule="auto"/>
        <w:tabs>
          <w:tab w:leader="none" w:pos="286" w:val="left"/>
        </w:tabs>
        <w:numPr>
          <w:ilvl w:val="0"/>
          <w:numId w:val="4"/>
        </w:numPr>
        <w:rPr>
          <w:rFonts w:ascii="Garamond" w:cs="Garamond" w:eastAsia="Garamond" w:hAnsi="Garamond"/>
          <w:sz w:val="18"/>
          <w:szCs w:val="18"/>
          <w:color w:val="auto"/>
        </w:rPr>
      </w:pPr>
      <w:r>
        <w:rPr>
          <w:rFonts w:ascii="Garamond" w:cs="Garamond" w:eastAsia="Garamond" w:hAnsi="Garamond"/>
          <w:sz w:val="18"/>
          <w:szCs w:val="18"/>
          <w:color w:val="auto"/>
        </w:rPr>
        <w:t xml:space="preserve">Lewis, G. &amp; Seaman, B.A. (2004). Sexual Orientation and Demand for the Arts. </w:t>
      </w:r>
      <w:r>
        <w:rPr>
          <w:rFonts w:ascii="Garamond" w:cs="Garamond" w:eastAsia="Garamond" w:hAnsi="Garamond"/>
          <w:sz w:val="18"/>
          <w:szCs w:val="18"/>
          <w:i w:val="1"/>
          <w:iCs w:val="1"/>
          <w:color w:val="auto"/>
        </w:rPr>
        <w:t>Social Sci-ence Quarterly</w:t>
      </w:r>
      <w:r>
        <w:rPr>
          <w:rFonts w:ascii="Garamond" w:cs="Garamond" w:eastAsia="Garamond" w:hAnsi="Garamond"/>
          <w:sz w:val="18"/>
          <w:szCs w:val="18"/>
          <w:color w:val="auto"/>
        </w:rPr>
        <w:t>, 85 (3), 523-538. http://dx.doi.org/10.1111/j.0038-4941.2004.00231.x</w:t>
      </w:r>
    </w:p>
    <w:p>
      <w:pPr>
        <w:spacing w:after="0" w:line="1" w:lineRule="exact"/>
        <w:rPr>
          <w:rFonts w:ascii="Garamond" w:cs="Garamond" w:eastAsia="Garamond" w:hAnsi="Garamond"/>
          <w:sz w:val="18"/>
          <w:szCs w:val="18"/>
          <w:color w:val="auto"/>
        </w:rPr>
      </w:pPr>
    </w:p>
    <w:p>
      <w:pPr>
        <w:ind w:left="286" w:right="40" w:hanging="286"/>
        <w:spacing w:after="0" w:line="307" w:lineRule="auto"/>
        <w:tabs>
          <w:tab w:leader="none" w:pos="286" w:val="left"/>
        </w:tabs>
        <w:numPr>
          <w:ilvl w:val="0"/>
          <w:numId w:val="4"/>
        </w:numPr>
        <w:rPr>
          <w:rFonts w:ascii="Garamond" w:cs="Garamond" w:eastAsia="Garamond" w:hAnsi="Garamond"/>
          <w:sz w:val="18"/>
          <w:szCs w:val="18"/>
          <w:color w:val="auto"/>
        </w:rPr>
      </w:pPr>
      <w:r>
        <w:rPr>
          <w:rFonts w:ascii="Garamond" w:cs="Garamond" w:eastAsia="Garamond" w:hAnsi="Garamond"/>
          <w:sz w:val="18"/>
          <w:szCs w:val="18"/>
          <w:color w:val="auto"/>
        </w:rPr>
        <w:t xml:space="preserve">Masters, T., Russell, R., &amp; Brooks, R. (2011). The demand for creative arts in regional Victoria, Australia. </w:t>
      </w:r>
      <w:r>
        <w:rPr>
          <w:rFonts w:ascii="Garamond" w:cs="Garamond" w:eastAsia="Garamond" w:hAnsi="Garamond"/>
          <w:sz w:val="18"/>
          <w:szCs w:val="18"/>
          <w:i w:val="1"/>
          <w:iCs w:val="1"/>
          <w:color w:val="auto"/>
        </w:rPr>
        <w:t>Applied Economics</w:t>
      </w:r>
      <w:r>
        <w:rPr>
          <w:rFonts w:ascii="Garamond" w:cs="Garamond" w:eastAsia="Garamond" w:hAnsi="Garamond"/>
          <w:sz w:val="18"/>
          <w:szCs w:val="18"/>
          <w:color w:val="auto"/>
        </w:rPr>
        <w:t>, 43 (5), 619-629. http://dx.doi.org/10.1080/000368408 02584976</w:t>
      </w:r>
    </w:p>
    <w:p>
      <w:pPr>
        <w:spacing w:after="0" w:line="1" w:lineRule="exact"/>
        <w:rPr>
          <w:rFonts w:ascii="Garamond" w:cs="Garamond" w:eastAsia="Garamond" w:hAnsi="Garamond"/>
          <w:sz w:val="18"/>
          <w:szCs w:val="18"/>
          <w:color w:val="auto"/>
        </w:rPr>
      </w:pPr>
    </w:p>
    <w:p>
      <w:pPr>
        <w:ind w:left="286" w:right="60" w:hanging="286"/>
        <w:spacing w:after="0" w:line="306" w:lineRule="auto"/>
        <w:tabs>
          <w:tab w:leader="none" w:pos="286" w:val="left"/>
        </w:tabs>
        <w:numPr>
          <w:ilvl w:val="0"/>
          <w:numId w:val="4"/>
        </w:numPr>
        <w:rPr>
          <w:rFonts w:ascii="Garamond" w:cs="Garamond" w:eastAsia="Garamond" w:hAnsi="Garamond"/>
          <w:sz w:val="18"/>
          <w:szCs w:val="18"/>
          <w:color w:val="auto"/>
        </w:rPr>
      </w:pPr>
      <w:r>
        <w:rPr>
          <w:rFonts w:ascii="Garamond" w:cs="Garamond" w:eastAsia="Garamond" w:hAnsi="Garamond"/>
          <w:sz w:val="18"/>
          <w:szCs w:val="18"/>
          <w:color w:val="auto"/>
        </w:rPr>
        <w:t xml:space="preserve">Ngobo, P. V. (2005). Drivers of upward and downward migration: An empirical investiga-tion among theatregoers. </w:t>
      </w:r>
      <w:r>
        <w:rPr>
          <w:rFonts w:ascii="Garamond" w:cs="Garamond" w:eastAsia="Garamond" w:hAnsi="Garamond"/>
          <w:sz w:val="18"/>
          <w:szCs w:val="18"/>
          <w:i w:val="1"/>
          <w:iCs w:val="1"/>
          <w:color w:val="auto"/>
        </w:rPr>
        <w:t>International Journal of Research in Marketing</w:t>
      </w:r>
      <w:r>
        <w:rPr>
          <w:rFonts w:ascii="Garamond" w:cs="Garamond" w:eastAsia="Garamond" w:hAnsi="Garamond"/>
          <w:sz w:val="18"/>
          <w:szCs w:val="18"/>
          <w:color w:val="auto"/>
        </w:rPr>
        <w:t>, 22 (2), 183–201. http:// dx.doi.org/10.1016/j.ijresmar.2004.07.002</w:t>
      </w:r>
    </w:p>
    <w:p>
      <w:pPr>
        <w:spacing w:after="0" w:line="2" w:lineRule="exact"/>
        <w:rPr>
          <w:rFonts w:ascii="Garamond" w:cs="Garamond" w:eastAsia="Garamond" w:hAnsi="Garamond"/>
          <w:sz w:val="18"/>
          <w:szCs w:val="18"/>
          <w:color w:val="auto"/>
        </w:rPr>
      </w:pPr>
    </w:p>
    <w:p>
      <w:pPr>
        <w:ind w:left="286" w:hanging="286"/>
        <w:spacing w:after="0"/>
        <w:tabs>
          <w:tab w:leader="none" w:pos="286" w:val="left"/>
        </w:tabs>
        <w:numPr>
          <w:ilvl w:val="0"/>
          <w:numId w:val="4"/>
        </w:numPr>
        <w:rPr>
          <w:rFonts w:ascii="Garamond" w:cs="Garamond" w:eastAsia="Garamond" w:hAnsi="Garamond"/>
          <w:sz w:val="18"/>
          <w:szCs w:val="18"/>
          <w:color w:val="auto"/>
        </w:rPr>
      </w:pPr>
      <w:r>
        <w:rPr>
          <w:rFonts w:ascii="Garamond" w:cs="Garamond" w:eastAsia="Garamond" w:hAnsi="Garamond"/>
          <w:sz w:val="18"/>
          <w:szCs w:val="18"/>
          <w:color w:val="auto"/>
        </w:rPr>
        <w:t xml:space="preserve">Pallin, G. (2003). </w:t>
      </w:r>
      <w:r>
        <w:rPr>
          <w:rFonts w:ascii="Garamond" w:cs="Garamond" w:eastAsia="Garamond" w:hAnsi="Garamond"/>
          <w:sz w:val="18"/>
          <w:szCs w:val="18"/>
          <w:i w:val="1"/>
          <w:iCs w:val="1"/>
          <w:color w:val="auto"/>
        </w:rPr>
        <w:t>Stage Management: The Essential Handbook</w:t>
      </w:r>
      <w:r>
        <w:rPr>
          <w:rFonts w:ascii="Garamond" w:cs="Garamond" w:eastAsia="Garamond" w:hAnsi="Garamond"/>
          <w:sz w:val="18"/>
          <w:szCs w:val="18"/>
          <w:color w:val="auto"/>
        </w:rPr>
        <w:t>. London: Nick Hern Books Ltd.</w:t>
      </w:r>
    </w:p>
    <w:p>
      <w:pPr>
        <w:spacing w:after="0" w:line="77" w:lineRule="exact"/>
        <w:rPr>
          <w:rFonts w:ascii="Garamond" w:cs="Garamond" w:eastAsia="Garamond" w:hAnsi="Garamond"/>
          <w:sz w:val="18"/>
          <w:szCs w:val="18"/>
          <w:color w:val="auto"/>
        </w:rPr>
      </w:pPr>
    </w:p>
    <w:p>
      <w:pPr>
        <w:ind w:left="286" w:right="120" w:hanging="286"/>
        <w:spacing w:after="0" w:line="313" w:lineRule="auto"/>
        <w:tabs>
          <w:tab w:leader="none" w:pos="286" w:val="left"/>
        </w:tabs>
        <w:numPr>
          <w:ilvl w:val="0"/>
          <w:numId w:val="4"/>
        </w:numPr>
        <w:rPr>
          <w:rFonts w:ascii="Garamond" w:cs="Garamond" w:eastAsia="Garamond" w:hAnsi="Garamond"/>
          <w:sz w:val="18"/>
          <w:szCs w:val="18"/>
          <w:color w:val="auto"/>
        </w:rPr>
      </w:pPr>
      <w:r>
        <w:rPr>
          <w:rFonts w:ascii="Garamond" w:cs="Garamond" w:eastAsia="Garamond" w:hAnsi="Garamond"/>
          <w:sz w:val="18"/>
          <w:szCs w:val="18"/>
          <w:color w:val="auto"/>
        </w:rPr>
        <w:t xml:space="preserve">Seaman, B.A. (2006). Empirical Studies of Demand for the Performing Arts. In. D. Throsby, D. &amp; Ginsburgh, V. (Eds.) </w:t>
      </w:r>
      <w:r>
        <w:rPr>
          <w:rFonts w:ascii="Garamond" w:cs="Garamond" w:eastAsia="Garamond" w:hAnsi="Garamond"/>
          <w:sz w:val="18"/>
          <w:szCs w:val="18"/>
          <w:i w:val="1"/>
          <w:iCs w:val="1"/>
          <w:color w:val="auto"/>
        </w:rPr>
        <w:t>Handbook of the Economics of Art and Culture</w:t>
      </w:r>
      <w:r>
        <w:rPr>
          <w:rFonts w:ascii="Garamond" w:cs="Garamond" w:eastAsia="Garamond" w:hAnsi="Garamond"/>
          <w:sz w:val="18"/>
          <w:szCs w:val="18"/>
          <w:color w:val="auto"/>
        </w:rPr>
        <w:t xml:space="preserve"> (415-472), Amsterdam: North-Holland (Elsevier). http://dx.doi.org/10.1016/S1574-0676(06)01014-3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-126365</wp:posOffset>
            </wp:positionH>
            <wp:positionV relativeFrom="paragraph">
              <wp:posOffset>105410</wp:posOffset>
            </wp:positionV>
            <wp:extent cx="4464050" cy="4763"/>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4464050" cy="4763"/>
                    </a:xfrm>
                    <a:prstGeom prst="rect">
                      <a:avLst/>
                    </a:prstGeom>
                    <a:noFill/>
                  </pic:spPr>
                </pic:pic>
              </a:graphicData>
            </a:graphic>
          </wp:anchor>
        </w:drawing>
      </w:r>
    </w:p>
    <w:p>
      <w:pPr>
        <w:sectPr>
          <w:pgSz w:w="9080" w:h="13039" w:orient="portrait"/>
          <w:cols w:equalWidth="0" w:num="1">
            <w:col w:w="6826"/>
          </w:cols>
          <w:pgMar w:left="1334" w:top="1074" w:right="911" w:bottom="217" w:gutter="0" w:footer="0" w:header="0"/>
        </w:sectPr>
      </w:pPr>
    </w:p>
    <w:p>
      <w:pPr>
        <w:spacing w:after="0" w:line="252" w:lineRule="exact"/>
        <w:rPr>
          <w:sz w:val="20"/>
          <w:szCs w:val="20"/>
          <w:color w:val="auto"/>
        </w:rPr>
      </w:pPr>
    </w:p>
    <w:p>
      <w:pPr>
        <w:ind w:left="6626"/>
        <w:spacing w:after="0"/>
        <w:rPr>
          <w:sz w:val="20"/>
          <w:szCs w:val="20"/>
          <w:color w:val="auto"/>
        </w:rPr>
      </w:pPr>
      <w:r>
        <w:rPr>
          <w:rFonts w:ascii="Garamond" w:cs="Garamond" w:eastAsia="Garamond" w:hAnsi="Garamond"/>
          <w:sz w:val="14"/>
          <w:szCs w:val="14"/>
          <w:b w:val="1"/>
          <w:bCs w:val="1"/>
          <w:color w:val="auto"/>
        </w:rPr>
        <w:t>103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-126365</wp:posOffset>
            </wp:positionH>
            <wp:positionV relativeFrom="paragraph">
              <wp:posOffset>-53975</wp:posOffset>
            </wp:positionV>
            <wp:extent cx="64135" cy="6413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64135" cy="64135"/>
                    </a:xfrm>
                    <a:prstGeom prst="rect">
                      <a:avLst/>
                    </a:prstGeom>
                    <a:noFill/>
                  </pic:spPr>
                </pic:pic>
              </a:graphicData>
            </a:graphic>
          </wp:anchor>
        </w:drawing>
      </w:r>
    </w:p>
    <w:p>
      <w:pPr>
        <w:sectPr>
          <w:pgSz w:w="9080" w:h="13039" w:orient="portrait"/>
          <w:cols w:equalWidth="0" w:num="1">
            <w:col w:w="6826"/>
          </w:cols>
          <w:pgMar w:left="1334" w:top="1074" w:right="911" w:bottom="217" w:gutter="0" w:footer="0" w:header="0"/>
          <w:type w:val="continuous"/>
        </w:sectPr>
      </w:pPr>
    </w:p>
    <w:bookmarkStart w:id="12" w:name="page13"/>
    <w:bookmarkEnd w:id="12"/>
    <w:p>
      <w:pPr>
        <w:ind w:left="480" w:hanging="273"/>
        <w:spacing w:after="0"/>
        <w:tabs>
          <w:tab w:leader="none" w:pos="480" w:val="left"/>
        </w:tabs>
        <w:numPr>
          <w:ilvl w:val="0"/>
          <w:numId w:val="5"/>
        </w:numPr>
        <w:rPr>
          <w:rFonts w:ascii="Garamond" w:cs="Garamond" w:eastAsia="Garamond" w:hAnsi="Garamond"/>
          <w:sz w:val="18"/>
          <w:szCs w:val="18"/>
          <w:color w:val="auto"/>
        </w:rPr>
      </w:pPr>
      <w:r>
        <w:rPr>
          <w:rFonts w:ascii="Garamond" w:cs="Garamond" w:eastAsia="Garamond" w:hAnsi="Garamond"/>
          <w:sz w:val="18"/>
          <w:szCs w:val="18"/>
          <w:color w:val="auto"/>
        </w:rPr>
        <w:t xml:space="preserve">Solomon, M. R., Bamossy, G., Askegaard, S. &amp; Hogg, M. K. (2010). </w:t>
      </w:r>
      <w:r>
        <w:rPr>
          <w:rFonts w:ascii="Garamond" w:cs="Garamond" w:eastAsia="Garamond" w:hAnsi="Garamond"/>
          <w:sz w:val="18"/>
          <w:szCs w:val="18"/>
          <w:i w:val="1"/>
          <w:iCs w:val="1"/>
          <w:color w:val="auto"/>
        </w:rPr>
        <w:t>Consumer Behaviour: A</w:t>
      </w:r>
    </w:p>
    <w:p>
      <w:pPr>
        <w:spacing w:after="0" w:line="47" w:lineRule="exact"/>
        <w:rPr>
          <w:rFonts w:ascii="Garamond" w:cs="Garamond" w:eastAsia="Garamond" w:hAnsi="Garamond"/>
          <w:sz w:val="18"/>
          <w:szCs w:val="18"/>
          <w:color w:val="auto"/>
        </w:rPr>
      </w:pPr>
    </w:p>
    <w:p>
      <w:pPr>
        <w:ind w:left="480"/>
        <w:spacing w:after="0"/>
        <w:rPr>
          <w:rFonts w:ascii="Garamond" w:cs="Garamond" w:eastAsia="Garamond" w:hAnsi="Garamond"/>
          <w:sz w:val="18"/>
          <w:szCs w:val="18"/>
          <w:color w:val="auto"/>
        </w:rPr>
      </w:pPr>
      <w:r>
        <w:rPr>
          <w:rFonts w:ascii="Garamond" w:cs="Garamond" w:eastAsia="Garamond" w:hAnsi="Garamond"/>
          <w:sz w:val="18"/>
          <w:szCs w:val="18"/>
          <w:i w:val="1"/>
          <w:iCs w:val="1"/>
          <w:color w:val="auto"/>
        </w:rPr>
        <w:t>European Perspective</w:t>
      </w:r>
      <w:r>
        <w:rPr>
          <w:rFonts w:ascii="Garamond" w:cs="Garamond" w:eastAsia="Garamond" w:hAnsi="Garamond"/>
          <w:sz w:val="18"/>
          <w:szCs w:val="18"/>
          <w:color w:val="auto"/>
        </w:rPr>
        <w:t>. London: Prentice Hall.</w:t>
      </w:r>
    </w:p>
    <w:p>
      <w:pPr>
        <w:spacing w:after="0" w:line="77" w:lineRule="exact"/>
        <w:rPr>
          <w:rFonts w:ascii="Garamond" w:cs="Garamond" w:eastAsia="Garamond" w:hAnsi="Garamond"/>
          <w:sz w:val="18"/>
          <w:szCs w:val="18"/>
          <w:color w:val="auto"/>
        </w:rPr>
      </w:pPr>
    </w:p>
    <w:p>
      <w:pPr>
        <w:ind w:left="480" w:right="100" w:hanging="273"/>
        <w:spacing w:after="0" w:line="313" w:lineRule="auto"/>
        <w:tabs>
          <w:tab w:leader="none" w:pos="480" w:val="left"/>
        </w:tabs>
        <w:numPr>
          <w:ilvl w:val="0"/>
          <w:numId w:val="5"/>
        </w:numPr>
        <w:rPr>
          <w:rFonts w:ascii="Garamond" w:cs="Garamond" w:eastAsia="Garamond" w:hAnsi="Garamond"/>
          <w:sz w:val="18"/>
          <w:szCs w:val="18"/>
          <w:color w:val="auto"/>
        </w:rPr>
      </w:pPr>
      <w:r>
        <w:rPr>
          <w:rFonts w:ascii="Garamond" w:cs="Garamond" w:eastAsia="Garamond" w:hAnsi="Garamond"/>
          <w:sz w:val="18"/>
          <w:szCs w:val="18"/>
          <w:color w:val="auto"/>
        </w:rPr>
        <w:t xml:space="preserve">Venkatesh, A., &amp; Meamber, L. A. (2006). Arts and aesthetics: Marketing and cultural pro-duction. </w:t>
      </w:r>
      <w:r>
        <w:rPr>
          <w:rFonts w:ascii="Garamond" w:cs="Garamond" w:eastAsia="Garamond" w:hAnsi="Garamond"/>
          <w:sz w:val="18"/>
          <w:szCs w:val="18"/>
          <w:i w:val="1"/>
          <w:iCs w:val="1"/>
          <w:color w:val="auto"/>
        </w:rPr>
        <w:t>Marketing Theory</w:t>
      </w:r>
      <w:r>
        <w:rPr>
          <w:rFonts w:ascii="Garamond" w:cs="Garamond" w:eastAsia="Garamond" w:hAnsi="Garamond"/>
          <w:sz w:val="18"/>
          <w:szCs w:val="18"/>
          <w:color w:val="auto"/>
        </w:rPr>
        <w:t>, 6 (11), 11-39. http://dx.doi.org/10.1177/1470593106061261</w:t>
      </w:r>
    </w:p>
    <w:p>
      <w:pPr>
        <w:jc w:val="both"/>
        <w:ind w:left="480" w:hanging="273"/>
        <w:spacing w:after="0" w:line="313" w:lineRule="auto"/>
        <w:tabs>
          <w:tab w:leader="none" w:pos="480" w:val="left"/>
        </w:tabs>
        <w:numPr>
          <w:ilvl w:val="0"/>
          <w:numId w:val="5"/>
        </w:numPr>
        <w:rPr>
          <w:rFonts w:ascii="Garamond" w:cs="Garamond" w:eastAsia="Garamond" w:hAnsi="Garamond"/>
          <w:sz w:val="18"/>
          <w:szCs w:val="18"/>
          <w:color w:val="auto"/>
        </w:rPr>
      </w:pPr>
      <w:r>
        <w:rPr>
          <w:rFonts w:ascii="Garamond" w:cs="Garamond" w:eastAsia="Garamond" w:hAnsi="Garamond"/>
          <w:sz w:val="18"/>
          <w:szCs w:val="18"/>
          <w:color w:val="auto"/>
        </w:rPr>
        <w:t xml:space="preserve">Willis, K.G., Snowball, J.D., Wymer, C &amp; Grisolía, J. (2012). A count data travel cost model of theatre demand using aggregate theatre booking data. </w:t>
      </w:r>
      <w:r>
        <w:rPr>
          <w:rFonts w:ascii="Garamond" w:cs="Garamond" w:eastAsia="Garamond" w:hAnsi="Garamond"/>
          <w:sz w:val="18"/>
          <w:szCs w:val="18"/>
          <w:i w:val="1"/>
          <w:iCs w:val="1"/>
          <w:color w:val="auto"/>
        </w:rPr>
        <w:t>Journal of Cultural Economics</w:t>
      </w:r>
      <w:r>
        <w:rPr>
          <w:rFonts w:ascii="Garamond" w:cs="Garamond" w:eastAsia="Garamond" w:hAnsi="Garamond"/>
          <w:sz w:val="18"/>
          <w:szCs w:val="18"/>
          <w:color w:val="auto"/>
        </w:rPr>
        <w:t>, 36 (2), 91-112. http://dx.doi.org/10.1007/s10824-011-9157-z</w:t>
      </w:r>
    </w:p>
    <w:p>
      <w:pPr>
        <w:spacing w:after="0" w:line="154" w:lineRule="exact"/>
        <w:rPr>
          <w:sz w:val="20"/>
          <w:szCs w:val="20"/>
          <w:color w:val="auto"/>
        </w:rPr>
      </w:pPr>
    </w:p>
    <w:p>
      <w:pPr>
        <w:spacing w:after="0"/>
        <w:rPr>
          <w:sz w:val="20"/>
          <w:szCs w:val="20"/>
          <w:color w:val="auto"/>
        </w:rPr>
      </w:pPr>
      <w:r>
        <w:rPr>
          <w:rFonts w:ascii="Arial" w:cs="Arial" w:eastAsia="Arial" w:hAnsi="Arial"/>
          <w:sz w:val="20"/>
          <w:szCs w:val="20"/>
          <w:color w:val="auto"/>
        </w:rPr>
        <w:t>Contact information:</w:t>
      </w:r>
    </w:p>
    <w:p>
      <w:pPr>
        <w:spacing w:after="0" w:line="10" w:lineRule="exact"/>
        <w:rPr>
          <w:sz w:val="20"/>
          <w:szCs w:val="20"/>
          <w:color w:val="auto"/>
        </w:rPr>
      </w:pPr>
    </w:p>
    <w:p>
      <w:pPr>
        <w:spacing w:after="0"/>
        <w:rPr>
          <w:sz w:val="20"/>
          <w:szCs w:val="20"/>
          <w:color w:val="auto"/>
        </w:rPr>
      </w:pPr>
      <w:r>
        <w:rPr>
          <w:rFonts w:ascii="Garamond" w:cs="Garamond" w:eastAsia="Garamond" w:hAnsi="Garamond"/>
          <w:sz w:val="19"/>
          <w:szCs w:val="19"/>
          <w:i w:val="1"/>
          <w:iCs w:val="1"/>
          <w:color w:val="auto"/>
        </w:rPr>
        <w:t>Ing. Zuzana Chytková, Ph.D.,</w:t>
      </w:r>
    </w:p>
    <w:p>
      <w:pPr>
        <w:spacing w:after="0" w:line="38" w:lineRule="exact"/>
        <w:rPr>
          <w:sz w:val="20"/>
          <w:szCs w:val="20"/>
          <w:color w:val="auto"/>
        </w:rPr>
      </w:pPr>
    </w:p>
    <w:p>
      <w:pPr>
        <w:spacing w:after="0"/>
        <w:rPr>
          <w:sz w:val="20"/>
          <w:szCs w:val="20"/>
          <w:color w:val="auto"/>
        </w:rPr>
      </w:pPr>
      <w:r>
        <w:rPr>
          <w:rFonts w:ascii="Garamond" w:cs="Garamond" w:eastAsia="Garamond" w:hAnsi="Garamond"/>
          <w:sz w:val="19"/>
          <w:szCs w:val="19"/>
          <w:i w:val="1"/>
          <w:iCs w:val="1"/>
          <w:color w:val="auto"/>
        </w:rPr>
        <w:t>Ing. Jitka Černá, Ph.D.,</w:t>
      </w:r>
    </w:p>
    <w:p>
      <w:pPr>
        <w:spacing w:after="0" w:line="38" w:lineRule="exact"/>
        <w:rPr>
          <w:sz w:val="20"/>
          <w:szCs w:val="20"/>
          <w:color w:val="auto"/>
        </w:rPr>
      </w:pPr>
    </w:p>
    <w:p>
      <w:pPr>
        <w:spacing w:after="0"/>
        <w:rPr>
          <w:sz w:val="20"/>
          <w:szCs w:val="20"/>
          <w:color w:val="auto"/>
        </w:rPr>
      </w:pPr>
      <w:r>
        <w:rPr>
          <w:rFonts w:ascii="Garamond" w:cs="Garamond" w:eastAsia="Garamond" w:hAnsi="Garamond"/>
          <w:sz w:val="19"/>
          <w:szCs w:val="19"/>
          <w:i w:val="1"/>
          <w:iCs w:val="1"/>
          <w:color w:val="auto"/>
        </w:rPr>
        <w:t>Ing. Miroslav Karlíček, Ph.D.</w:t>
      </w:r>
    </w:p>
    <w:p>
      <w:pPr>
        <w:spacing w:after="0" w:line="38" w:lineRule="exact"/>
        <w:rPr>
          <w:sz w:val="20"/>
          <w:szCs w:val="20"/>
          <w:color w:val="auto"/>
        </w:rPr>
      </w:pPr>
    </w:p>
    <w:p>
      <w:pPr>
        <w:ind w:right="3240"/>
        <w:spacing w:after="0" w:line="282" w:lineRule="auto"/>
        <w:rPr>
          <w:sz w:val="20"/>
          <w:szCs w:val="20"/>
          <w:color w:val="auto"/>
        </w:rPr>
      </w:pPr>
      <w:r>
        <w:rPr>
          <w:rFonts w:ascii="Garamond" w:cs="Garamond" w:eastAsia="Garamond" w:hAnsi="Garamond"/>
          <w:sz w:val="19"/>
          <w:szCs w:val="19"/>
          <w:i w:val="1"/>
          <w:iCs w:val="1"/>
          <w:color w:val="auto"/>
        </w:rPr>
        <w:t>Department of Marketing, University of Economics, Prague Nam. W. Churchilla 4</w:t>
      </w:r>
    </w:p>
    <w:p>
      <w:pPr>
        <w:spacing w:after="0" w:line="1" w:lineRule="exact"/>
        <w:rPr>
          <w:sz w:val="20"/>
          <w:szCs w:val="20"/>
          <w:color w:val="auto"/>
        </w:rPr>
      </w:pPr>
    </w:p>
    <w:p>
      <w:pPr>
        <w:spacing w:after="0"/>
        <w:rPr>
          <w:sz w:val="20"/>
          <w:szCs w:val="20"/>
          <w:color w:val="auto"/>
        </w:rPr>
      </w:pPr>
      <w:r>
        <w:rPr>
          <w:rFonts w:ascii="Garamond" w:cs="Garamond" w:eastAsia="Garamond" w:hAnsi="Garamond"/>
          <w:sz w:val="19"/>
          <w:szCs w:val="19"/>
          <w:i w:val="1"/>
          <w:iCs w:val="1"/>
          <w:color w:val="auto"/>
        </w:rPr>
        <w:t>130 67 Praha 3, Czech Republic</w:t>
      </w:r>
    </w:p>
    <w:p>
      <w:pPr>
        <w:spacing w:after="0" w:line="38" w:lineRule="exact"/>
        <w:rPr>
          <w:sz w:val="20"/>
          <w:szCs w:val="20"/>
          <w:color w:val="auto"/>
        </w:rPr>
      </w:pPr>
    </w:p>
    <w:p>
      <w:pPr>
        <w:spacing w:after="0"/>
        <w:rPr>
          <w:sz w:val="20"/>
          <w:szCs w:val="20"/>
          <w:color w:val="auto"/>
        </w:rPr>
      </w:pPr>
      <w:r>
        <w:rPr>
          <w:rFonts w:ascii="Garamond" w:cs="Garamond" w:eastAsia="Garamond" w:hAnsi="Garamond"/>
          <w:sz w:val="19"/>
          <w:szCs w:val="19"/>
          <w:i w:val="1"/>
          <w:iCs w:val="1"/>
          <w:color w:val="auto"/>
        </w:rPr>
        <w:t>email: zuzana.chytkova@vse.cz; cernaj@vse.cz; miroslav.karlicek@vse.cz</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2395220</wp:posOffset>
            </wp:positionH>
            <wp:positionV relativeFrom="paragraph">
              <wp:posOffset>4102735</wp:posOffset>
            </wp:positionV>
            <wp:extent cx="2073275" cy="2571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2073275" cy="257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4280"/>
        <w:spacing w:after="0"/>
        <w:rPr>
          <w:sz w:val="20"/>
          <w:szCs w:val="20"/>
          <w:color w:val="auto"/>
        </w:rPr>
      </w:pPr>
      <w:r>
        <w:rPr>
          <w:rFonts w:ascii="Garamond" w:cs="Garamond" w:eastAsia="Garamond" w:hAnsi="Garamond"/>
          <w:sz w:val="16"/>
          <w:szCs w:val="16"/>
          <w:color w:val="auto"/>
        </w:rPr>
        <w:t>JEL Classification: M30, M31, M39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150495</wp:posOffset>
            </wp:positionV>
            <wp:extent cx="4464050" cy="4763"/>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4464050" cy="4763"/>
                    </a:xfrm>
                    <a:prstGeom prst="rect">
                      <a:avLst/>
                    </a:prstGeom>
                    <a:noFill/>
                  </pic:spPr>
                </pic:pic>
              </a:graphicData>
            </a:graphic>
          </wp:anchor>
        </w:drawing>
      </w:r>
    </w:p>
    <w:p>
      <w:pPr>
        <w:sectPr>
          <w:pgSz w:w="9080" w:h="13039" w:orient="portrait"/>
          <w:cols w:equalWidth="0" w:num="1">
            <w:col w:w="7000"/>
          </w:cols>
          <w:pgMar w:left="900" w:top="1072" w:right="1171" w:bottom="195" w:gutter="0" w:footer="0" w:header="0"/>
        </w:sectPr>
      </w:pPr>
    </w:p>
    <w:p>
      <w:pPr>
        <w:spacing w:after="0" w:line="323" w:lineRule="exact"/>
        <w:rPr>
          <w:sz w:val="20"/>
          <w:szCs w:val="20"/>
          <w:color w:val="auto"/>
        </w:rPr>
      </w:pPr>
    </w:p>
    <w:p>
      <w:pPr>
        <w:spacing w:after="0"/>
        <w:tabs>
          <w:tab w:leader="none" w:pos="560" w:val="left"/>
        </w:tabs>
        <w:rPr>
          <w:sz w:val="20"/>
          <w:szCs w:val="20"/>
          <w:color w:val="auto"/>
        </w:rPr>
      </w:pPr>
      <w:r>
        <w:rPr>
          <w:rFonts w:ascii="Garamond" w:cs="Garamond" w:eastAsia="Garamond" w:hAnsi="Garamond"/>
          <w:sz w:val="16"/>
          <w:szCs w:val="16"/>
          <w:b w:val="1"/>
          <w:bCs w:val="1"/>
          <w:color w:val="auto"/>
        </w:rPr>
        <w:t>104</w:t>
      </w:r>
      <w:r>
        <w:rPr>
          <w:sz w:val="20"/>
          <w:szCs w:val="20"/>
          <w:color w:val="auto"/>
        </w:rPr>
        <w:tab/>
      </w:r>
      <w:r>
        <w:rPr>
          <w:rFonts w:ascii="Garamond" w:cs="Garamond" w:eastAsia="Garamond" w:hAnsi="Garamond"/>
          <w:sz w:val="16"/>
          <w:szCs w:val="16"/>
          <w:i w:val="1"/>
          <w:iCs w:val="1"/>
          <w:color w:val="auto"/>
        </w:rPr>
        <w:t>Journal of Competitiveness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4404360</wp:posOffset>
            </wp:positionH>
            <wp:positionV relativeFrom="paragraph">
              <wp:posOffset>-68580</wp:posOffset>
            </wp:positionV>
            <wp:extent cx="64135" cy="641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64135" cy="64135"/>
                    </a:xfrm>
                    <a:prstGeom prst="rect">
                      <a:avLst/>
                    </a:prstGeom>
                    <a:noFill/>
                  </pic:spPr>
                </pic:pic>
              </a:graphicData>
            </a:graphic>
          </wp:anchor>
        </w:drawing>
      </w:r>
    </w:p>
    <w:sectPr>
      <w:pgSz w:w="9080" w:h="13039" w:orient="portrait"/>
      <w:cols w:equalWidth="0" w:num="1">
        <w:col w:w="7000"/>
      </w:cols>
      <w:pgMar w:left="900" w:top="1072" w:right="1171" w:bottom="19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ramond">
    <w:panose1 w:val="02020404030301010803"/>
    <w:charset w:val="EE"/>
    <w:family w:val="roman"/>
    <w:pitch w:val="variable"/>
    <w:sig w:usb0="00000287" w:usb1="00000000" w:usb2="00000000" w:usb3="00000000" w:csb0="0000009F" w:csb1="DFD7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decimal"/>
      <w:start w:val="92"/>
    </w:lvl>
  </w:abstractNum>
  <w:abstractNum w:abstractNumId="1">
    <w:nsid w:val="2AE8944A"/>
    <w:multiLevelType w:val="hybridMultilevel"/>
    <w:lvl w:ilvl="0">
      <w:lvlJc w:val="left"/>
      <w:lvlText w:val="&amp;"/>
      <w:numFmt w:val="bullet"/>
      <w:start w:val="1"/>
    </w:lvl>
  </w:abstractNum>
  <w:abstractNum w:abstractNumId="2">
    <w:nsid w:val="625558EC"/>
    <w:multiLevelType w:val="hybridMultilevel"/>
    <w:lvl w:ilvl="0">
      <w:lvlJc w:val="left"/>
      <w:lvlText w:val="%1."/>
      <w:numFmt w:val="decimal"/>
      <w:start w:val="1"/>
    </w:lvl>
  </w:abstractNum>
  <w:abstractNum w:abstractNumId="3">
    <w:nsid w:val="238E1F29"/>
    <w:multiLevelType w:val="hybridMultilevel"/>
    <w:lvl w:ilvl="0">
      <w:lvlJc w:val="left"/>
      <w:lvlText w:val="%1."/>
      <w:numFmt w:val="decimal"/>
      <w:start w:val="15"/>
    </w:lvl>
  </w:abstractNum>
  <w:abstractNum w:abstractNumId="4">
    <w:nsid w:val="46E87CCD"/>
    <w:multiLevelType w:val="hybridMultilevel"/>
    <w:lvl w:ilvl="0">
      <w:lvlJc w:val="left"/>
      <w:lvlText w:val="%1."/>
      <w:numFmt w:val="decimal"/>
      <w:start w:val="33"/>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jpe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2020-09-15T05:12:11Z</dcterms:created>
  <dcterms:modified xsi:type="dcterms:W3CDTF">2020-09-15T05:12:11Z</dcterms:modified>
</cp:coreProperties>
</file>